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751840</wp:posOffset>
            </wp:positionH>
            <wp:positionV relativeFrom="page">
              <wp:posOffset>298450</wp:posOffset>
            </wp:positionV>
            <wp:extent cx="65932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3205" cy="8255"/>
                    </a:xfrm>
                    <a:prstGeom prst="rect">
                      <a:avLst/>
                    </a:prstGeom>
                    <a:noFill/>
                  </pic:spPr>
                </pic:pic>
              </a:graphicData>
            </a:graphic>
          </wp:anchor>
        </w:drawing>
        <w:drawing>
          <wp:anchor simplePos="0" relativeHeight="251657728" behindDoc="1" locked="0" layoutInCell="0" allowOverlap="1">
            <wp:simplePos x="0" y="0"/>
            <wp:positionH relativeFrom="page">
              <wp:posOffset>751840</wp:posOffset>
            </wp:positionH>
            <wp:positionV relativeFrom="page">
              <wp:posOffset>314325</wp:posOffset>
            </wp:positionV>
            <wp:extent cx="6593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3205" cy="8255"/>
                    </a:xfrm>
                    <a:prstGeom prst="rect">
                      <a:avLst/>
                    </a:prstGeom>
                    <a:noFill/>
                  </pic:spPr>
                </pic:pic>
              </a:graphicData>
            </a:graphic>
          </wp:anchor>
        </w:drawing>
        <w:drawing>
          <wp:anchor simplePos="0" relativeHeight="251657728" behindDoc="1" locked="0" layoutInCell="0" allowOverlap="1">
            <wp:simplePos x="0" y="0"/>
            <wp:positionH relativeFrom="page">
              <wp:posOffset>751840</wp:posOffset>
            </wp:positionH>
            <wp:positionV relativeFrom="page">
              <wp:posOffset>346710</wp:posOffset>
            </wp:positionV>
            <wp:extent cx="65932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3205" cy="8255"/>
                    </a:xfrm>
                    <a:prstGeom prst="rect">
                      <a:avLst/>
                    </a:prstGeom>
                    <a:noFill/>
                  </pic:spPr>
                </pic:pic>
              </a:graphicData>
            </a:graphic>
          </wp:anchor>
        </w:drawing>
        <w:drawing>
          <wp:anchor simplePos="0" relativeHeight="251657728" behindDoc="1" locked="0" layoutInCell="0" allowOverlap="1">
            <wp:simplePos x="0" y="0"/>
            <wp:positionH relativeFrom="page">
              <wp:posOffset>751840</wp:posOffset>
            </wp:positionH>
            <wp:positionV relativeFrom="page">
              <wp:posOffset>362585</wp:posOffset>
            </wp:positionV>
            <wp:extent cx="65932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3205" cy="8255"/>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3293745</wp:posOffset>
            </wp:positionH>
            <wp:positionV relativeFrom="paragraph">
              <wp:posOffset>53340</wp:posOffset>
            </wp:positionV>
            <wp:extent cx="5556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5625" cy="8255"/>
                    </a:xfrm>
                    <a:prstGeom prst="rect">
                      <a:avLst/>
                    </a:prstGeom>
                    <a:noFill/>
                  </pic:spPr>
                </pic:pic>
              </a:graphicData>
            </a:graphic>
          </wp:anchor>
        </w:drawing>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3293745</wp:posOffset>
            </wp:positionH>
            <wp:positionV relativeFrom="paragraph">
              <wp:posOffset>84455</wp:posOffset>
            </wp:positionV>
            <wp:extent cx="5556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5625" cy="8255"/>
                    </a:xfrm>
                    <a:prstGeom prst="rect">
                      <a:avLst/>
                    </a:prstGeom>
                    <a:noFill/>
                  </pic:spPr>
                </pic:pic>
              </a:graphicData>
            </a:graphic>
          </wp:anchor>
        </w:drawing>
      </w:r>
    </w:p>
    <w:p>
      <w:pPr>
        <w:spacing w:after="0" w:line="16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 w:lineRule="exact"/>
        <w:rPr>
          <w:sz w:val="24"/>
          <w:szCs w:val="24"/>
          <w:color w:val="auto"/>
        </w:rPr>
      </w:pPr>
    </w:p>
    <w:p>
      <w:pPr>
        <w:ind w:left="4020" w:right="3280" w:hanging="4019"/>
        <w:spacing w:after="0" w:line="316" w:lineRule="auto"/>
        <w:tabs>
          <w:tab w:leader="none" w:pos="456"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ANNUAL REPORT PURSUANT TO SECTION 13 OR 15(d) OF THE SECURITIES EXCHANGE ACT OF 1934 For the fiscal year ended December 31, 2021</w:t>
      </w:r>
    </w:p>
    <w:p>
      <w:pPr>
        <w:jc w:val="center"/>
        <w:spacing w:after="0"/>
        <w:rPr>
          <w:sz w:val="20"/>
          <w:szCs w:val="20"/>
          <w:color w:val="auto"/>
        </w:rPr>
      </w:pPr>
      <w:r>
        <w:rPr>
          <w:rFonts w:ascii="Arial" w:cs="Arial" w:eastAsia="Arial" w:hAnsi="Arial"/>
          <w:sz w:val="15"/>
          <w:szCs w:val="15"/>
          <w:b w:val="1"/>
          <w:bCs w:val="1"/>
          <w:color w:val="auto"/>
        </w:rPr>
        <w:t>OR</w:t>
      </w:r>
    </w:p>
    <w:p>
      <w:pPr>
        <w:spacing w:after="0" w:line="56" w:lineRule="exact"/>
        <w:rPr>
          <w:sz w:val="24"/>
          <w:szCs w:val="24"/>
          <w:color w:val="auto"/>
        </w:rPr>
      </w:pPr>
    </w:p>
    <w:p>
      <w:pPr>
        <w:ind w:left="460" w:hanging="459"/>
        <w:spacing w:after="0"/>
        <w:tabs>
          <w:tab w:leader="none" w:pos="460"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TRANSITION REPORT PURSUANT TO SECTION 13 OR 15(d) OF THE SECURITIES EXCHANGE ACT OF 1934 FOR THE TRANSITION PERIOD</w:t>
      </w:r>
    </w:p>
    <w:p>
      <w:pPr>
        <w:spacing w:after="0" w:line="23" w:lineRule="exact"/>
        <w:rPr>
          <w:rFonts w:ascii="MS PGothic" w:cs="MS PGothic" w:eastAsia="MS PGothic" w:hAnsi="MS PGothic"/>
          <w:sz w:val="15"/>
          <w:szCs w:val="15"/>
          <w:color w:val="auto"/>
          <w:highlight w:val="black"/>
        </w:rPr>
      </w:pPr>
    </w:p>
    <w:p>
      <w:pPr>
        <w:ind w:left="460"/>
        <w:spacing w:after="0"/>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FROM</w:t>
      </w:r>
      <w:r>
        <w:rPr>
          <w:rFonts w:ascii="Arial" w:cs="Arial" w:eastAsia="Arial" w:hAnsi="Arial"/>
          <w:sz w:val="14"/>
          <w:szCs w:val="14"/>
          <w:b w:val="1"/>
          <w:bCs w:val="1"/>
          <w:color w:val="auto"/>
        </w:rPr>
        <w:t>TO</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001-07782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2480310</wp:posOffset>
            </wp:positionH>
            <wp:positionV relativeFrom="paragraph">
              <wp:posOffset>61595</wp:posOffset>
            </wp:positionV>
            <wp:extent cx="2189480" cy="4591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89480" cy="4591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37"/>
          <w:szCs w:val="37"/>
          <w:b w:val="1"/>
          <w:bCs w:val="1"/>
          <w:color w:val="auto"/>
        </w:rPr>
        <w:t>PARSONS CORPORATION</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3293745</wp:posOffset>
            </wp:positionH>
            <wp:positionV relativeFrom="paragraph">
              <wp:posOffset>50165</wp:posOffset>
            </wp:positionV>
            <wp:extent cx="555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5625" cy="8255"/>
                    </a:xfrm>
                    <a:prstGeom prst="rect">
                      <a:avLst/>
                    </a:prstGeom>
                    <a:noFill/>
                  </pic:spPr>
                </pic:pic>
              </a:graphicData>
            </a:graphic>
          </wp:anchor>
        </w:drawing>
      </w:r>
    </w:p>
    <w:p>
      <w:pPr>
        <w:spacing w:after="0" w:line="132" w:lineRule="exact"/>
        <w:rPr>
          <w:sz w:val="24"/>
          <w:szCs w:val="24"/>
          <w:color w:val="auto"/>
        </w:rPr>
      </w:pPr>
    </w:p>
    <w:tbl>
      <w:tblPr>
        <w:tblLayout w:type="fixed"/>
        <w:tblInd w:w="1680" w:type="dxa"/>
        <w:tblCellMar>
          <w:top w:w="0" w:type="dxa"/>
          <w:left w:w="0" w:type="dxa"/>
          <w:bottom w:w="0" w:type="dxa"/>
          <w:right w:w="0" w:type="dxa"/>
        </w:tblCellMar>
      </w:tblPr>
      <w:tr>
        <w:trPr>
          <w:trHeight w:val="174"/>
        </w:trPr>
        <w:tc>
          <w:tcPr>
            <w:tcW w:w="4240" w:type="dxa"/>
            <w:vAlign w:val="bottom"/>
          </w:tcPr>
          <w:p>
            <w:pPr>
              <w:jc w:val="center"/>
              <w:ind w:right="1952"/>
              <w:spacing w:after="0"/>
              <w:rPr>
                <w:sz w:val="20"/>
                <w:szCs w:val="20"/>
                <w:color w:val="auto"/>
              </w:rPr>
            </w:pPr>
            <w:r>
              <w:rPr>
                <w:rFonts w:ascii="Arial" w:cs="Arial" w:eastAsia="Arial" w:hAnsi="Arial"/>
                <w:sz w:val="15"/>
                <w:szCs w:val="15"/>
                <w:b w:val="1"/>
                <w:bCs w:val="1"/>
                <w:color w:val="auto"/>
              </w:rPr>
              <w:t>Delaware</w:t>
            </w:r>
          </w:p>
        </w:tc>
        <w:tc>
          <w:tcPr>
            <w:tcW w:w="3040" w:type="dxa"/>
            <w:vAlign w:val="bottom"/>
          </w:tcPr>
          <w:p>
            <w:pPr>
              <w:jc w:val="right"/>
              <w:ind w:right="34"/>
              <w:spacing w:after="0"/>
              <w:rPr>
                <w:sz w:val="20"/>
                <w:szCs w:val="20"/>
                <w:color w:val="auto"/>
              </w:rPr>
            </w:pPr>
            <w:r>
              <w:rPr>
                <w:rFonts w:ascii="Arial" w:cs="Arial" w:eastAsia="Arial" w:hAnsi="Arial"/>
                <w:sz w:val="15"/>
                <w:szCs w:val="15"/>
                <w:b w:val="1"/>
                <w:bCs w:val="1"/>
                <w:color w:val="auto"/>
              </w:rPr>
              <w:t>95-3232481</w:t>
            </w:r>
          </w:p>
        </w:tc>
      </w:tr>
      <w:tr>
        <w:trPr>
          <w:trHeight w:val="127"/>
        </w:trPr>
        <w:tc>
          <w:tcPr>
            <w:tcW w:w="4240" w:type="dxa"/>
            <w:vAlign w:val="bottom"/>
          </w:tcPr>
          <w:p>
            <w:pPr>
              <w:jc w:val="center"/>
              <w:ind w:right="1952"/>
              <w:spacing w:after="0" w:line="127" w:lineRule="exact"/>
              <w:rPr>
                <w:sz w:val="20"/>
                <w:szCs w:val="20"/>
                <w:color w:val="auto"/>
              </w:rPr>
            </w:pPr>
            <w:r>
              <w:rPr>
                <w:rFonts w:ascii="Arial" w:cs="Arial" w:eastAsia="Arial" w:hAnsi="Arial"/>
                <w:sz w:val="12"/>
                <w:szCs w:val="12"/>
                <w:b w:val="1"/>
                <w:bCs w:val="1"/>
                <w:color w:val="auto"/>
                <w:w w:val="98"/>
              </w:rPr>
              <w:t>(State or other jurisdiction of</w:t>
            </w:r>
          </w:p>
        </w:tc>
        <w:tc>
          <w:tcPr>
            <w:tcW w:w="3040" w:type="dxa"/>
            <w:vAlign w:val="bottom"/>
          </w:tcPr>
          <w:p>
            <w:pPr>
              <w:jc w:val="center"/>
              <w:ind w:left="1974"/>
              <w:spacing w:after="0" w:line="127" w:lineRule="exact"/>
              <w:rPr>
                <w:sz w:val="20"/>
                <w:szCs w:val="20"/>
                <w:color w:val="auto"/>
              </w:rPr>
            </w:pPr>
            <w:r>
              <w:rPr>
                <w:rFonts w:ascii="Arial" w:cs="Arial" w:eastAsia="Arial" w:hAnsi="Arial"/>
                <w:sz w:val="12"/>
                <w:szCs w:val="12"/>
                <w:b w:val="1"/>
                <w:bCs w:val="1"/>
                <w:color w:val="auto"/>
                <w:w w:val="99"/>
              </w:rPr>
              <w:t>(I.R.S. Employer</w:t>
            </w:r>
          </w:p>
        </w:tc>
      </w:tr>
      <w:tr>
        <w:trPr>
          <w:trHeight w:val="130"/>
        </w:trPr>
        <w:tc>
          <w:tcPr>
            <w:tcW w:w="4240" w:type="dxa"/>
            <w:vAlign w:val="bottom"/>
          </w:tcPr>
          <w:p>
            <w:pPr>
              <w:jc w:val="center"/>
              <w:ind w:right="1972"/>
              <w:spacing w:after="0" w:line="130" w:lineRule="exact"/>
              <w:rPr>
                <w:sz w:val="20"/>
                <w:szCs w:val="20"/>
                <w:color w:val="auto"/>
              </w:rPr>
            </w:pPr>
            <w:r>
              <w:rPr>
                <w:rFonts w:ascii="Arial" w:cs="Arial" w:eastAsia="Arial" w:hAnsi="Arial"/>
                <w:sz w:val="12"/>
                <w:szCs w:val="12"/>
                <w:b w:val="1"/>
                <w:bCs w:val="1"/>
                <w:color w:val="auto"/>
                <w:w w:val="98"/>
              </w:rPr>
              <w:t>incorporation or organization)</w:t>
            </w:r>
          </w:p>
        </w:tc>
        <w:tc>
          <w:tcPr>
            <w:tcW w:w="3040" w:type="dxa"/>
            <w:vAlign w:val="bottom"/>
          </w:tcPr>
          <w:p>
            <w:pPr>
              <w:jc w:val="center"/>
              <w:ind w:left="1974"/>
              <w:spacing w:after="0" w:line="130" w:lineRule="exact"/>
              <w:rPr>
                <w:sz w:val="20"/>
                <w:szCs w:val="20"/>
                <w:color w:val="auto"/>
              </w:rPr>
            </w:pPr>
            <w:r>
              <w:rPr>
                <w:rFonts w:ascii="Arial" w:cs="Arial" w:eastAsia="Arial" w:hAnsi="Arial"/>
                <w:sz w:val="12"/>
                <w:szCs w:val="12"/>
                <w:b w:val="1"/>
                <w:bCs w:val="1"/>
                <w:color w:val="auto"/>
                <w:w w:val="98"/>
              </w:rPr>
              <w:t>Identification No.)</w:t>
            </w:r>
          </w:p>
        </w:tc>
      </w:tr>
      <w:tr>
        <w:trPr>
          <w:trHeight w:val="177"/>
        </w:trPr>
        <w:tc>
          <w:tcPr>
            <w:tcW w:w="4240" w:type="dxa"/>
            <w:vAlign w:val="bottom"/>
          </w:tcPr>
          <w:p>
            <w:pPr>
              <w:jc w:val="center"/>
              <w:ind w:right="1972"/>
              <w:spacing w:after="0"/>
              <w:rPr>
                <w:sz w:val="20"/>
                <w:szCs w:val="20"/>
                <w:color w:val="auto"/>
              </w:rPr>
            </w:pPr>
            <w:r>
              <w:rPr>
                <w:rFonts w:ascii="Arial" w:cs="Arial" w:eastAsia="Arial" w:hAnsi="Arial"/>
                <w:sz w:val="15"/>
                <w:szCs w:val="15"/>
                <w:b w:val="1"/>
                <w:bCs w:val="1"/>
                <w:color w:val="auto"/>
              </w:rPr>
              <w:t>5875 Trinity Parkway, #300,</w:t>
            </w:r>
          </w:p>
        </w:tc>
        <w:tc>
          <w:tcPr>
            <w:tcW w:w="3040" w:type="dxa"/>
            <w:vAlign w:val="bottom"/>
          </w:tcPr>
          <w:p>
            <w:pPr>
              <w:spacing w:after="0"/>
              <w:rPr>
                <w:sz w:val="15"/>
                <w:szCs w:val="15"/>
                <w:color w:val="auto"/>
              </w:rPr>
            </w:pPr>
          </w:p>
        </w:tc>
      </w:tr>
      <w:tr>
        <w:trPr>
          <w:trHeight w:val="174"/>
        </w:trPr>
        <w:tc>
          <w:tcPr>
            <w:tcW w:w="4240" w:type="dxa"/>
            <w:vAlign w:val="bottom"/>
          </w:tcPr>
          <w:p>
            <w:pPr>
              <w:jc w:val="center"/>
              <w:ind w:right="1952"/>
              <w:spacing w:after="0"/>
              <w:rPr>
                <w:sz w:val="20"/>
                <w:szCs w:val="20"/>
                <w:color w:val="auto"/>
              </w:rPr>
            </w:pPr>
            <w:r>
              <w:rPr>
                <w:rFonts w:ascii="Arial" w:cs="Arial" w:eastAsia="Arial" w:hAnsi="Arial"/>
                <w:sz w:val="15"/>
                <w:szCs w:val="15"/>
                <w:b w:val="1"/>
                <w:bCs w:val="1"/>
                <w:color w:val="auto"/>
              </w:rPr>
              <w:t>Centreville, VA</w:t>
            </w:r>
          </w:p>
        </w:tc>
        <w:tc>
          <w:tcPr>
            <w:tcW w:w="3040" w:type="dxa"/>
            <w:vAlign w:val="bottom"/>
          </w:tcPr>
          <w:p>
            <w:pPr>
              <w:jc w:val="right"/>
              <w:ind w:right="234"/>
              <w:spacing w:after="0"/>
              <w:rPr>
                <w:sz w:val="20"/>
                <w:szCs w:val="20"/>
                <w:color w:val="auto"/>
              </w:rPr>
            </w:pPr>
            <w:r>
              <w:rPr>
                <w:rFonts w:ascii="Arial" w:cs="Arial" w:eastAsia="Arial" w:hAnsi="Arial"/>
                <w:sz w:val="15"/>
                <w:szCs w:val="15"/>
                <w:b w:val="1"/>
                <w:bCs w:val="1"/>
                <w:color w:val="auto"/>
              </w:rPr>
              <w:t>21120</w:t>
            </w:r>
          </w:p>
        </w:tc>
      </w:tr>
      <w:tr>
        <w:trPr>
          <w:trHeight w:val="155"/>
        </w:trPr>
        <w:tc>
          <w:tcPr>
            <w:tcW w:w="4240" w:type="dxa"/>
            <w:vAlign w:val="bottom"/>
          </w:tcPr>
          <w:p>
            <w:pPr>
              <w:jc w:val="center"/>
              <w:ind w:right="1972"/>
              <w:spacing w:after="0"/>
              <w:rPr>
                <w:sz w:val="20"/>
                <w:szCs w:val="20"/>
                <w:color w:val="auto"/>
              </w:rPr>
            </w:pPr>
            <w:r>
              <w:rPr>
                <w:rFonts w:ascii="Arial" w:cs="Arial" w:eastAsia="Arial" w:hAnsi="Arial"/>
                <w:sz w:val="12"/>
                <w:szCs w:val="12"/>
                <w:b w:val="1"/>
                <w:bCs w:val="1"/>
                <w:color w:val="auto"/>
                <w:w w:val="98"/>
              </w:rPr>
              <w:t>(Address of principal executive offices)</w:t>
            </w:r>
          </w:p>
        </w:tc>
        <w:tc>
          <w:tcPr>
            <w:tcW w:w="3040" w:type="dxa"/>
            <w:vAlign w:val="bottom"/>
          </w:tcPr>
          <w:p>
            <w:pPr>
              <w:jc w:val="center"/>
              <w:ind w:left="1954"/>
              <w:spacing w:after="0"/>
              <w:rPr>
                <w:sz w:val="20"/>
                <w:szCs w:val="20"/>
                <w:color w:val="auto"/>
              </w:rPr>
            </w:pPr>
            <w:r>
              <w:rPr>
                <w:rFonts w:ascii="Arial" w:cs="Arial" w:eastAsia="Arial" w:hAnsi="Arial"/>
                <w:sz w:val="12"/>
                <w:szCs w:val="12"/>
                <w:b w:val="1"/>
                <w:bCs w:val="1"/>
                <w:color w:val="auto"/>
                <w:w w:val="97"/>
              </w:rPr>
              <w:t>(Zip Code)</w:t>
            </w:r>
          </w:p>
        </w:tc>
      </w:tr>
    </w:tbl>
    <w:p>
      <w:pPr>
        <w:spacing w:after="0" w:line="26" w:lineRule="exact"/>
        <w:rPr>
          <w:sz w:val="24"/>
          <w:szCs w:val="24"/>
          <w:color w:val="auto"/>
        </w:rPr>
      </w:pPr>
    </w:p>
    <w:p>
      <w:pPr>
        <w:ind w:left="3180"/>
        <w:spacing w:after="0"/>
        <w:rPr>
          <w:sz w:val="20"/>
          <w:szCs w:val="20"/>
          <w:color w:val="auto"/>
        </w:rPr>
      </w:pPr>
      <w:r>
        <w:rPr>
          <w:rFonts w:ascii="Arial" w:cs="Arial" w:eastAsia="Arial" w:hAnsi="Arial"/>
          <w:sz w:val="15"/>
          <w:szCs w:val="15"/>
          <w:b w:val="1"/>
          <w:bCs w:val="1"/>
          <w:color w:val="auto"/>
        </w:rPr>
        <w:t>Registrant’s telephone number, including area code: (703) 988-8500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3293745</wp:posOffset>
            </wp:positionH>
            <wp:positionV relativeFrom="paragraph">
              <wp:posOffset>69850</wp:posOffset>
            </wp:positionV>
            <wp:extent cx="5556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5625" cy="8255"/>
                    </a:xfrm>
                    <a:prstGeom prst="rect">
                      <a:avLst/>
                    </a:prstGeom>
                    <a:noFill/>
                  </pic:spPr>
                </pic:pic>
              </a:graphicData>
            </a:graphic>
          </wp:anchor>
        </w:drawing>
      </w:r>
    </w:p>
    <w:p>
      <w:pPr>
        <w:spacing w:after="0" w:line="153"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5"/>
              </w:rPr>
              <w:t>Trading</w:t>
            </w:r>
          </w:p>
        </w:tc>
        <w:tc>
          <w:tcPr>
            <w:tcW w:w="5060" w:type="dxa"/>
            <w:vAlign w:val="bottom"/>
          </w:tcPr>
          <w:p>
            <w:pPr>
              <w:spacing w:after="0"/>
              <w:rPr>
                <w:sz w:val="12"/>
                <w:szCs w:val="12"/>
                <w:color w:val="auto"/>
              </w:rPr>
            </w:pPr>
          </w:p>
        </w:tc>
      </w:tr>
      <w:tr>
        <w:trPr>
          <w:trHeight w:val="146"/>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Title of each class</w:t>
            </w:r>
          </w:p>
        </w:tc>
        <w:tc>
          <w:tcPr>
            <w:tcW w:w="120" w:type="dxa"/>
            <w:vAlign w:val="bottom"/>
          </w:tcPr>
          <w:p>
            <w:pPr>
              <w:spacing w:after="0"/>
              <w:rPr>
                <w:sz w:val="12"/>
                <w:szCs w:val="12"/>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Symbol(s)</w:t>
            </w:r>
          </w:p>
        </w:tc>
        <w:tc>
          <w:tcPr>
            <w:tcW w:w="100" w:type="dxa"/>
            <w:vAlign w:val="bottom"/>
          </w:tcPr>
          <w:p>
            <w:pPr>
              <w:spacing w:after="0"/>
              <w:rPr>
                <w:sz w:val="12"/>
                <w:szCs w:val="12"/>
                <w:color w:val="auto"/>
              </w:rPr>
            </w:pPr>
          </w:p>
        </w:tc>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Name of each exchange on which registered</w:t>
            </w:r>
          </w:p>
        </w:tc>
      </w:tr>
      <w:tr>
        <w:trPr>
          <w:trHeight w:val="159"/>
        </w:trPr>
        <w:tc>
          <w:tcPr>
            <w:tcW w:w="440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96"/>
              </w:rPr>
              <w:t>Common Stock, $1 par value</w:t>
            </w:r>
          </w:p>
        </w:tc>
        <w:tc>
          <w:tcPr>
            <w:tcW w:w="178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97"/>
              </w:rPr>
              <w:t>PSN</w:t>
            </w:r>
          </w:p>
        </w:tc>
        <w:tc>
          <w:tcPr>
            <w:tcW w:w="5060" w:type="dxa"/>
            <w:vAlign w:val="bottom"/>
          </w:tcPr>
          <w:p>
            <w:pPr>
              <w:jc w:val="center"/>
              <w:spacing w:after="0" w:line="159" w:lineRule="exact"/>
              <w:rPr>
                <w:sz w:val="20"/>
                <w:szCs w:val="20"/>
                <w:color w:val="auto"/>
              </w:rPr>
            </w:pPr>
            <w:r>
              <w:rPr>
                <w:rFonts w:ascii="Arial" w:cs="Arial" w:eastAsia="Arial" w:hAnsi="Arial"/>
                <w:sz w:val="14"/>
                <w:szCs w:val="14"/>
                <w:color w:val="auto"/>
                <w:w w:val="96"/>
              </w:rPr>
              <w:t>New York Stock Exchange</w:t>
            </w:r>
          </w:p>
        </w:tc>
      </w:tr>
      <w:tr>
        <w:trPr>
          <w:trHeight w:val="188"/>
        </w:trPr>
        <w:tc>
          <w:tcPr>
            <w:tcW w:w="4400" w:type="dxa"/>
            <w:vAlign w:val="bottom"/>
            <w:gridSpan w:val="2"/>
          </w:tcPr>
          <w:p>
            <w:pPr>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60" w:type="dxa"/>
            <w:vAlign w:val="bottom"/>
          </w:tcPr>
          <w:p>
            <w:pPr>
              <w:spacing w:after="0"/>
              <w:rPr>
                <w:sz w:val="16"/>
                <w:szCs w:val="16"/>
                <w:color w:val="auto"/>
              </w:rPr>
            </w:pPr>
          </w:p>
        </w:tc>
      </w:tr>
    </w:tbl>
    <w:p>
      <w:pPr>
        <w:spacing w:after="0" w:line="5" w:lineRule="exact"/>
        <w:rPr>
          <w:sz w:val="24"/>
          <w:szCs w:val="24"/>
          <w:color w:val="auto"/>
        </w:rPr>
      </w:pPr>
    </w:p>
    <w:p>
      <w:pPr>
        <w:ind w:right="3900"/>
        <w:spacing w:after="0" w:line="195"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5" w:lineRule="exact"/>
        <w:rPr>
          <w:sz w:val="24"/>
          <w:szCs w:val="24"/>
          <w:color w:val="auto"/>
        </w:rPr>
      </w:pPr>
    </w:p>
    <w:p>
      <w:pPr>
        <w:ind w:right="220"/>
        <w:spacing w:after="0" w:line="15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4" w:lineRule="exact"/>
        <w:rPr>
          <w:sz w:val="24"/>
          <w:szCs w:val="24"/>
          <w:color w:val="auto"/>
        </w:rPr>
      </w:pPr>
    </w:p>
    <w:p>
      <w:pPr>
        <w:ind w:right="20"/>
        <w:spacing w:after="0" w:line="153"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4" w:lineRule="exact"/>
        <w:rPr>
          <w:sz w:val="24"/>
          <w:szCs w:val="24"/>
          <w:color w:val="auto"/>
        </w:rPr>
      </w:pPr>
    </w:p>
    <w:p>
      <w:pPr>
        <w:ind w:right="60"/>
        <w:spacing w:after="0" w:line="23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600" w:type="dxa"/>
            <w:vAlign w:val="bottom"/>
          </w:tcPr>
          <w:p>
            <w:pPr>
              <w:ind w:left="480"/>
              <w:spacing w:after="0" w:line="131" w:lineRule="exact"/>
              <w:rPr>
                <w:sz w:val="20"/>
                <w:szCs w:val="20"/>
                <w:color w:val="auto"/>
              </w:rPr>
            </w:pPr>
            <w:r>
              <w:rPr>
                <w:rFonts w:ascii="MS PGothic" w:cs="MS PGothic" w:eastAsia="MS PGothic" w:hAnsi="MS PGothic"/>
                <w:sz w:val="13"/>
                <w:szCs w:val="13"/>
                <w:color w:val="auto"/>
              </w:rPr>
              <w:t>☒</w:t>
            </w:r>
          </w:p>
        </w:tc>
        <w:tc>
          <w:tcPr>
            <w:tcW w:w="5020" w:type="dxa"/>
            <w:vAlign w:val="bottom"/>
          </w:tcPr>
          <w:p>
            <w:pPr>
              <w:ind w:left="3020"/>
              <w:spacing w:after="0"/>
              <w:rPr>
                <w:sz w:val="20"/>
                <w:szCs w:val="20"/>
                <w:color w:val="auto"/>
              </w:rPr>
            </w:pPr>
            <w:r>
              <w:rPr>
                <w:rFonts w:ascii="Arial" w:cs="Arial" w:eastAsia="Arial" w:hAnsi="Arial"/>
                <w:sz w:val="13"/>
                <w:szCs w:val="13"/>
                <w:color w:val="auto"/>
              </w:rPr>
              <w:t>Accelerated filer</w:t>
            </w:r>
          </w:p>
        </w:tc>
        <w:tc>
          <w:tcPr>
            <w:tcW w:w="600" w:type="dxa"/>
            <w:vAlign w:val="bottom"/>
          </w:tcPr>
          <w:p>
            <w:pPr>
              <w:ind w:left="4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39"/>
        </w:trPr>
        <w:tc>
          <w:tcPr>
            <w:tcW w:w="2000" w:type="dxa"/>
            <w:vAlign w:val="bottom"/>
          </w:tcPr>
          <w:p>
            <w:pPr>
              <w:spacing w:after="0" w:line="139" w:lineRule="exact"/>
              <w:rPr>
                <w:sz w:val="20"/>
                <w:szCs w:val="20"/>
                <w:color w:val="auto"/>
              </w:rPr>
            </w:pPr>
            <w:r>
              <w:rPr>
                <w:rFonts w:ascii="Arial" w:cs="Arial" w:eastAsia="Arial" w:hAnsi="Arial"/>
                <w:sz w:val="13"/>
                <w:szCs w:val="13"/>
                <w:color w:val="auto"/>
              </w:rPr>
              <w:t>Non-accelerated filer</w:t>
            </w:r>
          </w:p>
        </w:tc>
        <w:tc>
          <w:tcPr>
            <w:tcW w:w="3600" w:type="dxa"/>
            <w:vAlign w:val="bottom"/>
          </w:tcPr>
          <w:p>
            <w:pPr>
              <w:ind w:left="480"/>
              <w:spacing w:after="0" w:line="131" w:lineRule="exact"/>
              <w:rPr>
                <w:sz w:val="20"/>
                <w:szCs w:val="20"/>
                <w:color w:val="auto"/>
              </w:rPr>
            </w:pPr>
            <w:r>
              <w:rPr>
                <w:rFonts w:ascii="MS PGothic" w:cs="MS PGothic" w:eastAsia="MS PGothic" w:hAnsi="MS PGothic"/>
                <w:sz w:val="13"/>
                <w:szCs w:val="13"/>
                <w:color w:val="auto"/>
              </w:rPr>
              <w:t>☐</w:t>
            </w:r>
          </w:p>
        </w:tc>
        <w:tc>
          <w:tcPr>
            <w:tcW w:w="5020" w:type="dxa"/>
            <w:vAlign w:val="bottom"/>
          </w:tcPr>
          <w:p>
            <w:pPr>
              <w:ind w:left="3020"/>
              <w:spacing w:after="0" w:line="139" w:lineRule="exact"/>
              <w:rPr>
                <w:sz w:val="20"/>
                <w:szCs w:val="20"/>
                <w:color w:val="auto"/>
              </w:rPr>
            </w:pPr>
            <w:r>
              <w:rPr>
                <w:rFonts w:ascii="Arial" w:cs="Arial" w:eastAsia="Arial" w:hAnsi="Arial"/>
                <w:sz w:val="13"/>
                <w:szCs w:val="13"/>
                <w:color w:val="auto"/>
              </w:rPr>
              <w:t>Smaller reporting company</w:t>
            </w:r>
          </w:p>
        </w:tc>
        <w:tc>
          <w:tcPr>
            <w:tcW w:w="600" w:type="dxa"/>
            <w:vAlign w:val="bottom"/>
          </w:tcPr>
          <w:p>
            <w:pPr>
              <w:ind w:left="4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0"/>
        </w:trPr>
        <w:tc>
          <w:tcPr>
            <w:tcW w:w="200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600" w:type="dxa"/>
            <w:vAlign w:val="bottom"/>
          </w:tcPr>
          <w:p>
            <w:pPr>
              <w:ind w:left="480"/>
              <w:spacing w:after="0" w:line="131" w:lineRule="exact"/>
              <w:rPr>
                <w:sz w:val="20"/>
                <w:szCs w:val="20"/>
                <w:color w:val="auto"/>
              </w:rPr>
            </w:pPr>
            <w:r>
              <w:rPr>
                <w:rFonts w:ascii="MS PGothic" w:cs="MS PGothic" w:eastAsia="MS PGothic" w:hAnsi="MS PGothic"/>
                <w:sz w:val="13"/>
                <w:szCs w:val="13"/>
                <w:color w:val="auto"/>
              </w:rPr>
              <w:t>☐</w:t>
            </w:r>
          </w:p>
        </w:tc>
        <w:tc>
          <w:tcPr>
            <w:tcW w:w="5020" w:type="dxa"/>
            <w:vAlign w:val="bottom"/>
          </w:tcPr>
          <w:p>
            <w:pPr>
              <w:spacing w:after="0"/>
              <w:rPr>
                <w:sz w:val="17"/>
                <w:szCs w:val="17"/>
                <w:color w:val="auto"/>
              </w:rPr>
            </w:pPr>
          </w:p>
        </w:tc>
        <w:tc>
          <w:tcPr>
            <w:tcW w:w="600" w:type="dxa"/>
            <w:vAlign w:val="bottom"/>
          </w:tcPr>
          <w:p>
            <w:pPr>
              <w:spacing w:after="0"/>
              <w:rPr>
                <w:sz w:val="17"/>
                <w:szCs w:val="17"/>
                <w:color w:val="auto"/>
              </w:rPr>
            </w:pPr>
          </w:p>
        </w:tc>
      </w:tr>
    </w:tbl>
    <w:p>
      <w:pPr>
        <w:spacing w:after="0" w:line="79" w:lineRule="exact"/>
        <w:rPr>
          <w:sz w:val="24"/>
          <w:szCs w:val="24"/>
          <w:color w:val="auto"/>
        </w:rPr>
      </w:pPr>
    </w:p>
    <w:p>
      <w:pPr>
        <w:ind w:right="360"/>
        <w:spacing w:after="0" w:line="153"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4" w:lineRule="exact"/>
        <w:rPr>
          <w:sz w:val="24"/>
          <w:szCs w:val="24"/>
          <w:color w:val="auto"/>
        </w:rPr>
      </w:pPr>
    </w:p>
    <w:p>
      <w:pPr>
        <w:ind w:right="340"/>
        <w:spacing w:after="0" w:line="153"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4" w:lineRule="exact"/>
        <w:rPr>
          <w:sz w:val="24"/>
          <w:szCs w:val="24"/>
          <w:color w:val="auto"/>
        </w:rPr>
      </w:pPr>
    </w:p>
    <w:p>
      <w:pPr>
        <w:ind w:right="340"/>
        <w:spacing w:after="0" w:line="234"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based on the closing price of the shares of common stock on The New York Stock Exchange on June 30, 2021, was $4.0 billion.</w:t>
      </w:r>
    </w:p>
    <w:p>
      <w:pPr>
        <w:spacing w:after="0" w:line="38"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Registrant’s Common Stock outstanding as of February 12, 2022 was 103,666,798.</w:t>
      </w:r>
    </w:p>
    <w:p>
      <w:pPr>
        <w:spacing w:after="0" w:line="41" w:lineRule="exact"/>
        <w:rPr>
          <w:sz w:val="24"/>
          <w:szCs w:val="24"/>
          <w:color w:val="auto"/>
        </w:rPr>
      </w:pPr>
    </w:p>
    <w:p>
      <w:pPr>
        <w:ind w:left="4180"/>
        <w:spacing w:after="0"/>
        <w:rPr>
          <w:sz w:val="20"/>
          <w:szCs w:val="20"/>
          <w:color w:val="auto"/>
        </w:rPr>
      </w:pPr>
      <w:r>
        <w:rPr>
          <w:rFonts w:ascii="Arial" w:cs="Arial" w:eastAsia="Arial" w:hAnsi="Arial"/>
          <w:sz w:val="13"/>
          <w:szCs w:val="13"/>
          <w:color w:val="auto"/>
        </w:rPr>
        <w:t>DOCUMENTS INCORPORATED BY REFERENCE</w:t>
      </w:r>
    </w:p>
    <w:p>
      <w:pPr>
        <w:spacing w:after="0" w:line="41" w:lineRule="exact"/>
        <w:rPr>
          <w:sz w:val="24"/>
          <w:szCs w:val="24"/>
          <w:color w:val="auto"/>
        </w:rPr>
      </w:pPr>
    </w:p>
    <w:p>
      <w:pPr>
        <w:spacing w:after="0"/>
        <w:rPr>
          <w:sz w:val="20"/>
          <w:szCs w:val="20"/>
          <w:color w:val="auto"/>
        </w:rPr>
      </w:pPr>
      <w:r>
        <w:rPr>
          <w:rFonts w:ascii="Arial" w:cs="Arial" w:eastAsia="Arial" w:hAnsi="Arial"/>
          <w:sz w:val="13"/>
          <w:szCs w:val="13"/>
          <w:color w:val="auto"/>
        </w:rPr>
        <w:t>Portions of Parsons’ 2022 Proxy Statement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40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42545</wp:posOffset>
            </wp:positionV>
            <wp:extent cx="71405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496570</wp:posOffset>
            </wp:positionV>
            <wp:extent cx="716597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20" w:type="dxa"/>
            <w:vAlign w:val="bottom"/>
            <w:gridSpan w:val="10"/>
          </w:tcPr>
          <w:p>
            <w:pPr>
              <w:ind w:left="280"/>
              <w:spacing w:after="0"/>
              <w:rPr>
                <w:sz w:val="20"/>
                <w:szCs w:val="20"/>
                <w:color w:val="auto"/>
              </w:rPr>
            </w:pPr>
            <w:r>
              <w:rPr>
                <w:rFonts w:ascii="Arial" w:cs="Arial" w:eastAsia="Arial" w:hAnsi="Arial"/>
                <w:sz w:val="17"/>
                <w:szCs w:val="17"/>
                <w:b w:val="1"/>
                <w:bCs w:val="1"/>
                <w:color w:val="auto"/>
              </w:rPr>
              <w:t>Table of Contents</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1"/>
        </w:trPr>
        <w:tc>
          <w:tcPr>
            <w:tcW w:w="1140" w:type="dxa"/>
            <w:vAlign w:val="bottom"/>
            <w:vMerge w:val="restart"/>
          </w:tcPr>
          <w:p>
            <w:pPr>
              <w:spacing w:after="0"/>
              <w:rPr>
                <w:sz w:val="20"/>
                <w:szCs w:val="20"/>
                <w:color w:val="auto"/>
              </w:rPr>
            </w:pPr>
            <w:r>
              <w:rPr>
                <w:rFonts w:ascii="Arial" w:cs="Arial" w:eastAsia="Arial" w:hAnsi="Arial"/>
                <w:sz w:val="17"/>
                <w:szCs w:val="17"/>
                <w:b w:val="1"/>
                <w:bCs w:val="1"/>
                <w:color w:val="auto"/>
              </w:rPr>
              <w:t>PART I</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7"/>
        </w:trPr>
        <w:tc>
          <w:tcPr>
            <w:tcW w:w="114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140" w:type="dxa"/>
            <w:vAlign w:val="bottom"/>
          </w:tcPr>
          <w:p>
            <w:pPr>
              <w:ind w:left="120"/>
              <w:spacing w:after="0" w:line="166" w:lineRule="exact"/>
              <w:rPr>
                <w:sz w:val="20"/>
                <w:szCs w:val="20"/>
                <w:color w:val="auto"/>
              </w:rPr>
            </w:pPr>
            <w:r>
              <w:rPr>
                <w:rFonts w:ascii="Arial" w:cs="Arial" w:eastAsia="Arial" w:hAnsi="Arial"/>
                <w:sz w:val="17"/>
                <w:szCs w:val="17"/>
                <w:color w:val="auto"/>
              </w:rPr>
              <w:t>Item 1.</w:t>
            </w:r>
          </w:p>
        </w:tc>
        <w:tc>
          <w:tcPr>
            <w:tcW w:w="9320" w:type="dxa"/>
            <w:vAlign w:val="bottom"/>
            <w:gridSpan w:val="25"/>
          </w:tcPr>
          <w:p>
            <w:pPr>
              <w:spacing w:after="0" w:line="166" w:lineRule="exact"/>
              <w:rPr>
                <w:rFonts w:ascii="Arial" w:cs="Arial" w:eastAsia="Arial" w:hAnsi="Arial"/>
                <w:sz w:val="17"/>
                <w:szCs w:val="17"/>
                <w:color w:val="0000EE"/>
              </w:rPr>
            </w:pPr>
            <w:hyperlink w:anchor="page5">
              <w:r>
                <w:rPr>
                  <w:rFonts w:ascii="Arial" w:cs="Arial" w:eastAsia="Arial" w:hAnsi="Arial"/>
                  <w:sz w:val="17"/>
                  <w:szCs w:val="17"/>
                  <w:color w:val="0000EE"/>
                </w:rPr>
                <w:t>Business</w:t>
              </w:r>
            </w:hyperlink>
          </w:p>
        </w:tc>
        <w:tc>
          <w:tcPr>
            <w:tcW w:w="780" w:type="dxa"/>
            <w:vAlign w:val="bottom"/>
          </w:tcPr>
          <w:p>
            <w:pPr>
              <w:jc w:val="right"/>
              <w:spacing w:after="0" w:line="166"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ind w:left="120"/>
              <w:spacing w:after="0" w:line="183" w:lineRule="exact"/>
              <w:rPr>
                <w:sz w:val="20"/>
                <w:szCs w:val="20"/>
                <w:color w:val="auto"/>
              </w:rPr>
            </w:pPr>
            <w:r>
              <w:rPr>
                <w:rFonts w:ascii="Arial" w:cs="Arial" w:eastAsia="Arial" w:hAnsi="Arial"/>
                <w:sz w:val="17"/>
                <w:szCs w:val="17"/>
                <w:color w:val="auto"/>
              </w:rPr>
              <w:t>Item 1A.</w:t>
            </w:r>
          </w:p>
        </w:tc>
        <w:tc>
          <w:tcPr>
            <w:tcW w:w="9320" w:type="dxa"/>
            <w:vAlign w:val="bottom"/>
            <w:gridSpan w:val="25"/>
          </w:tcPr>
          <w:p>
            <w:pPr>
              <w:spacing w:after="0" w:line="183" w:lineRule="exact"/>
              <w:rPr>
                <w:rFonts w:ascii="Arial" w:cs="Arial" w:eastAsia="Arial" w:hAnsi="Arial"/>
                <w:sz w:val="17"/>
                <w:szCs w:val="17"/>
                <w:color w:val="0000EE"/>
              </w:rPr>
            </w:pPr>
            <w:hyperlink w:anchor="page25">
              <w:r>
                <w:rPr>
                  <w:rFonts w:ascii="Arial" w:cs="Arial" w:eastAsia="Arial" w:hAnsi="Arial"/>
                  <w:sz w:val="17"/>
                  <w:szCs w:val="17"/>
                  <w:color w:val="0000EE"/>
                </w:rPr>
                <w:t>Risk Factors</w:t>
              </w:r>
            </w:hyperlink>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ind w:left="120"/>
              <w:spacing w:after="0" w:line="183" w:lineRule="exact"/>
              <w:rPr>
                <w:sz w:val="20"/>
                <w:szCs w:val="20"/>
                <w:color w:val="auto"/>
              </w:rPr>
            </w:pPr>
            <w:r>
              <w:rPr>
                <w:rFonts w:ascii="Arial" w:cs="Arial" w:eastAsia="Arial" w:hAnsi="Arial"/>
                <w:sz w:val="17"/>
                <w:szCs w:val="17"/>
                <w:color w:val="auto"/>
              </w:rPr>
              <w:t>Item 1B.</w:t>
            </w:r>
          </w:p>
        </w:tc>
        <w:tc>
          <w:tcPr>
            <w:tcW w:w="2120" w:type="dxa"/>
            <w:vAlign w:val="bottom"/>
            <w:tcBorders>
              <w:bottom w:val="single" w:sz="8" w:color="0000EE"/>
            </w:tcBorders>
            <w:gridSpan w:val="12"/>
          </w:tcPr>
          <w:p>
            <w:pPr>
              <w:spacing w:after="0" w:line="183" w:lineRule="exact"/>
              <w:rPr>
                <w:rFonts w:ascii="Arial" w:cs="Arial" w:eastAsia="Arial" w:hAnsi="Arial"/>
                <w:sz w:val="17"/>
                <w:szCs w:val="17"/>
                <w:color w:val="0000EE"/>
                <w:w w:val="98"/>
              </w:rPr>
            </w:pPr>
            <w:hyperlink w:anchor="page54">
              <w:r>
                <w:rPr>
                  <w:rFonts w:ascii="Arial" w:cs="Arial" w:eastAsia="Arial" w:hAnsi="Arial"/>
                  <w:sz w:val="17"/>
                  <w:szCs w:val="17"/>
                  <w:color w:val="0000EE"/>
                  <w:w w:val="98"/>
                </w:rPr>
                <w:t>Unresolved Staff Comments</w:t>
              </w:r>
            </w:hyperlink>
          </w:p>
        </w:tc>
        <w:tc>
          <w:tcPr>
            <w:tcW w:w="7200" w:type="dxa"/>
            <w:vAlign w:val="bottom"/>
            <w:gridSpan w:val="13"/>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3" w:lineRule="exact"/>
              <w:rPr>
                <w:sz w:val="20"/>
                <w:szCs w:val="20"/>
                <w:color w:val="auto"/>
              </w:rPr>
            </w:pPr>
            <w:r>
              <w:rPr>
                <w:rFonts w:ascii="Arial" w:cs="Arial" w:eastAsia="Arial" w:hAnsi="Arial"/>
                <w:sz w:val="17"/>
                <w:szCs w:val="17"/>
                <w:color w:val="auto"/>
              </w:rPr>
              <w:t>Item 2.</w:t>
            </w:r>
          </w:p>
        </w:tc>
        <w:tc>
          <w:tcPr>
            <w:tcW w:w="780" w:type="dxa"/>
            <w:vAlign w:val="bottom"/>
            <w:tcBorders>
              <w:bottom w:val="single" w:sz="8" w:color="0000EE"/>
            </w:tcBorders>
            <w:gridSpan w:val="2"/>
          </w:tcPr>
          <w:p>
            <w:pPr>
              <w:spacing w:after="0" w:line="183" w:lineRule="exact"/>
              <w:rPr>
                <w:rFonts w:ascii="Arial" w:cs="Arial" w:eastAsia="Arial" w:hAnsi="Arial"/>
                <w:sz w:val="17"/>
                <w:szCs w:val="17"/>
                <w:color w:val="0000EE"/>
                <w:w w:val="98"/>
              </w:rPr>
            </w:pPr>
            <w:hyperlink w:anchor="page54">
              <w:r>
                <w:rPr>
                  <w:rFonts w:ascii="Arial" w:cs="Arial" w:eastAsia="Arial" w:hAnsi="Arial"/>
                  <w:sz w:val="17"/>
                  <w:szCs w:val="17"/>
                  <w:color w:val="0000EE"/>
                  <w:w w:val="98"/>
                </w:rPr>
                <w:t>Properties</w:t>
              </w:r>
            </w:hyperlink>
          </w:p>
        </w:tc>
        <w:tc>
          <w:tcPr>
            <w:tcW w:w="8540" w:type="dxa"/>
            <w:vAlign w:val="bottom"/>
            <w:gridSpan w:val="23"/>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3" w:lineRule="exact"/>
              <w:rPr>
                <w:sz w:val="20"/>
                <w:szCs w:val="20"/>
                <w:color w:val="auto"/>
              </w:rPr>
            </w:pPr>
            <w:r>
              <w:rPr>
                <w:rFonts w:ascii="Arial" w:cs="Arial" w:eastAsia="Arial" w:hAnsi="Arial"/>
                <w:sz w:val="17"/>
                <w:szCs w:val="17"/>
                <w:color w:val="auto"/>
              </w:rPr>
              <w:t>Item 3.</w:t>
            </w:r>
          </w:p>
        </w:tc>
        <w:tc>
          <w:tcPr>
            <w:tcW w:w="9320" w:type="dxa"/>
            <w:vAlign w:val="bottom"/>
            <w:gridSpan w:val="25"/>
          </w:tcPr>
          <w:p>
            <w:pPr>
              <w:spacing w:after="0" w:line="183" w:lineRule="exact"/>
              <w:rPr>
                <w:rFonts w:ascii="Arial" w:cs="Arial" w:eastAsia="Arial" w:hAnsi="Arial"/>
                <w:sz w:val="17"/>
                <w:szCs w:val="17"/>
                <w:color w:val="0000EE"/>
              </w:rPr>
            </w:pPr>
            <w:hyperlink w:anchor="page54">
              <w:r>
                <w:rPr>
                  <w:rFonts w:ascii="Arial" w:cs="Arial" w:eastAsia="Arial" w:hAnsi="Arial"/>
                  <w:sz w:val="17"/>
                  <w:szCs w:val="17"/>
                  <w:color w:val="0000EE"/>
                </w:rPr>
                <w:t>Legal Proceedings</w:t>
              </w:r>
            </w:hyperlink>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ind w:left="120"/>
              <w:spacing w:after="0" w:line="183" w:lineRule="exact"/>
              <w:rPr>
                <w:sz w:val="20"/>
                <w:szCs w:val="20"/>
                <w:color w:val="auto"/>
              </w:rPr>
            </w:pPr>
            <w:r>
              <w:rPr>
                <w:rFonts w:ascii="Arial" w:cs="Arial" w:eastAsia="Arial" w:hAnsi="Arial"/>
                <w:sz w:val="17"/>
                <w:szCs w:val="17"/>
                <w:color w:val="auto"/>
              </w:rPr>
              <w:t>Item 4.</w:t>
            </w:r>
          </w:p>
        </w:tc>
        <w:tc>
          <w:tcPr>
            <w:tcW w:w="9320" w:type="dxa"/>
            <w:vAlign w:val="bottom"/>
            <w:gridSpan w:val="25"/>
          </w:tcPr>
          <w:p>
            <w:pPr>
              <w:spacing w:after="0" w:line="183" w:lineRule="exact"/>
              <w:rPr>
                <w:rFonts w:ascii="Arial" w:cs="Arial" w:eastAsia="Arial" w:hAnsi="Arial"/>
                <w:sz w:val="17"/>
                <w:szCs w:val="17"/>
                <w:color w:val="0000EE"/>
              </w:rPr>
            </w:pPr>
            <w:hyperlink w:anchor="page55">
              <w:r>
                <w:rPr>
                  <w:rFonts w:ascii="Arial" w:cs="Arial" w:eastAsia="Arial" w:hAnsi="Arial"/>
                  <w:sz w:val="17"/>
                  <w:szCs w:val="17"/>
                  <w:color w:val="0000EE"/>
                </w:rPr>
                <w:t>Mine Safety Disclosures</w:t>
              </w:r>
            </w:hyperlink>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423"/>
        </w:trPr>
        <w:tc>
          <w:tcPr>
            <w:tcW w:w="1140" w:type="dxa"/>
            <w:vAlign w:val="bottom"/>
          </w:tcPr>
          <w:p>
            <w:pPr>
              <w:spacing w:after="0"/>
              <w:rPr>
                <w:sz w:val="20"/>
                <w:szCs w:val="20"/>
                <w:color w:val="auto"/>
              </w:rPr>
            </w:pPr>
            <w:r>
              <w:rPr>
                <w:rFonts w:ascii="Arial" w:cs="Arial" w:eastAsia="Arial" w:hAnsi="Arial"/>
                <w:sz w:val="17"/>
                <w:szCs w:val="17"/>
                <w:b w:val="1"/>
                <w:bCs w:val="1"/>
                <w:color w:val="auto"/>
              </w:rPr>
              <w:t>PART II</w:t>
            </w:r>
          </w:p>
        </w:tc>
        <w:tc>
          <w:tcPr>
            <w:tcW w:w="6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140" w:type="dxa"/>
            <w:vAlign w:val="bottom"/>
          </w:tcPr>
          <w:p>
            <w:pPr>
              <w:ind w:left="120"/>
              <w:spacing w:after="0"/>
              <w:rPr>
                <w:sz w:val="20"/>
                <w:szCs w:val="20"/>
                <w:color w:val="auto"/>
              </w:rPr>
            </w:pPr>
            <w:r>
              <w:rPr>
                <w:rFonts w:ascii="Arial" w:cs="Arial" w:eastAsia="Arial" w:hAnsi="Arial"/>
                <w:sz w:val="17"/>
                <w:szCs w:val="17"/>
                <w:color w:val="auto"/>
              </w:rPr>
              <w:t>Item 5.</w:t>
            </w:r>
          </w:p>
        </w:tc>
        <w:tc>
          <w:tcPr>
            <w:tcW w:w="8340" w:type="dxa"/>
            <w:vAlign w:val="bottom"/>
            <w:tcBorders>
              <w:bottom w:val="single" w:sz="8" w:color="0000EE"/>
            </w:tcBorders>
            <w:gridSpan w:val="24"/>
          </w:tcPr>
          <w:p>
            <w:pPr>
              <w:spacing w:after="0"/>
              <w:rPr>
                <w:rFonts w:ascii="Arial" w:cs="Arial" w:eastAsia="Arial" w:hAnsi="Arial"/>
                <w:sz w:val="17"/>
                <w:szCs w:val="17"/>
                <w:color w:val="0000EE"/>
                <w:w w:val="99"/>
              </w:rPr>
            </w:pPr>
            <w:hyperlink w:anchor="page56">
              <w:r>
                <w:rPr>
                  <w:rFonts w:ascii="Arial" w:cs="Arial" w:eastAsia="Arial" w:hAnsi="Arial"/>
                  <w:sz w:val="17"/>
                  <w:szCs w:val="17"/>
                  <w:color w:val="0000EE"/>
                  <w:w w:val="99"/>
                </w:rPr>
                <w:t>Market for Registrant’s Common Equity, Related Stockholder Matters and Issuer Purchases of Equity Securities</w:t>
              </w:r>
            </w:hyperlink>
          </w:p>
        </w:tc>
        <w:tc>
          <w:tcPr>
            <w:tcW w:w="9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3" w:lineRule="exact"/>
              <w:rPr>
                <w:sz w:val="20"/>
                <w:szCs w:val="20"/>
                <w:color w:val="auto"/>
              </w:rPr>
            </w:pPr>
            <w:r>
              <w:rPr>
                <w:rFonts w:ascii="Arial" w:cs="Arial" w:eastAsia="Arial" w:hAnsi="Arial"/>
                <w:sz w:val="17"/>
                <w:szCs w:val="17"/>
                <w:color w:val="auto"/>
              </w:rPr>
              <w:t>Item 6.</w:t>
            </w:r>
          </w:p>
        </w:tc>
        <w:tc>
          <w:tcPr>
            <w:tcW w:w="9320" w:type="dxa"/>
            <w:vAlign w:val="bottom"/>
            <w:gridSpan w:val="25"/>
          </w:tcPr>
          <w:p>
            <w:pPr>
              <w:spacing w:after="0" w:line="183" w:lineRule="exact"/>
              <w:rPr>
                <w:rFonts w:ascii="Arial" w:cs="Arial" w:eastAsia="Arial" w:hAnsi="Arial"/>
                <w:sz w:val="17"/>
                <w:szCs w:val="17"/>
                <w:color w:val="0000EE"/>
              </w:rPr>
            </w:pPr>
            <w:hyperlink w:anchor="page58">
              <w:r>
                <w:rPr>
                  <w:rFonts w:ascii="Arial" w:cs="Arial" w:eastAsia="Arial" w:hAnsi="Arial"/>
                  <w:sz w:val="17"/>
                  <w:szCs w:val="17"/>
                  <w:color w:val="0000EE"/>
                </w:rPr>
                <w:t>Selected Financial Data</w:t>
              </w:r>
            </w:hyperlink>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ind w:left="120"/>
              <w:spacing w:after="0" w:line="183" w:lineRule="exact"/>
              <w:rPr>
                <w:sz w:val="20"/>
                <w:szCs w:val="20"/>
                <w:color w:val="auto"/>
              </w:rPr>
            </w:pPr>
            <w:r>
              <w:rPr>
                <w:rFonts w:ascii="Arial" w:cs="Arial" w:eastAsia="Arial" w:hAnsi="Arial"/>
                <w:sz w:val="17"/>
                <w:szCs w:val="17"/>
                <w:color w:val="auto"/>
              </w:rPr>
              <w:t>Item 7.</w:t>
            </w:r>
          </w:p>
        </w:tc>
        <w:tc>
          <w:tcPr>
            <w:tcW w:w="9320" w:type="dxa"/>
            <w:vAlign w:val="bottom"/>
            <w:gridSpan w:val="25"/>
          </w:tcPr>
          <w:p>
            <w:pPr>
              <w:spacing w:after="0" w:line="183" w:lineRule="exact"/>
              <w:rPr>
                <w:rFonts w:ascii="Arial" w:cs="Arial" w:eastAsia="Arial" w:hAnsi="Arial"/>
                <w:sz w:val="17"/>
                <w:szCs w:val="17"/>
                <w:color w:val="0000EE"/>
              </w:rPr>
            </w:pPr>
            <w:hyperlink w:anchor="page59">
              <w:r>
                <w:rPr>
                  <w:rFonts w:ascii="Arial" w:cs="Arial" w:eastAsia="Arial" w:hAnsi="Arial"/>
                  <w:sz w:val="17"/>
                  <w:szCs w:val="17"/>
                  <w:color w:val="0000EE"/>
                </w:rPr>
                <w:t>Management’s Discussion and Analysis of Financial Condition and Results of Operations</w:t>
              </w:r>
            </w:hyperlink>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3" w:lineRule="exact"/>
              <w:rPr>
                <w:sz w:val="20"/>
                <w:szCs w:val="20"/>
                <w:color w:val="auto"/>
              </w:rPr>
            </w:pPr>
            <w:r>
              <w:rPr>
                <w:rFonts w:ascii="Arial" w:cs="Arial" w:eastAsia="Arial" w:hAnsi="Arial"/>
                <w:sz w:val="17"/>
                <w:szCs w:val="17"/>
                <w:color w:val="auto"/>
              </w:rPr>
              <w:t>Item 7A.</w:t>
            </w:r>
          </w:p>
        </w:tc>
        <w:tc>
          <w:tcPr>
            <w:tcW w:w="6640" w:type="dxa"/>
            <w:vAlign w:val="bottom"/>
            <w:tcBorders>
              <w:top w:val="single" w:sz="8" w:color="0000EE"/>
            </w:tcBorders>
            <w:gridSpan w:val="20"/>
          </w:tcPr>
          <w:p>
            <w:pPr>
              <w:spacing w:after="0" w:line="183" w:lineRule="exact"/>
              <w:rPr>
                <w:rFonts w:ascii="Arial" w:cs="Arial" w:eastAsia="Arial" w:hAnsi="Arial"/>
                <w:sz w:val="17"/>
                <w:szCs w:val="17"/>
                <w:color w:val="0000EE"/>
              </w:rPr>
            </w:pPr>
            <w:hyperlink w:anchor="page86">
              <w:r>
                <w:rPr>
                  <w:rFonts w:ascii="Arial" w:cs="Arial" w:eastAsia="Arial" w:hAnsi="Arial"/>
                  <w:sz w:val="17"/>
                  <w:szCs w:val="17"/>
                  <w:color w:val="0000EE"/>
                </w:rPr>
                <w:t>Quantitative and Qualitative Disclosures About Market Risk</w:t>
              </w:r>
            </w:hyperlink>
          </w:p>
        </w:tc>
        <w:tc>
          <w:tcPr>
            <w:tcW w:w="2680" w:type="dxa"/>
            <w:vAlign w:val="bottom"/>
            <w:gridSpan w:val="5"/>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3" w:lineRule="exact"/>
              <w:rPr>
                <w:sz w:val="20"/>
                <w:szCs w:val="20"/>
                <w:color w:val="auto"/>
              </w:rPr>
            </w:pPr>
            <w:r>
              <w:rPr>
                <w:rFonts w:ascii="Arial" w:cs="Arial" w:eastAsia="Arial" w:hAnsi="Arial"/>
                <w:sz w:val="17"/>
                <w:szCs w:val="17"/>
                <w:color w:val="auto"/>
              </w:rPr>
              <w:t>Item 8.</w:t>
            </w:r>
          </w:p>
        </w:tc>
        <w:tc>
          <w:tcPr>
            <w:tcW w:w="3500" w:type="dxa"/>
            <w:vAlign w:val="bottom"/>
            <w:tcBorders>
              <w:top w:val="single" w:sz="8" w:color="0000EE"/>
              <w:bottom w:val="single" w:sz="8" w:color="0000EE"/>
            </w:tcBorders>
            <w:gridSpan w:val="15"/>
          </w:tcPr>
          <w:p>
            <w:pPr>
              <w:spacing w:after="0" w:line="183" w:lineRule="exact"/>
              <w:rPr>
                <w:rFonts w:ascii="Arial" w:cs="Arial" w:eastAsia="Arial" w:hAnsi="Arial"/>
                <w:sz w:val="17"/>
                <w:szCs w:val="17"/>
                <w:color w:val="0000EE"/>
                <w:w w:val="98"/>
              </w:rPr>
            </w:pPr>
            <w:hyperlink w:anchor="page86">
              <w:r>
                <w:rPr>
                  <w:rFonts w:ascii="Arial" w:cs="Arial" w:eastAsia="Arial" w:hAnsi="Arial"/>
                  <w:sz w:val="17"/>
                  <w:szCs w:val="17"/>
                  <w:color w:val="0000EE"/>
                  <w:w w:val="98"/>
                </w:rPr>
                <w:t>Financial Statements and Supplementary Data</w:t>
              </w:r>
            </w:hyperlink>
          </w:p>
        </w:tc>
        <w:tc>
          <w:tcPr>
            <w:tcW w:w="920" w:type="dxa"/>
            <w:vAlign w:val="bottom"/>
            <w:tcBorders>
              <w:top w:val="single" w:sz="8" w:color="0000EE"/>
            </w:tcBorders>
            <w:gridSpan w:val="2"/>
          </w:tcPr>
          <w:p>
            <w:pPr>
              <w:spacing w:after="0"/>
              <w:rPr>
                <w:sz w:val="15"/>
                <w:szCs w:val="15"/>
                <w:color w:val="auto"/>
              </w:rPr>
            </w:pPr>
          </w:p>
        </w:tc>
        <w:tc>
          <w:tcPr>
            <w:tcW w:w="4900" w:type="dxa"/>
            <w:vAlign w:val="bottom"/>
            <w:gridSpan w:val="8"/>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3" w:lineRule="exact"/>
              <w:rPr>
                <w:sz w:val="20"/>
                <w:szCs w:val="20"/>
                <w:color w:val="auto"/>
              </w:rPr>
            </w:pPr>
            <w:r>
              <w:rPr>
                <w:rFonts w:ascii="Arial" w:cs="Arial" w:eastAsia="Arial" w:hAnsi="Arial"/>
                <w:sz w:val="17"/>
                <w:szCs w:val="17"/>
                <w:color w:val="auto"/>
              </w:rPr>
              <w:t>Item 9.</w:t>
            </w:r>
          </w:p>
        </w:tc>
        <w:tc>
          <w:tcPr>
            <w:tcW w:w="6740" w:type="dxa"/>
            <w:vAlign w:val="bottom"/>
            <w:tcBorders>
              <w:bottom w:val="single" w:sz="8" w:color="0000EE"/>
            </w:tcBorders>
            <w:gridSpan w:val="21"/>
          </w:tcPr>
          <w:p>
            <w:pPr>
              <w:spacing w:after="0" w:line="183" w:lineRule="exact"/>
              <w:rPr>
                <w:rFonts w:ascii="Arial" w:cs="Arial" w:eastAsia="Arial" w:hAnsi="Arial"/>
                <w:sz w:val="17"/>
                <w:szCs w:val="17"/>
                <w:color w:val="0000EE"/>
                <w:w w:val="99"/>
              </w:rPr>
            </w:pPr>
            <w:hyperlink w:anchor="page86">
              <w:r>
                <w:rPr>
                  <w:rFonts w:ascii="Arial" w:cs="Arial" w:eastAsia="Arial" w:hAnsi="Arial"/>
                  <w:sz w:val="17"/>
                  <w:szCs w:val="17"/>
                  <w:color w:val="0000EE"/>
                  <w:w w:val="99"/>
                </w:rPr>
                <w:t>Changes in and Disagreements With Accountants on Accounting and Financial Disclosure</w:t>
              </w:r>
            </w:hyperlink>
          </w:p>
        </w:tc>
        <w:tc>
          <w:tcPr>
            <w:tcW w:w="2580" w:type="dxa"/>
            <w:vAlign w:val="bottom"/>
            <w:gridSpan w:val="4"/>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3" w:lineRule="exact"/>
              <w:rPr>
                <w:sz w:val="20"/>
                <w:szCs w:val="20"/>
                <w:color w:val="auto"/>
              </w:rPr>
            </w:pPr>
            <w:r>
              <w:rPr>
                <w:rFonts w:ascii="Arial" w:cs="Arial" w:eastAsia="Arial" w:hAnsi="Arial"/>
                <w:sz w:val="17"/>
                <w:szCs w:val="17"/>
                <w:color w:val="auto"/>
              </w:rPr>
              <w:t>Item 9A.</w:t>
            </w:r>
          </w:p>
        </w:tc>
        <w:tc>
          <w:tcPr>
            <w:tcW w:w="1880" w:type="dxa"/>
            <w:vAlign w:val="bottom"/>
            <w:tcBorders>
              <w:bottom w:val="single" w:sz="8" w:color="0000EE"/>
            </w:tcBorders>
            <w:gridSpan w:val="11"/>
          </w:tcPr>
          <w:p>
            <w:pPr>
              <w:spacing w:after="0" w:line="183" w:lineRule="exact"/>
              <w:rPr>
                <w:rFonts w:ascii="Arial" w:cs="Arial" w:eastAsia="Arial" w:hAnsi="Arial"/>
                <w:sz w:val="17"/>
                <w:szCs w:val="17"/>
                <w:color w:val="0000EE"/>
                <w:w w:val="98"/>
              </w:rPr>
            </w:pPr>
            <w:hyperlink w:anchor="page86">
              <w:r>
                <w:rPr>
                  <w:rFonts w:ascii="Arial" w:cs="Arial" w:eastAsia="Arial" w:hAnsi="Arial"/>
                  <w:sz w:val="17"/>
                  <w:szCs w:val="17"/>
                  <w:color w:val="0000EE"/>
                  <w:w w:val="98"/>
                </w:rPr>
                <w:t>Controls and Procedures</w:t>
              </w:r>
            </w:hyperlink>
          </w:p>
        </w:tc>
        <w:tc>
          <w:tcPr>
            <w:tcW w:w="7440" w:type="dxa"/>
            <w:vAlign w:val="bottom"/>
            <w:gridSpan w:val="14"/>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3" w:lineRule="exact"/>
              <w:rPr>
                <w:sz w:val="20"/>
                <w:szCs w:val="20"/>
                <w:color w:val="auto"/>
              </w:rPr>
            </w:pPr>
            <w:r>
              <w:rPr>
                <w:rFonts w:ascii="Arial" w:cs="Arial" w:eastAsia="Arial" w:hAnsi="Arial"/>
                <w:sz w:val="17"/>
                <w:szCs w:val="17"/>
                <w:color w:val="auto"/>
              </w:rPr>
              <w:t>Item 9B.</w:t>
            </w:r>
          </w:p>
        </w:tc>
        <w:tc>
          <w:tcPr>
            <w:tcW w:w="1320" w:type="dxa"/>
            <w:vAlign w:val="bottom"/>
            <w:tcBorders>
              <w:bottom w:val="single" w:sz="8" w:color="0000EE"/>
            </w:tcBorders>
            <w:gridSpan w:val="6"/>
          </w:tcPr>
          <w:p>
            <w:pPr>
              <w:spacing w:after="0" w:line="183" w:lineRule="exact"/>
              <w:rPr>
                <w:rFonts w:ascii="Arial" w:cs="Arial" w:eastAsia="Arial" w:hAnsi="Arial"/>
                <w:sz w:val="17"/>
                <w:szCs w:val="17"/>
                <w:color w:val="0000EE"/>
                <w:w w:val="98"/>
              </w:rPr>
            </w:pPr>
            <w:hyperlink w:anchor="page87">
              <w:r>
                <w:rPr>
                  <w:rFonts w:ascii="Arial" w:cs="Arial" w:eastAsia="Arial" w:hAnsi="Arial"/>
                  <w:sz w:val="17"/>
                  <w:szCs w:val="17"/>
                  <w:color w:val="0000EE"/>
                  <w:w w:val="98"/>
                </w:rPr>
                <w:t>Other Information</w:t>
              </w:r>
            </w:hyperlink>
          </w:p>
        </w:tc>
        <w:tc>
          <w:tcPr>
            <w:tcW w:w="8000" w:type="dxa"/>
            <w:vAlign w:val="bottom"/>
            <w:gridSpan w:val="19"/>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3" w:lineRule="exact"/>
              <w:rPr>
                <w:sz w:val="20"/>
                <w:szCs w:val="20"/>
                <w:color w:val="auto"/>
              </w:rPr>
            </w:pPr>
            <w:r>
              <w:rPr>
                <w:rFonts w:ascii="Arial" w:cs="Arial" w:eastAsia="Arial" w:hAnsi="Arial"/>
                <w:sz w:val="17"/>
                <w:szCs w:val="17"/>
                <w:color w:val="auto"/>
              </w:rPr>
              <w:t>Item 9C.</w:t>
            </w:r>
          </w:p>
        </w:tc>
        <w:tc>
          <w:tcPr>
            <w:tcW w:w="9320" w:type="dxa"/>
            <w:vAlign w:val="bottom"/>
            <w:gridSpan w:val="25"/>
          </w:tcPr>
          <w:p>
            <w:pPr>
              <w:spacing w:after="0" w:line="183" w:lineRule="exact"/>
              <w:rPr>
                <w:rFonts w:ascii="Arial" w:cs="Arial" w:eastAsia="Arial" w:hAnsi="Arial"/>
                <w:sz w:val="17"/>
                <w:szCs w:val="17"/>
                <w:color w:val="0000EE"/>
              </w:rPr>
            </w:pPr>
            <w:hyperlink w:anchor="page87">
              <w:r>
                <w:rPr>
                  <w:rFonts w:ascii="Arial" w:cs="Arial" w:eastAsia="Arial" w:hAnsi="Arial"/>
                  <w:sz w:val="17"/>
                  <w:szCs w:val="17"/>
                  <w:color w:val="0000EE"/>
                </w:rPr>
                <w:t>Disclosure Regarding Foreign Jurisdictions that Prevent Inspections</w:t>
              </w:r>
            </w:hyperlink>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423"/>
        </w:trPr>
        <w:tc>
          <w:tcPr>
            <w:tcW w:w="1140" w:type="dxa"/>
            <w:vAlign w:val="bottom"/>
          </w:tcPr>
          <w:p>
            <w:pPr>
              <w:spacing w:after="0"/>
              <w:rPr>
                <w:sz w:val="20"/>
                <w:szCs w:val="20"/>
                <w:color w:val="auto"/>
              </w:rPr>
            </w:pPr>
            <w:r>
              <w:rPr>
                <w:rFonts w:ascii="Arial" w:cs="Arial" w:eastAsia="Arial" w:hAnsi="Arial"/>
                <w:sz w:val="17"/>
                <w:szCs w:val="17"/>
                <w:b w:val="1"/>
                <w:bCs w:val="1"/>
                <w:color w:val="auto"/>
              </w:rPr>
              <w:t>PART III</w:t>
            </w:r>
          </w:p>
        </w:tc>
        <w:tc>
          <w:tcPr>
            <w:tcW w:w="6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140" w:type="dxa"/>
            <w:vAlign w:val="bottom"/>
          </w:tcPr>
          <w:p>
            <w:pPr>
              <w:ind w:left="120"/>
              <w:spacing w:after="0"/>
              <w:rPr>
                <w:sz w:val="20"/>
                <w:szCs w:val="20"/>
                <w:color w:val="auto"/>
              </w:rPr>
            </w:pPr>
            <w:r>
              <w:rPr>
                <w:rFonts w:ascii="Arial" w:cs="Arial" w:eastAsia="Arial" w:hAnsi="Arial"/>
                <w:sz w:val="17"/>
                <w:szCs w:val="17"/>
                <w:color w:val="auto"/>
              </w:rPr>
              <w:t>Item 10.</w:t>
            </w:r>
          </w:p>
        </w:tc>
        <w:tc>
          <w:tcPr>
            <w:tcW w:w="9320" w:type="dxa"/>
            <w:vAlign w:val="bottom"/>
            <w:gridSpan w:val="25"/>
          </w:tcPr>
          <w:p>
            <w:pPr>
              <w:spacing w:after="0"/>
              <w:rPr>
                <w:rFonts w:ascii="Arial" w:cs="Arial" w:eastAsia="Arial" w:hAnsi="Arial"/>
                <w:sz w:val="17"/>
                <w:szCs w:val="17"/>
                <w:color w:val="0000EE"/>
              </w:rPr>
            </w:pPr>
            <w:hyperlink w:anchor="page88">
              <w:r>
                <w:rPr>
                  <w:rFonts w:ascii="Arial" w:cs="Arial" w:eastAsia="Arial" w:hAnsi="Arial"/>
                  <w:sz w:val="17"/>
                  <w:szCs w:val="17"/>
                  <w:color w:val="0000EE"/>
                </w:rPr>
                <w:t>Directors, Executive Officers and Corporate Governance</w:t>
              </w:r>
            </w:hyperlink>
          </w:p>
        </w:tc>
        <w:tc>
          <w:tcPr>
            <w:tcW w:w="780" w:type="dxa"/>
            <w:vAlign w:val="bottom"/>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3" w:lineRule="exact"/>
              <w:rPr>
                <w:sz w:val="20"/>
                <w:szCs w:val="20"/>
                <w:color w:val="auto"/>
              </w:rPr>
            </w:pPr>
            <w:r>
              <w:rPr>
                <w:rFonts w:ascii="Arial" w:cs="Arial" w:eastAsia="Arial" w:hAnsi="Arial"/>
                <w:sz w:val="17"/>
                <w:szCs w:val="17"/>
                <w:color w:val="auto"/>
              </w:rPr>
              <w:t>Item 11.</w:t>
            </w:r>
          </w:p>
        </w:tc>
        <w:tc>
          <w:tcPr>
            <w:tcW w:w="1880" w:type="dxa"/>
            <w:vAlign w:val="bottom"/>
            <w:tcBorders>
              <w:top w:val="single" w:sz="8" w:color="0000EE"/>
              <w:bottom w:val="single" w:sz="8" w:color="0000EE"/>
            </w:tcBorders>
            <w:gridSpan w:val="11"/>
          </w:tcPr>
          <w:p>
            <w:pPr>
              <w:spacing w:after="0" w:line="183" w:lineRule="exact"/>
              <w:rPr>
                <w:rFonts w:ascii="Arial" w:cs="Arial" w:eastAsia="Arial" w:hAnsi="Arial"/>
                <w:sz w:val="17"/>
                <w:szCs w:val="17"/>
                <w:color w:val="0000EE"/>
                <w:w w:val="98"/>
              </w:rPr>
            </w:pPr>
            <w:hyperlink w:anchor="page88">
              <w:r>
                <w:rPr>
                  <w:rFonts w:ascii="Arial" w:cs="Arial" w:eastAsia="Arial" w:hAnsi="Arial"/>
                  <w:sz w:val="17"/>
                  <w:szCs w:val="17"/>
                  <w:color w:val="0000EE"/>
                  <w:w w:val="98"/>
                </w:rPr>
                <w:t>Executive Compensation</w:t>
              </w:r>
            </w:hyperlink>
          </w:p>
        </w:tc>
        <w:tc>
          <w:tcPr>
            <w:tcW w:w="2340" w:type="dxa"/>
            <w:vAlign w:val="bottom"/>
            <w:tcBorders>
              <w:top w:val="single" w:sz="8" w:color="0000EE"/>
            </w:tcBorders>
            <w:gridSpan w:val="5"/>
          </w:tcPr>
          <w:p>
            <w:pPr>
              <w:spacing w:after="0"/>
              <w:rPr>
                <w:sz w:val="15"/>
                <w:szCs w:val="15"/>
                <w:color w:val="auto"/>
              </w:rPr>
            </w:pPr>
          </w:p>
        </w:tc>
        <w:tc>
          <w:tcPr>
            <w:tcW w:w="5100" w:type="dxa"/>
            <w:vAlign w:val="bottom"/>
            <w:gridSpan w:val="9"/>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3" w:lineRule="exact"/>
              <w:rPr>
                <w:sz w:val="20"/>
                <w:szCs w:val="20"/>
                <w:color w:val="auto"/>
              </w:rPr>
            </w:pPr>
            <w:r>
              <w:rPr>
                <w:rFonts w:ascii="Arial" w:cs="Arial" w:eastAsia="Arial" w:hAnsi="Arial"/>
                <w:sz w:val="17"/>
                <w:szCs w:val="17"/>
                <w:color w:val="auto"/>
              </w:rPr>
              <w:t>Item 12.</w:t>
            </w:r>
          </w:p>
        </w:tc>
        <w:tc>
          <w:tcPr>
            <w:tcW w:w="9320" w:type="dxa"/>
            <w:vAlign w:val="bottom"/>
            <w:gridSpan w:val="25"/>
          </w:tcPr>
          <w:p>
            <w:pPr>
              <w:spacing w:after="0" w:line="183" w:lineRule="exact"/>
              <w:rPr>
                <w:rFonts w:ascii="Arial" w:cs="Arial" w:eastAsia="Arial" w:hAnsi="Arial"/>
                <w:sz w:val="17"/>
                <w:szCs w:val="17"/>
                <w:color w:val="0000EE"/>
              </w:rPr>
            </w:pPr>
            <w:hyperlink w:anchor="page88">
              <w:r>
                <w:rPr>
                  <w:rFonts w:ascii="Arial" w:cs="Arial" w:eastAsia="Arial" w:hAnsi="Arial"/>
                  <w:sz w:val="17"/>
                  <w:szCs w:val="17"/>
                  <w:color w:val="0000EE"/>
                </w:rPr>
                <w:t>Security Ownership of Certain Beneficial Owners and Management and Related Stockholder Matters</w:t>
              </w:r>
            </w:hyperlink>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3" w:lineRule="exact"/>
              <w:rPr>
                <w:sz w:val="20"/>
                <w:szCs w:val="20"/>
                <w:color w:val="auto"/>
              </w:rPr>
            </w:pPr>
            <w:r>
              <w:rPr>
                <w:rFonts w:ascii="Arial" w:cs="Arial" w:eastAsia="Arial" w:hAnsi="Arial"/>
                <w:sz w:val="17"/>
                <w:szCs w:val="17"/>
                <w:color w:val="auto"/>
              </w:rPr>
              <w:t>Item 13.</w:t>
            </w:r>
          </w:p>
        </w:tc>
        <w:tc>
          <w:tcPr>
            <w:tcW w:w="7520" w:type="dxa"/>
            <w:vAlign w:val="bottom"/>
            <w:tcBorders>
              <w:top w:val="single" w:sz="8" w:color="0000EE"/>
            </w:tcBorders>
            <w:gridSpan w:val="22"/>
          </w:tcPr>
          <w:p>
            <w:pPr>
              <w:spacing w:after="0" w:line="183" w:lineRule="exact"/>
              <w:rPr>
                <w:rFonts w:ascii="Arial" w:cs="Arial" w:eastAsia="Arial" w:hAnsi="Arial"/>
                <w:sz w:val="17"/>
                <w:szCs w:val="17"/>
                <w:color w:val="0000EE"/>
              </w:rPr>
            </w:pPr>
            <w:hyperlink w:anchor="page88">
              <w:r>
                <w:rPr>
                  <w:rFonts w:ascii="Arial" w:cs="Arial" w:eastAsia="Arial" w:hAnsi="Arial"/>
                  <w:sz w:val="17"/>
                  <w:szCs w:val="17"/>
                  <w:color w:val="0000EE"/>
                </w:rPr>
                <w:t>Certain Relationships and Related Transactions, and Director Independence</w:t>
              </w:r>
            </w:hyperlink>
          </w:p>
        </w:tc>
        <w:tc>
          <w:tcPr>
            <w:tcW w:w="1800" w:type="dxa"/>
            <w:vAlign w:val="bottom"/>
            <w:gridSpan w:val="3"/>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3" w:lineRule="exact"/>
              <w:rPr>
                <w:sz w:val="20"/>
                <w:szCs w:val="20"/>
                <w:color w:val="auto"/>
              </w:rPr>
            </w:pPr>
            <w:r>
              <w:rPr>
                <w:rFonts w:ascii="Arial" w:cs="Arial" w:eastAsia="Arial" w:hAnsi="Arial"/>
                <w:sz w:val="17"/>
                <w:szCs w:val="17"/>
                <w:color w:val="auto"/>
              </w:rPr>
              <w:t>Item 14.</w:t>
            </w:r>
          </w:p>
        </w:tc>
        <w:tc>
          <w:tcPr>
            <w:tcW w:w="5700" w:type="dxa"/>
            <w:vAlign w:val="bottom"/>
            <w:tcBorders>
              <w:top w:val="single" w:sz="8" w:color="0000EE"/>
            </w:tcBorders>
            <w:gridSpan w:val="19"/>
          </w:tcPr>
          <w:p>
            <w:pPr>
              <w:spacing w:after="0" w:line="183" w:lineRule="exact"/>
              <w:rPr>
                <w:rFonts w:ascii="Arial" w:cs="Arial" w:eastAsia="Arial" w:hAnsi="Arial"/>
                <w:sz w:val="17"/>
                <w:szCs w:val="17"/>
                <w:color w:val="0000EE"/>
              </w:rPr>
            </w:pPr>
            <w:hyperlink w:anchor="page88">
              <w:r>
                <w:rPr>
                  <w:rFonts w:ascii="Arial" w:cs="Arial" w:eastAsia="Arial" w:hAnsi="Arial"/>
                  <w:sz w:val="17"/>
                  <w:szCs w:val="17"/>
                  <w:color w:val="0000EE"/>
                </w:rPr>
                <w:t>Principal Accounting Fees and Services</w:t>
              </w:r>
            </w:hyperlink>
          </w:p>
        </w:tc>
        <w:tc>
          <w:tcPr>
            <w:tcW w:w="3620" w:type="dxa"/>
            <w:vAlign w:val="bottom"/>
            <w:gridSpan w:val="6"/>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423"/>
        </w:trPr>
        <w:tc>
          <w:tcPr>
            <w:tcW w:w="1140" w:type="dxa"/>
            <w:vAlign w:val="bottom"/>
          </w:tcPr>
          <w:p>
            <w:pPr>
              <w:spacing w:after="0"/>
              <w:rPr>
                <w:sz w:val="20"/>
                <w:szCs w:val="20"/>
                <w:color w:val="auto"/>
              </w:rPr>
            </w:pPr>
            <w:r>
              <w:rPr>
                <w:rFonts w:ascii="Arial" w:cs="Arial" w:eastAsia="Arial" w:hAnsi="Arial"/>
                <w:sz w:val="17"/>
                <w:szCs w:val="17"/>
                <w:b w:val="1"/>
                <w:bCs w:val="1"/>
                <w:color w:val="auto"/>
              </w:rPr>
              <w:t>PART IV</w:t>
            </w:r>
          </w:p>
        </w:tc>
        <w:tc>
          <w:tcPr>
            <w:tcW w:w="6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140" w:type="dxa"/>
            <w:vAlign w:val="bottom"/>
          </w:tcPr>
          <w:p>
            <w:pPr>
              <w:ind w:left="120"/>
              <w:spacing w:after="0"/>
              <w:rPr>
                <w:sz w:val="20"/>
                <w:szCs w:val="20"/>
                <w:color w:val="auto"/>
              </w:rPr>
            </w:pPr>
            <w:r>
              <w:rPr>
                <w:rFonts w:ascii="Arial" w:cs="Arial" w:eastAsia="Arial" w:hAnsi="Arial"/>
                <w:sz w:val="17"/>
                <w:szCs w:val="17"/>
                <w:color w:val="auto"/>
              </w:rPr>
              <w:t>Item 15.</w:t>
            </w:r>
          </w:p>
        </w:tc>
        <w:tc>
          <w:tcPr>
            <w:tcW w:w="3020" w:type="dxa"/>
            <w:vAlign w:val="bottom"/>
            <w:tcBorders>
              <w:bottom w:val="single" w:sz="8" w:color="0000EE"/>
            </w:tcBorders>
            <w:gridSpan w:val="14"/>
          </w:tcPr>
          <w:p>
            <w:pPr>
              <w:spacing w:after="0"/>
              <w:rPr>
                <w:rFonts w:ascii="Arial" w:cs="Arial" w:eastAsia="Arial" w:hAnsi="Arial"/>
                <w:sz w:val="17"/>
                <w:szCs w:val="17"/>
                <w:color w:val="0000EE"/>
                <w:w w:val="98"/>
              </w:rPr>
            </w:pPr>
            <w:hyperlink w:anchor="page89">
              <w:r>
                <w:rPr>
                  <w:rFonts w:ascii="Arial" w:cs="Arial" w:eastAsia="Arial" w:hAnsi="Arial"/>
                  <w:sz w:val="17"/>
                  <w:szCs w:val="17"/>
                  <w:color w:val="0000EE"/>
                  <w:w w:val="98"/>
                </w:rPr>
                <w:t>Exhibits, Financial Statement Schedules</w:t>
              </w:r>
            </w:hyperlink>
          </w:p>
        </w:tc>
        <w:tc>
          <w:tcPr>
            <w:tcW w:w="6300" w:type="dxa"/>
            <w:vAlign w:val="bottom"/>
            <w:gridSpan w:val="11"/>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3" w:lineRule="exact"/>
              <w:rPr>
                <w:sz w:val="20"/>
                <w:szCs w:val="20"/>
                <w:color w:val="auto"/>
              </w:rPr>
            </w:pPr>
            <w:r>
              <w:rPr>
                <w:rFonts w:ascii="Arial" w:cs="Arial" w:eastAsia="Arial" w:hAnsi="Arial"/>
                <w:sz w:val="17"/>
                <w:szCs w:val="17"/>
                <w:color w:val="auto"/>
              </w:rPr>
              <w:t>Item 16</w:t>
            </w:r>
          </w:p>
        </w:tc>
        <w:tc>
          <w:tcPr>
            <w:tcW w:w="1580" w:type="dxa"/>
            <w:vAlign w:val="bottom"/>
            <w:tcBorders>
              <w:bottom w:val="single" w:sz="8" w:color="0000EE"/>
            </w:tcBorders>
            <w:gridSpan w:val="8"/>
          </w:tcPr>
          <w:p>
            <w:pPr>
              <w:spacing w:after="0" w:line="183" w:lineRule="exact"/>
              <w:rPr>
                <w:rFonts w:ascii="Arial" w:cs="Arial" w:eastAsia="Arial" w:hAnsi="Arial"/>
                <w:sz w:val="17"/>
                <w:szCs w:val="17"/>
                <w:color w:val="0000EE"/>
                <w:w w:val="98"/>
              </w:rPr>
            </w:pPr>
            <w:hyperlink w:anchor="page89">
              <w:r>
                <w:rPr>
                  <w:rFonts w:ascii="Arial" w:cs="Arial" w:eastAsia="Arial" w:hAnsi="Arial"/>
                  <w:sz w:val="17"/>
                  <w:szCs w:val="17"/>
                  <w:color w:val="0000EE"/>
                  <w:w w:val="98"/>
                </w:rPr>
                <w:t>Form 10-K Summary</w:t>
              </w:r>
            </w:hyperlink>
          </w:p>
        </w:tc>
        <w:tc>
          <w:tcPr>
            <w:tcW w:w="7740" w:type="dxa"/>
            <w:vAlign w:val="bottom"/>
            <w:gridSpan w:val="17"/>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960" w:type="dxa"/>
            <w:vAlign w:val="bottom"/>
            <w:tcBorders>
              <w:bottom w:val="single" w:sz="8" w:color="0000EE"/>
            </w:tcBorders>
            <w:gridSpan w:val="5"/>
          </w:tcPr>
          <w:p>
            <w:pPr>
              <w:spacing w:after="0" w:line="170" w:lineRule="exact"/>
              <w:rPr>
                <w:rFonts w:ascii="Arial" w:cs="Arial" w:eastAsia="Arial" w:hAnsi="Arial"/>
                <w:sz w:val="17"/>
                <w:szCs w:val="17"/>
                <w:color w:val="0000EE"/>
                <w:w w:val="96"/>
              </w:rPr>
            </w:pPr>
            <w:hyperlink w:anchor="page90">
              <w:r>
                <w:rPr>
                  <w:rFonts w:ascii="Arial" w:cs="Arial" w:eastAsia="Arial" w:hAnsi="Arial"/>
                  <w:sz w:val="17"/>
                  <w:szCs w:val="17"/>
                  <w:color w:val="0000EE"/>
                  <w:w w:val="96"/>
                </w:rPr>
                <w:t>Exhibit Index</w:t>
              </w:r>
            </w:hyperlink>
          </w:p>
        </w:tc>
        <w:tc>
          <w:tcPr>
            <w:tcW w:w="7000" w:type="dxa"/>
            <w:vAlign w:val="bottom"/>
            <w:gridSpan w:val="18"/>
            <w:vMerge w:val="restart"/>
          </w:tcPr>
          <w:p>
            <w:pPr>
              <w:spacing w:after="0"/>
              <w:rPr>
                <w:sz w:val="15"/>
                <w:szCs w:val="15"/>
                <w:color w:val="auto"/>
              </w:rPr>
            </w:pPr>
          </w:p>
        </w:tc>
        <w:tc>
          <w:tcPr>
            <w:tcW w:w="1360" w:type="dxa"/>
            <w:vAlign w:val="bottom"/>
            <w:gridSpan w:val="2"/>
            <w:vMerge w:val="restart"/>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55"/>
        </w:trPr>
        <w:tc>
          <w:tcPr>
            <w:tcW w:w="1140" w:type="dxa"/>
            <w:vAlign w:val="bottom"/>
          </w:tcPr>
          <w:p>
            <w:pPr>
              <w:spacing w:after="0"/>
              <w:rPr>
                <w:sz w:val="4"/>
                <w:szCs w:val="4"/>
                <w:color w:val="auto"/>
              </w:rPr>
            </w:pPr>
          </w:p>
        </w:tc>
        <w:tc>
          <w:tcPr>
            <w:tcW w:w="820" w:type="dxa"/>
            <w:vAlign w:val="bottom"/>
            <w:gridSpan w:val="3"/>
            <w:vMerge w:val="restart"/>
          </w:tcPr>
          <w:p>
            <w:pPr>
              <w:spacing w:after="0"/>
              <w:rPr>
                <w:rFonts w:ascii="Arial" w:cs="Arial" w:eastAsia="Arial" w:hAnsi="Arial"/>
                <w:sz w:val="17"/>
                <w:szCs w:val="17"/>
                <w:color w:val="0000EE"/>
                <w:w w:val="98"/>
              </w:rPr>
            </w:pPr>
            <w:hyperlink w:anchor="page94">
              <w:r>
                <w:rPr>
                  <w:rFonts w:ascii="Arial" w:cs="Arial" w:eastAsia="Arial" w:hAnsi="Arial"/>
                  <w:sz w:val="17"/>
                  <w:szCs w:val="17"/>
                  <w:color w:val="0000EE"/>
                  <w:w w:val="98"/>
                </w:rPr>
                <w:t>Signatures</w:t>
              </w:r>
            </w:hyperlink>
          </w:p>
        </w:tc>
        <w:tc>
          <w:tcPr>
            <w:tcW w:w="140" w:type="dxa"/>
            <w:vAlign w:val="bottom"/>
            <w:gridSpan w:val="2"/>
          </w:tcPr>
          <w:p>
            <w:pPr>
              <w:spacing w:after="0"/>
              <w:rPr>
                <w:sz w:val="4"/>
                <w:szCs w:val="4"/>
                <w:color w:val="auto"/>
              </w:rPr>
            </w:pPr>
          </w:p>
        </w:tc>
        <w:tc>
          <w:tcPr>
            <w:tcW w:w="7000" w:type="dxa"/>
            <w:vAlign w:val="bottom"/>
            <w:gridSpan w:val="18"/>
            <w:vMerge w:val="continue"/>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1"/>
        </w:trPr>
        <w:tc>
          <w:tcPr>
            <w:tcW w:w="1140" w:type="dxa"/>
            <w:vAlign w:val="bottom"/>
          </w:tcPr>
          <w:p>
            <w:pPr>
              <w:spacing w:after="0"/>
              <w:rPr>
                <w:sz w:val="24"/>
                <w:szCs w:val="24"/>
                <w:color w:val="auto"/>
              </w:rPr>
            </w:pPr>
          </w:p>
        </w:tc>
        <w:tc>
          <w:tcPr>
            <w:tcW w:w="820" w:type="dxa"/>
            <w:vAlign w:val="bottom"/>
            <w:tcBorders>
              <w:bottom w:val="single" w:sz="8" w:color="0000EE"/>
            </w:tcBorders>
            <w:gridSpan w:val="3"/>
            <w:vMerge w:val="continue"/>
          </w:tcPr>
          <w:p>
            <w:pPr>
              <w:spacing w:after="0"/>
              <w:rPr>
                <w:sz w:val="24"/>
                <w:szCs w:val="24"/>
                <w:color w:val="auto"/>
              </w:rPr>
            </w:pPr>
          </w:p>
        </w:tc>
        <w:tc>
          <w:tcPr>
            <w:tcW w:w="7140" w:type="dxa"/>
            <w:vAlign w:val="bottom"/>
            <w:gridSpan w:val="20"/>
          </w:tcPr>
          <w:p>
            <w:pPr>
              <w:spacing w:after="0"/>
              <w:rPr>
                <w:sz w:val="24"/>
                <w:szCs w:val="24"/>
                <w:color w:val="auto"/>
              </w:rPr>
            </w:pPr>
          </w:p>
        </w:tc>
        <w:tc>
          <w:tcPr>
            <w:tcW w:w="1360" w:type="dxa"/>
            <w:vAlign w:val="bottom"/>
            <w:gridSpan w:val="2"/>
            <w:vMerge w:val="restart"/>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55"/>
        </w:trPr>
        <w:tc>
          <w:tcPr>
            <w:tcW w:w="1140" w:type="dxa"/>
            <w:vAlign w:val="bottom"/>
          </w:tcPr>
          <w:p>
            <w:pPr>
              <w:spacing w:after="0"/>
              <w:rPr>
                <w:sz w:val="4"/>
                <w:szCs w:val="4"/>
                <w:color w:val="auto"/>
              </w:rPr>
            </w:pPr>
          </w:p>
        </w:tc>
        <w:tc>
          <w:tcPr>
            <w:tcW w:w="7960" w:type="dxa"/>
            <w:vAlign w:val="bottom"/>
            <w:gridSpan w:val="23"/>
            <w:vMerge w:val="restart"/>
          </w:tcPr>
          <w:p>
            <w:pPr>
              <w:spacing w:after="0"/>
              <w:rPr>
                <w:rFonts w:ascii="Arial" w:cs="Arial" w:eastAsia="Arial" w:hAnsi="Arial"/>
                <w:sz w:val="17"/>
                <w:szCs w:val="17"/>
                <w:color w:val="0000EE"/>
                <w:w w:val="99"/>
              </w:rPr>
            </w:pPr>
            <w:hyperlink w:anchor="page95">
              <w:r>
                <w:rPr>
                  <w:rFonts w:ascii="Arial" w:cs="Arial" w:eastAsia="Arial" w:hAnsi="Arial"/>
                  <w:sz w:val="17"/>
                  <w:szCs w:val="17"/>
                  <w:color w:val="0000EE"/>
                  <w:w w:val="99"/>
                </w:rPr>
                <w:t>Index to Consolidated Financial Statements and Report of Independent Registered Public Accounting Firm</w:t>
              </w:r>
            </w:hyperlink>
          </w:p>
        </w:tc>
        <w:tc>
          <w:tcPr>
            <w:tcW w:w="136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7960" w:type="dxa"/>
            <w:vAlign w:val="bottom"/>
            <w:tcBorders>
              <w:bottom w:val="single" w:sz="8" w:color="0000EE"/>
            </w:tcBorders>
            <w:gridSpan w:val="23"/>
            <w:vMerge w:val="continue"/>
          </w:tcPr>
          <w:p>
            <w:pPr>
              <w:spacing w:after="0"/>
              <w:rPr>
                <w:sz w:val="14"/>
                <w:szCs w:val="14"/>
                <w:color w:val="auto"/>
              </w:rPr>
            </w:pPr>
          </w:p>
        </w:tc>
        <w:tc>
          <w:tcPr>
            <w:tcW w:w="1360" w:type="dxa"/>
            <w:vAlign w:val="bottom"/>
            <w:gridSpan w:val="2"/>
            <w:vMerge w:val="restart"/>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r>
        <w:trPr>
          <w:trHeight w:val="55"/>
        </w:trPr>
        <w:tc>
          <w:tcPr>
            <w:tcW w:w="1140" w:type="dxa"/>
            <w:vAlign w:val="bottom"/>
          </w:tcPr>
          <w:p>
            <w:pPr>
              <w:spacing w:after="0"/>
              <w:rPr>
                <w:sz w:val="4"/>
                <w:szCs w:val="4"/>
                <w:color w:val="auto"/>
              </w:rPr>
            </w:pPr>
          </w:p>
        </w:tc>
        <w:tc>
          <w:tcPr>
            <w:tcW w:w="7960" w:type="dxa"/>
            <w:vAlign w:val="bottom"/>
            <w:gridSpan w:val="23"/>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716597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18" w:lineRule="exact"/>
        <w:rPr>
          <w:sz w:val="20"/>
          <w:szCs w:val="20"/>
          <w:color w:val="auto"/>
        </w:rPr>
      </w:pPr>
    </w:p>
    <w:p>
      <w:pPr>
        <w:ind w:firstLine="735"/>
        <w:spacing w:after="0" w:line="235" w:lineRule="auto"/>
        <w:rPr>
          <w:sz w:val="20"/>
          <w:szCs w:val="20"/>
          <w:color w:val="auto"/>
        </w:rPr>
      </w:pPr>
      <w:r>
        <w:rPr>
          <w:rFonts w:ascii="Arial" w:cs="Arial" w:eastAsia="Arial" w:hAnsi="Arial"/>
          <w:sz w:val="17"/>
          <w:szCs w:val="17"/>
          <w:color w:val="auto"/>
        </w:rPr>
        <w:t>This annual report on Form 10-K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following:</w:t>
      </w:r>
    </w:p>
    <w:p>
      <w:pPr>
        <w:spacing w:after="0" w:line="92" w:lineRule="exact"/>
        <w:rPr>
          <w:sz w:val="20"/>
          <w:szCs w:val="20"/>
          <w:color w:val="auto"/>
        </w:rPr>
      </w:pPr>
    </w:p>
    <w:p>
      <w:pPr>
        <w:ind w:left="1020" w:right="840" w:hanging="296"/>
        <w:spacing w:after="0" w:line="242"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issue that compromises our relationships with the U.S. federal government or its agencies or other state, local or foreign governments or agencies;</w:t>
      </w:r>
    </w:p>
    <w:p>
      <w:pPr>
        <w:spacing w:after="0" w:line="87" w:lineRule="exact"/>
        <w:rPr>
          <w:rFonts w:ascii="Arial" w:cs="Arial" w:eastAsia="Arial" w:hAnsi="Arial"/>
          <w:sz w:val="17"/>
          <w:szCs w:val="17"/>
          <w:color w:val="auto"/>
        </w:rPr>
      </w:pPr>
    </w:p>
    <w:p>
      <w:pPr>
        <w:ind w:left="1020" w:hanging="296"/>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issues that damage our professional reputation;</w:t>
      </w:r>
    </w:p>
    <w:p>
      <w:pPr>
        <w:spacing w:after="0" w:line="96" w:lineRule="exact"/>
        <w:rPr>
          <w:rFonts w:ascii="Arial" w:cs="Arial" w:eastAsia="Arial" w:hAnsi="Arial"/>
          <w:sz w:val="17"/>
          <w:szCs w:val="17"/>
          <w:color w:val="auto"/>
        </w:rPr>
      </w:pPr>
    </w:p>
    <w:p>
      <w:pPr>
        <w:ind w:left="1020" w:hanging="296"/>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governmental priorities that shift expenditures away from agencies or programs that we support;</w:t>
      </w:r>
    </w:p>
    <w:p>
      <w:pPr>
        <w:spacing w:after="0" w:line="96" w:lineRule="exact"/>
        <w:rPr>
          <w:rFonts w:ascii="Arial" w:cs="Arial" w:eastAsia="Arial" w:hAnsi="Arial"/>
          <w:sz w:val="17"/>
          <w:szCs w:val="17"/>
          <w:color w:val="auto"/>
        </w:rPr>
      </w:pPr>
    </w:p>
    <w:p>
      <w:pPr>
        <w:ind w:left="1020" w:hanging="296"/>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dependence on long-term government contracts, which are subject to the government’s budgetary approval process;</w:t>
      </w:r>
    </w:p>
    <w:p>
      <w:pPr>
        <w:spacing w:after="0" w:line="96" w:lineRule="exact"/>
        <w:rPr>
          <w:rFonts w:ascii="Arial" w:cs="Arial" w:eastAsia="Arial" w:hAnsi="Arial"/>
          <w:sz w:val="17"/>
          <w:szCs w:val="17"/>
          <w:color w:val="auto"/>
        </w:rPr>
      </w:pPr>
    </w:p>
    <w:p>
      <w:pPr>
        <w:ind w:left="1020" w:hanging="296"/>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size of our addressable markets and the amount of government spending on private contractors;</w:t>
      </w:r>
    </w:p>
    <w:p>
      <w:pPr>
        <w:spacing w:after="0" w:line="96" w:lineRule="exact"/>
        <w:rPr>
          <w:rFonts w:ascii="Arial" w:cs="Arial" w:eastAsia="Arial" w:hAnsi="Arial"/>
          <w:sz w:val="17"/>
          <w:szCs w:val="17"/>
          <w:color w:val="auto"/>
        </w:rPr>
      </w:pPr>
    </w:p>
    <w:p>
      <w:pPr>
        <w:ind w:left="1020" w:hanging="296"/>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by us or our employees to obtain and maintain necessary security clearances or certifications;</w:t>
      </w:r>
    </w:p>
    <w:p>
      <w:pPr>
        <w:spacing w:after="0" w:line="96" w:lineRule="exact"/>
        <w:rPr>
          <w:rFonts w:ascii="Arial" w:cs="Arial" w:eastAsia="Arial" w:hAnsi="Arial"/>
          <w:sz w:val="17"/>
          <w:szCs w:val="17"/>
          <w:color w:val="auto"/>
        </w:rPr>
      </w:pPr>
    </w:p>
    <w:p>
      <w:pPr>
        <w:ind w:left="1020" w:hanging="296"/>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comply with numerous laws and regulations;</w:t>
      </w:r>
    </w:p>
    <w:p>
      <w:pPr>
        <w:spacing w:after="0" w:line="96" w:lineRule="exact"/>
        <w:rPr>
          <w:rFonts w:ascii="Arial" w:cs="Arial" w:eastAsia="Arial" w:hAnsi="Arial"/>
          <w:sz w:val="17"/>
          <w:szCs w:val="17"/>
          <w:color w:val="auto"/>
        </w:rPr>
      </w:pPr>
    </w:p>
    <w:p>
      <w:pPr>
        <w:ind w:left="1020" w:right="240" w:hanging="296"/>
        <w:spacing w:after="0" w:line="242"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government procurement, contract or other practices or the adoption by governments of new laws, rules, regulations and programs in a manner adverse to us;</w:t>
      </w:r>
    </w:p>
    <w:p>
      <w:pPr>
        <w:spacing w:after="0" w:line="87" w:lineRule="exact"/>
        <w:rPr>
          <w:rFonts w:ascii="Arial" w:cs="Arial" w:eastAsia="Arial" w:hAnsi="Arial"/>
          <w:sz w:val="17"/>
          <w:szCs w:val="17"/>
          <w:color w:val="auto"/>
        </w:rPr>
      </w:pPr>
    </w:p>
    <w:p>
      <w:pPr>
        <w:ind w:left="1020" w:hanging="296"/>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termination or nonrenewal of our government contracts, particularly our contracts with the U.S. federal government;</w:t>
      </w:r>
    </w:p>
    <w:p>
      <w:pPr>
        <w:spacing w:after="0" w:line="96" w:lineRule="exact"/>
        <w:rPr>
          <w:rFonts w:ascii="Arial" w:cs="Arial" w:eastAsia="Arial" w:hAnsi="Arial"/>
          <w:sz w:val="17"/>
          <w:szCs w:val="17"/>
          <w:color w:val="auto"/>
        </w:rPr>
      </w:pPr>
    </w:p>
    <w:p>
      <w:pPr>
        <w:ind w:left="1020" w:right="540" w:hanging="296"/>
        <w:spacing w:after="0" w:line="242"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compete effectively in the competitive bidding process and delays, contract terminations or cancellations caused by competitors’ protests of major contract awards received by us;</w:t>
      </w:r>
    </w:p>
    <w:p>
      <w:pPr>
        <w:spacing w:after="0" w:line="87" w:lineRule="exact"/>
        <w:rPr>
          <w:rFonts w:ascii="Arial" w:cs="Arial" w:eastAsia="Arial" w:hAnsi="Arial"/>
          <w:sz w:val="17"/>
          <w:szCs w:val="17"/>
          <w:color w:val="auto"/>
        </w:rPr>
      </w:pPr>
    </w:p>
    <w:p>
      <w:pPr>
        <w:ind w:left="1020" w:hanging="296"/>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generate revenue under certain of our contracts;</w:t>
      </w:r>
    </w:p>
    <w:p>
      <w:pPr>
        <w:spacing w:after="0" w:line="96" w:lineRule="exact"/>
        <w:rPr>
          <w:rFonts w:ascii="Arial" w:cs="Arial" w:eastAsia="Arial" w:hAnsi="Arial"/>
          <w:sz w:val="17"/>
          <w:szCs w:val="17"/>
          <w:color w:val="auto"/>
        </w:rPr>
      </w:pPr>
    </w:p>
    <w:p>
      <w:pPr>
        <w:ind w:left="1020" w:hanging="296"/>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inability to attract, train or retain employees with the requisite skills, experience and security clearances;</w:t>
      </w:r>
    </w:p>
    <w:p>
      <w:pPr>
        <w:spacing w:after="0" w:line="96" w:lineRule="exact"/>
        <w:rPr>
          <w:rFonts w:ascii="Arial" w:cs="Arial" w:eastAsia="Arial" w:hAnsi="Arial"/>
          <w:sz w:val="17"/>
          <w:szCs w:val="17"/>
          <w:color w:val="auto"/>
        </w:rPr>
      </w:pPr>
    </w:p>
    <w:p>
      <w:pPr>
        <w:ind w:left="1020" w:hanging="296"/>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loss of members of senior management or failure to develop new leaders;</w:t>
      </w:r>
    </w:p>
    <w:p>
      <w:pPr>
        <w:spacing w:after="0" w:line="96" w:lineRule="exact"/>
        <w:rPr>
          <w:rFonts w:ascii="Arial" w:cs="Arial" w:eastAsia="Arial" w:hAnsi="Arial"/>
          <w:sz w:val="17"/>
          <w:szCs w:val="17"/>
          <w:color w:val="auto"/>
        </w:rPr>
      </w:pPr>
    </w:p>
    <w:p>
      <w:pPr>
        <w:ind w:left="1020" w:hanging="296"/>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misconduct or other improper activities from our employees or subcontractors;</w:t>
      </w:r>
    </w:p>
    <w:p>
      <w:pPr>
        <w:spacing w:after="0" w:line="96" w:lineRule="exact"/>
        <w:rPr>
          <w:rFonts w:ascii="Arial" w:cs="Arial" w:eastAsia="Arial" w:hAnsi="Arial"/>
          <w:sz w:val="17"/>
          <w:szCs w:val="17"/>
          <w:color w:val="auto"/>
        </w:rPr>
      </w:pPr>
    </w:p>
    <w:p>
      <w:pPr>
        <w:ind w:left="1020" w:hanging="296"/>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realize the full value of our backlog and the timing of our receipt of revenue under contracts included in backlog;</w:t>
      </w:r>
    </w:p>
    <w:p>
      <w:pPr>
        <w:spacing w:after="0" w:line="96" w:lineRule="exact"/>
        <w:rPr>
          <w:rFonts w:ascii="Arial" w:cs="Arial" w:eastAsia="Arial" w:hAnsi="Arial"/>
          <w:sz w:val="17"/>
          <w:szCs w:val="17"/>
          <w:color w:val="auto"/>
        </w:rPr>
      </w:pPr>
    </w:p>
    <w:p>
      <w:pPr>
        <w:ind w:left="1020" w:right="280" w:hanging="296"/>
        <w:spacing w:after="0" w:line="242"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the mix of our contracts and our ability to accurately estimate or otherwise recover expenses, time and resources for our contracts;</w:t>
      </w:r>
    </w:p>
    <w:p>
      <w:pPr>
        <w:spacing w:after="0" w:line="87" w:lineRule="exact"/>
        <w:rPr>
          <w:rFonts w:ascii="Arial" w:cs="Arial" w:eastAsia="Arial" w:hAnsi="Arial"/>
          <w:sz w:val="17"/>
          <w:szCs w:val="17"/>
          <w:color w:val="auto"/>
        </w:rPr>
      </w:pPr>
    </w:p>
    <w:p>
      <w:pPr>
        <w:ind w:left="1020" w:hanging="296"/>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estimates used in recognizing revenue;</w:t>
      </w:r>
    </w:p>
    <w:p>
      <w:pPr>
        <w:spacing w:after="0" w:line="96" w:lineRule="exact"/>
        <w:rPr>
          <w:rFonts w:ascii="Arial" w:cs="Arial" w:eastAsia="Arial" w:hAnsi="Arial"/>
          <w:sz w:val="17"/>
          <w:szCs w:val="17"/>
          <w:color w:val="auto"/>
        </w:rPr>
      </w:pPr>
    </w:p>
    <w:p>
      <w:pPr>
        <w:ind w:left="1020" w:hanging="296"/>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internal system or service failures and security breaches;</w:t>
      </w:r>
    </w:p>
    <w:p>
      <w:pPr>
        <w:spacing w:after="0" w:line="70" w:lineRule="exact"/>
        <w:rPr>
          <w:rFonts w:ascii="Arial" w:cs="Arial" w:eastAsia="Arial" w:hAnsi="Arial"/>
          <w:sz w:val="17"/>
          <w:szCs w:val="17"/>
          <w:color w:val="auto"/>
        </w:rPr>
      </w:pPr>
    </w:p>
    <w:p>
      <w:pPr>
        <w:ind w:left="1020" w:right="100" w:hanging="296"/>
        <w:spacing w:after="0" w:line="242"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inherent uncertainties and potential adverse developments in legal proceedings, including litigation, audits, reviews and investigations, which may result in materially adverse judgments, settlements or other unfavorable outcomes; and</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716597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20"/>
          </w:cols>
          <w:pgMar w:left="320" w:top="322" w:right="459" w:bottom="1440" w:gutter="0" w:footer="0" w:header="0"/>
        </w:sectPr>
      </w:pPr>
    </w:p>
    <w:bookmarkStart w:id="3" w:name="page4"/>
    <w:bookmarkEnd w:id="3"/>
    <w:p>
      <w:pPr>
        <w:ind w:left="1020" w:hanging="296"/>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risks and factors listed under “Risk Factors” and elsewhere in this report.</w:t>
      </w:r>
    </w:p>
    <w:p>
      <w:pPr>
        <w:spacing w:after="0" w:line="198" w:lineRule="exact"/>
        <w:rPr>
          <w:sz w:val="20"/>
          <w:szCs w:val="20"/>
          <w:color w:val="auto"/>
        </w:rPr>
      </w:pPr>
    </w:p>
    <w:p>
      <w:pPr>
        <w:ind w:firstLine="735"/>
        <w:spacing w:after="0" w:line="235" w:lineRule="auto"/>
        <w:rPr>
          <w:sz w:val="20"/>
          <w:szCs w:val="20"/>
          <w:color w:val="auto"/>
        </w:rPr>
      </w:pPr>
      <w:r>
        <w:rPr>
          <w:rFonts w:ascii="Arial" w:cs="Arial" w:eastAsia="Arial" w:hAnsi="Arial"/>
          <w:sz w:val="17"/>
          <w:szCs w:val="17"/>
          <w:color w:val="auto"/>
        </w:rPr>
        <w:t>We have based the forward-looking statements contained in this report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the section captioned “Risk Factors” and elsewhere in this report. These risks are not exhaustive. Other sections of this report include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93" w:lineRule="exact"/>
        <w:rPr>
          <w:sz w:val="20"/>
          <w:szCs w:val="20"/>
          <w:color w:val="auto"/>
        </w:rPr>
      </w:pPr>
    </w:p>
    <w:p>
      <w:pPr>
        <w:ind w:right="120" w:firstLine="735"/>
        <w:spacing w:after="0" w:line="236"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3" w:lineRule="exact"/>
        <w:rPr>
          <w:sz w:val="20"/>
          <w:szCs w:val="20"/>
          <w:color w:val="auto"/>
        </w:rPr>
      </w:pPr>
    </w:p>
    <w:p>
      <w:pPr>
        <w:ind w:right="40" w:firstLine="735"/>
        <w:spacing w:after="0" w:line="238" w:lineRule="auto"/>
        <w:rPr>
          <w:sz w:val="20"/>
          <w:szCs w:val="20"/>
          <w:color w:val="auto"/>
        </w:rPr>
      </w:pPr>
      <w:r>
        <w:rPr>
          <w:rFonts w:ascii="Arial" w:cs="Arial" w:eastAsia="Arial" w:hAnsi="Arial"/>
          <w:sz w:val="17"/>
          <w:szCs w:val="17"/>
          <w:color w:val="auto"/>
        </w:rPr>
        <w:t>You should read this report and the documents that we reference in this report and have filed as exhibits to the registration statement of which this report forms a part with the understanding that our actual future results, levels of activity, performance and achievements may be materially different from what we expect. We qualify all of our forward-looking statements by these cautionary statements.</w:t>
      </w:r>
    </w:p>
    <w:p>
      <w:pPr>
        <w:spacing w:after="0" w:line="192" w:lineRule="exact"/>
        <w:rPr>
          <w:sz w:val="20"/>
          <w:szCs w:val="20"/>
          <w:color w:val="auto"/>
        </w:rPr>
      </w:pPr>
    </w:p>
    <w:p>
      <w:pPr>
        <w:ind w:right="120" w:firstLine="735"/>
        <w:spacing w:after="0" w:line="238" w:lineRule="auto"/>
        <w:rPr>
          <w:sz w:val="20"/>
          <w:szCs w:val="20"/>
          <w:color w:val="auto"/>
        </w:rPr>
      </w:pPr>
      <w:r>
        <w:rPr>
          <w:rFonts w:ascii="Arial" w:cs="Arial" w:eastAsia="Arial" w:hAnsi="Arial"/>
          <w:sz w:val="17"/>
          <w:szCs w:val="17"/>
          <w:color w:val="auto"/>
        </w:rPr>
        <w:t>The forward-looking statements made in this report relate only to events as of the date on which such statements are made. We undertake no obligation to update any forward-looking statements after the date of this report or to conform such statements to actual results or revised expectations, except as required by law.</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716597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443" w:right="3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8" w:lineRule="exact"/>
        <w:rPr>
          <w:sz w:val="20"/>
          <w:szCs w:val="20"/>
          <w:color w:val="auto"/>
        </w:rPr>
      </w:pPr>
    </w:p>
    <w:p>
      <w:pPr>
        <w:ind w:right="20" w:firstLine="735"/>
        <w:spacing w:after="0" w:line="237" w:lineRule="auto"/>
        <w:rPr>
          <w:sz w:val="20"/>
          <w:szCs w:val="20"/>
          <w:color w:val="auto"/>
        </w:rPr>
      </w:pPr>
      <w:r>
        <w:rPr>
          <w:rFonts w:ascii="Arial" w:cs="Arial" w:eastAsia="Arial" w:hAnsi="Arial"/>
          <w:sz w:val="17"/>
          <w:szCs w:val="17"/>
          <w:color w:val="auto"/>
        </w:rPr>
        <w:t>Parsons is a leading provider of the integrated solutions and services required in today’s complex security environment and a world of digital transformation. Under our vision to “create the future” of national security and critical infrastructure, we deliver innovative technology-driven solutions to customers worldwide. We are uniquely positioned to leverage the depth of experience and expertise from across the company and the markets in which we operate to bring solutions to our customers’ most challenging problems and critical needs – our One Parsons approach.</w:t>
      </w:r>
    </w:p>
    <w:p>
      <w:pPr>
        <w:spacing w:after="0" w:line="191" w:lineRule="exact"/>
        <w:rPr>
          <w:sz w:val="20"/>
          <w:szCs w:val="20"/>
          <w:color w:val="auto"/>
        </w:rPr>
      </w:pPr>
    </w:p>
    <w:p>
      <w:pPr>
        <w:ind w:firstLine="735"/>
        <w:spacing w:after="0" w:line="237" w:lineRule="auto"/>
        <w:rPr>
          <w:sz w:val="20"/>
          <w:szCs w:val="20"/>
          <w:color w:val="auto"/>
        </w:rPr>
      </w:pPr>
      <w:r>
        <w:rPr>
          <w:rFonts w:ascii="Arial" w:cs="Arial" w:eastAsia="Arial" w:hAnsi="Arial"/>
          <w:sz w:val="17"/>
          <w:szCs w:val="17"/>
          <w:color w:val="auto"/>
        </w:rPr>
        <w:t>We have developed significant expertise and differentiated capabilities in key areas of cybersecurity, intelligence, missile defense, C5ISR (Command, Control, Computers, Communications, Cyber, Intelligence, Surveillance and Reconnaissance), space, transportation, water/wastewater, and environmental remediation. By combining our talented team of professionals and advanced technology, we solve complex technical challenges to enable a safer, smarter more secure and more connected world.</w:t>
      </w:r>
    </w:p>
    <w:p>
      <w:pPr>
        <w:spacing w:after="0" w:line="191" w:lineRule="exact"/>
        <w:rPr>
          <w:sz w:val="20"/>
          <w:szCs w:val="20"/>
          <w:color w:val="auto"/>
        </w:rPr>
      </w:pPr>
    </w:p>
    <w:p>
      <w:pPr>
        <w:ind w:right="80" w:firstLine="735"/>
        <w:spacing w:after="0" w:line="235" w:lineRule="auto"/>
        <w:rPr>
          <w:sz w:val="20"/>
          <w:szCs w:val="20"/>
          <w:color w:val="auto"/>
        </w:rPr>
      </w:pPr>
      <w:r>
        <w:rPr>
          <w:rFonts w:ascii="Arial" w:cs="Arial" w:eastAsia="Arial" w:hAnsi="Arial"/>
          <w:sz w:val="17"/>
          <w:szCs w:val="17"/>
          <w:color w:val="auto"/>
        </w:rPr>
        <w:t>Since our founding nearly 80 years ago, we have built our reputation and business on our ability to successfully transform while leveraging innovative technologies to meet our customers’ needs and grow our business. Whether our customers need a first-of-a-kind advanced missile development and testing facility, an enterprise boundary defense system that uses artificial intelligence to identify and mitigate zero-day cyberattacks, or an innovative solution to perform end-to-end COVID testing and tracking, we deliver for our customers. We seek to grow by offering our clients differentiated solutions derived from strategic hiring combined with research and development investments, as well as targeted acquisitions of advanced technology companies. We have developed longstanding relationships with customers such as the U.S. military and intelligence agencies and state and local governments and agencies.</w:t>
      </w:r>
    </w:p>
    <w:p>
      <w:pPr>
        <w:spacing w:after="0" w:line="194" w:lineRule="exact"/>
        <w:rPr>
          <w:sz w:val="20"/>
          <w:szCs w:val="20"/>
          <w:color w:val="auto"/>
        </w:rPr>
      </w:pPr>
    </w:p>
    <w:p>
      <w:pPr>
        <w:ind w:right="200" w:firstLine="735"/>
        <w:spacing w:after="0" w:line="236" w:lineRule="auto"/>
        <w:rPr>
          <w:sz w:val="20"/>
          <w:szCs w:val="20"/>
          <w:color w:val="auto"/>
        </w:rPr>
      </w:pPr>
      <w:r>
        <w:rPr>
          <w:rFonts w:ascii="Arial" w:cs="Arial" w:eastAsia="Arial" w:hAnsi="Arial"/>
          <w:sz w:val="17"/>
          <w:szCs w:val="17"/>
          <w:color w:val="auto"/>
        </w:rPr>
        <w:t>Our One Parsons approach brings together capabilities and innovations from across markets to provide integrated solutions for our customers. Organizationally, we operate in two reportable segments, Federal Solutions and Critical Infrastructure, with revenue contribution of 52% and 48%, respectively, and adjusted earnings before interest, taxes, depreciation and amortization (EBITDA) contribution of 53% and 47%, respectively, for fiscal 2021. See "Management’s Discussion and Analysis of Financial Condition and Results of Operations—Segment Results” for further discussion on our segments.</w:t>
      </w:r>
    </w:p>
    <w:p>
      <w:pPr>
        <w:spacing w:after="0" w:line="73" w:lineRule="exact"/>
        <w:rPr>
          <w:sz w:val="20"/>
          <w:szCs w:val="20"/>
          <w:color w:val="auto"/>
        </w:rPr>
      </w:pPr>
    </w:p>
    <w:p>
      <w:pPr>
        <w:ind w:left="300" w:right="200" w:firstLine="287"/>
        <w:spacing w:after="0" w:line="257" w:lineRule="auto"/>
        <w:rPr>
          <w:sz w:val="20"/>
          <w:szCs w:val="20"/>
          <w:color w:val="auto"/>
        </w:rPr>
      </w:pPr>
      <w:r>
        <w:rPr>
          <w:rFonts w:ascii="Arial" w:cs="Arial" w:eastAsia="Arial" w:hAnsi="Arial"/>
          <w:sz w:val="16"/>
          <w:szCs w:val="16"/>
          <w:i w:val="1"/>
          <w:iCs w:val="1"/>
          <w:color w:val="auto"/>
        </w:rPr>
        <w:t xml:space="preserve">Federal Solutions: </w:t>
      </w:r>
      <w:r>
        <w:rPr>
          <w:rFonts w:ascii="Arial" w:cs="Arial" w:eastAsia="Arial" w:hAnsi="Arial"/>
          <w:sz w:val="16"/>
          <w:szCs w:val="16"/>
          <w:color w:val="auto"/>
        </w:rPr>
        <w:t>Our Federal Solutions segment is an advanced technology provider to the U.S. government, delivering timely, cost-effective solutions for mission-critical projects. We provide critical technologies, including cybersecurity; missile defense systems; C5ISR; space launch, ground systems and operations; geospatial intelligence; signals intelligence; nuclear and chemical waste remediation; and engineering services. The U.S. government and its agencies represent substantially all of the revenue of our Federal Solutions segment. These U.S. government agencies include the United States intelligence community, the U.S. Department of Defense, including military services, and Missile Defense Agency, the Department of Energy, the Department of Homeland Security and the Federal Aviation Administration.</w:t>
      </w:r>
    </w:p>
    <w:p>
      <w:pPr>
        <w:spacing w:after="0" w:line="60" w:lineRule="exact"/>
        <w:rPr>
          <w:sz w:val="20"/>
          <w:szCs w:val="20"/>
          <w:color w:val="auto"/>
        </w:rPr>
      </w:pPr>
    </w:p>
    <w:p>
      <w:pPr>
        <w:ind w:left="300" w:firstLine="287"/>
        <w:spacing w:after="0" w:line="238" w:lineRule="auto"/>
        <w:rPr>
          <w:sz w:val="20"/>
          <w:szCs w:val="20"/>
          <w:color w:val="auto"/>
        </w:rPr>
      </w:pPr>
      <w:r>
        <w:rPr>
          <w:rFonts w:ascii="Arial" w:cs="Arial" w:eastAsia="Arial" w:hAnsi="Arial"/>
          <w:sz w:val="17"/>
          <w:szCs w:val="17"/>
          <w:i w:val="1"/>
          <w:iCs w:val="1"/>
          <w:color w:val="auto"/>
        </w:rPr>
        <w:t xml:space="preserve">Critical Infrastructure: </w:t>
      </w:r>
      <w:r>
        <w:rPr>
          <w:rFonts w:ascii="Arial" w:cs="Arial" w:eastAsia="Arial" w:hAnsi="Arial"/>
          <w:sz w:val="17"/>
          <w:szCs w:val="17"/>
          <w:color w:val="auto"/>
        </w:rPr>
        <w:t>Our Critical Infrastructure segment provides integrated design and engineering services for complex physical and</w:t>
      </w:r>
      <w:r>
        <w:rPr>
          <w:rFonts w:ascii="Arial" w:cs="Arial" w:eastAsia="Arial" w:hAnsi="Arial"/>
          <w:sz w:val="17"/>
          <w:szCs w:val="17"/>
          <w:i w:val="1"/>
          <w:iCs w:val="1"/>
          <w:color w:val="auto"/>
        </w:rPr>
        <w:t xml:space="preserve"> </w:t>
      </w:r>
      <w:r>
        <w:rPr>
          <w:rFonts w:ascii="Arial" w:cs="Arial" w:eastAsia="Arial" w:hAnsi="Arial"/>
          <w:sz w:val="17"/>
          <w:szCs w:val="17"/>
          <w:color w:val="auto"/>
        </w:rPr>
        <w:t>digital infrastructure around the globe. We are a technology innovator focused on next generation aviation; rail and transit; bridges, roads and highways; leveraging sensors and data to drive smart sustainable infrastructure. Our capabilities in environmental remediation, water and wastewater treatment systems, and project management allow us to deliver value to our customers by employing advanced technologies, improving timelines and reducing costs while reducing environmental impacts and improving the quality of life. We serve a diverse global customer base including federal, state, municipal and industry customers, and private sector infrastructure owners, such as the transportation authorities for the cities of Los Angeles, New</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322" w:right="359" w:bottom="1440" w:gutter="0" w:footer="0" w:header="0"/>
        </w:sectPr>
      </w:pPr>
    </w:p>
    <w:bookmarkStart w:id="5" w:name="page6"/>
    <w:bookmarkEnd w:id="5"/>
    <w:p>
      <w:pPr>
        <w:ind w:left="300" w:right="200"/>
        <w:spacing w:after="0" w:line="242" w:lineRule="auto"/>
        <w:rPr>
          <w:sz w:val="20"/>
          <w:szCs w:val="20"/>
          <w:color w:val="auto"/>
        </w:rPr>
      </w:pPr>
      <w:r>
        <w:rPr>
          <w:rFonts w:ascii="Arial" w:cs="Arial" w:eastAsia="Arial" w:hAnsi="Arial"/>
          <w:sz w:val="17"/>
          <w:szCs w:val="17"/>
          <w:color w:val="auto"/>
        </w:rPr>
        <w:t>York, and Paris, the state of New Jersey, AMTRAK, CSX, Metrolinx (Ontario, Canada), Riyadh Metro, Dubai Roads and Transportation Authority (Dubai RTA), and the Abu Dhabi Municipality.</w:t>
      </w:r>
    </w:p>
    <w:p>
      <w:pPr>
        <w:spacing w:after="0" w:line="88" w:lineRule="exact"/>
        <w:rPr>
          <w:sz w:val="20"/>
          <w:szCs w:val="20"/>
          <w:color w:val="auto"/>
        </w:rPr>
      </w:pPr>
    </w:p>
    <w:p>
      <w:pPr>
        <w:ind w:left="300" w:right="100" w:firstLine="287"/>
        <w:spacing w:after="0" w:line="253" w:lineRule="auto"/>
        <w:rPr>
          <w:sz w:val="20"/>
          <w:szCs w:val="20"/>
          <w:color w:val="auto"/>
        </w:rPr>
      </w:pPr>
      <w:r>
        <w:rPr>
          <w:rFonts w:ascii="Arial" w:cs="Arial" w:eastAsia="Arial" w:hAnsi="Arial"/>
          <w:sz w:val="16"/>
          <w:szCs w:val="16"/>
          <w:color w:val="auto"/>
        </w:rPr>
        <w:t>Advances in technology and global awareness and focus on sustainability are dramatically shifting the operating landscape across our markets. Governments and companies are grappling with pressing challenges ranging from confronting increasingly sophisticated cybersecurity threats to upgrading aging infrastructure to reducing environmental footprint and impact. To address these challenges, our customers are seeking smart technology-enabled solutions to enhance and transform their systems performance. Our wide-ranging capabilities enable us to provide our services, products and solutions across the national security and critical infrastructure markets, and we believe we are well positioned to benefit from the trends in these markets. We have capabilities in the following four areas that span our two segments and four business units:</w:t>
      </w:r>
    </w:p>
    <w:p>
      <w:pPr>
        <w:spacing w:after="0" w:line="59" w:lineRule="exact"/>
        <w:rPr>
          <w:sz w:val="20"/>
          <w:szCs w:val="20"/>
          <w:color w:val="auto"/>
        </w:rPr>
      </w:pPr>
    </w:p>
    <w:p>
      <w:pPr>
        <w:ind w:left="300" w:right="40" w:firstLine="287"/>
        <w:spacing w:after="0" w:line="250" w:lineRule="auto"/>
        <w:rPr>
          <w:sz w:val="20"/>
          <w:szCs w:val="20"/>
          <w:color w:val="auto"/>
        </w:rPr>
      </w:pPr>
      <w:r>
        <w:rPr>
          <w:rFonts w:ascii="Arial" w:cs="Arial" w:eastAsia="Arial" w:hAnsi="Arial"/>
          <w:sz w:val="17"/>
          <w:szCs w:val="17"/>
          <w:b w:val="1"/>
          <w:bCs w:val="1"/>
          <w:color w:val="auto"/>
        </w:rPr>
        <w:t xml:space="preserve">Systems Integration: </w:t>
      </w:r>
      <w:r>
        <w:rPr>
          <w:rFonts w:ascii="Arial" w:cs="Arial" w:eastAsia="Arial" w:hAnsi="Arial"/>
          <w:sz w:val="17"/>
          <w:szCs w:val="17"/>
          <w:color w:val="auto"/>
        </w:rPr>
        <w:t>We provide engineering services and technology for large digital and physical systems with high technical complexity.</w:t>
      </w:r>
      <w:r>
        <w:rPr>
          <w:rFonts w:ascii="Arial" w:cs="Arial" w:eastAsia="Arial" w:hAnsi="Arial"/>
          <w:sz w:val="17"/>
          <w:szCs w:val="17"/>
          <w:b w:val="1"/>
          <w:bCs w:val="1"/>
          <w:color w:val="auto"/>
        </w:rPr>
        <w:t xml:space="preserve"> </w:t>
      </w:r>
      <w:r>
        <w:rPr>
          <w:rFonts w:ascii="Arial" w:cs="Arial" w:eastAsia="Arial" w:hAnsi="Arial"/>
          <w:sz w:val="17"/>
          <w:szCs w:val="17"/>
          <w:color w:val="auto"/>
        </w:rPr>
        <w:t>We lead projects from concept development through design, implementation, testing and verification, ensuring interoperability of these complex, disparate systems.</w:t>
      </w:r>
    </w:p>
    <w:p>
      <w:pPr>
        <w:spacing w:after="0" w:line="61" w:lineRule="exact"/>
        <w:rPr>
          <w:sz w:val="20"/>
          <w:szCs w:val="20"/>
          <w:color w:val="auto"/>
        </w:rPr>
      </w:pPr>
    </w:p>
    <w:p>
      <w:pPr>
        <w:ind w:left="300" w:right="240" w:firstLine="287"/>
        <w:spacing w:after="0" w:line="267" w:lineRule="auto"/>
        <w:rPr>
          <w:sz w:val="20"/>
          <w:szCs w:val="20"/>
          <w:color w:val="auto"/>
        </w:rPr>
      </w:pPr>
      <w:r>
        <w:rPr>
          <w:rFonts w:ascii="Arial" w:cs="Arial" w:eastAsia="Arial" w:hAnsi="Arial"/>
          <w:sz w:val="17"/>
          <w:szCs w:val="17"/>
          <w:b w:val="1"/>
          <w:bCs w:val="1"/>
          <w:color w:val="auto"/>
        </w:rPr>
        <w:t xml:space="preserve">Program Management: </w:t>
      </w:r>
      <w:r>
        <w:rPr>
          <w:rFonts w:ascii="Arial" w:cs="Arial" w:eastAsia="Arial" w:hAnsi="Arial"/>
          <w:sz w:val="17"/>
          <w:szCs w:val="17"/>
          <w:color w:val="auto"/>
        </w:rPr>
        <w:t>We provide expertise and technology to advance our customers’ execution of large, complex projects within their</w:t>
      </w:r>
      <w:r>
        <w:rPr>
          <w:rFonts w:ascii="Arial" w:cs="Arial" w:eastAsia="Arial" w:hAnsi="Arial"/>
          <w:sz w:val="17"/>
          <w:szCs w:val="17"/>
          <w:b w:val="1"/>
          <w:bCs w:val="1"/>
          <w:color w:val="auto"/>
        </w:rPr>
        <w:t xml:space="preserve"> </w:t>
      </w:r>
      <w:r>
        <w:rPr>
          <w:rFonts w:ascii="Arial" w:cs="Arial" w:eastAsia="Arial" w:hAnsi="Arial"/>
          <w:sz w:val="17"/>
          <w:szCs w:val="17"/>
          <w:color w:val="auto"/>
        </w:rPr>
        <w:t>defined sustainability, technical, quality, time and cost parameters.</w:t>
      </w:r>
    </w:p>
    <w:p>
      <w:pPr>
        <w:spacing w:after="0" w:line="47" w:lineRule="exact"/>
        <w:rPr>
          <w:sz w:val="20"/>
          <w:szCs w:val="20"/>
          <w:color w:val="auto"/>
        </w:rPr>
      </w:pPr>
    </w:p>
    <w:p>
      <w:pPr>
        <w:ind w:left="300" w:right="280" w:firstLine="287"/>
        <w:spacing w:after="0" w:line="298" w:lineRule="auto"/>
        <w:rPr>
          <w:sz w:val="20"/>
          <w:szCs w:val="20"/>
          <w:color w:val="auto"/>
        </w:rPr>
      </w:pPr>
      <w:r>
        <w:rPr>
          <w:rFonts w:ascii="Arial" w:cs="Arial" w:eastAsia="Arial" w:hAnsi="Arial"/>
          <w:sz w:val="16"/>
          <w:szCs w:val="16"/>
          <w:b w:val="1"/>
          <w:bCs w:val="1"/>
          <w:color w:val="auto"/>
        </w:rPr>
        <w:t xml:space="preserve">Design Engineering: </w:t>
      </w:r>
      <w:r>
        <w:rPr>
          <w:rFonts w:ascii="Arial" w:cs="Arial" w:eastAsia="Arial" w:hAnsi="Arial"/>
          <w:sz w:val="16"/>
          <w:szCs w:val="16"/>
          <w:color w:val="auto"/>
        </w:rPr>
        <w:t>We provide advanced systems and infrastructure engineering design associated with missile systems infrastructure,</w:t>
      </w:r>
      <w:r>
        <w:rPr>
          <w:rFonts w:ascii="Arial" w:cs="Arial" w:eastAsia="Arial" w:hAnsi="Arial"/>
          <w:sz w:val="16"/>
          <w:szCs w:val="16"/>
          <w:b w:val="1"/>
          <w:bCs w:val="1"/>
          <w:color w:val="auto"/>
        </w:rPr>
        <w:t xml:space="preserve"> </w:t>
      </w:r>
      <w:r>
        <w:rPr>
          <w:rFonts w:ascii="Arial" w:cs="Arial" w:eastAsia="Arial" w:hAnsi="Arial"/>
          <w:sz w:val="16"/>
          <w:szCs w:val="16"/>
          <w:color w:val="auto"/>
        </w:rPr>
        <w:t>nuclear waste processing facilities, environmental remediation, long-span bridges, rail and transit systems and other associated infrastructure.</w:t>
      </w:r>
    </w:p>
    <w:p>
      <w:pPr>
        <w:spacing w:after="0" w:line="25" w:lineRule="exact"/>
        <w:rPr>
          <w:sz w:val="20"/>
          <w:szCs w:val="20"/>
          <w:color w:val="auto"/>
        </w:rPr>
      </w:pPr>
    </w:p>
    <w:p>
      <w:pPr>
        <w:ind w:left="300" w:firstLine="287"/>
        <w:spacing w:after="0" w:line="250" w:lineRule="auto"/>
        <w:rPr>
          <w:sz w:val="20"/>
          <w:szCs w:val="20"/>
          <w:color w:val="auto"/>
        </w:rPr>
      </w:pPr>
      <w:r>
        <w:rPr>
          <w:rFonts w:ascii="Arial" w:cs="Arial" w:eastAsia="Arial" w:hAnsi="Arial"/>
          <w:sz w:val="17"/>
          <w:szCs w:val="17"/>
          <w:b w:val="1"/>
          <w:bCs w:val="1"/>
          <w:color w:val="auto"/>
        </w:rPr>
        <w:t xml:space="preserve">Product Development: </w:t>
      </w:r>
      <w:r>
        <w:rPr>
          <w:rFonts w:ascii="Arial" w:cs="Arial" w:eastAsia="Arial" w:hAnsi="Arial"/>
          <w:sz w:val="17"/>
          <w:szCs w:val="17"/>
          <w:color w:val="auto"/>
        </w:rPr>
        <w:t>We develop software and hardware across many domains and mission-specific applications. Our experienced</w:t>
      </w:r>
      <w:r>
        <w:rPr>
          <w:rFonts w:ascii="Arial" w:cs="Arial" w:eastAsia="Arial" w:hAnsi="Arial"/>
          <w:sz w:val="17"/>
          <w:szCs w:val="17"/>
          <w:b w:val="1"/>
          <w:bCs w:val="1"/>
          <w:color w:val="auto"/>
        </w:rPr>
        <w:t xml:space="preserve"> </w:t>
      </w:r>
      <w:r>
        <w:rPr>
          <w:rFonts w:ascii="Arial" w:cs="Arial" w:eastAsia="Arial" w:hAnsi="Arial"/>
          <w:sz w:val="17"/>
          <w:szCs w:val="17"/>
          <w:color w:val="auto"/>
        </w:rPr>
        <w:t>engineers and developers design, develop, integrate, operate and sustain mission-critical software and hardware products for intelligence, defense and infrastructure customers.</w:t>
      </w:r>
    </w:p>
    <w:p>
      <w:pPr>
        <w:spacing w:after="0" w:line="259" w:lineRule="exact"/>
        <w:rPr>
          <w:sz w:val="20"/>
          <w:szCs w:val="20"/>
          <w:color w:val="auto"/>
        </w:rPr>
      </w:pPr>
    </w:p>
    <w:p>
      <w:pPr>
        <w:ind w:right="20" w:firstLine="735"/>
        <w:spacing w:after="0" w:line="237" w:lineRule="auto"/>
        <w:rPr>
          <w:sz w:val="20"/>
          <w:szCs w:val="20"/>
          <w:color w:val="auto"/>
        </w:rPr>
      </w:pPr>
      <w:r>
        <w:rPr>
          <w:rFonts w:ascii="Arial" w:cs="Arial" w:eastAsia="Arial" w:hAnsi="Arial"/>
          <w:sz w:val="17"/>
          <w:szCs w:val="17"/>
          <w:color w:val="auto"/>
        </w:rPr>
        <w:t>Our customer relationships, which are based on a long history of successfully delivering complex technical services, are key to our success. We are often involved in the early stages of our customers’ planning and permitting processes, which allows us to efficiently optimize our service delivery model. These relationships, along with our technical expertise and intellectual property, allow us to successfully deliver solutions that meet our customers’ demanding technical and execution requirements and fulfill our corporate purpose of developing a better world.</w:t>
      </w:r>
    </w:p>
    <w:p>
      <w:pPr>
        <w:spacing w:after="0" w:line="191" w:lineRule="exact"/>
        <w:rPr>
          <w:sz w:val="20"/>
          <w:szCs w:val="20"/>
          <w:color w:val="auto"/>
        </w:rPr>
      </w:pPr>
    </w:p>
    <w:p>
      <w:pPr>
        <w:ind w:right="100" w:firstLine="735"/>
        <w:spacing w:after="0" w:line="235" w:lineRule="auto"/>
        <w:rPr>
          <w:sz w:val="20"/>
          <w:szCs w:val="20"/>
          <w:color w:val="auto"/>
        </w:rPr>
      </w:pPr>
      <w:r>
        <w:rPr>
          <w:rFonts w:ascii="Arial" w:cs="Arial" w:eastAsia="Arial" w:hAnsi="Arial"/>
          <w:sz w:val="17"/>
          <w:szCs w:val="17"/>
          <w:color w:val="auto"/>
        </w:rPr>
        <w:t>Technology and our people are our most important assets, allowing us to consistently deliver for our customers and help them solve their most pressing challenges. Investment in key technological capabilities is core to our business and helps us to stay at the forefront of the evolving trends across our end markets. To meet the challenges of tomorrow, we are focusing our technology investment on artificial intelligence and machine learning, data processing and analytics, digital transformation, enterprise space ground systems and space operations, and command and control. The work of our diverse and collaborative, highly skilled and dedicated employees has enabled our long track record of continued innovation and execution on behalf of our customers. Our team of engineers, scientists, programmers and other specialists include PhDs and certified hackers and a large number of our skilled workforce hold government security clearances, which provides a competitive advantage for the highly technical and demanding work we perform.</w:t>
      </w:r>
    </w:p>
    <w:p>
      <w:pPr>
        <w:spacing w:after="0" w:line="193" w:lineRule="exact"/>
        <w:rPr>
          <w:sz w:val="20"/>
          <w:szCs w:val="20"/>
          <w:color w:val="auto"/>
        </w:rPr>
      </w:pPr>
    </w:p>
    <w:p>
      <w:pPr>
        <w:ind w:right="260" w:firstLine="433"/>
        <w:spacing w:after="0" w:line="238" w:lineRule="auto"/>
        <w:rPr>
          <w:sz w:val="20"/>
          <w:szCs w:val="20"/>
          <w:color w:val="auto"/>
        </w:rPr>
      </w:pPr>
      <w:r>
        <w:rPr>
          <w:rFonts w:ascii="Arial" w:cs="Arial" w:eastAsia="Arial" w:hAnsi="Arial"/>
          <w:sz w:val="17"/>
          <w:szCs w:val="17"/>
          <w:color w:val="auto"/>
        </w:rPr>
        <w:t>In fiscal 2021, we generated revenues of $3.7 billion, net income attributable to Parsons Corporation of $64.1 million and Adjusted EBITDA of $309.7 million. For a definition of Adjusted EBITDA and reconciliation to net income attributable to Parsons Corporation, see Item 6 – Selected Financial Data.</w:t>
      </w:r>
    </w:p>
    <w:p>
      <w:pPr>
        <w:spacing w:after="0" w:line="192" w:lineRule="exact"/>
        <w:rPr>
          <w:sz w:val="20"/>
          <w:szCs w:val="20"/>
          <w:color w:val="auto"/>
        </w:rPr>
      </w:pPr>
    </w:p>
    <w:p>
      <w:pPr>
        <w:ind w:right="260" w:firstLine="433"/>
        <w:spacing w:after="0" w:line="238" w:lineRule="auto"/>
        <w:rPr>
          <w:sz w:val="20"/>
          <w:szCs w:val="20"/>
          <w:color w:val="auto"/>
        </w:rPr>
      </w:pPr>
      <w:r>
        <w:rPr>
          <w:rFonts w:ascii="Arial" w:cs="Arial" w:eastAsia="Arial" w:hAnsi="Arial"/>
          <w:sz w:val="17"/>
          <w:szCs w:val="17"/>
          <w:color w:val="auto"/>
        </w:rPr>
        <w:t>We achieved an overall win rate of 56.0% in fiscal 2021, 46.4% in fiscal 2020 and 37.4% in fiscal 2019, which includes strong re-compete win rates that exceeded 97% in 2021 giving us long-term certainty on key contracts. As of December 31, 2021, our total backlog was $8.3 billion, an increase of 3.1% from December 31, 2020, due in part to the acquisition of Black Horse Solutions, Inc.</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Our Services, Products and Solutions</w:t>
      </w:r>
    </w:p>
    <w:p>
      <w:pPr>
        <w:spacing w:after="0" w:line="218" w:lineRule="exact"/>
        <w:rPr>
          <w:sz w:val="20"/>
          <w:szCs w:val="20"/>
          <w:color w:val="auto"/>
        </w:rPr>
      </w:pPr>
    </w:p>
    <w:p>
      <w:pPr>
        <w:ind w:firstLine="433"/>
        <w:spacing w:after="0" w:line="236" w:lineRule="auto"/>
        <w:rPr>
          <w:sz w:val="20"/>
          <w:szCs w:val="20"/>
          <w:color w:val="auto"/>
        </w:rPr>
      </w:pPr>
      <w:r>
        <w:rPr>
          <w:rFonts w:ascii="Arial" w:cs="Arial" w:eastAsia="Arial" w:hAnsi="Arial"/>
          <w:sz w:val="17"/>
          <w:szCs w:val="17"/>
          <w:color w:val="auto"/>
        </w:rPr>
        <w:t>Within each of our segments, we focus our solutions, products and services on the needs of customers in each of our business units. Parsons is differentiated by our people, processes and technology that work together to develop, rapidly prototype and deploy specialized hardware, software and infrastructure solutions to meet continually evolving customer missions and needs. With a culture driven by agility, innovation and collaboration, we deliver operationally proven capabilities in emerging technical areas, including advanced analytics, artificial intelligence/machine learning, cyber tools/platforms/operations, advanced sensing and command and control. We perform systems integration, product development, program management and engineering across our segments and business lines.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Federal Solutions</w:t>
      </w:r>
    </w:p>
    <w:p>
      <w:pPr>
        <w:spacing w:after="0" w:line="218" w:lineRule="exact"/>
        <w:rPr>
          <w:sz w:val="20"/>
          <w:szCs w:val="20"/>
          <w:color w:val="auto"/>
        </w:rPr>
      </w:pPr>
    </w:p>
    <w:p>
      <w:pPr>
        <w:ind w:right="20" w:firstLine="433"/>
        <w:spacing w:after="0" w:line="238" w:lineRule="auto"/>
        <w:rPr>
          <w:sz w:val="20"/>
          <w:szCs w:val="20"/>
          <w:color w:val="auto"/>
        </w:rPr>
      </w:pPr>
      <w:r>
        <w:rPr>
          <w:rFonts w:ascii="Arial" w:cs="Arial" w:eastAsia="Arial" w:hAnsi="Arial"/>
          <w:sz w:val="17"/>
          <w:szCs w:val="17"/>
          <w:color w:val="auto"/>
        </w:rPr>
        <w:t>Our Federal Solutions business provides engineering services, software and hardware products and integrated solutions. Federal Solutions consists of two business units: Defense &amp; Intelligence (D&amp;I) and Engineered Systems (ES). Our strategy is to deliver information dominance across all domains.</w:t>
      </w:r>
    </w:p>
    <w:p>
      <w:pPr>
        <w:spacing w:after="0" w:line="192" w:lineRule="exact"/>
        <w:rPr>
          <w:sz w:val="20"/>
          <w:szCs w:val="20"/>
          <w:color w:val="auto"/>
        </w:rPr>
      </w:pPr>
    </w:p>
    <w:p>
      <w:pPr>
        <w:ind w:left="1300" w:right="40" w:hanging="436"/>
        <w:spacing w:after="0" w:line="236"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D&amp;I—Our D&amp;I business unit is organized into three related areas: mission solutions, engineering and technical services, and high consequence missions. Our customers include the U.S. Department of Defense, the U.S. intelligence community, U.S. Cyber Command, the Department of Justice and the Department of Homeland Security. D&amp;I is a mission partner for differentiated technical solutions, products, and services, delivering innovations in cyber, space, missile defense, multi-domain command and control, intelligence, surveillance and reconnaissance, electromagnetic spectrum dominance, and directed energy. Our solutions are used to meet national security challenges from space to the tactical edge around the globe.</w:t>
      </w:r>
    </w:p>
    <w:p>
      <w:pPr>
        <w:spacing w:after="0" w:line="190" w:lineRule="exact"/>
        <w:rPr>
          <w:rFonts w:ascii="Arial" w:cs="Arial" w:eastAsia="Arial" w:hAnsi="Arial"/>
          <w:sz w:val="17"/>
          <w:szCs w:val="17"/>
          <w:color w:val="auto"/>
        </w:rPr>
      </w:pPr>
    </w:p>
    <w:p>
      <w:pPr>
        <w:ind w:left="2160" w:right="120" w:hanging="434"/>
        <w:spacing w:after="0" w:line="236" w:lineRule="auto"/>
        <w:tabs>
          <w:tab w:leader="none" w:pos="2160" w:val="left"/>
        </w:tabs>
        <w:numPr>
          <w:ilvl w:val="1"/>
          <w:numId w:val="5"/>
        </w:numPr>
        <w:rPr>
          <w:rFonts w:ascii="Arial" w:cs="Arial" w:eastAsia="Arial" w:hAnsi="Arial"/>
          <w:sz w:val="17"/>
          <w:szCs w:val="17"/>
          <w:color w:val="auto"/>
        </w:rPr>
      </w:pPr>
      <w:r>
        <w:rPr>
          <w:rFonts w:ascii="Arial" w:cs="Arial" w:eastAsia="Arial" w:hAnsi="Arial"/>
          <w:sz w:val="17"/>
          <w:szCs w:val="17"/>
          <w:color w:val="auto"/>
        </w:rPr>
        <w:t>Mission Solutions – We provide software, hardware and technical expertise to clients across a variety of mission areas, including, but not limited to, space, missile systems, and warfighter applications. Our customers include the Defense Intelligence Agency (DIA), multiple units within the U.S. Department of Defense (DOD), including the Special Operations Command (SOCOM), the United States Space Force, the Space Development Agency (SDA), the National Aeronautics and Space Administration (NASA), research laboratories and military services.</w:t>
      </w:r>
    </w:p>
    <w:p>
      <w:pPr>
        <w:spacing w:after="0" w:line="192" w:lineRule="exact"/>
        <w:rPr>
          <w:rFonts w:ascii="Arial" w:cs="Arial" w:eastAsia="Arial" w:hAnsi="Arial"/>
          <w:sz w:val="17"/>
          <w:szCs w:val="17"/>
          <w:color w:val="auto"/>
        </w:rPr>
      </w:pPr>
    </w:p>
    <w:p>
      <w:pPr>
        <w:ind w:left="3020" w:right="140" w:hanging="432"/>
        <w:spacing w:after="0" w:line="238" w:lineRule="auto"/>
        <w:tabs>
          <w:tab w:leader="none" w:pos="3020" w:val="left"/>
        </w:tabs>
        <w:numPr>
          <w:ilvl w:val="2"/>
          <w:numId w:val="5"/>
        </w:numPr>
        <w:rPr>
          <w:rFonts w:ascii="Arial" w:cs="Arial" w:eastAsia="Arial" w:hAnsi="Arial"/>
          <w:sz w:val="17"/>
          <w:szCs w:val="17"/>
          <w:color w:val="auto"/>
        </w:rPr>
      </w:pPr>
      <w:r>
        <w:rPr>
          <w:rFonts w:ascii="Arial" w:cs="Arial" w:eastAsia="Arial" w:hAnsi="Arial"/>
          <w:sz w:val="17"/>
          <w:szCs w:val="17"/>
          <w:color w:val="auto"/>
        </w:rPr>
        <w:t>We focus on providing small satellite launch and integration, satellite ground systems, fight dynamics, data fusion and analytics, platform system integration, directed energy, joint all-domain operations, and command and control systems.</w:t>
      </w:r>
    </w:p>
    <w:p>
      <w:pPr>
        <w:spacing w:after="0" w:line="191" w:lineRule="exact"/>
        <w:rPr>
          <w:rFonts w:ascii="Arial" w:cs="Arial" w:eastAsia="Arial" w:hAnsi="Arial"/>
          <w:sz w:val="17"/>
          <w:szCs w:val="17"/>
          <w:color w:val="auto"/>
        </w:rPr>
      </w:pPr>
    </w:p>
    <w:p>
      <w:pPr>
        <w:ind w:left="3020" w:right="420" w:hanging="432"/>
        <w:spacing w:after="0" w:line="238" w:lineRule="auto"/>
        <w:tabs>
          <w:tab w:leader="none" w:pos="3020" w:val="left"/>
        </w:tabs>
        <w:numPr>
          <w:ilvl w:val="2"/>
          <w:numId w:val="5"/>
        </w:numPr>
        <w:rPr>
          <w:rFonts w:ascii="Arial" w:cs="Arial" w:eastAsia="Arial" w:hAnsi="Arial"/>
          <w:sz w:val="17"/>
          <w:szCs w:val="17"/>
          <w:color w:val="auto"/>
        </w:rPr>
      </w:pPr>
      <w:r>
        <w:rPr>
          <w:rFonts w:ascii="Arial" w:cs="Arial" w:eastAsia="Arial" w:hAnsi="Arial"/>
          <w:sz w:val="17"/>
          <w:szCs w:val="17"/>
          <w:color w:val="auto"/>
        </w:rPr>
        <w:t>As an example, we are the prime contractor responsible for the DOD’s small satellite integration efforts through our Launch Manifest Systems Integration program with the U.S. Air Force and have successfully completed four of four launches.</w:t>
      </w:r>
    </w:p>
    <w:p>
      <w:pPr>
        <w:spacing w:after="0" w:line="191" w:lineRule="exact"/>
        <w:rPr>
          <w:rFonts w:ascii="Arial" w:cs="Arial" w:eastAsia="Arial" w:hAnsi="Arial"/>
          <w:sz w:val="17"/>
          <w:szCs w:val="17"/>
          <w:color w:val="auto"/>
        </w:rPr>
      </w:pPr>
    </w:p>
    <w:p>
      <w:pPr>
        <w:ind w:left="3020" w:right="280" w:hanging="432"/>
        <w:spacing w:after="0" w:line="237" w:lineRule="auto"/>
        <w:tabs>
          <w:tab w:leader="none" w:pos="3020" w:val="left"/>
        </w:tabs>
        <w:numPr>
          <w:ilvl w:val="2"/>
          <w:numId w:val="5"/>
        </w:numPr>
        <w:rPr>
          <w:rFonts w:ascii="Arial" w:cs="Arial" w:eastAsia="Arial" w:hAnsi="Arial"/>
          <w:sz w:val="17"/>
          <w:szCs w:val="17"/>
          <w:color w:val="auto"/>
        </w:rPr>
      </w:pPr>
      <w:r>
        <w:rPr>
          <w:rFonts w:ascii="Arial" w:cs="Arial" w:eastAsia="Arial" w:hAnsi="Arial"/>
          <w:sz w:val="17"/>
          <w:szCs w:val="17"/>
          <w:color w:val="auto"/>
        </w:rPr>
        <w:t>Representative products include our Command and Control Core (C2Core®) mission planning and tasking suite that links requests, effects and operational guidance in a unified database, and our Performance-Enhanced Airborne Reconnaissance Low (PeARL®) family of sensors that provides very high-resolution imagery to support operational requirements.</w:t>
      </w:r>
    </w:p>
    <w:p>
      <w:pPr>
        <w:spacing w:after="0" w:line="191" w:lineRule="exact"/>
        <w:rPr>
          <w:rFonts w:ascii="Arial" w:cs="Arial" w:eastAsia="Arial" w:hAnsi="Arial"/>
          <w:sz w:val="17"/>
          <w:szCs w:val="17"/>
          <w:color w:val="auto"/>
        </w:rPr>
      </w:pPr>
    </w:p>
    <w:p>
      <w:pPr>
        <w:ind w:left="2160" w:right="20" w:hanging="434"/>
        <w:spacing w:after="0" w:line="272" w:lineRule="auto"/>
        <w:tabs>
          <w:tab w:leader="none" w:pos="2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Engineering and Technical Services – We provide science, engineering, and technical services to a variety of government customers, including missile defense, space and all military service branches. Our customers include the DOD, including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7" w:name="page8"/>
    <w:bookmarkEnd w:id="7"/>
    <w:p>
      <w:pPr>
        <w:ind w:left="1040" w:right="60"/>
        <w:spacing w:after="0" w:line="238" w:lineRule="auto"/>
        <w:rPr>
          <w:sz w:val="20"/>
          <w:szCs w:val="20"/>
          <w:color w:val="auto"/>
        </w:rPr>
      </w:pPr>
      <w:r>
        <w:rPr>
          <w:rFonts w:ascii="Arial" w:cs="Arial" w:eastAsia="Arial" w:hAnsi="Arial"/>
          <w:sz w:val="17"/>
          <w:szCs w:val="17"/>
          <w:color w:val="auto"/>
        </w:rPr>
        <w:t>military services, the Missile Defense Agency (MDA), the National Geospatial-Intelligence Agency (NGA), and the National Reconnaissance Office (NRO). Our solutions include integrated air and missile defense, geospatial intelligence, threat analytics, and space situational awareness.</w:t>
      </w:r>
    </w:p>
    <w:p>
      <w:pPr>
        <w:spacing w:after="0" w:line="192" w:lineRule="exact"/>
        <w:rPr>
          <w:sz w:val="20"/>
          <w:szCs w:val="20"/>
          <w:color w:val="auto"/>
        </w:rPr>
      </w:pPr>
    </w:p>
    <w:p>
      <w:pPr>
        <w:ind w:left="1900" w:right="80" w:hanging="432"/>
        <w:spacing w:after="0" w:line="254" w:lineRule="auto"/>
        <w:tabs>
          <w:tab w:leader="none" w:pos="19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An example is our role as the prime Technical, Engineering, Advisory and Management Support (TEAMS) Next contractor for the MDA, where we provide engineering, analysis, and management support for the development of integrated and layered missile defense systems that defend U.S. and allied forces against ballistic, hypersonic, and cruise missile threats, and advance the agency’s integrated air and missile defense, command and control, and battle management and communications missions across all-domain battlespace.</w:t>
      </w:r>
    </w:p>
    <w:p>
      <w:pPr>
        <w:spacing w:after="0" w:line="180" w:lineRule="exact"/>
        <w:rPr>
          <w:rFonts w:ascii="Arial" w:cs="Arial" w:eastAsia="Arial" w:hAnsi="Arial"/>
          <w:sz w:val="16"/>
          <w:szCs w:val="16"/>
          <w:color w:val="auto"/>
        </w:rPr>
      </w:pPr>
    </w:p>
    <w:p>
      <w:pPr>
        <w:ind w:left="1900" w:right="360" w:hanging="432"/>
        <w:spacing w:after="0" w:line="242" w:lineRule="auto"/>
        <w:tabs>
          <w:tab w:leader="none" w:pos="1900" w:val="left"/>
        </w:tabs>
        <w:numPr>
          <w:ilvl w:val="1"/>
          <w:numId w:val="6"/>
        </w:numPr>
        <w:rPr>
          <w:rFonts w:ascii="Arial" w:cs="Arial" w:eastAsia="Arial" w:hAnsi="Arial"/>
          <w:sz w:val="17"/>
          <w:szCs w:val="17"/>
          <w:color w:val="auto"/>
        </w:rPr>
      </w:pPr>
      <w:r>
        <w:rPr>
          <w:rFonts w:ascii="Arial" w:cs="Arial" w:eastAsia="Arial" w:hAnsi="Arial"/>
          <w:sz w:val="17"/>
          <w:szCs w:val="17"/>
          <w:color w:val="auto"/>
        </w:rPr>
        <w:t>Another example is our work with NGA in providing automated capabilities to analyze, collect and expose geospatial intelligence content from the open-source environment.</w:t>
      </w:r>
    </w:p>
    <w:p>
      <w:pPr>
        <w:spacing w:after="0" w:line="188" w:lineRule="exact"/>
        <w:rPr>
          <w:rFonts w:ascii="Arial" w:cs="Arial" w:eastAsia="Arial" w:hAnsi="Arial"/>
          <w:sz w:val="17"/>
          <w:szCs w:val="17"/>
          <w:color w:val="auto"/>
        </w:rPr>
      </w:pPr>
    </w:p>
    <w:p>
      <w:pPr>
        <w:ind w:left="1900" w:right="100" w:hanging="432"/>
        <w:spacing w:after="0" w:line="238" w:lineRule="auto"/>
        <w:tabs>
          <w:tab w:leader="none" w:pos="1900" w:val="left"/>
        </w:tabs>
        <w:numPr>
          <w:ilvl w:val="1"/>
          <w:numId w:val="6"/>
        </w:numPr>
        <w:rPr>
          <w:rFonts w:ascii="Arial" w:cs="Arial" w:eastAsia="Arial" w:hAnsi="Arial"/>
          <w:sz w:val="17"/>
          <w:szCs w:val="17"/>
          <w:color w:val="auto"/>
        </w:rPr>
      </w:pPr>
      <w:r>
        <w:rPr>
          <w:rFonts w:ascii="Arial" w:cs="Arial" w:eastAsia="Arial" w:hAnsi="Arial"/>
          <w:sz w:val="17"/>
          <w:szCs w:val="17"/>
          <w:color w:val="auto"/>
        </w:rPr>
        <w:t>Our Parsons’ Universal Modeling and Analysis (PUMA) is our advanced M&amp;S capability, capable of modeling a full-scale joint domain command and control (JADC2) environment from detailed sensor models to adversary weapons platforms, all recreated in a high-fidelity 3D simulation.</w:t>
      </w:r>
    </w:p>
    <w:p>
      <w:pPr>
        <w:spacing w:after="0" w:line="191" w:lineRule="exact"/>
        <w:rPr>
          <w:rFonts w:ascii="Arial" w:cs="Arial" w:eastAsia="Arial" w:hAnsi="Arial"/>
          <w:sz w:val="17"/>
          <w:szCs w:val="17"/>
          <w:color w:val="auto"/>
        </w:rPr>
      </w:pPr>
    </w:p>
    <w:p>
      <w:pPr>
        <w:ind w:left="1040" w:right="160" w:hanging="434"/>
        <w:spacing w:after="0" w:line="254"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High-Consequence Missions – We provide capabilities across the digital landscape, including full-spectrum cyber, information operations, electronic warfare, multi-domain operations, mission support and national to tactical operations. Our customers include the U.S. intelligence community, U.S. Cyber Command, DOD research laboratories, and military cyber services. The acquisition of BlackHorse Solutions allows us to capitalize on quickly evolving Information Operations and converged cyber and electronic warfare missions for national security and DOD customers.</w:t>
      </w:r>
    </w:p>
    <w:p>
      <w:pPr>
        <w:spacing w:after="0" w:line="180" w:lineRule="exact"/>
        <w:rPr>
          <w:rFonts w:ascii="Arial" w:cs="Arial" w:eastAsia="Arial" w:hAnsi="Arial"/>
          <w:sz w:val="16"/>
          <w:szCs w:val="16"/>
          <w:color w:val="auto"/>
        </w:rPr>
      </w:pPr>
    </w:p>
    <w:p>
      <w:pPr>
        <w:ind w:left="1900" w:right="40" w:hanging="432"/>
        <w:spacing w:after="0" w:line="236" w:lineRule="auto"/>
        <w:tabs>
          <w:tab w:leader="none" w:pos="1900" w:val="left"/>
        </w:tabs>
        <w:numPr>
          <w:ilvl w:val="1"/>
          <w:numId w:val="6"/>
        </w:numPr>
        <w:rPr>
          <w:rFonts w:ascii="Arial" w:cs="Arial" w:eastAsia="Arial" w:hAnsi="Arial"/>
          <w:sz w:val="17"/>
          <w:szCs w:val="17"/>
          <w:color w:val="auto"/>
        </w:rPr>
      </w:pPr>
      <w:r>
        <w:rPr>
          <w:rFonts w:ascii="Arial" w:cs="Arial" w:eastAsia="Arial" w:hAnsi="Arial"/>
          <w:sz w:val="17"/>
          <w:szCs w:val="17"/>
          <w:color w:val="auto"/>
        </w:rPr>
        <w:t>Cyber solutions and products augment and automate full spectrum cyber operations, including our Automated Management Solutions (AMS), a software framework that integrates disparate cyber capabilities, tools and infrastructures into a common system architecture that assists military cyber operators with conducting worldwide military cyber operations. We develop and maintain enterprise platforms used by the DOD to perform network analysis and vulnerability assessments for defensive missions.</w:t>
      </w:r>
    </w:p>
    <w:p>
      <w:pPr>
        <w:spacing w:after="0" w:line="192" w:lineRule="exact"/>
        <w:rPr>
          <w:rFonts w:ascii="Arial" w:cs="Arial" w:eastAsia="Arial" w:hAnsi="Arial"/>
          <w:sz w:val="17"/>
          <w:szCs w:val="17"/>
          <w:color w:val="auto"/>
        </w:rPr>
      </w:pPr>
    </w:p>
    <w:p>
      <w:pPr>
        <w:ind w:left="1900" w:hanging="432"/>
        <w:spacing w:after="0" w:line="236" w:lineRule="auto"/>
        <w:tabs>
          <w:tab w:leader="none" w:pos="1900" w:val="left"/>
        </w:tabs>
        <w:numPr>
          <w:ilvl w:val="1"/>
          <w:numId w:val="6"/>
        </w:numPr>
        <w:rPr>
          <w:rFonts w:ascii="Arial" w:cs="Arial" w:eastAsia="Arial" w:hAnsi="Arial"/>
          <w:sz w:val="17"/>
          <w:szCs w:val="17"/>
          <w:color w:val="auto"/>
        </w:rPr>
      </w:pPr>
      <w:r>
        <w:rPr>
          <w:rFonts w:ascii="Arial" w:cs="Arial" w:eastAsia="Arial" w:hAnsi="Arial"/>
          <w:sz w:val="17"/>
          <w:szCs w:val="17"/>
          <w:color w:val="auto"/>
        </w:rPr>
        <w:t>Our tools and products are used across a wide variety of electronic warfare operations, including commercial cellular survey, automated signal identification and characterization using Artificial Intelligence/Machine Learning (AI/ML), signal modeling and simulation used for radio frequency (RF) ranges and test and evaluation centers using our TReX platform, and integrated RF and cyber solutions to deliver effects from long standoff distances.</w:t>
      </w:r>
    </w:p>
    <w:p>
      <w:pPr>
        <w:spacing w:after="0" w:line="192" w:lineRule="exact"/>
        <w:rPr>
          <w:rFonts w:ascii="Arial" w:cs="Arial" w:eastAsia="Arial" w:hAnsi="Arial"/>
          <w:sz w:val="17"/>
          <w:szCs w:val="17"/>
          <w:color w:val="auto"/>
        </w:rPr>
      </w:pPr>
    </w:p>
    <w:p>
      <w:pPr>
        <w:ind w:left="1900" w:right="120" w:hanging="432"/>
        <w:spacing w:after="0" w:line="237" w:lineRule="auto"/>
        <w:tabs>
          <w:tab w:leader="none" w:pos="1900" w:val="left"/>
        </w:tabs>
        <w:numPr>
          <w:ilvl w:val="1"/>
          <w:numId w:val="6"/>
        </w:numPr>
        <w:rPr>
          <w:rFonts w:ascii="Arial" w:cs="Arial" w:eastAsia="Arial" w:hAnsi="Arial"/>
          <w:sz w:val="17"/>
          <w:szCs w:val="17"/>
          <w:color w:val="auto"/>
        </w:rPr>
      </w:pPr>
      <w:r>
        <w:rPr>
          <w:rFonts w:ascii="Arial" w:cs="Arial" w:eastAsia="Arial" w:hAnsi="Arial"/>
          <w:sz w:val="17"/>
          <w:szCs w:val="17"/>
          <w:color w:val="auto"/>
        </w:rPr>
        <w:t>We conduct vulnerability research and resiliency solutions for existing weapon systems, critical infrastructure and space systems, while supporting the development and integration of next generation electronic warfare capabilities. We also develop analysis and anomaly detection tools for radio frequency and airborne communications.</w:t>
      </w:r>
    </w:p>
    <w:p>
      <w:pPr>
        <w:spacing w:after="0" w:line="19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48895</wp:posOffset>
            </wp:positionV>
            <wp:extent cx="716597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0120"/>
          </w:cols>
          <w:pgMar w:left="1440" w:top="544" w:right="339" w:bottom="1440" w:gutter="0" w:footer="0" w:header="0"/>
        </w:sectPr>
      </w:pPr>
    </w:p>
    <w:bookmarkStart w:id="8" w:name="page9"/>
    <w:bookmarkEnd w:id="8"/>
    <w:p>
      <w:pPr>
        <w:ind w:left="3020" w:right="160" w:hanging="432"/>
        <w:spacing w:after="0" w:line="238" w:lineRule="auto"/>
        <w:tabs>
          <w:tab w:leader="none" w:pos="3020" w:val="left"/>
        </w:tabs>
        <w:numPr>
          <w:ilvl w:val="2"/>
          <w:numId w:val="7"/>
        </w:numPr>
        <w:rPr>
          <w:rFonts w:ascii="Arial" w:cs="Arial" w:eastAsia="Arial" w:hAnsi="Arial"/>
          <w:sz w:val="17"/>
          <w:szCs w:val="17"/>
          <w:color w:val="auto"/>
        </w:rPr>
      </w:pPr>
      <w:r>
        <w:rPr>
          <w:rFonts w:ascii="Arial" w:cs="Arial" w:eastAsia="Arial" w:hAnsi="Arial"/>
          <w:sz w:val="17"/>
          <w:szCs w:val="17"/>
          <w:color w:val="auto"/>
        </w:rPr>
        <w:t>We develop tools and tradecraft to conduct Information Operations across the physical and cyber domains, giving customers complete situational awareness for force protection and decision making with the Information Environment.</w:t>
      </w:r>
    </w:p>
    <w:p>
      <w:pPr>
        <w:spacing w:after="0" w:line="191" w:lineRule="exact"/>
        <w:rPr>
          <w:rFonts w:ascii="Arial" w:cs="Arial" w:eastAsia="Arial" w:hAnsi="Arial"/>
          <w:sz w:val="17"/>
          <w:szCs w:val="17"/>
          <w:color w:val="auto"/>
        </w:rPr>
      </w:pPr>
    </w:p>
    <w:p>
      <w:pPr>
        <w:ind w:left="1300" w:right="100" w:hanging="436"/>
        <w:spacing w:after="0" w:line="235"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ES—Our ES business unit focuses on advanced technology services for complex energy and chemical systems, aviation, life sciences and bio-surveillance systems, environmental remediation, security and protection systems, and associated complex infrastructure. Representative customers include the Department of Energy (DOE), the Defense Threat Reduction Agency (DTRA), the Department of Homeland Security (DHS), the U.S. Army Corps of Engineers (USACE), the Federal Aviation Administration (FAA), the National Aeronautics and Space Administration (NASA), the United States Postal Service (USPS), the Department of Labor (DOL) and the Jet Propulsion Laboratory (JPL). Representative offerings include nuclear waste processing and treatment, weapons of mass destruction elimination, munitions destruction, remediation of unexploded ordinances and hazardous, toxic, reactive wastes, architectural and engineering design, program and project management, infectious disease control analytics and data protection.</w:t>
      </w:r>
    </w:p>
    <w:p>
      <w:pPr>
        <w:spacing w:after="0" w:line="191" w:lineRule="exact"/>
        <w:rPr>
          <w:rFonts w:ascii="Arial" w:cs="Arial" w:eastAsia="Arial" w:hAnsi="Arial"/>
          <w:sz w:val="17"/>
          <w:szCs w:val="17"/>
          <w:color w:val="auto"/>
        </w:rPr>
      </w:pPr>
    </w:p>
    <w:p>
      <w:pPr>
        <w:ind w:left="2160" w:right="580" w:hanging="434"/>
        <w:spacing w:after="0" w:line="260" w:lineRule="auto"/>
        <w:tabs>
          <w:tab w:leader="none" w:pos="2160" w:val="left"/>
        </w:tabs>
        <w:numPr>
          <w:ilvl w:val="1"/>
          <w:numId w:val="7"/>
        </w:numPr>
        <w:rPr>
          <w:rFonts w:ascii="Arial" w:cs="Arial" w:eastAsia="Arial" w:hAnsi="Arial"/>
          <w:sz w:val="16"/>
          <w:szCs w:val="16"/>
          <w:color w:val="auto"/>
        </w:rPr>
      </w:pPr>
      <w:r>
        <w:rPr>
          <w:rFonts w:ascii="Arial" w:cs="Arial" w:eastAsia="Arial" w:hAnsi="Arial"/>
          <w:sz w:val="16"/>
          <w:szCs w:val="16"/>
          <w:color w:val="auto"/>
        </w:rPr>
        <w:t>Our expertise includes designing and implementing first of a kind processing and production facilities, technology deployment in response to pandemic outbreaks, and delivery of solutions addressing resiliency, security and sustainability, as well as delivery of highly complex infrastructure in challenging environments and geographies.</w:t>
      </w:r>
    </w:p>
    <w:p>
      <w:pPr>
        <w:spacing w:after="0" w:line="175" w:lineRule="exact"/>
        <w:rPr>
          <w:rFonts w:ascii="Arial" w:cs="Arial" w:eastAsia="Arial" w:hAnsi="Arial"/>
          <w:sz w:val="16"/>
          <w:szCs w:val="16"/>
          <w:color w:val="auto"/>
        </w:rPr>
      </w:pPr>
    </w:p>
    <w:p>
      <w:pPr>
        <w:ind w:left="2160" w:right="20" w:hanging="434"/>
        <w:spacing w:after="0" w:line="238" w:lineRule="auto"/>
        <w:tabs>
          <w:tab w:leader="none" w:pos="2160" w:val="left"/>
        </w:tabs>
        <w:numPr>
          <w:ilvl w:val="1"/>
          <w:numId w:val="7"/>
        </w:numPr>
        <w:rPr>
          <w:rFonts w:ascii="Arial" w:cs="Arial" w:eastAsia="Arial" w:hAnsi="Arial"/>
          <w:sz w:val="17"/>
          <w:szCs w:val="17"/>
          <w:color w:val="auto"/>
        </w:rPr>
      </w:pPr>
      <w:r>
        <w:rPr>
          <w:rFonts w:ascii="Arial" w:cs="Arial" w:eastAsia="Arial" w:hAnsi="Arial"/>
          <w:sz w:val="17"/>
          <w:szCs w:val="17"/>
          <w:color w:val="auto"/>
        </w:rPr>
        <w:t>Representative programs include the National Science Foundation’s Antarctica Infrastructure Modernization for Science, the FAA Technical Services Contract, the DOE Salt Waste Processing Facility, the DTRA Cooperative Threat Reduction Integrating Contract, and the Radford Army Munition Plant Energetic Waste Incinerator.</w:t>
      </w:r>
    </w:p>
    <w:p>
      <w:pPr>
        <w:spacing w:after="0" w:line="192" w:lineRule="exact"/>
        <w:rPr>
          <w:sz w:val="20"/>
          <w:szCs w:val="20"/>
          <w:color w:val="auto"/>
        </w:rPr>
      </w:pPr>
    </w:p>
    <w:p>
      <w:pPr>
        <w:ind w:firstLine="433"/>
        <w:spacing w:after="0" w:line="235" w:lineRule="auto"/>
        <w:rPr>
          <w:sz w:val="20"/>
          <w:szCs w:val="20"/>
          <w:color w:val="auto"/>
        </w:rPr>
      </w:pPr>
      <w:r>
        <w:rPr>
          <w:rFonts w:ascii="Arial" w:cs="Arial" w:eastAsia="Arial" w:hAnsi="Arial"/>
          <w:sz w:val="17"/>
          <w:szCs w:val="17"/>
          <w:color w:val="auto"/>
        </w:rPr>
        <w:t>We completed two acquisitions in 2021 which strengthened the capabilities of our Federal Solutions organization. On July 6, 2021, we acquired Black Horse Solutions, Inc. for $205 million. The strategic acquisition expands Parsons’ capabilities and products in next-generation military, intelligence and space operations, specifically in cyber, electronic warfare and information dominance. BlackHorse Solutions’ technology is shaping the future of information dominance and converged military operations by unifying cyber, electromagnetic warfare, and information operations for the Department of Defense and Intelligence Community customers. BlackHorse Solutions also provides autonomous and distributed detection, identification, exploitation and the defeat of today’s most complex communications. Further, on July 30, 2021, we acquired Echo Ridge, LLC for approximately $9 million. Echo Ridge adds position, navigation, and timing devices; modeling, simulation, test and measurement tools; and deployable software defined radio products and signal processing services to Parsons’ space portfolio.</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Critical Infrastructure</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Critical Infrastructure business provides planning, engineering, program management, and digital solutions. It is focused on two business</w:t>
      </w:r>
    </w:p>
    <w:p>
      <w:pPr>
        <w:spacing w:after="0" w:line="233" w:lineRule="auto"/>
        <w:rPr>
          <w:sz w:val="20"/>
          <w:szCs w:val="20"/>
          <w:color w:val="auto"/>
        </w:rPr>
      </w:pPr>
      <w:r>
        <w:rPr>
          <w:rFonts w:ascii="Arial" w:cs="Arial" w:eastAsia="Arial" w:hAnsi="Arial"/>
          <w:sz w:val="17"/>
          <w:szCs w:val="17"/>
          <w:color w:val="auto"/>
        </w:rPr>
        <w:t>lines: Mobility Solutions (MS) and Connected Communities (CC). Our growth strategy includes leveraging our portfolio of sophisticated engineering</w:t>
      </w:r>
    </w:p>
    <w:p>
      <w:pPr>
        <w:spacing w:after="0" w:line="233" w:lineRule="auto"/>
        <w:rPr>
          <w:sz w:val="20"/>
          <w:szCs w:val="20"/>
          <w:color w:val="auto"/>
        </w:rPr>
      </w:pPr>
      <w:r>
        <w:rPr>
          <w:rFonts w:ascii="Arial" w:cs="Arial" w:eastAsia="Arial" w:hAnsi="Arial"/>
          <w:sz w:val="17"/>
          <w:szCs w:val="17"/>
          <w:color w:val="auto"/>
        </w:rPr>
        <w:t>solutions and technologies for complex physical infrastructure projects. We are expanding our portfolio in key emerging growth areas, including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integrated transportation systems, smart mobility, environmental remediation, and water/wastewater treatment.</w:t>
      </w:r>
    </w:p>
    <w:p>
      <w:pPr>
        <w:spacing w:after="0" w:line="198" w:lineRule="exact"/>
        <w:rPr>
          <w:sz w:val="20"/>
          <w:szCs w:val="20"/>
          <w:color w:val="auto"/>
        </w:rPr>
      </w:pPr>
    </w:p>
    <w:p>
      <w:pPr>
        <w:ind w:left="860" w:right="180" w:hanging="428"/>
        <w:spacing w:after="0" w:line="238" w:lineRule="auto"/>
        <w:tabs>
          <w:tab w:leader="none" w:pos="8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CC—Our CC business unit includes intelligent transportation systems, energy, environment, aviation, rail and transit, as well as our software house and digital transformation organization. Our customers include state and local governments, smart city developers, and private sector infrastructure owners, such as the transportation authorities for the cities of Los Angeles, New</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60"/>
          </w:cols>
          <w:pgMar w:left="320" w:top="544" w:right="419" w:bottom="1440" w:gutter="0" w:footer="0" w:header="0"/>
        </w:sectPr>
      </w:pPr>
    </w:p>
    <w:bookmarkStart w:id="9" w:name="page10"/>
    <w:bookmarkEnd w:id="9"/>
    <w:p>
      <w:pPr>
        <w:ind w:left="428" w:right="420"/>
        <w:spacing w:after="0" w:line="237" w:lineRule="auto"/>
        <w:rPr>
          <w:sz w:val="20"/>
          <w:szCs w:val="20"/>
          <w:color w:val="auto"/>
        </w:rPr>
      </w:pPr>
      <w:r>
        <w:rPr>
          <w:rFonts w:ascii="Arial" w:cs="Arial" w:eastAsia="Arial" w:hAnsi="Arial"/>
          <w:sz w:val="17"/>
          <w:szCs w:val="17"/>
          <w:color w:val="auto"/>
        </w:rPr>
        <w:t>York and Paris, the states or provinces of Georgia, Ontario and Texas and rail and transit entities, including AMTRAK, CSX, Metrolinx (Ontario Canada), and the WMATA. Technology capabilities include AI/ML, cloud, digital twins, cyber, systems integration, intelligent transportation network software, vehicle inspection data analytics software, automated people mover, baggage handling systems and autonomous vehicle integration.</w:t>
      </w:r>
    </w:p>
    <w:p>
      <w:pPr>
        <w:spacing w:after="0" w:line="191" w:lineRule="exact"/>
        <w:rPr>
          <w:sz w:val="20"/>
          <w:szCs w:val="20"/>
          <w:color w:val="auto"/>
        </w:rPr>
      </w:pPr>
    </w:p>
    <w:p>
      <w:pPr>
        <w:ind w:left="1288" w:right="40" w:hanging="425"/>
        <w:spacing w:after="0" w:line="237" w:lineRule="auto"/>
        <w:tabs>
          <w:tab w:leader="none" w:pos="1288" w:val="left"/>
        </w:tabs>
        <w:numPr>
          <w:ilvl w:val="1"/>
          <w:numId w:val="9"/>
        </w:numPr>
        <w:rPr>
          <w:rFonts w:ascii="Arial" w:cs="Arial" w:eastAsia="Arial" w:hAnsi="Arial"/>
          <w:sz w:val="17"/>
          <w:szCs w:val="17"/>
          <w:color w:val="auto"/>
        </w:rPr>
      </w:pPr>
      <w:r>
        <w:rPr>
          <w:rFonts w:ascii="Arial" w:cs="Arial" w:eastAsia="Arial" w:hAnsi="Arial"/>
          <w:sz w:val="17"/>
          <w:szCs w:val="17"/>
          <w:color w:val="auto"/>
        </w:rPr>
        <w:t>Parsons provides integrated traffic solutions for arterials, smart intersections, airport landside, ports and tolling integrators. An example is our role as provider of Advanced Traffic Management Systems, or ATMS, through our iNET™ platform. Since the first deployment in 2007, iNET® has been delivered to twenty-four state Departments of Transportation, twenty-two cities, eight county agencies, seven toll agencies, and seven different countries.</w:t>
      </w:r>
    </w:p>
    <w:p>
      <w:pPr>
        <w:spacing w:after="0" w:line="191" w:lineRule="exact"/>
        <w:rPr>
          <w:rFonts w:ascii="Arial" w:cs="Arial" w:eastAsia="Arial" w:hAnsi="Arial"/>
          <w:sz w:val="17"/>
          <w:szCs w:val="17"/>
          <w:color w:val="auto"/>
        </w:rPr>
      </w:pPr>
    </w:p>
    <w:p>
      <w:pPr>
        <w:ind w:left="1288" w:hanging="425"/>
        <w:spacing w:after="0" w:line="238" w:lineRule="auto"/>
        <w:tabs>
          <w:tab w:leader="none" w:pos="1288" w:val="left"/>
        </w:tabs>
        <w:numPr>
          <w:ilvl w:val="1"/>
          <w:numId w:val="9"/>
        </w:numPr>
        <w:rPr>
          <w:rFonts w:ascii="Arial" w:cs="Arial" w:eastAsia="Arial" w:hAnsi="Arial"/>
          <w:sz w:val="17"/>
          <w:szCs w:val="17"/>
          <w:color w:val="auto"/>
        </w:rPr>
      </w:pPr>
      <w:r>
        <w:rPr>
          <w:rFonts w:ascii="Arial" w:cs="Arial" w:eastAsia="Arial" w:hAnsi="Arial"/>
          <w:sz w:val="17"/>
          <w:szCs w:val="17"/>
          <w:color w:val="auto"/>
        </w:rPr>
        <w:t>For aviation, we play a critical role as program manager for global airports. We are the program manager of the environmentally sensitive Diamond Head Extension Program at Honolulu International Airport, the Houston Airport System, and the Landside Access Modernization Program for Los Angeles International Airport.</w:t>
      </w:r>
    </w:p>
    <w:p>
      <w:pPr>
        <w:spacing w:after="0" w:line="191" w:lineRule="exact"/>
        <w:rPr>
          <w:rFonts w:ascii="Arial" w:cs="Arial" w:eastAsia="Arial" w:hAnsi="Arial"/>
          <w:sz w:val="17"/>
          <w:szCs w:val="17"/>
          <w:color w:val="auto"/>
        </w:rPr>
      </w:pPr>
    </w:p>
    <w:p>
      <w:pPr>
        <w:ind w:left="1288" w:right="100" w:hanging="425"/>
        <w:spacing w:after="0" w:line="237" w:lineRule="auto"/>
        <w:tabs>
          <w:tab w:leader="none" w:pos="1288" w:val="left"/>
        </w:tabs>
        <w:numPr>
          <w:ilvl w:val="1"/>
          <w:numId w:val="9"/>
        </w:numPr>
        <w:rPr>
          <w:rFonts w:ascii="Arial" w:cs="Arial" w:eastAsia="Arial" w:hAnsi="Arial"/>
          <w:sz w:val="17"/>
          <w:szCs w:val="17"/>
          <w:color w:val="auto"/>
        </w:rPr>
      </w:pPr>
      <w:r>
        <w:rPr>
          <w:rFonts w:ascii="Arial" w:cs="Arial" w:eastAsia="Arial" w:hAnsi="Arial"/>
          <w:sz w:val="17"/>
          <w:szCs w:val="17"/>
          <w:color w:val="auto"/>
        </w:rPr>
        <w:t>Our rail and transit capabilities include systems optimization, communications-based train control, rail system design and system assurance. We have more than six decades of experience in this market and have supported over 400 rail and transit customers. Key programs included Edmonton light rail transit (as part of the Marigold Infrastructure Partners consortium) and the Bay Area Rapid Transit Communications-Based Train Control.</w:t>
      </w:r>
    </w:p>
    <w:p>
      <w:pPr>
        <w:spacing w:after="0" w:line="191" w:lineRule="exact"/>
        <w:rPr>
          <w:rFonts w:ascii="Arial" w:cs="Arial" w:eastAsia="Arial" w:hAnsi="Arial"/>
          <w:sz w:val="17"/>
          <w:szCs w:val="17"/>
          <w:color w:val="auto"/>
        </w:rPr>
      </w:pPr>
    </w:p>
    <w:p>
      <w:pPr>
        <w:ind w:left="1288" w:right="60" w:hanging="425"/>
        <w:spacing w:after="0" w:line="236" w:lineRule="auto"/>
        <w:tabs>
          <w:tab w:leader="none" w:pos="1288" w:val="left"/>
        </w:tabs>
        <w:numPr>
          <w:ilvl w:val="1"/>
          <w:numId w:val="9"/>
        </w:numPr>
        <w:rPr>
          <w:rFonts w:ascii="Arial" w:cs="Arial" w:eastAsia="Arial" w:hAnsi="Arial"/>
          <w:sz w:val="17"/>
          <w:szCs w:val="17"/>
          <w:color w:val="auto"/>
        </w:rPr>
      </w:pPr>
      <w:r>
        <w:rPr>
          <w:rFonts w:ascii="Arial" w:cs="Arial" w:eastAsia="Arial" w:hAnsi="Arial"/>
          <w:sz w:val="17"/>
          <w:szCs w:val="17"/>
          <w:color w:val="auto"/>
        </w:rPr>
        <w:t>Our Energy and Environment group delivers engineering, program management and environmental solutions to private sector industrial clients and public utilities. Customers are diverse and include chemical, energy, utility, communications, manufacturing and provincial agency customers. Our capabilities include environmental remediation, process engineering and program management of capital projects. We have a unique offering in this space, as Parsons understands our customers’ domains and can deliver advanced technology solutions, including cyber-physical security, environmental remediation, geospatial intelligence and 3D image processing, and application of virtual augmented reality.</w:t>
      </w:r>
    </w:p>
    <w:p>
      <w:pPr>
        <w:spacing w:after="0" w:line="190" w:lineRule="exact"/>
        <w:rPr>
          <w:rFonts w:ascii="Arial" w:cs="Arial" w:eastAsia="Arial" w:hAnsi="Arial"/>
          <w:sz w:val="17"/>
          <w:szCs w:val="17"/>
          <w:color w:val="auto"/>
        </w:rPr>
      </w:pPr>
    </w:p>
    <w:p>
      <w:pPr>
        <w:ind w:left="428" w:right="200" w:hanging="428"/>
        <w:spacing w:after="0" w:line="236" w:lineRule="auto"/>
        <w:tabs>
          <w:tab w:leader="none" w:pos="428" w:val="left"/>
        </w:tabs>
        <w:numPr>
          <w:ilvl w:val="0"/>
          <w:numId w:val="9"/>
        </w:numPr>
        <w:rPr>
          <w:rFonts w:ascii="Arial" w:cs="Arial" w:eastAsia="Arial" w:hAnsi="Arial"/>
          <w:sz w:val="17"/>
          <w:szCs w:val="17"/>
          <w:color w:val="auto"/>
        </w:rPr>
      </w:pPr>
      <w:r>
        <w:rPr>
          <w:rFonts w:ascii="Arial" w:cs="Arial" w:eastAsia="Arial" w:hAnsi="Arial"/>
          <w:sz w:val="17"/>
          <w:szCs w:val="17"/>
          <w:color w:val="auto"/>
        </w:rPr>
        <w:t>MS— Our MS business unit provides planning, engineering and management services for complex infrastructure, including bridges and tunnels, roads and highways, water and wastewater, dams and reservoirs. Within our diverse customer base, our customer relationships include states (e.g., Texas, Florida, California, Colorado, Washington, Georgia, Illinois, New York, and New Jersey), cities and Canadian provinces and territories (e.g., Ontario, British Columbia, Quebec and Alberta), water and wastewater authorities, and Middle East customers (e.g., the Kingdom of Saudi Arabia Royal Commission, Riyadh Metro, Dubai RTA, and the Abu Dhabi Municipality). Our capabilities include technologies in long-span bridges, tunnels, building Information modeling, and water/wastewater.</w:t>
      </w:r>
    </w:p>
    <w:p>
      <w:pPr>
        <w:spacing w:after="0" w:line="190" w:lineRule="exact"/>
        <w:rPr>
          <w:rFonts w:ascii="Arial" w:cs="Arial" w:eastAsia="Arial" w:hAnsi="Arial"/>
          <w:sz w:val="17"/>
          <w:szCs w:val="17"/>
          <w:color w:val="auto"/>
        </w:rPr>
      </w:pPr>
    </w:p>
    <w:p>
      <w:pPr>
        <w:ind w:left="1288" w:right="160" w:hanging="425"/>
        <w:spacing w:after="0" w:line="238" w:lineRule="auto"/>
        <w:tabs>
          <w:tab w:leader="none" w:pos="1288" w:val="left"/>
        </w:tabs>
        <w:numPr>
          <w:ilvl w:val="1"/>
          <w:numId w:val="9"/>
        </w:numPr>
        <w:rPr>
          <w:rFonts w:ascii="Arial" w:cs="Arial" w:eastAsia="Arial" w:hAnsi="Arial"/>
          <w:sz w:val="17"/>
          <w:szCs w:val="17"/>
          <w:color w:val="auto"/>
        </w:rPr>
      </w:pPr>
      <w:r>
        <w:rPr>
          <w:rFonts w:ascii="Arial" w:cs="Arial" w:eastAsia="Arial" w:hAnsi="Arial"/>
          <w:sz w:val="17"/>
          <w:szCs w:val="17"/>
          <w:color w:val="auto"/>
        </w:rPr>
        <w:t>Examples of our design capabilities are our role as the leading designer of the Tacoma Narrows Bridge, the largest twin tower suspension bridge in the world, lead designer for the Goethals bridge connecting Staten Island, NY, and Elizabeth, NJ, and lead designer for the Federal Way link extension for Sound Transit in Seattle.</w:t>
      </w:r>
    </w:p>
    <w:p>
      <w:pPr>
        <w:spacing w:after="0" w:line="191" w:lineRule="exact"/>
        <w:rPr>
          <w:rFonts w:ascii="Arial" w:cs="Arial" w:eastAsia="Arial" w:hAnsi="Arial"/>
          <w:sz w:val="17"/>
          <w:szCs w:val="17"/>
          <w:color w:val="auto"/>
        </w:rPr>
      </w:pPr>
    </w:p>
    <w:p>
      <w:pPr>
        <w:ind w:left="1288" w:right="140" w:hanging="425"/>
        <w:spacing w:after="0" w:line="238" w:lineRule="auto"/>
        <w:tabs>
          <w:tab w:leader="none" w:pos="1288" w:val="left"/>
        </w:tabs>
        <w:numPr>
          <w:ilvl w:val="1"/>
          <w:numId w:val="9"/>
        </w:numPr>
        <w:rPr>
          <w:rFonts w:ascii="Arial" w:cs="Arial" w:eastAsia="Arial" w:hAnsi="Arial"/>
          <w:sz w:val="17"/>
          <w:szCs w:val="17"/>
          <w:color w:val="auto"/>
        </w:rPr>
      </w:pPr>
      <w:r>
        <w:rPr>
          <w:rFonts w:ascii="Arial" w:cs="Arial" w:eastAsia="Arial" w:hAnsi="Arial"/>
          <w:sz w:val="17"/>
          <w:szCs w:val="17"/>
          <w:color w:val="auto"/>
        </w:rPr>
        <w:t>For program management, we are part of the Riyadh Metro Transit Consultants responsible for program management of the Riyadh metro system, the largest metro system under development in the world. In addition, we are the program manager for the California Delta Water Conveyance Modernization Project, a multi-billion environmentally</w:t>
      </w:r>
    </w:p>
    <w:p>
      <w:pPr>
        <w:spacing w:after="0" w:line="192" w:lineRule="exact"/>
        <w:rPr>
          <w:sz w:val="20"/>
          <w:szCs w:val="20"/>
          <w:color w:val="auto"/>
        </w:rPr>
      </w:pPr>
    </w:p>
    <w:p>
      <w:pPr>
        <w:jc w:val="center"/>
        <w:ind w:right="412"/>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48895</wp:posOffset>
            </wp:positionV>
            <wp:extent cx="716597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0808"/>
          </w:cols>
          <w:pgMar w:left="752" w:top="544" w:right="339" w:bottom="1440" w:gutter="0" w:footer="0" w:header="0"/>
        </w:sectPr>
      </w:pPr>
    </w:p>
    <w:bookmarkStart w:id="10" w:name="page11"/>
    <w:bookmarkEnd w:id="10"/>
    <w:p>
      <w:pPr>
        <w:ind w:left="1720"/>
        <w:spacing w:after="0"/>
        <w:rPr>
          <w:sz w:val="20"/>
          <w:szCs w:val="20"/>
          <w:color w:val="auto"/>
        </w:rPr>
      </w:pPr>
      <w:r>
        <w:rPr>
          <w:rFonts w:ascii="Arial" w:cs="Arial" w:eastAsia="Arial" w:hAnsi="Arial"/>
          <w:sz w:val="17"/>
          <w:szCs w:val="17"/>
          <w:color w:val="auto"/>
        </w:rPr>
        <w:t>compliant water transfer project to improve water supply sustainability and reliability for human and environmental uses.</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Market Opportunities</w:t>
      </w:r>
    </w:p>
    <w:p>
      <w:pPr>
        <w:spacing w:after="0" w:line="218" w:lineRule="exact"/>
        <w:rPr>
          <w:sz w:val="20"/>
          <w:szCs w:val="20"/>
          <w:color w:val="auto"/>
        </w:rPr>
      </w:pPr>
    </w:p>
    <w:p>
      <w:pPr>
        <w:ind w:right="140" w:firstLine="433"/>
        <w:spacing w:after="0" w:line="237" w:lineRule="auto"/>
        <w:rPr>
          <w:sz w:val="20"/>
          <w:szCs w:val="20"/>
          <w:color w:val="auto"/>
        </w:rPr>
      </w:pPr>
      <w:r>
        <w:rPr>
          <w:rFonts w:ascii="Arial" w:cs="Arial" w:eastAsia="Arial" w:hAnsi="Arial"/>
          <w:sz w:val="17"/>
          <w:szCs w:val="17"/>
          <w:color w:val="auto"/>
        </w:rPr>
        <w:t>Technology revolution and environmental impact is driving a swift pace of change, resulting in ongoing societal transformation, complicated geopolitical dynamics, a shifting threat landscape and the globalization of commerce. To address this evolving landscape, our customers are actively seeking technology-enabled solutions at the speed of relevancy to upgrade and transform assets and operations. The below trends are key growth drivers in both our Federal Solutions and Critical Infrastructure segments.</w:t>
      </w:r>
    </w:p>
    <w:p>
      <w:pPr>
        <w:spacing w:after="0" w:line="171" w:lineRule="exact"/>
        <w:rPr>
          <w:sz w:val="20"/>
          <w:szCs w:val="20"/>
          <w:color w:val="auto"/>
        </w:rPr>
      </w:pPr>
    </w:p>
    <w:p>
      <w:pPr>
        <w:ind w:firstLine="433"/>
        <w:spacing w:after="0" w:line="244" w:lineRule="auto"/>
        <w:rPr>
          <w:sz w:val="20"/>
          <w:szCs w:val="20"/>
          <w:color w:val="auto"/>
        </w:rPr>
      </w:pPr>
      <w:r>
        <w:rPr>
          <w:rFonts w:ascii="Arial" w:cs="Arial" w:eastAsia="Arial" w:hAnsi="Arial"/>
          <w:sz w:val="17"/>
          <w:szCs w:val="17"/>
          <w:b w:val="1"/>
          <w:bCs w:val="1"/>
          <w:i w:val="1"/>
          <w:iCs w:val="1"/>
          <w:color w:val="auto"/>
        </w:rPr>
        <w:t xml:space="preserve">Defense Spending Remains a Priority </w:t>
      </w:r>
      <w:r>
        <w:rPr>
          <w:rFonts w:ascii="Arial" w:cs="Arial" w:eastAsia="Arial" w:hAnsi="Arial"/>
          <w:sz w:val="17"/>
          <w:szCs w:val="17"/>
          <w:color w:val="auto"/>
        </w:rPr>
        <w:t>of the national agenda due to the reemergence of long-term strategic peer competition, which has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cited in the National Defense Strategy as the primary concern for U.S. national prosperity and security. This reemergence has resulted in increased global disorder and a security environment, defined by rapid technological change, which may be more complex than ever before. We believe the U.S. Department of Defense and intelligence community will continue to invest in cyber, space, C5ISR, and missile defense.</w:t>
      </w:r>
    </w:p>
    <w:p>
      <w:pPr>
        <w:spacing w:after="0" w:line="169" w:lineRule="exact"/>
        <w:rPr>
          <w:sz w:val="20"/>
          <w:szCs w:val="20"/>
          <w:color w:val="auto"/>
        </w:rPr>
      </w:pPr>
    </w:p>
    <w:p>
      <w:pPr>
        <w:ind w:right="20" w:firstLine="433"/>
        <w:spacing w:after="0" w:line="239" w:lineRule="auto"/>
        <w:rPr>
          <w:sz w:val="20"/>
          <w:szCs w:val="20"/>
          <w:color w:val="auto"/>
        </w:rPr>
      </w:pPr>
      <w:r>
        <w:rPr>
          <w:rFonts w:ascii="Arial" w:cs="Arial" w:eastAsia="Arial" w:hAnsi="Arial"/>
          <w:sz w:val="17"/>
          <w:szCs w:val="17"/>
          <w:b w:val="1"/>
          <w:bCs w:val="1"/>
          <w:i w:val="1"/>
          <w:iCs w:val="1"/>
          <w:color w:val="auto"/>
        </w:rPr>
        <w:t xml:space="preserve">Cybersecurity is Mission Critical to U.S. National Security </w:t>
      </w:r>
      <w:r>
        <w:rPr>
          <w:rFonts w:ascii="Arial" w:cs="Arial" w:eastAsia="Arial" w:hAnsi="Arial"/>
          <w:sz w:val="17"/>
          <w:szCs w:val="17"/>
          <w:color w:val="auto"/>
        </w:rPr>
        <w:t>and cybersecurity threats are increasing in volume and sophistication as global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connectivity and the rise of social media have led to an explosion in the amount of available and exploitable data. The recent SolarWinds hacking incident is a noteworthy example, and attacks on our critical infrastructure continue to rise. The Center for Strategic and International Studies estimates that threats from hacks, cyber criminals, foreign governments, malicious insiders and corporate espionage have a $600 billion annual global cost impact. The proliferation of mobile devices, smart devices and cloud computing has vastly increased the need for enterprise-wide risk-based cybersecurity programs and governments have become increasingly aware of the need for a proactive approach to the risk of cyber-attacks. We believe that this market will continue to grow in response to the shifting threat landscape and recent high-profile attacks, including SolarWinds.</w:t>
      </w:r>
    </w:p>
    <w:p>
      <w:pPr>
        <w:spacing w:after="0" w:line="171" w:lineRule="exact"/>
        <w:rPr>
          <w:sz w:val="20"/>
          <w:szCs w:val="20"/>
          <w:color w:val="auto"/>
        </w:rPr>
      </w:pPr>
    </w:p>
    <w:p>
      <w:pPr>
        <w:ind w:firstLine="433"/>
        <w:spacing w:after="0" w:line="241" w:lineRule="auto"/>
        <w:rPr>
          <w:sz w:val="20"/>
          <w:szCs w:val="20"/>
          <w:color w:val="auto"/>
        </w:rPr>
      </w:pPr>
      <w:r>
        <w:rPr>
          <w:rFonts w:ascii="Arial" w:cs="Arial" w:eastAsia="Arial" w:hAnsi="Arial"/>
          <w:sz w:val="17"/>
          <w:szCs w:val="17"/>
          <w:b w:val="1"/>
          <w:bCs w:val="1"/>
          <w:i w:val="1"/>
          <w:iCs w:val="1"/>
          <w:color w:val="auto"/>
        </w:rPr>
        <w:t xml:space="preserve">Consistent Need for Actionable Intelligence to Support U.S. Priorities </w:t>
      </w:r>
      <w:r>
        <w:rPr>
          <w:rFonts w:ascii="Arial" w:cs="Arial" w:eastAsia="Arial" w:hAnsi="Arial"/>
          <w:sz w:val="17"/>
          <w:szCs w:val="17"/>
          <w:color w:val="auto"/>
        </w:rPr>
        <w:t>is driving a shifting threat landscape that necessitates a greater need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collaboration and cooperation between intelligence agencies. There is a new demand for joint all-domain command and control systems that are optimized to function cohesively across a spectrum of domains. This in turn drives a need for sophisticated data analytics to aggregate data into useful formats in real-time. To respond, we believe the United States intelligence community and Department of Defense will need continued focus on information sharing and collaboration for improved intelligence accuracy and timeliness encompassing multiple forms of intelligence collection.</w:t>
      </w:r>
    </w:p>
    <w:p>
      <w:pPr>
        <w:spacing w:after="0" w:line="172" w:lineRule="exact"/>
        <w:rPr>
          <w:sz w:val="20"/>
          <w:szCs w:val="20"/>
          <w:color w:val="auto"/>
        </w:rPr>
      </w:pPr>
    </w:p>
    <w:p>
      <w:pPr>
        <w:ind w:firstLine="433"/>
        <w:spacing w:after="0" w:line="237" w:lineRule="auto"/>
        <w:rPr>
          <w:sz w:val="20"/>
          <w:szCs w:val="20"/>
          <w:color w:val="auto"/>
        </w:rPr>
      </w:pPr>
      <w:r>
        <w:rPr>
          <w:rFonts w:ascii="Arial" w:cs="Arial" w:eastAsia="Arial" w:hAnsi="Arial"/>
          <w:sz w:val="17"/>
          <w:szCs w:val="17"/>
          <w:b w:val="1"/>
          <w:bCs w:val="1"/>
          <w:i w:val="1"/>
          <w:iCs w:val="1"/>
          <w:color w:val="auto"/>
        </w:rPr>
        <w:t>Global Infrastructure Needs Significant Replacements and Technology-Driven Upgrades</w:t>
      </w:r>
      <w:r>
        <w:rPr>
          <w:rFonts w:ascii="Arial" w:cs="Arial" w:eastAsia="Arial" w:hAnsi="Arial"/>
          <w:sz w:val="17"/>
          <w:szCs w:val="17"/>
          <w:color w:val="auto"/>
        </w:rPr>
        <w:t>. Aging physical infrastructure is strained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swift pace of technological change combined with heightened new expectations for sustainability and environmental impact. Furthermore, modernized infrastructure is important to recover from unexpected disasters caused by climate change. The United States infrastructure needs exceed $2 trillion according to the American Society of Civil Engineers, for roads, highways, bridges, water/wastewater and other infrastructure needs. The Infrastructure Investment and Jobs Act (IJJA) has increased funding for roads and highways, bridges, rail and transit, and aviation. Additionally, global infrastructure is aging and there is demand in other regions, including Canada, the Middle East and Europe. Critical infrastructure, specifically transportation infrastructure that is essential to national economic and security concerns including airports, bridges, and rail and transit systems, is particularly vulnerable. We believe that a focus on safety, sustainability and environmental impacts will continue to drive replacement of aging infrastructure with newer, smarter and more sustainable infrastructure with an increased focus on connectivity.</w:t>
      </w:r>
    </w:p>
    <w:p>
      <w:pPr>
        <w:spacing w:after="0" w:line="177" w:lineRule="exact"/>
        <w:rPr>
          <w:sz w:val="20"/>
          <w:szCs w:val="20"/>
          <w:color w:val="auto"/>
        </w:rPr>
      </w:pPr>
    </w:p>
    <w:p>
      <w:pPr>
        <w:ind w:right="60" w:firstLine="433"/>
        <w:spacing w:after="0" w:line="250" w:lineRule="auto"/>
        <w:rPr>
          <w:sz w:val="20"/>
          <w:szCs w:val="20"/>
          <w:color w:val="auto"/>
        </w:rPr>
      </w:pPr>
      <w:r>
        <w:rPr>
          <w:rFonts w:ascii="Arial" w:cs="Arial" w:eastAsia="Arial" w:hAnsi="Arial"/>
          <w:sz w:val="17"/>
          <w:szCs w:val="17"/>
          <w:b w:val="1"/>
          <w:bCs w:val="1"/>
          <w:i w:val="1"/>
          <w:iCs w:val="1"/>
          <w:color w:val="auto"/>
        </w:rPr>
        <w:t>Urbanization Creates Demand for Smart Cities with Connected Populations</w:t>
      </w:r>
      <w:r>
        <w:rPr>
          <w:rFonts w:ascii="Arial" w:cs="Arial" w:eastAsia="Arial" w:hAnsi="Arial"/>
          <w:sz w:val="17"/>
          <w:szCs w:val="17"/>
          <w:color w:val="auto"/>
        </w:rPr>
        <w:t>. Cities around the globe increasingly demand new more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sustainable capabilities, such as sensor networks and communication strategies to connect streetlights, security cameras and emergency systems, to provide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1" w:name="page12"/>
    <w:bookmarkEnd w:id="11"/>
    <w:p>
      <w:pPr>
        <w:ind w:right="280"/>
        <w:spacing w:after="0" w:line="238" w:lineRule="auto"/>
        <w:rPr>
          <w:sz w:val="20"/>
          <w:szCs w:val="20"/>
          <w:color w:val="auto"/>
        </w:rPr>
      </w:pPr>
      <w:r>
        <w:rPr>
          <w:rFonts w:ascii="Arial" w:cs="Arial" w:eastAsia="Arial" w:hAnsi="Arial"/>
          <w:sz w:val="17"/>
          <w:szCs w:val="17"/>
          <w:color w:val="auto"/>
        </w:rPr>
        <w:t>important real-time information and better serve their citizens and reduce carbon emissions. Integrated corridor management solutions, intelligent transportation systems, advanced rail systems and updated telecommunication networks will keep cities around the world functioning as smart and sustainable cities and serve as engines for economic growth.</w:t>
      </w:r>
    </w:p>
    <w:p>
      <w:pPr>
        <w:spacing w:after="0" w:line="172" w:lineRule="exact"/>
        <w:rPr>
          <w:sz w:val="20"/>
          <w:szCs w:val="20"/>
          <w:color w:val="auto"/>
        </w:rPr>
      </w:pPr>
    </w:p>
    <w:p>
      <w:pPr>
        <w:ind w:right="120" w:firstLine="433"/>
        <w:spacing w:after="0"/>
        <w:rPr>
          <w:sz w:val="20"/>
          <w:szCs w:val="20"/>
          <w:color w:val="auto"/>
        </w:rPr>
      </w:pPr>
      <w:r>
        <w:rPr>
          <w:rFonts w:ascii="Arial" w:cs="Arial" w:eastAsia="Arial" w:hAnsi="Arial"/>
          <w:sz w:val="17"/>
          <w:szCs w:val="17"/>
          <w:b w:val="1"/>
          <w:bCs w:val="1"/>
          <w:i w:val="1"/>
          <w:iCs w:val="1"/>
          <w:color w:val="auto"/>
        </w:rPr>
        <w:t>Transformation of Legacy Service Delivery Models through Technology and Digital Transformation</w:t>
      </w:r>
      <w:r>
        <w:rPr>
          <w:rFonts w:ascii="Arial" w:cs="Arial" w:eastAsia="Arial" w:hAnsi="Arial"/>
          <w:sz w:val="17"/>
          <w:szCs w:val="17"/>
          <w:color w:val="auto"/>
        </w:rPr>
        <w:t>. Historical capital project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is changing with the introduction of cloud-connected computer-aided design, automation, big data, machine learning and other technologies. The introduction of these new technologies allows industry participants to reimagine existing value chains, address integrated lifecycle objectives, assure human rights are observed in their supply chains, provide environmentally sensitive and sustainable solutions, boost productivity and streamline project management. Industry participants that have the capability to embrace these new technologies to enhance their capability and service offering to higher value solutions will be well positioned to assist governments and communities in their transformation.</w:t>
      </w:r>
    </w:p>
    <w:p>
      <w:pPr>
        <w:spacing w:after="0" w:line="191" w:lineRule="exact"/>
        <w:rPr>
          <w:sz w:val="20"/>
          <w:szCs w:val="20"/>
          <w:color w:val="auto"/>
        </w:rPr>
      </w:pPr>
    </w:p>
    <w:p>
      <w:pPr>
        <w:ind w:right="160" w:firstLine="433"/>
        <w:spacing w:after="0" w:line="238" w:lineRule="auto"/>
        <w:rPr>
          <w:sz w:val="20"/>
          <w:szCs w:val="20"/>
          <w:color w:val="auto"/>
        </w:rPr>
      </w:pPr>
      <w:r>
        <w:rPr>
          <w:rFonts w:ascii="Arial" w:cs="Arial" w:eastAsia="Arial" w:hAnsi="Arial"/>
          <w:sz w:val="17"/>
          <w:szCs w:val="17"/>
          <w:color w:val="auto"/>
        </w:rPr>
        <w:t>Change equals opportunity, and Parsons is well-positioned to serve a large array of diverse global customers. Across a broad set of industries, we provide smart and agile solutions that create the future for our national security and critical infrastructure customers as they adapt to the rapid changes of a more interconnected and technology-driven world.</w:t>
      </w:r>
    </w:p>
    <w:p>
      <w:pPr>
        <w:spacing w:after="0" w:line="172" w:lineRule="exact"/>
        <w:rPr>
          <w:sz w:val="20"/>
          <w:szCs w:val="20"/>
          <w:color w:val="auto"/>
        </w:rPr>
      </w:pPr>
    </w:p>
    <w:p>
      <w:pPr>
        <w:jc w:val="right"/>
        <w:ind w:right="9080"/>
        <w:spacing w:after="0"/>
        <w:rPr>
          <w:sz w:val="20"/>
          <w:szCs w:val="20"/>
          <w:color w:val="auto"/>
        </w:rPr>
      </w:pPr>
      <w:r>
        <w:rPr>
          <w:rFonts w:ascii="Arial" w:cs="Arial" w:eastAsia="Arial" w:hAnsi="Arial"/>
          <w:sz w:val="16"/>
          <w:szCs w:val="16"/>
          <w:b w:val="1"/>
          <w:bCs w:val="1"/>
          <w:color w:val="auto"/>
        </w:rPr>
        <w:t>Our Competitive Strengths</w:t>
      </w:r>
    </w:p>
    <w:p>
      <w:pPr>
        <w:spacing w:after="0" w:line="108" w:lineRule="exact"/>
        <w:rPr>
          <w:sz w:val="20"/>
          <w:szCs w:val="20"/>
          <w:color w:val="auto"/>
        </w:rPr>
      </w:pPr>
    </w:p>
    <w:p>
      <w:pPr>
        <w:jc w:val="right"/>
        <w:ind w:right="9100"/>
        <w:spacing w:after="0"/>
        <w:rPr>
          <w:sz w:val="20"/>
          <w:szCs w:val="20"/>
          <w:color w:val="auto"/>
        </w:rPr>
      </w:pPr>
      <w:r>
        <w:rPr>
          <w:rFonts w:ascii="Arial" w:cs="Arial" w:eastAsia="Arial" w:hAnsi="Arial"/>
          <w:sz w:val="17"/>
          <w:szCs w:val="17"/>
          <w:b w:val="1"/>
          <w:bCs w:val="1"/>
          <w:i w:val="1"/>
          <w:iCs w:val="1"/>
          <w:color w:val="auto"/>
        </w:rPr>
        <w:t>Proven Track Record</w:t>
      </w:r>
    </w:p>
    <w:p>
      <w:pPr>
        <w:spacing w:after="0" w:line="116" w:lineRule="exact"/>
        <w:rPr>
          <w:sz w:val="20"/>
          <w:szCs w:val="20"/>
          <w:color w:val="auto"/>
        </w:rPr>
      </w:pPr>
    </w:p>
    <w:p>
      <w:pPr>
        <w:ind w:right="60" w:firstLine="433"/>
        <w:spacing w:after="0" w:line="237" w:lineRule="auto"/>
        <w:rPr>
          <w:sz w:val="20"/>
          <w:szCs w:val="20"/>
          <w:color w:val="auto"/>
        </w:rPr>
      </w:pPr>
      <w:r>
        <w:rPr>
          <w:rFonts w:ascii="Arial" w:cs="Arial" w:eastAsia="Arial" w:hAnsi="Arial"/>
          <w:sz w:val="17"/>
          <w:szCs w:val="17"/>
          <w:color w:val="auto"/>
        </w:rPr>
        <w:t>Our proven track record is a result of our strong performance, the dedication of our employees and our longstanding customer relationships. We focus on being a company that delivers on its promises, holds integrity at the highest level and successfully assists our clients as they execute their most complex missions. Driven by our integrated people, processes and technology approach, we have a reputation for innovation and delivering mission outcomes for our customers’ most important endeavors.</w:t>
      </w:r>
    </w:p>
    <w:p>
      <w:pPr>
        <w:spacing w:after="0" w:line="90" w:lineRule="exact"/>
        <w:rPr>
          <w:sz w:val="20"/>
          <w:szCs w:val="20"/>
          <w:color w:val="auto"/>
        </w:rPr>
      </w:pPr>
    </w:p>
    <w:p>
      <w:pPr>
        <w:ind w:firstLine="433"/>
        <w:spacing w:after="0" w:line="235" w:lineRule="auto"/>
        <w:rPr>
          <w:sz w:val="20"/>
          <w:szCs w:val="20"/>
          <w:color w:val="auto"/>
        </w:rPr>
      </w:pPr>
      <w:r>
        <w:rPr>
          <w:rFonts w:ascii="Arial" w:cs="Arial" w:eastAsia="Arial" w:hAnsi="Arial"/>
          <w:sz w:val="17"/>
          <w:szCs w:val="17"/>
          <w:color w:val="auto"/>
        </w:rPr>
        <w:t>Our differentiated business model has driven high win rates with strong book-to-bill, expanded bottom line performance, record backlog levels and low capital requirements. We achieved average award and incentive fees of 93% in fiscal 2021 and average award and incentive fees of 89% in fiscal years 2020 and 2019. Incentive fees are fees earned for achievement of certain performance criteria included in our contracts, such as achievement of target completion dates or target costs, and our incentive fees average is calculated as the actual incentive fees achieved as a percentage of incentive fees expected to be earned in the applicable period. In addition, we achieved a win rate of 55.9% in fiscal 2021, 46.4% in fiscal 2020 and 37.9% in fiscal 2019, for new awards that we bid on (including a win rate on re-compete contracts and task orders in the Federal Solutions segment of 97.2% in fiscal 2021, 85.4% in fiscal 2020 and 84.9% in fiscal 2019). In fiscal 2021, our Federal Solutions revenues decreased 1.2% and our Critical Infrastructure revenues decreased 11.7% year-over-year. As of December 31, 2021, our backlog was $8.3 billion, up 3.1% from year end fiscal 2020.</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Long-Term Customer Relationships</w:t>
      </w:r>
    </w:p>
    <w:p>
      <w:pPr>
        <w:spacing w:after="0" w:line="116" w:lineRule="exact"/>
        <w:rPr>
          <w:sz w:val="20"/>
          <w:szCs w:val="20"/>
          <w:color w:val="auto"/>
        </w:rPr>
      </w:pPr>
    </w:p>
    <w:p>
      <w:pPr>
        <w:ind w:firstLine="433"/>
        <w:spacing w:after="0" w:line="233" w:lineRule="auto"/>
        <w:rPr>
          <w:sz w:val="20"/>
          <w:szCs w:val="20"/>
          <w:color w:val="auto"/>
        </w:rPr>
      </w:pPr>
      <w:r>
        <w:rPr>
          <w:rFonts w:ascii="Arial" w:cs="Arial" w:eastAsia="Arial" w:hAnsi="Arial"/>
          <w:sz w:val="17"/>
          <w:szCs w:val="17"/>
          <w:color w:val="auto"/>
        </w:rPr>
        <w:t>We maintain long-term relationships with key government and commercial customers, many of which span over 40 years. For example, in the Federal Solutions segment, we have been providing support to the MDA for over 30 years with over 1,000 personnel imbedded with the customer. We have provided services to the Department of Energy for over 50 years on a variety of projects, including work on DOE’s Loan Guarantee Program that funds renewable and clean energy projects, and have over 20 years of support with the United States Space Force customers. In the Critical Infrastructure segment, we have supported the WMATA for over 50 years and have served as Program Manager for Yanbu Industrial City for over</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43 years.</w:t>
      </w:r>
    </w:p>
    <w:p>
      <w:pPr>
        <w:spacing w:after="0" w:line="96" w:lineRule="exact"/>
        <w:rPr>
          <w:sz w:val="20"/>
          <w:szCs w:val="20"/>
          <w:color w:val="auto"/>
        </w:rPr>
      </w:pPr>
    </w:p>
    <w:p>
      <w:pPr>
        <w:ind w:right="160" w:firstLine="433"/>
        <w:spacing w:after="0" w:line="237" w:lineRule="auto"/>
        <w:rPr>
          <w:sz w:val="20"/>
          <w:szCs w:val="20"/>
          <w:color w:val="auto"/>
        </w:rPr>
      </w:pPr>
      <w:r>
        <w:rPr>
          <w:rFonts w:ascii="Arial" w:cs="Arial" w:eastAsia="Arial" w:hAnsi="Arial"/>
          <w:sz w:val="17"/>
          <w:szCs w:val="17"/>
          <w:color w:val="auto"/>
        </w:rPr>
        <w:t>These longstanding relationships give us the insight and customer intimacy to align our research and development investments based on customer needs and enable high win rates for prime contract positions on the most technically demanding assignments. We believe that our position as a recognized leader in integrity, innovation, operational efficiency, safety and security, environmental and health, and our ability to deliver exceptional quality has resulted in a high level of re-compete wins and has driven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 w:name="page13"/>
    <w:bookmarkEnd w:id="12"/>
    <w:p>
      <w:pPr>
        <w:jc w:val="both"/>
        <w:ind w:right="40"/>
        <w:spacing w:after="0" w:line="238" w:lineRule="auto"/>
        <w:rPr>
          <w:sz w:val="20"/>
          <w:szCs w:val="20"/>
          <w:color w:val="auto"/>
        </w:rPr>
      </w:pPr>
      <w:r>
        <w:rPr>
          <w:rFonts w:ascii="Arial" w:cs="Arial" w:eastAsia="Arial" w:hAnsi="Arial"/>
          <w:sz w:val="17"/>
          <w:szCs w:val="17"/>
          <w:color w:val="auto"/>
        </w:rPr>
        <w:t>substantial customer loyalty. Market segments including cybersecurity, missile defense, C5ISR, space systems and connected cities require leading-edge technologies and extensive technical know-how, and necessitate consistently exceptional performance, thus further entrenching us with our key customers and driving our long-term relationships.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Technology Innovation</w:t>
      </w:r>
    </w:p>
    <w:p>
      <w:pPr>
        <w:spacing w:after="0" w:line="116" w:lineRule="exact"/>
        <w:rPr>
          <w:sz w:val="20"/>
          <w:szCs w:val="20"/>
          <w:color w:val="auto"/>
        </w:rPr>
      </w:pPr>
    </w:p>
    <w:p>
      <w:pPr>
        <w:ind w:firstLine="433"/>
        <w:spacing w:after="0" w:line="237" w:lineRule="auto"/>
        <w:rPr>
          <w:sz w:val="20"/>
          <w:szCs w:val="20"/>
          <w:color w:val="auto"/>
        </w:rPr>
      </w:pPr>
      <w:r>
        <w:rPr>
          <w:rFonts w:ascii="Arial" w:cs="Arial" w:eastAsia="Arial" w:hAnsi="Arial"/>
          <w:sz w:val="17"/>
          <w:szCs w:val="17"/>
          <w:color w:val="auto"/>
        </w:rPr>
        <w:t>To solve the world’s toughest technical challenges, we are committed to delivering the world’s smartest solutions. As innovators, we combine unique technology solutions with deep domain expertise to stay ahead of our competition and our customers’ national security and critical infrastructure needs. Leveraging our vast capability portfolio, we have deployed our technology-enabled solutions in over 30 countries with more than 1,800 customers utilizing our solutions across the federal and critical infrastructure markets.</w:t>
      </w:r>
    </w:p>
    <w:p>
      <w:pPr>
        <w:spacing w:after="0" w:line="90" w:lineRule="exact"/>
        <w:rPr>
          <w:sz w:val="20"/>
          <w:szCs w:val="20"/>
          <w:color w:val="auto"/>
        </w:rPr>
      </w:pPr>
    </w:p>
    <w:p>
      <w:pPr>
        <w:ind w:right="120" w:firstLine="433"/>
        <w:spacing w:after="0" w:line="238" w:lineRule="auto"/>
        <w:rPr>
          <w:sz w:val="20"/>
          <w:szCs w:val="20"/>
          <w:color w:val="auto"/>
        </w:rPr>
      </w:pPr>
      <w:r>
        <w:rPr>
          <w:rFonts w:ascii="Arial" w:cs="Arial" w:eastAsia="Arial" w:hAnsi="Arial"/>
          <w:sz w:val="17"/>
          <w:szCs w:val="17"/>
          <w:color w:val="auto"/>
        </w:rPr>
        <w:t>With a rich history and deep domain expertise in market areas such as rail, transit, aviation, environmental remediation, space mission engineering, cyber and C5ISR, we apply advanced solutions that leverage emerging and enabling technologies, such as edge computing, cloud and native platforms, advanced data analytics, cybersecurity, and AI/ML.</w:t>
      </w:r>
    </w:p>
    <w:p>
      <w:pPr>
        <w:spacing w:after="0" w:line="90" w:lineRule="exact"/>
        <w:rPr>
          <w:sz w:val="20"/>
          <w:szCs w:val="20"/>
          <w:color w:val="auto"/>
        </w:rPr>
      </w:pPr>
    </w:p>
    <w:p>
      <w:pPr>
        <w:ind w:right="320" w:firstLine="433"/>
        <w:spacing w:after="0" w:line="238" w:lineRule="auto"/>
        <w:rPr>
          <w:sz w:val="20"/>
          <w:szCs w:val="20"/>
          <w:color w:val="auto"/>
        </w:rPr>
      </w:pPr>
      <w:r>
        <w:rPr>
          <w:rFonts w:ascii="Arial" w:cs="Arial" w:eastAsia="Arial" w:hAnsi="Arial"/>
          <w:sz w:val="17"/>
          <w:szCs w:val="17"/>
          <w:color w:val="auto"/>
        </w:rPr>
        <w:t>Leveraging our agile innovation framework and a cadre of seasoned domain experts, solutions architects, and technologists, we seek out customer challenges and lead with innovative solutions to drive growth. Additionally, through our acquisitions, we continue to enhance our overall capability offerings in innovative ways, providing more robust solutions that meet our customers’ most challenging needs.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Environmental Sustainability and Resiliency Excellence</w:t>
      </w:r>
    </w:p>
    <w:p>
      <w:pPr>
        <w:spacing w:after="0" w:line="116" w:lineRule="exact"/>
        <w:rPr>
          <w:sz w:val="20"/>
          <w:szCs w:val="20"/>
          <w:color w:val="auto"/>
        </w:rPr>
      </w:pPr>
    </w:p>
    <w:p>
      <w:pPr>
        <w:ind w:right="20" w:firstLine="433"/>
        <w:spacing w:after="0" w:line="237" w:lineRule="auto"/>
        <w:rPr>
          <w:sz w:val="20"/>
          <w:szCs w:val="20"/>
          <w:color w:val="auto"/>
        </w:rPr>
      </w:pPr>
      <w:r>
        <w:rPr>
          <w:rFonts w:ascii="Arial" w:cs="Arial" w:eastAsia="Arial" w:hAnsi="Arial"/>
          <w:sz w:val="17"/>
          <w:szCs w:val="17"/>
          <w:color w:val="auto"/>
        </w:rPr>
        <w:t>Delivering a safer, healthier and more connected world means a focus on environmental sustainability, resilience, conservation and lifecycle impacts. For Parsons, sustainability is a core value. We provide services to plan, design and support complex sustainable projects for our customers across the markets we serve, including transportation (aviation, rail and transit, intelligent transportation systems), ports, buildings, environmental remediation, and water/wastewater treatment.</w:t>
      </w:r>
    </w:p>
    <w:p>
      <w:pPr>
        <w:spacing w:after="0" w:line="90" w:lineRule="exact"/>
        <w:rPr>
          <w:sz w:val="20"/>
          <w:szCs w:val="20"/>
          <w:color w:val="auto"/>
        </w:rPr>
      </w:pPr>
    </w:p>
    <w:p>
      <w:pPr>
        <w:jc w:val="both"/>
        <w:ind w:right="100" w:firstLine="433"/>
        <w:spacing w:after="0" w:line="238" w:lineRule="auto"/>
        <w:rPr>
          <w:sz w:val="20"/>
          <w:szCs w:val="20"/>
          <w:color w:val="auto"/>
        </w:rPr>
      </w:pPr>
      <w:r>
        <w:rPr>
          <w:rFonts w:ascii="Arial" w:cs="Arial" w:eastAsia="Arial" w:hAnsi="Arial"/>
          <w:sz w:val="17"/>
          <w:szCs w:val="17"/>
          <w:color w:val="auto"/>
        </w:rPr>
        <w:t>With over 233 sustainability accreditations, we deliver resilient infrastructure, green building and renewable energy programs and projects that utilize best industry practices, as well as utilize leading edge technology and tools to provide environmental remediation. We work with customers to achieve and obtain the highest possible ratings within the LEED, Envision, Estidama, and other ratings worldwide.</w:t>
      </w:r>
    </w:p>
    <w:p>
      <w:pPr>
        <w:spacing w:after="0" w:line="90" w:lineRule="exact"/>
        <w:rPr>
          <w:sz w:val="20"/>
          <w:szCs w:val="20"/>
          <w:color w:val="auto"/>
        </w:rPr>
      </w:pPr>
    </w:p>
    <w:p>
      <w:pPr>
        <w:ind w:right="100" w:firstLine="433"/>
        <w:spacing w:after="0" w:line="238" w:lineRule="auto"/>
        <w:rPr>
          <w:sz w:val="20"/>
          <w:szCs w:val="20"/>
          <w:color w:val="auto"/>
        </w:rPr>
      </w:pPr>
      <w:r>
        <w:rPr>
          <w:rFonts w:ascii="Arial" w:cs="Arial" w:eastAsia="Arial" w:hAnsi="Arial"/>
          <w:sz w:val="17"/>
          <w:szCs w:val="17"/>
          <w:color w:val="auto"/>
        </w:rPr>
        <w:t>We are proud to work with customers, such as the Indiana Finance Authority, on the first bridge and tunnel project to achieve Envision recognition, and we have obtained LEED certifications of transit and aviation facilities with customers in the United States, United Arab Emirates and the Kingdom of Saudi Arabia.</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Scalable and Agile Business Offerings</w:t>
      </w:r>
    </w:p>
    <w:p>
      <w:pPr>
        <w:spacing w:after="0" w:line="116" w:lineRule="exact"/>
        <w:rPr>
          <w:sz w:val="20"/>
          <w:szCs w:val="20"/>
          <w:color w:val="auto"/>
        </w:rPr>
      </w:pPr>
    </w:p>
    <w:p>
      <w:pPr>
        <w:ind w:right="20" w:firstLine="433"/>
        <w:spacing w:after="0" w:line="236" w:lineRule="auto"/>
        <w:rPr>
          <w:sz w:val="20"/>
          <w:szCs w:val="20"/>
          <w:color w:val="auto"/>
        </w:rPr>
      </w:pPr>
      <w:r>
        <w:rPr>
          <w:rFonts w:ascii="Arial" w:cs="Arial" w:eastAsia="Arial" w:hAnsi="Arial"/>
          <w:sz w:val="17"/>
          <w:szCs w:val="17"/>
          <w:color w:val="auto"/>
        </w:rPr>
        <w:t>Our scalable and agile offerings enable us to satisfy robust and evolving customer needs. The demanding environments where we operate are characterized by a need for high-confidence solutions, widespread application needs and mission critical outcomes. We pride ourselves on providing agile technologies through inventive and refined processes that provide quality outcomes to our customers on time sensitive projects. Our domain knowledge of our customers’ current and emerging requirements enables us to deliver responsive, high-quality solutions on time. By having the ability to respond to customers’ requirements with global deployment capability, we are well positioned to be a single-source contractor for many of our customers’ needs.</w:t>
      </w:r>
    </w:p>
    <w:p>
      <w:pPr>
        <w:spacing w:after="0" w:line="89" w:lineRule="exact"/>
        <w:rPr>
          <w:sz w:val="20"/>
          <w:szCs w:val="20"/>
          <w:color w:val="auto"/>
        </w:rPr>
      </w:pPr>
    </w:p>
    <w:p>
      <w:pPr>
        <w:ind w:right="20" w:firstLine="433"/>
        <w:spacing w:after="0" w:line="238" w:lineRule="auto"/>
        <w:rPr>
          <w:sz w:val="20"/>
          <w:szCs w:val="20"/>
          <w:color w:val="auto"/>
        </w:rPr>
      </w:pPr>
      <w:r>
        <w:rPr>
          <w:rFonts w:ascii="Arial" w:cs="Arial" w:eastAsia="Arial" w:hAnsi="Arial"/>
          <w:sz w:val="17"/>
          <w:szCs w:val="17"/>
          <w:color w:val="auto"/>
        </w:rPr>
        <w:t>Our technologies and platforms are designed to be applicable across end user markets and sub-markets. This approach allows for scalable solutions that can be quickly and seamlessly integrated into multiple customer applications, regardless of geography or industry, allowing us to deploy a given service or platform across multiple markets.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World Class Talent</w:t>
      </w:r>
    </w:p>
    <w:p>
      <w:pPr>
        <w:spacing w:after="0" w:line="116" w:lineRule="exact"/>
        <w:rPr>
          <w:sz w:val="20"/>
          <w:szCs w:val="20"/>
          <w:color w:val="auto"/>
        </w:rPr>
      </w:pPr>
    </w:p>
    <w:p>
      <w:pPr>
        <w:ind w:right="420" w:firstLine="433"/>
        <w:spacing w:after="0" w:line="242" w:lineRule="auto"/>
        <w:rPr>
          <w:sz w:val="20"/>
          <w:szCs w:val="20"/>
          <w:color w:val="auto"/>
        </w:rPr>
      </w:pPr>
      <w:r>
        <w:rPr>
          <w:rFonts w:ascii="Arial" w:cs="Arial" w:eastAsia="Arial" w:hAnsi="Arial"/>
          <w:sz w:val="17"/>
          <w:szCs w:val="17"/>
          <w:color w:val="auto"/>
        </w:rPr>
        <w:t>Our most important asset is our diverse team of talented employees, nearly 15,500 as of December 31, 2021, whose technical expertise is sought by our clients for their most sophisticated applications and</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80"/>
          </w:cols>
          <w:pgMar w:left="320" w:top="443" w:right="399" w:bottom="1440" w:gutter="0" w:footer="0" w:header="0"/>
        </w:sectPr>
      </w:pPr>
    </w:p>
    <w:bookmarkStart w:id="13" w:name="page14"/>
    <w:bookmarkEnd w:id="13"/>
    <w:p>
      <w:pPr>
        <w:ind w:right="580"/>
        <w:spacing w:after="0" w:line="237" w:lineRule="auto"/>
        <w:rPr>
          <w:sz w:val="20"/>
          <w:szCs w:val="20"/>
          <w:color w:val="auto"/>
        </w:rPr>
      </w:pPr>
      <w:r>
        <w:rPr>
          <w:rFonts w:ascii="Arial" w:cs="Arial" w:eastAsia="Arial" w:hAnsi="Arial"/>
          <w:sz w:val="17"/>
          <w:szCs w:val="17"/>
          <w:color w:val="auto"/>
        </w:rPr>
        <w:t>challenges. As an employer of choice, Parsons has won several awards for its commitment to diversity, equity and inclusion, and we provide opportunities for training, upskilling and internal mobility for all employees. Our base of diverse, committed and passionate experts is critical to delivering our leading capabilities. Our employees choose us and stay with us for the opportunity to collaborate with our customers, deploy our expansive technical resources, rapidly bring bold ideas to market and work on leading solutions to enable a better world.</w:t>
      </w:r>
    </w:p>
    <w:p>
      <w:pPr>
        <w:spacing w:after="0" w:line="90" w:lineRule="exact"/>
        <w:rPr>
          <w:sz w:val="20"/>
          <w:szCs w:val="20"/>
          <w:color w:val="auto"/>
        </w:rPr>
      </w:pPr>
    </w:p>
    <w:p>
      <w:pPr>
        <w:ind w:right="40" w:firstLine="433"/>
        <w:spacing w:after="0" w:line="237" w:lineRule="auto"/>
        <w:rPr>
          <w:sz w:val="20"/>
          <w:szCs w:val="20"/>
          <w:color w:val="auto"/>
        </w:rPr>
      </w:pPr>
      <w:r>
        <w:rPr>
          <w:rFonts w:ascii="Arial" w:cs="Arial" w:eastAsia="Arial" w:hAnsi="Arial"/>
          <w:sz w:val="17"/>
          <w:szCs w:val="17"/>
          <w:color w:val="auto"/>
        </w:rPr>
        <w:t>Our professionals are highly educated, with a wide range of technical acumen and in-depth domain knowledge and expertise. Our employees hold more than 17,000 degrees and professional credentials, including those with registrations and certifications in technical areas like Agile methodology, Project Management, Engineering, Environmental, Architecture, Technology and Security as of December 31, 2021. Our diverse teams understand our clients and are comprised of technology subject matter experts and professionals with deep knowledge and experience.</w:t>
      </w:r>
    </w:p>
    <w:p>
      <w:pPr>
        <w:spacing w:after="0" w:line="90" w:lineRule="exact"/>
        <w:rPr>
          <w:sz w:val="20"/>
          <w:szCs w:val="20"/>
          <w:color w:val="auto"/>
        </w:rPr>
      </w:pPr>
    </w:p>
    <w:p>
      <w:pPr>
        <w:ind w:firstLine="433"/>
        <w:spacing w:after="0" w:line="272" w:lineRule="auto"/>
        <w:rPr>
          <w:sz w:val="20"/>
          <w:szCs w:val="20"/>
          <w:color w:val="auto"/>
        </w:rPr>
      </w:pPr>
      <w:r>
        <w:rPr>
          <w:rFonts w:ascii="Arial" w:cs="Arial" w:eastAsia="Arial" w:hAnsi="Arial"/>
          <w:sz w:val="16"/>
          <w:szCs w:val="16"/>
          <w:color w:val="auto"/>
        </w:rPr>
        <w:t>Our management team has significant experience executing strategies for delivering profitable growth and is recognized for operational excellence and leadership integrity. They possess diverse leadership capabilities in the markets we serve and the solutions and technology we deliver.</w:t>
      </w:r>
    </w:p>
    <w:p>
      <w:pPr>
        <w:spacing w:after="0" w:line="4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Demonstrated Ability to Identify and Execute Acquisitions to Transform our Business</w:t>
      </w:r>
    </w:p>
    <w:p>
      <w:pPr>
        <w:spacing w:after="0" w:line="116" w:lineRule="exact"/>
        <w:rPr>
          <w:sz w:val="20"/>
          <w:szCs w:val="20"/>
          <w:color w:val="auto"/>
        </w:rPr>
      </w:pPr>
    </w:p>
    <w:p>
      <w:pPr>
        <w:ind w:right="180" w:firstLine="433"/>
        <w:spacing w:after="0" w:line="237" w:lineRule="auto"/>
        <w:rPr>
          <w:sz w:val="20"/>
          <w:szCs w:val="20"/>
          <w:color w:val="auto"/>
        </w:rPr>
      </w:pPr>
      <w:r>
        <w:rPr>
          <w:rFonts w:ascii="Arial" w:cs="Arial" w:eastAsia="Arial" w:hAnsi="Arial"/>
          <w:sz w:val="17"/>
          <w:szCs w:val="17"/>
          <w:color w:val="auto"/>
        </w:rPr>
        <w:t>Strategic acquisitions that augment our technology offerings and capabilities are a key tenet of our growth strategy. We have completed seven strategic acquisitions since 2017, all within our Federal Solutions business segment, which collectively provided us with a wide variety of complementary technology capabilities, with an aggregate purchase price in excess of $1.5 billion. This highlights our ability to successfully identify and execute on attractive opportunities to augment our leading technical offerings. These acquisitions include:</w:t>
      </w:r>
    </w:p>
    <w:p>
      <w:pPr>
        <w:spacing w:after="0" w:line="90" w:lineRule="exact"/>
        <w:rPr>
          <w:sz w:val="20"/>
          <w:szCs w:val="20"/>
          <w:color w:val="auto"/>
        </w:rPr>
      </w:pPr>
    </w:p>
    <w:p>
      <w:pPr>
        <w:ind w:left="1300" w:right="100" w:hanging="436"/>
        <w:spacing w:after="0" w:line="236"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BlackHorse Solutions, Inc.: Acquired July 6, 2021 at a purchase price of $205 million. Black Horse expands Parsons’ capabilities and products in next-generation military, intelligence, and space operations, specifically in cyber, electronic warfare, and information dominance. Black Horse’s technology is shaping the future of information dominance and converged military operations by unifying cyber, electromagnetic warfare, and information operations for the Department of Defense and Intelligence Community customers. The company also provides autonomous and distributed detection, identification, exploitation and the defeat of today’s most complex communications.</w:t>
      </w:r>
    </w:p>
    <w:p>
      <w:pPr>
        <w:spacing w:after="0" w:line="89" w:lineRule="exact"/>
        <w:rPr>
          <w:rFonts w:ascii="Arial" w:cs="Arial" w:eastAsia="Arial" w:hAnsi="Arial"/>
          <w:sz w:val="17"/>
          <w:szCs w:val="17"/>
          <w:color w:val="auto"/>
        </w:rPr>
      </w:pPr>
    </w:p>
    <w:p>
      <w:pPr>
        <w:ind w:left="1300" w:right="260" w:hanging="436"/>
        <w:spacing w:after="0" w:line="238"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Echo Ridge LLC: Acquired on July 30, 2021 at a purchase price of $9 million. Echo Ridge adds position, navigation, and timing devices; modeling simulation, test and measurement tools; and deployable software defined radio products and signal processing services to Parsons’ space portfolio.</w:t>
      </w:r>
    </w:p>
    <w:p>
      <w:pPr>
        <w:spacing w:after="0" w:line="90" w:lineRule="exact"/>
        <w:rPr>
          <w:rFonts w:ascii="Arial" w:cs="Arial" w:eastAsia="Arial" w:hAnsi="Arial"/>
          <w:sz w:val="17"/>
          <w:szCs w:val="17"/>
          <w:color w:val="auto"/>
        </w:rPr>
      </w:pPr>
    </w:p>
    <w:p>
      <w:pPr>
        <w:ind w:left="1300" w:right="100" w:hanging="436"/>
        <w:spacing w:after="0" w:line="236"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Braxton Science and Technology Group, LLC: Acquired in November 2020 at a purchase price of $310.9 million ($267 million less the tax asset), Braxton operates at the forefront of satellite operations, ground automation, flight dynamics, and spacecraft antenna simulation for the U.S. Department of Defense and Intelligence Community. These capabilities position Parsons to capitalize on the quickly evolving space missions of its national security space customers and address rapid market growth driven by proliferated low earth orbit constellations, small satellite expansion and space cyber resiliency.</w:t>
      </w:r>
    </w:p>
    <w:p>
      <w:pPr>
        <w:spacing w:after="0" w:line="91" w:lineRule="exact"/>
        <w:rPr>
          <w:rFonts w:ascii="Arial" w:cs="Arial" w:eastAsia="Arial" w:hAnsi="Arial"/>
          <w:sz w:val="17"/>
          <w:szCs w:val="17"/>
          <w:color w:val="auto"/>
        </w:rPr>
      </w:pPr>
    </w:p>
    <w:p>
      <w:pPr>
        <w:ind w:left="1300" w:right="220" w:hanging="436"/>
        <w:spacing w:after="0" w:line="242"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QRC® Technologies: Acquired in 2019 at a purchase price of $214.1 million, QRC® Technologies is a disruptive product company that provides design and development of open-architecture radio-frequency products.</w:t>
      </w:r>
    </w:p>
    <w:p>
      <w:pPr>
        <w:spacing w:after="0" w:line="87" w:lineRule="exact"/>
        <w:rPr>
          <w:rFonts w:ascii="Arial" w:cs="Arial" w:eastAsia="Arial" w:hAnsi="Arial"/>
          <w:sz w:val="17"/>
          <w:szCs w:val="17"/>
          <w:color w:val="auto"/>
        </w:rPr>
      </w:pPr>
    </w:p>
    <w:p>
      <w:pPr>
        <w:ind w:left="1300" w:right="180" w:hanging="436"/>
        <w:spacing w:after="0" w:line="236"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OGSystems: Acquired in 2019 at a purchase price of $292.4 million, OGSystems is a disruptive geo-intelligence solutions and immersive engineering provider that creates technology solutions for the United States intelligence community and the U.S. Department of Defense. OGSystems’ VIPER Labs and Immersive Engineering techniques serve as the catalysts for deployment of geospatial systems and software, embedded system threat analytics and cloud engineering solutions. OGSystems’ advanced hardware solutions include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14" w:name="page15"/>
    <w:bookmarkEnd w:id="14"/>
    <w:p>
      <w:pPr>
        <w:ind w:left="1300" w:right="280"/>
        <w:spacing w:after="0" w:line="242" w:lineRule="auto"/>
        <w:rPr>
          <w:sz w:val="20"/>
          <w:szCs w:val="20"/>
          <w:color w:val="auto"/>
        </w:rPr>
      </w:pPr>
      <w:r>
        <w:rPr>
          <w:rFonts w:ascii="Arial" w:cs="Arial" w:eastAsia="Arial" w:hAnsi="Arial"/>
          <w:sz w:val="17"/>
          <w:szCs w:val="17"/>
          <w:color w:val="auto"/>
        </w:rPr>
        <w:t>the PeARL family of sensors, combining industry-leading camera and optic lens technologies with our software solutions, yielding very high resolution 2D and 3D aerial imagery.</w:t>
      </w:r>
    </w:p>
    <w:p>
      <w:pPr>
        <w:spacing w:after="0" w:line="70" w:lineRule="exact"/>
        <w:rPr>
          <w:sz w:val="20"/>
          <w:szCs w:val="20"/>
          <w:color w:val="auto"/>
        </w:rPr>
      </w:pPr>
    </w:p>
    <w:p>
      <w:pPr>
        <w:ind w:left="1300" w:right="120" w:hanging="436"/>
        <w:spacing w:after="0" w:line="243"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Polaris Alpha</w:t>
      </w:r>
      <w:r>
        <w:rPr>
          <w:rFonts w:ascii="Arial" w:cs="Arial" w:eastAsia="Arial" w:hAnsi="Arial"/>
          <w:sz w:val="17"/>
          <w:szCs w:val="17"/>
          <w:i w:val="1"/>
          <w:iCs w:val="1"/>
          <w:color w:val="auto"/>
        </w:rPr>
        <w:t>:</w:t>
      </w:r>
      <w:r>
        <w:rPr>
          <w:rFonts w:ascii="Arial" w:cs="Arial" w:eastAsia="Arial" w:hAnsi="Arial"/>
          <w:sz w:val="17"/>
          <w:szCs w:val="17"/>
          <w:color w:val="auto"/>
        </w:rPr>
        <w:t xml:space="preserve"> Acquired in 2018 at a purchase price of $489.1 million, Polaris Alpha is an advanced, technology-focused provider of innovative mission solutions for national security, intelligence, defense and other U.S. federal customers. With leading technologies in artificial intelligence/machine learning, cloud computing, command and control and data analytics, Polaris Alpha has long-term customer relationships and is known as a technology disruptor.</w:t>
      </w:r>
    </w:p>
    <w:p>
      <w:pPr>
        <w:spacing w:after="0" w:line="70" w:lineRule="exact"/>
        <w:rPr>
          <w:rFonts w:ascii="Arial" w:cs="Arial" w:eastAsia="Arial" w:hAnsi="Arial"/>
          <w:sz w:val="17"/>
          <w:szCs w:val="17"/>
          <w:color w:val="auto"/>
        </w:rPr>
      </w:pPr>
    </w:p>
    <w:p>
      <w:pPr>
        <w:ind w:left="1300" w:hanging="436"/>
        <w:spacing w:after="0" w:line="249"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Williams Electric</w:t>
      </w:r>
      <w:r>
        <w:rPr>
          <w:rFonts w:ascii="Arial" w:cs="Arial" w:eastAsia="Arial" w:hAnsi="Arial"/>
          <w:sz w:val="17"/>
          <w:szCs w:val="17"/>
          <w:i w:val="1"/>
          <w:iCs w:val="1"/>
          <w:color w:val="auto"/>
        </w:rPr>
        <w:t>.</w:t>
      </w:r>
      <w:r>
        <w:rPr>
          <w:rFonts w:ascii="Arial" w:cs="Arial" w:eastAsia="Arial" w:hAnsi="Arial"/>
          <w:sz w:val="17"/>
          <w:szCs w:val="17"/>
          <w:color w:val="auto"/>
        </w:rPr>
        <w:t xml:space="preserve"> Acquired in 2017 for a purchase price of $26.4 million. Williams Electric provides industrial control system security, including utility monitoring systems and electronic support systems for customers, including the Army Corps of Engineers and the Smithsonian Institute.</w:t>
      </w:r>
    </w:p>
    <w:p>
      <w:pPr>
        <w:spacing w:after="0" w:line="82" w:lineRule="exact"/>
        <w:rPr>
          <w:sz w:val="20"/>
          <w:szCs w:val="20"/>
          <w:color w:val="auto"/>
        </w:rPr>
      </w:pPr>
    </w:p>
    <w:p>
      <w:pPr>
        <w:ind w:right="300" w:firstLine="433"/>
        <w:spacing w:after="0" w:line="242" w:lineRule="auto"/>
        <w:rPr>
          <w:sz w:val="20"/>
          <w:szCs w:val="20"/>
          <w:color w:val="auto"/>
        </w:rPr>
      </w:pPr>
      <w:r>
        <w:rPr>
          <w:rFonts w:ascii="Arial" w:cs="Arial" w:eastAsia="Arial" w:hAnsi="Arial"/>
          <w:sz w:val="17"/>
          <w:szCs w:val="17"/>
          <w:color w:val="auto"/>
        </w:rPr>
        <w:t>We maintain a robust acquisition pipeline and are continually evaluating potential opportunities for disciplined growth by acquisition to further transform our business.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 for Growth</w:t>
      </w:r>
    </w:p>
    <w:p>
      <w:pPr>
        <w:spacing w:after="0" w:line="218" w:lineRule="exact"/>
        <w:rPr>
          <w:sz w:val="20"/>
          <w:szCs w:val="20"/>
          <w:color w:val="auto"/>
        </w:rPr>
      </w:pPr>
    </w:p>
    <w:p>
      <w:pPr>
        <w:ind w:right="340" w:firstLine="735"/>
        <w:spacing w:after="0" w:line="237" w:lineRule="auto"/>
        <w:rPr>
          <w:sz w:val="20"/>
          <w:szCs w:val="20"/>
          <w:color w:val="auto"/>
        </w:rPr>
      </w:pPr>
      <w:r>
        <w:rPr>
          <w:rFonts w:ascii="Arial" w:cs="Arial" w:eastAsia="Arial" w:hAnsi="Arial"/>
          <w:sz w:val="17"/>
          <w:szCs w:val="17"/>
          <w:color w:val="auto"/>
        </w:rPr>
        <w:t>Our growth strategy is to create the future of national security and critical infrastructure, while moving up the value chain as a solutions integrator and software provider. The future is full of possibility, and the defense, intelligence, and critical infrastructure markets are where we can collectively shape what tomorrow will look like. Our goal is to help create a safer, healthier, more sustainable, more connected and more secure world.</w:t>
      </w:r>
    </w:p>
    <w:p>
      <w:pPr>
        <w:spacing w:after="0" w:line="191" w:lineRule="exact"/>
        <w:rPr>
          <w:sz w:val="20"/>
          <w:szCs w:val="20"/>
          <w:color w:val="auto"/>
        </w:rPr>
      </w:pPr>
    </w:p>
    <w:p>
      <w:pPr>
        <w:ind w:right="100" w:firstLine="735"/>
        <w:spacing w:after="0" w:line="238" w:lineRule="auto"/>
        <w:rPr>
          <w:sz w:val="20"/>
          <w:szCs w:val="20"/>
          <w:color w:val="auto"/>
        </w:rPr>
      </w:pPr>
      <w:r>
        <w:rPr>
          <w:rFonts w:ascii="Arial" w:cs="Arial" w:eastAsia="Arial" w:hAnsi="Arial"/>
          <w:sz w:val="17"/>
          <w:szCs w:val="17"/>
          <w:color w:val="auto"/>
        </w:rPr>
        <w:t>In a complex security environment with adversaries challenging on every domain and an economy driven by digital transformation, Parsons leverages innovative technologies to deliver integrated solutions at the speed of relevance. Our global integrated solutions span all domains (sea, land, air, space and cyberspace), ensuring information dominance and smart, sustainable infrastructure.</w:t>
      </w:r>
    </w:p>
    <w:p>
      <w:pPr>
        <w:spacing w:after="0" w:line="192" w:lineRule="exact"/>
        <w:rPr>
          <w:sz w:val="20"/>
          <w:szCs w:val="20"/>
          <w:color w:val="auto"/>
        </w:rPr>
      </w:pPr>
    </w:p>
    <w:p>
      <w:pPr>
        <w:ind w:firstLine="735"/>
        <w:spacing w:after="0" w:line="238" w:lineRule="auto"/>
        <w:rPr>
          <w:sz w:val="20"/>
          <w:szCs w:val="20"/>
          <w:color w:val="auto"/>
        </w:rPr>
      </w:pPr>
      <w:r>
        <w:rPr>
          <w:rFonts w:ascii="Arial" w:cs="Arial" w:eastAsia="Arial" w:hAnsi="Arial"/>
          <w:sz w:val="17"/>
          <w:szCs w:val="17"/>
          <w:color w:val="auto"/>
        </w:rPr>
        <w:t>To create the future, we focus on people-first, “get-to-yes” and having top positions in high-growth, sustainable markets. These include hiring, retaining, and developing our employees, continually enhancing and optimizing our core business processes, resourcing and capitalizing on our high-growth markets and acquiring and integrating companies that possess transformative and disruptive technologies.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People First</w:t>
      </w:r>
    </w:p>
    <w:p>
      <w:pPr>
        <w:spacing w:after="0" w:line="218" w:lineRule="exact"/>
        <w:rPr>
          <w:sz w:val="20"/>
          <w:szCs w:val="20"/>
          <w:color w:val="auto"/>
        </w:rPr>
      </w:pPr>
    </w:p>
    <w:p>
      <w:pPr>
        <w:ind w:right="280" w:firstLine="865"/>
        <w:spacing w:after="0" w:line="272" w:lineRule="auto"/>
        <w:rPr>
          <w:sz w:val="20"/>
          <w:szCs w:val="20"/>
          <w:color w:val="auto"/>
        </w:rPr>
      </w:pPr>
      <w:r>
        <w:rPr>
          <w:rFonts w:ascii="Arial" w:cs="Arial" w:eastAsia="Arial" w:hAnsi="Arial"/>
          <w:sz w:val="16"/>
          <w:szCs w:val="16"/>
          <w:color w:val="auto"/>
        </w:rPr>
        <w:t>Driven by a high-purpose culture, we recognize that our people are key to our operating model to develop and deliver the technology to support our customers’ critical missions. We are committed to attracting, retaining, and developing a diverse and inclusive workforce by having a:</w:t>
      </w:r>
    </w:p>
    <w:p>
      <w:pPr>
        <w:spacing w:after="0" w:line="166" w:lineRule="exact"/>
        <w:rPr>
          <w:sz w:val="20"/>
          <w:szCs w:val="20"/>
          <w:color w:val="auto"/>
        </w:rPr>
      </w:pPr>
    </w:p>
    <w:p>
      <w:pPr>
        <w:ind w:left="920" w:hanging="424"/>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Culture of employee engagement at all organizational levels</w:t>
      </w:r>
    </w:p>
    <w:p>
      <w:pPr>
        <w:spacing w:after="0" w:line="7" w:lineRule="exact"/>
        <w:rPr>
          <w:rFonts w:ascii="Arial" w:cs="Arial" w:eastAsia="Arial" w:hAnsi="Arial"/>
          <w:sz w:val="17"/>
          <w:szCs w:val="17"/>
          <w:color w:val="auto"/>
        </w:rPr>
      </w:pPr>
    </w:p>
    <w:p>
      <w:pPr>
        <w:ind w:left="920" w:hanging="424"/>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Work environment that promotes training, mentoring, and career development planning</w:t>
      </w:r>
    </w:p>
    <w:p>
      <w:pPr>
        <w:spacing w:after="0" w:line="7" w:lineRule="exact"/>
        <w:rPr>
          <w:rFonts w:ascii="Arial" w:cs="Arial" w:eastAsia="Arial" w:hAnsi="Arial"/>
          <w:sz w:val="17"/>
          <w:szCs w:val="17"/>
          <w:color w:val="auto"/>
        </w:rPr>
      </w:pPr>
    </w:p>
    <w:p>
      <w:pPr>
        <w:ind w:left="920" w:hanging="424"/>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Differentiated benefits, including flexible work hours, remote work options, and an employee stock ownership plan</w:t>
      </w:r>
    </w:p>
    <w:p>
      <w:pPr>
        <w:spacing w:after="0" w:line="7" w:lineRule="exact"/>
        <w:rPr>
          <w:rFonts w:ascii="Arial" w:cs="Arial" w:eastAsia="Arial" w:hAnsi="Arial"/>
          <w:sz w:val="17"/>
          <w:szCs w:val="17"/>
          <w:color w:val="auto"/>
        </w:rPr>
      </w:pPr>
    </w:p>
    <w:p>
      <w:pPr>
        <w:ind w:left="920" w:hanging="424"/>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Dual technical career path that leads to positions as Chief Technology Officer and/or Technical Fellow</w:t>
      </w:r>
    </w:p>
    <w:p>
      <w:pPr>
        <w:spacing w:after="0" w:line="7" w:lineRule="exact"/>
        <w:rPr>
          <w:rFonts w:ascii="Arial" w:cs="Arial" w:eastAsia="Arial" w:hAnsi="Arial"/>
          <w:sz w:val="17"/>
          <w:szCs w:val="17"/>
          <w:color w:val="auto"/>
        </w:rPr>
      </w:pPr>
    </w:p>
    <w:p>
      <w:pPr>
        <w:ind w:left="920" w:hanging="424"/>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Diversity, Equity and Inclusion (DEI) program that is driven by employee enterprise business groups</w:t>
      </w:r>
    </w:p>
    <w:p>
      <w:pPr>
        <w:spacing w:after="0" w:line="7" w:lineRule="exact"/>
        <w:rPr>
          <w:rFonts w:ascii="Arial" w:cs="Arial" w:eastAsia="Arial" w:hAnsi="Arial"/>
          <w:sz w:val="17"/>
          <w:szCs w:val="17"/>
          <w:color w:val="auto"/>
        </w:rPr>
      </w:pPr>
    </w:p>
    <w:p>
      <w:pPr>
        <w:ind w:left="920" w:hanging="424"/>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“Parsons Gives Back” program to support our communities and promote volunteering</w:t>
      </w:r>
    </w:p>
    <w:p>
      <w:pPr>
        <w:spacing w:after="0" w:line="7" w:lineRule="exact"/>
        <w:rPr>
          <w:rFonts w:ascii="Arial" w:cs="Arial" w:eastAsia="Arial" w:hAnsi="Arial"/>
          <w:sz w:val="17"/>
          <w:szCs w:val="17"/>
          <w:color w:val="auto"/>
        </w:rPr>
      </w:pPr>
    </w:p>
    <w:p>
      <w:pPr>
        <w:ind w:left="920" w:hanging="424"/>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Hiring strategy outside of high-employment zones</w:t>
      </w:r>
    </w:p>
    <w:p>
      <w:pPr>
        <w:spacing w:after="0" w:line="7" w:lineRule="exact"/>
        <w:rPr>
          <w:rFonts w:ascii="Arial" w:cs="Arial" w:eastAsia="Arial" w:hAnsi="Arial"/>
          <w:sz w:val="17"/>
          <w:szCs w:val="17"/>
          <w:color w:val="auto"/>
        </w:rPr>
      </w:pPr>
    </w:p>
    <w:p>
      <w:pPr>
        <w:ind w:left="920" w:hanging="424"/>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Robust university relations and intern program to help shape the next generation of leaders and promote diversity</w:t>
      </w:r>
    </w:p>
    <w:p>
      <w:pPr>
        <w:spacing w:after="0" w:line="7" w:lineRule="exact"/>
        <w:rPr>
          <w:rFonts w:ascii="Arial" w:cs="Arial" w:eastAsia="Arial" w:hAnsi="Arial"/>
          <w:sz w:val="17"/>
          <w:szCs w:val="17"/>
          <w:color w:val="auto"/>
        </w:rPr>
      </w:pPr>
    </w:p>
    <w:p>
      <w:pPr>
        <w:ind w:left="920" w:hanging="424"/>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Internal mobility program that rotates people from one business unit or segment to another</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“Get to Yes”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15" w:name="page16"/>
    <w:bookmarkEnd w:id="15"/>
    <w:p>
      <w:pPr>
        <w:jc w:val="both"/>
        <w:ind w:right="300" w:firstLine="735"/>
        <w:spacing w:after="0" w:line="238" w:lineRule="auto"/>
        <w:rPr>
          <w:sz w:val="20"/>
          <w:szCs w:val="20"/>
          <w:color w:val="auto"/>
        </w:rPr>
      </w:pPr>
      <w:r>
        <w:rPr>
          <w:rFonts w:ascii="Arial" w:cs="Arial" w:eastAsia="Arial" w:hAnsi="Arial"/>
          <w:sz w:val="17"/>
          <w:szCs w:val="17"/>
          <w:color w:val="auto"/>
        </w:rPr>
        <w:t>By “getting to yes”, we enable the delivery of agile, innovative, and transformative solutions to our customers. We seek to enhance and optimize our core business and improve our financial performance, including revenue growth, margin expansion and positive cash flow, using the following strategies:</w:t>
      </w:r>
    </w:p>
    <w:p>
      <w:pPr>
        <w:spacing w:after="0" w:line="90" w:lineRule="exact"/>
        <w:rPr>
          <w:sz w:val="20"/>
          <w:szCs w:val="20"/>
          <w:color w:val="auto"/>
        </w:rPr>
      </w:pPr>
    </w:p>
    <w:p>
      <w:pPr>
        <w:ind w:left="1020" w:hanging="296"/>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Developing a company-wide agile framework to enable responsive solutions delivery</w:t>
      </w:r>
    </w:p>
    <w:p>
      <w:pPr>
        <w:spacing w:after="0" w:line="96" w:lineRule="exact"/>
        <w:rPr>
          <w:rFonts w:ascii="Arial" w:cs="Arial" w:eastAsia="Arial" w:hAnsi="Arial"/>
          <w:sz w:val="17"/>
          <w:szCs w:val="17"/>
          <w:color w:val="auto"/>
        </w:rPr>
      </w:pPr>
    </w:p>
    <w:p>
      <w:pPr>
        <w:ind w:left="1020" w:hanging="296"/>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Promoting collaboration and cross-company sharing to drive informed, timely decision making</w:t>
      </w:r>
    </w:p>
    <w:p>
      <w:pPr>
        <w:spacing w:after="0" w:line="96" w:lineRule="exact"/>
        <w:rPr>
          <w:rFonts w:ascii="Arial" w:cs="Arial" w:eastAsia="Arial" w:hAnsi="Arial"/>
          <w:sz w:val="17"/>
          <w:szCs w:val="17"/>
          <w:color w:val="auto"/>
        </w:rPr>
      </w:pPr>
    </w:p>
    <w:p>
      <w:pPr>
        <w:ind w:left="1020" w:hanging="296"/>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Aligning goals through shared one-company objectives</w:t>
      </w:r>
    </w:p>
    <w:p>
      <w:pPr>
        <w:spacing w:after="0" w:line="96" w:lineRule="exact"/>
        <w:rPr>
          <w:rFonts w:ascii="Arial" w:cs="Arial" w:eastAsia="Arial" w:hAnsi="Arial"/>
          <w:sz w:val="17"/>
          <w:szCs w:val="17"/>
          <w:color w:val="auto"/>
        </w:rPr>
      </w:pPr>
    </w:p>
    <w:p>
      <w:pPr>
        <w:ind w:left="1020" w:hanging="296"/>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Leveraging digital transformation to improve our internal processes and deliver an improved customer experience</w:t>
      </w:r>
    </w:p>
    <w:p>
      <w:pPr>
        <w:spacing w:after="0" w:line="96" w:lineRule="exact"/>
        <w:rPr>
          <w:rFonts w:ascii="Arial" w:cs="Arial" w:eastAsia="Arial" w:hAnsi="Arial"/>
          <w:sz w:val="17"/>
          <w:szCs w:val="17"/>
          <w:color w:val="auto"/>
        </w:rPr>
      </w:pPr>
    </w:p>
    <w:p>
      <w:pPr>
        <w:ind w:left="1020" w:hanging="296"/>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Cross-selling new solutions to our existing customers and existing solutions to new customers.</w:t>
      </w:r>
    </w:p>
    <w:p>
      <w:pPr>
        <w:spacing w:after="0" w:line="96" w:lineRule="exact"/>
        <w:rPr>
          <w:rFonts w:ascii="Arial" w:cs="Arial" w:eastAsia="Arial" w:hAnsi="Arial"/>
          <w:sz w:val="17"/>
          <w:szCs w:val="17"/>
          <w:color w:val="auto"/>
        </w:rPr>
      </w:pPr>
    </w:p>
    <w:p>
      <w:pPr>
        <w:ind w:left="1020" w:hanging="296"/>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Promoting a culture that enables employees to drive technology and business model innovation</w:t>
      </w:r>
    </w:p>
    <w:p>
      <w:pPr>
        <w:spacing w:after="0" w:line="70" w:lineRule="exact"/>
        <w:rPr>
          <w:rFonts w:ascii="Arial" w:cs="Arial" w:eastAsia="Arial" w:hAnsi="Arial"/>
          <w:sz w:val="17"/>
          <w:szCs w:val="17"/>
          <w:color w:val="auto"/>
        </w:rPr>
      </w:pPr>
    </w:p>
    <w:p>
      <w:pPr>
        <w:ind w:left="1020" w:hanging="296"/>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Streamlining operations and processes to optimize performance delivery and reduce overhead expenditures</w:t>
      </w:r>
    </w:p>
    <w:p>
      <w:pPr>
        <w:spacing w:after="0" w:line="96" w:lineRule="exact"/>
        <w:rPr>
          <w:rFonts w:ascii="Arial" w:cs="Arial" w:eastAsia="Arial" w:hAnsi="Arial"/>
          <w:sz w:val="17"/>
          <w:szCs w:val="17"/>
          <w:color w:val="auto"/>
        </w:rPr>
      </w:pPr>
    </w:p>
    <w:p>
      <w:pPr>
        <w:ind w:left="1020" w:hanging="296"/>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Rigorously managing our working capital to maximize cash flow</w:t>
      </w:r>
    </w:p>
    <w:p>
      <w:pPr>
        <w:spacing w:after="0" w:line="96" w:lineRule="exact"/>
        <w:rPr>
          <w:rFonts w:ascii="Arial" w:cs="Arial" w:eastAsia="Arial" w:hAnsi="Arial"/>
          <w:sz w:val="17"/>
          <w:szCs w:val="17"/>
          <w:color w:val="auto"/>
        </w:rPr>
      </w:pPr>
    </w:p>
    <w:p>
      <w:pPr>
        <w:ind w:left="1020" w:hanging="296"/>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Committing to Environment, Social and Governance (ESG) improvement for both Parsons and our customers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Top Positions in High-Growth, Sustainable Markets</w:t>
      </w:r>
    </w:p>
    <w:p>
      <w:pPr>
        <w:spacing w:after="0" w:line="116" w:lineRule="exact"/>
        <w:rPr>
          <w:sz w:val="20"/>
          <w:szCs w:val="20"/>
          <w:color w:val="auto"/>
        </w:rPr>
      </w:pPr>
    </w:p>
    <w:p>
      <w:pPr>
        <w:ind w:right="280" w:firstLine="735"/>
        <w:spacing w:after="0" w:line="237" w:lineRule="auto"/>
        <w:rPr>
          <w:sz w:val="20"/>
          <w:szCs w:val="20"/>
          <w:color w:val="auto"/>
        </w:rPr>
      </w:pPr>
      <w:r>
        <w:rPr>
          <w:rFonts w:ascii="Arial" w:cs="Arial" w:eastAsia="Arial" w:hAnsi="Arial"/>
          <w:sz w:val="17"/>
          <w:szCs w:val="17"/>
          <w:color w:val="auto"/>
        </w:rPr>
        <w:t>We have a balanced portfolio between national security and critical infrastructure and diverse range of end markets. We recognize the importance of driving business focus and will resource/invest in areas where we believe Parsons can have a top position in markets that are high-growth, profitable, and enduring. These include cybersecurity, C5ISR, space, missile defense, transportation, environmental remediation, and water/wastewater treatment. We utilize the following strategies, among others, towards achieving this goal:</w:t>
      </w:r>
    </w:p>
    <w:p>
      <w:pPr>
        <w:spacing w:after="0" w:line="90" w:lineRule="exact"/>
        <w:rPr>
          <w:sz w:val="20"/>
          <w:szCs w:val="20"/>
          <w:color w:val="auto"/>
        </w:rPr>
      </w:pPr>
    </w:p>
    <w:p>
      <w:pPr>
        <w:ind w:left="1300" w:hanging="436"/>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continuously evaluate and shape our portfolio to divest, exit and de-emphasize lower-performing businesses and markets.</w:t>
      </w:r>
    </w:p>
    <w:p>
      <w:pPr>
        <w:spacing w:after="0" w:line="108" w:lineRule="exact"/>
        <w:rPr>
          <w:rFonts w:ascii="Arial" w:cs="Arial" w:eastAsia="Arial" w:hAnsi="Arial"/>
          <w:sz w:val="17"/>
          <w:szCs w:val="17"/>
          <w:color w:val="auto"/>
        </w:rPr>
      </w:pPr>
    </w:p>
    <w:p>
      <w:pPr>
        <w:ind w:left="1300" w:right="560" w:hanging="436"/>
        <w:spacing w:after="0" w:line="242"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invest in critical, differentiated technology areas, including remote sensing, joint all domain operations, space operations, cybersecurity, data analytics, command and control, environmental remediation and smart mobility.</w:t>
      </w:r>
    </w:p>
    <w:p>
      <w:pPr>
        <w:spacing w:after="0" w:line="87" w:lineRule="exact"/>
        <w:rPr>
          <w:rFonts w:ascii="Arial" w:cs="Arial" w:eastAsia="Arial" w:hAnsi="Arial"/>
          <w:sz w:val="17"/>
          <w:szCs w:val="17"/>
          <w:color w:val="auto"/>
        </w:rPr>
      </w:pPr>
    </w:p>
    <w:p>
      <w:pPr>
        <w:ind w:left="1300" w:hanging="436"/>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seek continuous expansion in our focused high-growth markets:</w:t>
      </w:r>
    </w:p>
    <w:p>
      <w:pPr>
        <w:spacing w:after="0" w:line="109" w:lineRule="exact"/>
        <w:rPr>
          <w:sz w:val="20"/>
          <w:szCs w:val="20"/>
          <w:color w:val="auto"/>
        </w:rPr>
      </w:pPr>
    </w:p>
    <w:p>
      <w:pPr>
        <w:ind w:left="2020" w:right="120" w:hanging="421"/>
        <w:spacing w:after="0" w:line="232" w:lineRule="auto"/>
        <w:tabs>
          <w:tab w:leader="none" w:pos="2020" w:val="left"/>
        </w:tabs>
        <w:numPr>
          <w:ilvl w:val="0"/>
          <w:numId w:val="15"/>
        </w:numPr>
        <w:rPr>
          <w:rFonts w:ascii="Courier New" w:cs="Courier New" w:eastAsia="Courier New" w:hAnsi="Courier New"/>
          <w:sz w:val="17"/>
          <w:szCs w:val="17"/>
          <w:color w:val="auto"/>
        </w:rPr>
      </w:pPr>
      <w:r>
        <w:rPr>
          <w:rFonts w:ascii="Arial" w:cs="Arial" w:eastAsia="Arial" w:hAnsi="Arial"/>
          <w:sz w:val="17"/>
          <w:szCs w:val="17"/>
          <w:color w:val="auto"/>
        </w:rPr>
        <w:t>Cybersecurity – Continue our growth momentum by offering end-to-end solutions, tools, operations and platforms for our U.S. Department of Defense and Intelligence Community customers.</w:t>
      </w:r>
    </w:p>
    <w:p>
      <w:pPr>
        <w:spacing w:after="0" w:line="89" w:lineRule="exact"/>
        <w:rPr>
          <w:rFonts w:ascii="Courier New" w:cs="Courier New" w:eastAsia="Courier New" w:hAnsi="Courier New"/>
          <w:sz w:val="17"/>
          <w:szCs w:val="17"/>
          <w:color w:val="auto"/>
        </w:rPr>
      </w:pPr>
    </w:p>
    <w:p>
      <w:pPr>
        <w:ind w:left="2020" w:hanging="421"/>
        <w:spacing w:after="0" w:line="232" w:lineRule="auto"/>
        <w:tabs>
          <w:tab w:leader="none" w:pos="2020" w:val="left"/>
        </w:tabs>
        <w:numPr>
          <w:ilvl w:val="0"/>
          <w:numId w:val="15"/>
        </w:numPr>
        <w:rPr>
          <w:rFonts w:ascii="Courier New" w:cs="Courier New" w:eastAsia="Courier New" w:hAnsi="Courier New"/>
          <w:sz w:val="17"/>
          <w:szCs w:val="17"/>
          <w:color w:val="auto"/>
        </w:rPr>
      </w:pPr>
      <w:r>
        <w:rPr>
          <w:rFonts w:ascii="Arial" w:cs="Arial" w:eastAsia="Arial" w:hAnsi="Arial"/>
          <w:sz w:val="17"/>
          <w:szCs w:val="17"/>
          <w:color w:val="auto"/>
        </w:rPr>
        <w:t>Space - Extend our space situational awareness, small satellite integration and payload, command and control and enterprise ground systems to our current space customers and to new space and geospatial customers in the government and commercial space markets.</w:t>
      </w:r>
    </w:p>
    <w:p>
      <w:pPr>
        <w:spacing w:after="0" w:line="82" w:lineRule="exact"/>
        <w:rPr>
          <w:rFonts w:ascii="Courier New" w:cs="Courier New" w:eastAsia="Courier New" w:hAnsi="Courier New"/>
          <w:sz w:val="17"/>
          <w:szCs w:val="17"/>
          <w:color w:val="auto"/>
        </w:rPr>
      </w:pPr>
    </w:p>
    <w:p>
      <w:pPr>
        <w:ind w:left="2020" w:hanging="421"/>
        <w:spacing w:after="0"/>
        <w:tabs>
          <w:tab w:leader="none" w:pos="2020" w:val="left"/>
        </w:tabs>
        <w:numPr>
          <w:ilvl w:val="0"/>
          <w:numId w:val="15"/>
        </w:numPr>
        <w:rPr>
          <w:rFonts w:ascii="Courier New" w:cs="Courier New" w:eastAsia="Courier New" w:hAnsi="Courier New"/>
          <w:sz w:val="17"/>
          <w:szCs w:val="17"/>
          <w:color w:val="auto"/>
        </w:rPr>
      </w:pPr>
      <w:r>
        <w:rPr>
          <w:rFonts w:ascii="Arial" w:cs="Arial" w:eastAsia="Arial" w:hAnsi="Arial"/>
          <w:sz w:val="17"/>
          <w:szCs w:val="17"/>
          <w:color w:val="auto"/>
        </w:rPr>
        <w:t>C5ISR – Move up the value chain to a large-scale integrator of C5ISR systems and diversify our customer base.</w:t>
      </w:r>
    </w:p>
    <w:p>
      <w:pPr>
        <w:spacing w:after="0" w:line="88" w:lineRule="exact"/>
        <w:rPr>
          <w:rFonts w:ascii="Courier New" w:cs="Courier New" w:eastAsia="Courier New" w:hAnsi="Courier New"/>
          <w:sz w:val="17"/>
          <w:szCs w:val="17"/>
          <w:color w:val="auto"/>
        </w:rPr>
      </w:pPr>
    </w:p>
    <w:p>
      <w:pPr>
        <w:ind w:left="2020" w:right="180" w:hanging="421"/>
        <w:spacing w:after="0" w:line="232" w:lineRule="auto"/>
        <w:tabs>
          <w:tab w:leader="none" w:pos="2020" w:val="left"/>
        </w:tabs>
        <w:numPr>
          <w:ilvl w:val="0"/>
          <w:numId w:val="15"/>
        </w:numPr>
        <w:rPr>
          <w:rFonts w:ascii="Courier New" w:cs="Courier New" w:eastAsia="Courier New" w:hAnsi="Courier New"/>
          <w:sz w:val="17"/>
          <w:szCs w:val="17"/>
          <w:color w:val="auto"/>
        </w:rPr>
      </w:pPr>
      <w:r>
        <w:rPr>
          <w:rFonts w:ascii="Arial" w:cs="Arial" w:eastAsia="Arial" w:hAnsi="Arial"/>
          <w:sz w:val="17"/>
          <w:szCs w:val="17"/>
          <w:color w:val="auto"/>
        </w:rPr>
        <w:t>Missile Defense – Support our customer’s integrated air and missile defense strategy and deployment. Provide thought leadership in evolving areas, including hypersonic defense.</w:t>
      </w:r>
    </w:p>
    <w:p>
      <w:pPr>
        <w:spacing w:after="0" w:line="89" w:lineRule="exact"/>
        <w:rPr>
          <w:rFonts w:ascii="Courier New" w:cs="Courier New" w:eastAsia="Courier New" w:hAnsi="Courier New"/>
          <w:sz w:val="17"/>
          <w:szCs w:val="17"/>
          <w:color w:val="auto"/>
        </w:rPr>
      </w:pPr>
    </w:p>
    <w:p>
      <w:pPr>
        <w:ind w:left="2020" w:right="40" w:hanging="421"/>
        <w:spacing w:after="0" w:line="232" w:lineRule="auto"/>
        <w:tabs>
          <w:tab w:leader="none" w:pos="2020" w:val="left"/>
        </w:tabs>
        <w:numPr>
          <w:ilvl w:val="0"/>
          <w:numId w:val="15"/>
        </w:numPr>
        <w:rPr>
          <w:rFonts w:ascii="Courier New" w:cs="Courier New" w:eastAsia="Courier New" w:hAnsi="Courier New"/>
          <w:sz w:val="17"/>
          <w:szCs w:val="17"/>
          <w:color w:val="auto"/>
        </w:rPr>
      </w:pPr>
      <w:r>
        <w:rPr>
          <w:rFonts w:ascii="Arial" w:cs="Arial" w:eastAsia="Arial" w:hAnsi="Arial"/>
          <w:sz w:val="17"/>
          <w:szCs w:val="17"/>
          <w:color w:val="auto"/>
        </w:rPr>
        <w:t>Transportation – Capitalize on the increased funding in the IIJA and increased global transportation and infrastructure spending to further our roads and highways, bridges, rail and transit, and aviation business. Capitalize on broadband and environmental spend in areas where Parsons is differentiated. Leverage technology to drive smart, sustainable infrastructure.</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40"/>
          </w:cols>
          <w:pgMar w:left="320" w:top="443" w:right="439" w:bottom="1440" w:gutter="0" w:footer="0" w:header="0"/>
        </w:sectPr>
      </w:pPr>
    </w:p>
    <w:bookmarkStart w:id="16" w:name="page17"/>
    <w:bookmarkEnd w:id="16"/>
    <w:p>
      <w:pPr>
        <w:ind w:left="2020" w:right="60" w:hanging="421"/>
        <w:spacing w:after="0" w:line="232" w:lineRule="auto"/>
        <w:tabs>
          <w:tab w:leader="none" w:pos="2020" w:val="left"/>
        </w:tabs>
        <w:numPr>
          <w:ilvl w:val="0"/>
          <w:numId w:val="16"/>
        </w:numPr>
        <w:rPr>
          <w:rFonts w:ascii="Courier New" w:cs="Courier New" w:eastAsia="Courier New" w:hAnsi="Courier New"/>
          <w:sz w:val="17"/>
          <w:szCs w:val="17"/>
          <w:color w:val="auto"/>
        </w:rPr>
      </w:pPr>
      <w:r>
        <w:rPr>
          <w:rFonts w:ascii="Arial" w:cs="Arial" w:eastAsia="Arial" w:hAnsi="Arial"/>
          <w:sz w:val="17"/>
          <w:szCs w:val="17"/>
          <w:color w:val="auto"/>
        </w:rPr>
        <w:t>Environmental remediation – Leverage our specialized skill and experience with respect to remediating mines and oil wells and eliminating emerging contaminants.</w:t>
      </w:r>
    </w:p>
    <w:p>
      <w:pPr>
        <w:spacing w:after="0" w:line="89" w:lineRule="exact"/>
        <w:rPr>
          <w:rFonts w:ascii="Courier New" w:cs="Courier New" w:eastAsia="Courier New" w:hAnsi="Courier New"/>
          <w:sz w:val="17"/>
          <w:szCs w:val="17"/>
          <w:color w:val="auto"/>
        </w:rPr>
      </w:pPr>
    </w:p>
    <w:p>
      <w:pPr>
        <w:ind w:left="2020" w:right="40" w:hanging="421"/>
        <w:spacing w:after="0" w:line="232" w:lineRule="auto"/>
        <w:tabs>
          <w:tab w:leader="none" w:pos="2020" w:val="left"/>
        </w:tabs>
        <w:numPr>
          <w:ilvl w:val="0"/>
          <w:numId w:val="16"/>
        </w:numPr>
        <w:rPr>
          <w:rFonts w:ascii="Courier New" w:cs="Courier New" w:eastAsia="Courier New" w:hAnsi="Courier New"/>
          <w:sz w:val="17"/>
          <w:szCs w:val="17"/>
          <w:color w:val="auto"/>
        </w:rPr>
      </w:pPr>
      <w:r>
        <w:rPr>
          <w:rFonts w:ascii="Arial" w:cs="Arial" w:eastAsia="Arial" w:hAnsi="Arial"/>
          <w:sz w:val="17"/>
          <w:szCs w:val="17"/>
          <w:color w:val="auto"/>
        </w:rPr>
        <w:t>Water/wastewater treatment – Apply our design capabilities and innovative technologies to modernize, upgrade and create new water/wastewater treatment systems.</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Mergers and Acquisitions</w:t>
      </w:r>
    </w:p>
    <w:p>
      <w:pPr>
        <w:spacing w:after="0" w:line="200" w:lineRule="exact"/>
        <w:rPr>
          <w:sz w:val="20"/>
          <w:szCs w:val="20"/>
          <w:color w:val="auto"/>
        </w:rPr>
      </w:pPr>
    </w:p>
    <w:p>
      <w:pPr>
        <w:spacing w:after="0" w:line="24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We continue to pursue the acquisition and integration of high growth, technology driven companies which meet the following criteria:</w:t>
      </w:r>
    </w:p>
    <w:p>
      <w:pPr>
        <w:spacing w:after="0" w:line="96" w:lineRule="exact"/>
        <w:rPr>
          <w:sz w:val="20"/>
          <w:szCs w:val="20"/>
          <w:color w:val="auto"/>
        </w:rPr>
      </w:pPr>
    </w:p>
    <w:p>
      <w:pPr>
        <w:ind w:left="1020" w:hanging="296"/>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Financial performance goals: &gt;10% top line growth, &gt;10% Adjusted EBITDA margin, and strong cash flow</w:t>
      </w:r>
    </w:p>
    <w:p>
      <w:pPr>
        <w:spacing w:after="0" w:line="96" w:lineRule="exact"/>
        <w:rPr>
          <w:rFonts w:ascii="Arial" w:cs="Arial" w:eastAsia="Arial" w:hAnsi="Arial"/>
          <w:sz w:val="17"/>
          <w:szCs w:val="17"/>
          <w:color w:val="auto"/>
        </w:rPr>
      </w:pPr>
    </w:p>
    <w:p>
      <w:pPr>
        <w:ind w:left="1020" w:hanging="296"/>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Align to our focused markets</w:t>
      </w:r>
    </w:p>
    <w:p>
      <w:pPr>
        <w:spacing w:after="0" w:line="96" w:lineRule="exact"/>
        <w:rPr>
          <w:rFonts w:ascii="Arial" w:cs="Arial" w:eastAsia="Arial" w:hAnsi="Arial"/>
          <w:sz w:val="17"/>
          <w:szCs w:val="17"/>
          <w:color w:val="auto"/>
        </w:rPr>
      </w:pPr>
    </w:p>
    <w:p>
      <w:pPr>
        <w:ind w:left="1020" w:right="660" w:hanging="296"/>
        <w:spacing w:after="0" w:line="242"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Technology differentiation: fill technology gaps, drive end-to-end solutions, move up the value chain, scale within and across our businesses and add valuable intellectual property rights</w:t>
      </w:r>
    </w:p>
    <w:p>
      <w:pPr>
        <w:spacing w:after="0" w:line="88" w:lineRule="exact"/>
        <w:rPr>
          <w:sz w:val="20"/>
          <w:szCs w:val="20"/>
          <w:color w:val="auto"/>
        </w:rPr>
      </w:pPr>
    </w:p>
    <w:p>
      <w:pPr>
        <w:ind w:right="260"/>
        <w:spacing w:after="0" w:line="242" w:lineRule="auto"/>
        <w:rPr>
          <w:sz w:val="20"/>
          <w:szCs w:val="20"/>
          <w:color w:val="auto"/>
        </w:rPr>
      </w:pPr>
      <w:r>
        <w:rPr>
          <w:rFonts w:ascii="Arial" w:cs="Arial" w:eastAsia="Arial" w:hAnsi="Arial"/>
          <w:sz w:val="17"/>
          <w:szCs w:val="17"/>
          <w:color w:val="auto"/>
        </w:rPr>
        <w:t>Our objective is to continue to transform our business into an integrated, full life-cycle systems integrator that delivers scalable solutions and drives revenue growth, expanded margins, and strong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view growth in total backlog as a key measure of our business growth. We define backlog to include the following two components:</w:t>
      </w:r>
    </w:p>
    <w:p>
      <w:pPr>
        <w:spacing w:after="0" w:line="96" w:lineRule="exact"/>
        <w:rPr>
          <w:sz w:val="20"/>
          <w:szCs w:val="20"/>
          <w:color w:val="auto"/>
        </w:rPr>
      </w:pPr>
    </w:p>
    <w:p>
      <w:pPr>
        <w:ind w:left="1300" w:right="800" w:hanging="436"/>
        <w:spacing w:after="0" w:line="242"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Funded—Funded backlog represents the revenue value of orders for services under existing contracts for which funding is appropriated or otherwise authorized less revenue previously recognized on these contracts.</w:t>
      </w:r>
    </w:p>
    <w:p>
      <w:pPr>
        <w:spacing w:after="0" w:line="87" w:lineRule="exact"/>
        <w:rPr>
          <w:rFonts w:ascii="Arial" w:cs="Arial" w:eastAsia="Arial" w:hAnsi="Arial"/>
          <w:sz w:val="17"/>
          <w:szCs w:val="17"/>
          <w:color w:val="auto"/>
        </w:rPr>
      </w:pPr>
    </w:p>
    <w:p>
      <w:pPr>
        <w:ind w:left="1300" w:right="40" w:hanging="436"/>
        <w:spacing w:after="0" w:line="242"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Unfunded—Unfunded backlog represents the revenue value of orders for services under existing contracts for which funding has not been appropriated or otherwise authorized less revenue previously recognized on these contracts.</w:t>
      </w:r>
    </w:p>
    <w:p>
      <w:pPr>
        <w:spacing w:after="0" w:line="189" w:lineRule="exact"/>
        <w:rPr>
          <w:sz w:val="20"/>
          <w:szCs w:val="20"/>
          <w:color w:val="auto"/>
        </w:rPr>
      </w:pPr>
    </w:p>
    <w:p>
      <w:pPr>
        <w:ind w:right="520" w:firstLine="433"/>
        <w:spacing w:after="0" w:line="242" w:lineRule="auto"/>
        <w:rPr>
          <w:sz w:val="20"/>
          <w:szCs w:val="20"/>
          <w:color w:val="auto"/>
        </w:rPr>
      </w:pPr>
      <w:r>
        <w:rPr>
          <w:rFonts w:ascii="Arial" w:cs="Arial" w:eastAsia="Arial" w:hAnsi="Arial"/>
          <w:sz w:val="17"/>
          <w:szCs w:val="17"/>
          <w:color w:val="auto"/>
        </w:rPr>
        <w:t>Backlog includes (i) unissued task orders and unexercised option years, to the extent their issuance or exercise is probable, as well as (ii) contract awards, to the extent we believe contract execution and funding is probable.</w:t>
      </w:r>
    </w:p>
    <w:p>
      <w:pPr>
        <w:spacing w:after="0" w:line="189" w:lineRule="exact"/>
        <w:rPr>
          <w:sz w:val="20"/>
          <w:szCs w:val="20"/>
          <w:color w:val="auto"/>
        </w:rPr>
      </w:pPr>
    </w:p>
    <w:p>
      <w:pPr>
        <w:jc w:val="both"/>
        <w:ind w:right="100" w:firstLine="433"/>
        <w:spacing w:after="0" w:line="236" w:lineRule="auto"/>
        <w:rPr>
          <w:sz w:val="20"/>
          <w:szCs w:val="20"/>
          <w:color w:val="auto"/>
        </w:rPr>
      </w:pPr>
      <w:r>
        <w:rPr>
          <w:rFonts w:ascii="Arial" w:cs="Arial" w:eastAsia="Arial" w:hAnsi="Arial"/>
          <w:sz w:val="17"/>
          <w:szCs w:val="17"/>
          <w:color w:val="auto"/>
        </w:rPr>
        <w:t>Our backlog includes orders under contracts that can extend for several years, and in some cases, contracts that extend for more than 10 to 15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 of the work to be performed under the contracts may remain unfunded unless and until the U.S. Congress makes subsequent appropriations and the procuring agency allocates funding to the contract.</w:t>
      </w:r>
    </w:p>
    <w:p>
      <w:pPr>
        <w:spacing w:after="0" w:line="193" w:lineRule="exact"/>
        <w:rPr>
          <w:sz w:val="20"/>
          <w:szCs w:val="20"/>
          <w:color w:val="auto"/>
        </w:rPr>
      </w:pPr>
    </w:p>
    <w:p>
      <w:pPr>
        <w:ind w:firstLine="433"/>
        <w:spacing w:after="0" w:line="239" w:lineRule="auto"/>
        <w:rPr>
          <w:sz w:val="20"/>
          <w:szCs w:val="20"/>
          <w:color w:val="auto"/>
        </w:rPr>
      </w:pPr>
      <w:r>
        <w:rPr>
          <w:rFonts w:ascii="Arial" w:cs="Arial" w:eastAsia="Arial" w:hAnsi="Arial"/>
          <w:sz w:val="17"/>
          <w:szCs w:val="17"/>
          <w:color w:val="auto"/>
        </w:rPr>
        <w:t>As of December 31, 2021, our total backlog was approximately $8.3 billion, consisting of $4.3 billion of funded backlog and $4.0 billion of unfunded backlog. We expect to recognize $2.9 billion of our funded backlog as of December 31, 2021 as revenues in the following twelve months. However, our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17" w:name="page18"/>
    <w:bookmarkEnd w:id="17"/>
    <w:p>
      <w:pPr>
        <w:ind w:right="60" w:firstLine="433"/>
        <w:spacing w:after="0" w:line="235" w:lineRule="auto"/>
        <w:rPr>
          <w:sz w:val="20"/>
          <w:szCs w:val="20"/>
          <w:color w:val="auto"/>
        </w:rPr>
      </w:pPr>
      <w:r>
        <w:rPr>
          <w:rFonts w:ascii="Arial" w:cs="Arial" w:eastAsia="Arial" w:hAnsi="Arial"/>
          <w:sz w:val="17"/>
          <w:szCs w:val="17"/>
          <w:color w:val="auto"/>
        </w:rPr>
        <w:t>The industries we operate in consist of a large number of enterprises ranging from small, niche-oriented companies to multi-billion-dollar corporations that serve many governmental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Our main competitors in Federal Solutions are U.S. federal systems integrators and service providers such as Booz Allen Hamilton, CACI International Inc, Leidos Holdings, Inc., ManTech International Corporation, Science Applications International Corporation, Lockheed Martin Corporation, Northrop Grumman Corporation, Peraton, and Raytheon Technologies. Our main competitors in Critical Infrastructure include AECOM, Jacobs Engineering Group Inc., Stantec, Tetra Tech, Inc., and WSP, as well as Kapsch and Opus in the Connected Communities market.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218" w:lineRule="exact"/>
        <w:rPr>
          <w:sz w:val="20"/>
          <w:szCs w:val="20"/>
          <w:color w:val="auto"/>
        </w:rPr>
      </w:pPr>
    </w:p>
    <w:p>
      <w:pPr>
        <w:ind w:firstLine="433"/>
        <w:spacing w:after="0" w:line="236" w:lineRule="auto"/>
        <w:rPr>
          <w:sz w:val="20"/>
          <w:szCs w:val="20"/>
          <w:color w:val="auto"/>
        </w:rPr>
      </w:pPr>
      <w:r>
        <w:rPr>
          <w:rFonts w:ascii="Arial" w:cs="Arial" w:eastAsia="Arial" w:hAnsi="Arial"/>
          <w:sz w:val="17"/>
          <w:szCs w:val="17"/>
          <w:color w:val="auto"/>
        </w:rPr>
        <w:t>Our results may be affected by variances as a result of weather conditions and contract award seasonality impacts that we experience across our businesses. The latter issue is typically driven by the U.S. federal government fiscal year-end, September 30. While not certain, it is not uncommon for U.S. government agencies to award task orders or complete other contract actions in the weeks before the end of the U.S. federal government fiscal year in order to avoid the loss of unexpended U.S. federal government fiscal year funds.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Management</w:t>
      </w:r>
    </w:p>
    <w:p>
      <w:pPr>
        <w:spacing w:after="0" w:line="218" w:lineRule="exact"/>
        <w:rPr>
          <w:sz w:val="20"/>
          <w:szCs w:val="20"/>
          <w:color w:val="auto"/>
        </w:rPr>
      </w:pPr>
    </w:p>
    <w:p>
      <w:pPr>
        <w:ind w:right="20" w:firstLine="433"/>
        <w:spacing w:after="0" w:line="234" w:lineRule="auto"/>
        <w:rPr>
          <w:sz w:val="20"/>
          <w:szCs w:val="20"/>
          <w:color w:val="auto"/>
        </w:rPr>
      </w:pPr>
      <w:r>
        <w:rPr>
          <w:rFonts w:ascii="Arial" w:cs="Arial" w:eastAsia="Arial" w:hAnsi="Arial"/>
          <w:sz w:val="17"/>
          <w:szCs w:val="17"/>
          <w:color w:val="auto"/>
        </w:rPr>
        <w:t>We are committed to enhancing our position as a leading employer in our industry. Our culture and reputation as a leading provider of technology-driven solutions in the defense, intelligence and critical infrastructure markets enables us to recruit and retain some of the best available talent across the globe. We believe that we are stronger and smarter when we work together and celebrate our diverse backgrounds. We believe in doing right by the communities we serve, and we have policies prohibiting discrimination (age, race or ethnicity, gender/gender identity, religion, sexual orientation or disability), child labor and human trafficking. We believe that Parsons is the place for our diverse employees to make a difference. In 2021, we set a goal to enhance our gender diversity in the North America workforce and to enhance ethnic diversity in the U.S. workforce. We increased our diversity representation in the U.S. by 1.8% and continue to make progress for our female representation across Parsons. This improvement was largely attributed to strong hiring in 2021 globally and lower overall attrition. A high level of engagement among employees is reflected in our 2021 culture and engagement scores, which had over 40% participation and reflected significant improvements gained in survey areas such as overall employee satisfaction and collaboration among teams to achieve company goals and strong engagement scores with regard to managers supporting growth and development of employees, fostering a collaborative team environment where information and ideas are shared, and accountability from managers for high performance.</w:t>
      </w:r>
    </w:p>
    <w:p>
      <w:pPr>
        <w:spacing w:after="0" w:line="198" w:lineRule="exact"/>
        <w:rPr>
          <w:sz w:val="20"/>
          <w:szCs w:val="20"/>
          <w:color w:val="auto"/>
        </w:rPr>
      </w:pPr>
    </w:p>
    <w:p>
      <w:pPr>
        <w:ind w:right="120" w:firstLine="433"/>
        <w:spacing w:after="0" w:line="236" w:lineRule="auto"/>
        <w:rPr>
          <w:sz w:val="20"/>
          <w:szCs w:val="20"/>
          <w:color w:val="auto"/>
        </w:rPr>
      </w:pPr>
      <w:r>
        <w:rPr>
          <w:rFonts w:ascii="Arial" w:cs="Arial" w:eastAsia="Arial" w:hAnsi="Arial"/>
          <w:sz w:val="17"/>
          <w:szCs w:val="17"/>
          <w:color w:val="auto"/>
        </w:rPr>
        <w:t>Our principal asset is our team of diverse employees. A large percentage of our employees have technical and professional backgrounds and undergraduate and/or advanced degrees, with our employees holding more than 17,000 degrees and professional credentials, including registrations and certifications in technical areas such as Agile Methodology, Project Management, Engineering, Architecture, Green Building/Sustainability, Technology, and Security as of December 31, 2021. Approximately 21% of our employees, including 57% of the employees in our Federal Solutions business segment, hold security clearances as of that date. Of those holding such clearances in Federal Solutions, approximately 63% are Top Secret/Sensitive Compartmented Information Level clearances, which often require the completion of a polygraph.</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8" w:name="page19"/>
    <w:bookmarkEnd w:id="18"/>
    <w:p>
      <w:pPr>
        <w:ind w:right="480" w:firstLine="433"/>
        <w:spacing w:after="0" w:line="238" w:lineRule="auto"/>
        <w:rPr>
          <w:sz w:val="20"/>
          <w:szCs w:val="20"/>
          <w:color w:val="auto"/>
        </w:rPr>
      </w:pPr>
      <w:r>
        <w:rPr>
          <w:rFonts w:ascii="Arial" w:cs="Arial" w:eastAsia="Arial" w:hAnsi="Arial"/>
          <w:sz w:val="17"/>
          <w:szCs w:val="17"/>
          <w:color w:val="auto"/>
        </w:rPr>
        <w:t>In 2021, we focused on retaining and developing our employees on highly sought-after key programs as part of the knitting of our success. Such programs include the mentoring program, Parsons Distinguished Recognition and Incentive Program (DRIVE), and the Parsons’ Fellows Program.</w:t>
      </w:r>
    </w:p>
    <w:p>
      <w:pPr>
        <w:spacing w:after="0" w:line="174" w:lineRule="exact"/>
        <w:rPr>
          <w:sz w:val="20"/>
          <w:szCs w:val="20"/>
          <w:color w:val="auto"/>
        </w:rPr>
      </w:pPr>
    </w:p>
    <w:p>
      <w:pPr>
        <w:ind w:right="560" w:firstLine="433"/>
        <w:spacing w:after="0" w:line="264" w:lineRule="auto"/>
        <w:rPr>
          <w:sz w:val="20"/>
          <w:szCs w:val="20"/>
          <w:color w:val="auto"/>
        </w:rPr>
      </w:pPr>
      <w:r>
        <w:rPr>
          <w:rFonts w:ascii="Arial" w:cs="Arial" w:eastAsia="Arial" w:hAnsi="Arial"/>
          <w:sz w:val="17"/>
          <w:szCs w:val="17"/>
          <w:i w:val="1"/>
          <w:iCs w:val="1"/>
          <w:color w:val="auto"/>
        </w:rPr>
        <w:t xml:space="preserve">Mentoring: </w:t>
      </w:r>
      <w:r>
        <w:rPr>
          <w:rFonts w:ascii="Arial" w:cs="Arial" w:eastAsia="Arial" w:hAnsi="Arial"/>
          <w:sz w:val="17"/>
          <w:szCs w:val="17"/>
          <w:color w:val="auto"/>
        </w:rPr>
        <w:t>The Parsons mentoring program allows employees to cultivate skills, seek guidance and share professional experiences. The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is open to all employees at all levels worldwide and is voluntary. The program launched in 2020 is designed to:</w:t>
      </w:r>
    </w:p>
    <w:p>
      <w:pPr>
        <w:spacing w:after="0" w:line="171" w:lineRule="exact"/>
        <w:rPr>
          <w:sz w:val="20"/>
          <w:szCs w:val="20"/>
          <w:color w:val="auto"/>
        </w:rPr>
      </w:pPr>
    </w:p>
    <w:p>
      <w:pPr>
        <w:ind w:left="1300" w:hanging="436"/>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Increase a sense of connection, engagement and retention of key diverse talent</w:t>
      </w:r>
    </w:p>
    <w:p>
      <w:pPr>
        <w:spacing w:after="0" w:line="7" w:lineRule="exact"/>
        <w:rPr>
          <w:rFonts w:ascii="Arial" w:cs="Arial" w:eastAsia="Arial" w:hAnsi="Arial"/>
          <w:sz w:val="17"/>
          <w:szCs w:val="17"/>
          <w:color w:val="auto"/>
        </w:rPr>
      </w:pPr>
    </w:p>
    <w:p>
      <w:pPr>
        <w:ind w:left="1300" w:hanging="436"/>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Sustain promotion and retention rates of diverse leadership talent</w:t>
      </w:r>
    </w:p>
    <w:p>
      <w:pPr>
        <w:spacing w:after="0" w:line="7" w:lineRule="exact"/>
        <w:rPr>
          <w:rFonts w:ascii="Arial" w:cs="Arial" w:eastAsia="Arial" w:hAnsi="Arial"/>
          <w:sz w:val="17"/>
          <w:szCs w:val="17"/>
          <w:color w:val="auto"/>
        </w:rPr>
      </w:pPr>
    </w:p>
    <w:p>
      <w:pPr>
        <w:ind w:left="1300" w:hanging="436"/>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Expand networks and enhance career development opportunities</w:t>
      </w:r>
    </w:p>
    <w:p>
      <w:pPr>
        <w:spacing w:after="0" w:line="210" w:lineRule="exact"/>
        <w:rPr>
          <w:sz w:val="20"/>
          <w:szCs w:val="20"/>
          <w:color w:val="auto"/>
        </w:rPr>
      </w:pPr>
    </w:p>
    <w:p>
      <w:pPr>
        <w:ind w:right="220" w:firstLine="433"/>
        <w:spacing w:after="0" w:line="242" w:lineRule="auto"/>
        <w:rPr>
          <w:sz w:val="20"/>
          <w:szCs w:val="20"/>
          <w:color w:val="auto"/>
        </w:rPr>
      </w:pPr>
      <w:r>
        <w:rPr>
          <w:rFonts w:ascii="Arial" w:cs="Arial" w:eastAsia="Arial" w:hAnsi="Arial"/>
          <w:sz w:val="17"/>
          <w:szCs w:val="17"/>
          <w:color w:val="auto"/>
        </w:rPr>
        <w:t>In 2021, Parsons recognized a 12.5% increase over 2020 mentor/mentee parings and increased the number of vice presidents participating in the program by 60% as compared to 2020 participation.</w:t>
      </w:r>
    </w:p>
    <w:p>
      <w:pPr>
        <w:spacing w:after="0" w:line="171" w:lineRule="exact"/>
        <w:rPr>
          <w:sz w:val="20"/>
          <w:szCs w:val="20"/>
          <w:color w:val="auto"/>
        </w:rPr>
      </w:pPr>
    </w:p>
    <w:p>
      <w:pPr>
        <w:ind w:right="60" w:firstLine="433"/>
        <w:spacing w:after="0" w:line="239" w:lineRule="auto"/>
        <w:rPr>
          <w:sz w:val="20"/>
          <w:szCs w:val="20"/>
          <w:color w:val="auto"/>
        </w:rPr>
      </w:pPr>
      <w:r>
        <w:rPr>
          <w:rFonts w:ascii="Arial" w:cs="Arial" w:eastAsia="Arial" w:hAnsi="Arial"/>
          <w:sz w:val="17"/>
          <w:szCs w:val="17"/>
          <w:i w:val="1"/>
          <w:iCs w:val="1"/>
          <w:color w:val="auto"/>
        </w:rPr>
        <w:t xml:space="preserve">Recognition: </w:t>
      </w:r>
      <w:r>
        <w:rPr>
          <w:rFonts w:ascii="Arial" w:cs="Arial" w:eastAsia="Arial" w:hAnsi="Arial"/>
          <w:sz w:val="17"/>
          <w:szCs w:val="17"/>
          <w:color w:val="auto"/>
        </w:rPr>
        <w:t>Understanding recognition at all levels is key to management and retention. We expanded Parsons Distinguished Recognition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(DRIVE) Program that celebrates employees who go above and beyond their work. Launched in 2019, the program now has eight different award levels and is designed to reward employees who have made exceptional contributions to a program or project, or who have provided outstanding leadership or support to their teams, our clients, or our company as a whole, and serves to reinforce our commitment to our core values. Over 4,500 awards were issued to employees in 2021, representing a nearly 33% increase over 2020 and the program continues to grow. The DRIVE Program is open to all employees at all levels worldwide</w:t>
      </w:r>
    </w:p>
    <w:p>
      <w:pPr>
        <w:spacing w:after="0" w:line="176" w:lineRule="exact"/>
        <w:rPr>
          <w:sz w:val="20"/>
          <w:szCs w:val="20"/>
          <w:color w:val="auto"/>
        </w:rPr>
      </w:pPr>
    </w:p>
    <w:p>
      <w:pPr>
        <w:ind w:firstLine="433"/>
        <w:spacing w:after="0" w:line="239" w:lineRule="auto"/>
        <w:rPr>
          <w:sz w:val="20"/>
          <w:szCs w:val="20"/>
          <w:color w:val="auto"/>
        </w:rPr>
      </w:pPr>
      <w:r>
        <w:rPr>
          <w:rFonts w:ascii="Arial" w:cs="Arial" w:eastAsia="Arial" w:hAnsi="Arial"/>
          <w:sz w:val="17"/>
          <w:szCs w:val="17"/>
          <w:i w:val="1"/>
          <w:iCs w:val="1"/>
          <w:color w:val="auto"/>
        </w:rPr>
        <w:t xml:space="preserve">Development: </w:t>
      </w:r>
      <w:r>
        <w:rPr>
          <w:rFonts w:ascii="Arial" w:cs="Arial" w:eastAsia="Arial" w:hAnsi="Arial"/>
          <w:sz w:val="17"/>
          <w:szCs w:val="17"/>
          <w:color w:val="auto"/>
        </w:rPr>
        <w:t>The Parsons’ Fellows Program recognizes our top technical experts and promotes innovation in solving our customers’ most</w:t>
      </w:r>
      <w:r>
        <w:rPr>
          <w:rFonts w:ascii="Arial" w:cs="Arial" w:eastAsia="Arial" w:hAnsi="Arial"/>
          <w:sz w:val="17"/>
          <w:szCs w:val="17"/>
          <w:i w:val="1"/>
          <w:iCs w:val="1"/>
          <w:color w:val="auto"/>
        </w:rPr>
        <w:t xml:space="preserve"> </w:t>
      </w:r>
      <w:r>
        <w:rPr>
          <w:rFonts w:ascii="Arial" w:cs="Arial" w:eastAsia="Arial" w:hAnsi="Arial"/>
          <w:sz w:val="17"/>
          <w:szCs w:val="17"/>
          <w:color w:val="auto"/>
        </w:rPr>
        <w:t>difficult technical challenges. It is a collaborative network of over forty selected motivated and passionate subject matter experts working to solve technical challenges through either strategic research and development or through the development of long-term technical policies and best practices. The program defines its success through engagement, mentorship, and retention. Every benefit that collaboration among the Fellows offers is expressed by the idea that the individual is brilliant, but a group of brilliant individuals acting as one can be more powerful and enable Parsons to accomplish even more in our quest to deliver a better world.</w:t>
      </w:r>
    </w:p>
    <w:p>
      <w:pPr>
        <w:spacing w:after="0" w:line="194" w:lineRule="exact"/>
        <w:rPr>
          <w:sz w:val="20"/>
          <w:szCs w:val="20"/>
          <w:color w:val="auto"/>
        </w:rPr>
      </w:pPr>
    </w:p>
    <w:p>
      <w:pPr>
        <w:ind w:right="660" w:firstLine="433"/>
        <w:spacing w:after="0" w:line="242" w:lineRule="auto"/>
        <w:rPr>
          <w:sz w:val="20"/>
          <w:szCs w:val="20"/>
          <w:color w:val="auto"/>
        </w:rPr>
      </w:pPr>
      <w:r>
        <w:rPr>
          <w:rFonts w:ascii="Arial" w:cs="Arial" w:eastAsia="Arial" w:hAnsi="Arial"/>
          <w:sz w:val="17"/>
          <w:szCs w:val="17"/>
          <w:color w:val="auto"/>
        </w:rPr>
        <w:t>In addition to the Fellows Program, Parsons has a wealth of training and development opportunities that cover topics such as ethics and integrity, safety, inclusion and diversity, information security, program management, agile methodology and more.</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Inclusion Inspires Innovation</w:t>
      </w:r>
    </w:p>
    <w:p>
      <w:pPr>
        <w:spacing w:after="0" w:line="218" w:lineRule="exact"/>
        <w:rPr>
          <w:sz w:val="20"/>
          <w:szCs w:val="20"/>
          <w:color w:val="auto"/>
        </w:rPr>
      </w:pPr>
    </w:p>
    <w:p>
      <w:pPr>
        <w:ind w:right="100" w:firstLine="433"/>
        <w:spacing w:after="0" w:line="236" w:lineRule="auto"/>
        <w:rPr>
          <w:sz w:val="20"/>
          <w:szCs w:val="20"/>
          <w:color w:val="auto"/>
        </w:rPr>
      </w:pPr>
      <w:r>
        <w:rPr>
          <w:rFonts w:ascii="Arial" w:cs="Arial" w:eastAsia="Arial" w:hAnsi="Arial"/>
          <w:sz w:val="17"/>
          <w:szCs w:val="17"/>
          <w:color w:val="auto"/>
        </w:rPr>
        <w:t>Embracing inclusion, diversity and equality in all aspects of our business is fundamental to our corporate culture and vital to our continued growth and success. Our employees work across 25 countries and collectively speak over 80 languages. Diversity is one of our core values, and we pursue it in our workforce, our markets, our suppliers, and our services because we recognize that optimum solutions require different backgrounds, new perspectives, and open minds. We leverage diversity and equality through the inclusion of employees, empowering them to shape the future of the corporation through collaboration and innovation.</w:t>
      </w:r>
    </w:p>
    <w:p>
      <w:pPr>
        <w:spacing w:after="0" w:line="193" w:lineRule="exact"/>
        <w:rPr>
          <w:sz w:val="20"/>
          <w:szCs w:val="20"/>
          <w:color w:val="auto"/>
        </w:rPr>
      </w:pPr>
    </w:p>
    <w:p>
      <w:pPr>
        <w:ind w:right="180" w:firstLine="433"/>
        <w:spacing w:after="0" w:line="236" w:lineRule="auto"/>
        <w:rPr>
          <w:sz w:val="20"/>
          <w:szCs w:val="20"/>
          <w:color w:val="auto"/>
        </w:rPr>
      </w:pPr>
      <w:r>
        <w:rPr>
          <w:rFonts w:ascii="Arial" w:cs="Arial" w:eastAsia="Arial" w:hAnsi="Arial"/>
          <w:sz w:val="17"/>
          <w:szCs w:val="17"/>
          <w:color w:val="auto"/>
        </w:rPr>
        <w:t>In 2017, we launched our Inclusion and Diversity (I&amp;D) Task Force with executive sponsorship from the Board, our CEO, our President and COO, and our Chief Human Resources Officer. The task force’s objectives are to support the attraction, inclusion, promotion, development, and retention of talent. In 2021, we changed the name from Inclusion and Diversity to Diversity, Equity, and Inclusion (DEI), adding equity to the name to ensure we also have a focus on the fair treatment of all employees. The overall DEI Council consists of 44 diverse members serving as committee members, ambassadors and employee business resource group leaders throughout the organization, who demonstrate leadership and infuse their passion for inclusion, equity and diversity into our corporate culture and engage all employees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9" w:name="page20"/>
    <w:bookmarkEnd w:id="19"/>
    <w:p>
      <w:pPr>
        <w:spacing w:after="0" w:line="238" w:lineRule="auto"/>
        <w:rPr>
          <w:sz w:val="20"/>
          <w:szCs w:val="20"/>
          <w:color w:val="auto"/>
        </w:rPr>
      </w:pPr>
      <w:r>
        <w:rPr>
          <w:rFonts w:ascii="Arial" w:cs="Arial" w:eastAsia="Arial" w:hAnsi="Arial"/>
          <w:sz w:val="17"/>
          <w:szCs w:val="17"/>
          <w:color w:val="auto"/>
        </w:rPr>
        <w:t>through ongoing awareness communications and training, activities, and events. Within the task force, subcommittees support the development and implementation of initiatives identified by the Board, the Executive Leadership Team and employee business resource groups that continue to advance our inclusion and diversity objectives. The task force has the following subcommittees:</w:t>
      </w:r>
    </w:p>
    <w:p>
      <w:pPr>
        <w:spacing w:after="0" w:line="192" w:lineRule="exact"/>
        <w:rPr>
          <w:sz w:val="20"/>
          <w:szCs w:val="20"/>
          <w:color w:val="auto"/>
        </w:rPr>
      </w:pPr>
    </w:p>
    <w:p>
      <w:pPr>
        <w:ind w:left="1300" w:hanging="436"/>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Metrics – Measure the success of inclusion and diversity</w:t>
      </w:r>
    </w:p>
    <w:p>
      <w:pPr>
        <w:spacing w:after="0" w:line="7" w:lineRule="exact"/>
        <w:rPr>
          <w:rFonts w:ascii="Arial" w:cs="Arial" w:eastAsia="Arial" w:hAnsi="Arial"/>
          <w:sz w:val="17"/>
          <w:szCs w:val="17"/>
          <w:color w:val="auto"/>
        </w:rPr>
      </w:pPr>
    </w:p>
    <w:p>
      <w:pPr>
        <w:ind w:left="1300" w:hanging="436"/>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Mentoring/Training – Drive improved awareness and engagement</w:t>
      </w:r>
    </w:p>
    <w:p>
      <w:pPr>
        <w:spacing w:after="0" w:line="7" w:lineRule="exact"/>
        <w:rPr>
          <w:rFonts w:ascii="Arial" w:cs="Arial" w:eastAsia="Arial" w:hAnsi="Arial"/>
          <w:sz w:val="17"/>
          <w:szCs w:val="17"/>
          <w:color w:val="auto"/>
        </w:rPr>
      </w:pPr>
    </w:p>
    <w:p>
      <w:pPr>
        <w:ind w:left="1300" w:hanging="436"/>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Ambassadors – Bring inclusion and diversity to the local level to create inclusion and diversity awareness</w:t>
      </w:r>
    </w:p>
    <w:p>
      <w:pPr>
        <w:spacing w:after="0" w:line="7" w:lineRule="exact"/>
        <w:rPr>
          <w:rFonts w:ascii="Arial" w:cs="Arial" w:eastAsia="Arial" w:hAnsi="Arial"/>
          <w:sz w:val="17"/>
          <w:szCs w:val="17"/>
          <w:color w:val="auto"/>
        </w:rPr>
      </w:pPr>
    </w:p>
    <w:p>
      <w:pPr>
        <w:ind w:left="1300" w:hanging="436"/>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Communications – Promote inclusion and diversity awareness through messaging and celebration</w:t>
      </w:r>
    </w:p>
    <w:p>
      <w:pPr>
        <w:spacing w:after="0" w:line="7" w:lineRule="exact"/>
        <w:rPr>
          <w:rFonts w:ascii="Arial" w:cs="Arial" w:eastAsia="Arial" w:hAnsi="Arial"/>
          <w:sz w:val="17"/>
          <w:szCs w:val="17"/>
          <w:color w:val="auto"/>
        </w:rPr>
      </w:pPr>
    </w:p>
    <w:p>
      <w:pPr>
        <w:ind w:left="1300" w:hanging="436"/>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Executive/Intern Diversity – Drive improved diversity at the intern and executive levels</w:t>
      </w:r>
    </w:p>
    <w:p>
      <w:pPr>
        <w:spacing w:after="0" w:line="7" w:lineRule="exact"/>
        <w:rPr>
          <w:rFonts w:ascii="Arial" w:cs="Arial" w:eastAsia="Arial" w:hAnsi="Arial"/>
          <w:sz w:val="17"/>
          <w:szCs w:val="17"/>
          <w:color w:val="auto"/>
        </w:rPr>
      </w:pPr>
    </w:p>
    <w:p>
      <w:pPr>
        <w:ind w:left="1300" w:hanging="436"/>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Policy Review – Improve inclusion and diversity through policy change</w:t>
      </w:r>
    </w:p>
    <w:p>
      <w:pPr>
        <w:spacing w:after="0" w:line="7" w:lineRule="exact"/>
        <w:rPr>
          <w:rFonts w:ascii="Arial" w:cs="Arial" w:eastAsia="Arial" w:hAnsi="Arial"/>
          <w:sz w:val="17"/>
          <w:szCs w:val="17"/>
          <w:color w:val="auto"/>
        </w:rPr>
      </w:pPr>
    </w:p>
    <w:p>
      <w:pPr>
        <w:ind w:left="1300" w:hanging="436"/>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Social Justice and Equality – Advance social justice and equality inside and outside of Parsons</w:t>
      </w:r>
    </w:p>
    <w:p>
      <w:pPr>
        <w:spacing w:after="0" w:line="7" w:lineRule="exact"/>
        <w:rPr>
          <w:rFonts w:ascii="Arial" w:cs="Arial" w:eastAsia="Arial" w:hAnsi="Arial"/>
          <w:sz w:val="17"/>
          <w:szCs w:val="17"/>
          <w:color w:val="auto"/>
        </w:rPr>
      </w:pPr>
    </w:p>
    <w:p>
      <w:pPr>
        <w:ind w:left="1300" w:hanging="436"/>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Military and Veterans Affairs – Attract veterans and cultivate their careers and success</w:t>
      </w:r>
    </w:p>
    <w:p>
      <w:pPr>
        <w:spacing w:after="0" w:line="7" w:lineRule="exact"/>
        <w:rPr>
          <w:rFonts w:ascii="Arial" w:cs="Arial" w:eastAsia="Arial" w:hAnsi="Arial"/>
          <w:sz w:val="17"/>
          <w:szCs w:val="17"/>
          <w:color w:val="auto"/>
        </w:rPr>
      </w:pPr>
    </w:p>
    <w:p>
      <w:pPr>
        <w:ind w:left="1300" w:hanging="436"/>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Pride Alliance – Advocate for the LGBTQ+</w:t>
      </w:r>
    </w:p>
    <w:p>
      <w:pPr>
        <w:spacing w:after="0" w:line="210"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With recent social justice and equality awakening, we launched seven new Employee Business Resource Groups (EBRG): Asian American/Pacific Islander; Black; HOLA-Hispanic Origin and Latino Association; Middle Eastern/North African; MilVet; Parsons Pride Alliance; and Parsons Women’s Roundtable. Through our Listen Learn Action campaign launched in 2020, we continue to drive an action plan that holds us accountable to doing more to increase the representation of historically underrepresented groups within our global workforce, and we are committed to taking action and ensuring Parsons is, and remains, an employer of choice.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Stock Ownership Plan</w:t>
      </w:r>
    </w:p>
    <w:p>
      <w:pPr>
        <w:spacing w:after="0" w:line="212"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At December 31, 2021, approximately 6,300 of our employees participated in our Employee Stock Ownership Plan (ESOP). Thus, our</w:t>
      </w:r>
    </w:p>
    <w:p>
      <w:pPr>
        <w:spacing w:after="0" w:line="233" w:lineRule="auto"/>
        <w:rPr>
          <w:sz w:val="20"/>
          <w:szCs w:val="20"/>
          <w:color w:val="auto"/>
        </w:rPr>
      </w:pPr>
      <w:r>
        <w:rPr>
          <w:rFonts w:ascii="Arial" w:cs="Arial" w:eastAsia="Arial" w:hAnsi="Arial"/>
          <w:sz w:val="17"/>
          <w:szCs w:val="17"/>
          <w:color w:val="auto"/>
        </w:rPr>
        <w:t>employees own approximately 40% of the total outstanding shares in the ESOP. In December 2020, the board of directors approved an amendment</w:t>
      </w:r>
    </w:p>
    <w:p>
      <w:pPr>
        <w:spacing w:after="0" w:line="233" w:lineRule="auto"/>
        <w:rPr>
          <w:sz w:val="20"/>
          <w:szCs w:val="20"/>
          <w:color w:val="auto"/>
        </w:rPr>
      </w:pPr>
      <w:r>
        <w:rPr>
          <w:rFonts w:ascii="Arial" w:cs="Arial" w:eastAsia="Arial" w:hAnsi="Arial"/>
          <w:sz w:val="17"/>
          <w:szCs w:val="17"/>
          <w:color w:val="auto"/>
        </w:rPr>
        <w:t>to the ESOP to provide greater diversification rights to participants. The amendment provides that, with respect to all diversifications elected or</w:t>
      </w:r>
    </w:p>
    <w:p>
      <w:pPr>
        <w:spacing w:after="0" w:line="234" w:lineRule="auto"/>
        <w:rPr>
          <w:sz w:val="20"/>
          <w:szCs w:val="20"/>
          <w:color w:val="auto"/>
        </w:rPr>
      </w:pPr>
      <w:r>
        <w:rPr>
          <w:rFonts w:ascii="Arial" w:cs="Arial" w:eastAsia="Arial" w:hAnsi="Arial"/>
          <w:sz w:val="17"/>
          <w:szCs w:val="17"/>
          <w:color w:val="auto"/>
        </w:rPr>
        <w:t>processed after January 1, 2021, the definition of a qualified participant shall mean a participant who has attained the age of 50 and who has</w:t>
      </w:r>
    </w:p>
    <w:p>
      <w:pPr>
        <w:spacing w:after="0" w:line="233" w:lineRule="auto"/>
        <w:rPr>
          <w:sz w:val="20"/>
          <w:szCs w:val="20"/>
          <w:color w:val="auto"/>
        </w:rPr>
      </w:pPr>
      <w:r>
        <w:rPr>
          <w:rFonts w:ascii="Arial" w:cs="Arial" w:eastAsia="Arial" w:hAnsi="Arial"/>
          <w:sz w:val="17"/>
          <w:szCs w:val="17"/>
          <w:color w:val="auto"/>
        </w:rPr>
        <w:t>completed at least three years of participation in the ESOP and other criteria. Each qualified participant shall generally be permitted to direct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ESOP as to the diversification of 50% of the value of the eligible vested portion of the participant’s ESOP account. Further, in January 2021, the board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of directors approved an amendment to the ESOP whereby distributions to participants in the Plan were modified as follows: (1) the threshold amount</w:t>
      </w:r>
    </w:p>
    <w:p>
      <w:pPr>
        <w:spacing w:after="0" w:line="233" w:lineRule="auto"/>
        <w:rPr>
          <w:sz w:val="20"/>
          <w:szCs w:val="20"/>
          <w:color w:val="auto"/>
        </w:rPr>
      </w:pPr>
      <w:r>
        <w:rPr>
          <w:rFonts w:ascii="Arial" w:cs="Arial" w:eastAsia="Arial" w:hAnsi="Arial"/>
          <w:sz w:val="17"/>
          <w:szCs w:val="17"/>
          <w:color w:val="auto"/>
        </w:rPr>
        <w:t>of an ESOP participant’s balance to be eligible for a single lump sum distribution was increased from $20,000 or less to $500,000 or less; (2) the</w:t>
      </w:r>
    </w:p>
    <w:p>
      <w:pPr>
        <w:spacing w:after="0"/>
        <w:rPr>
          <w:sz w:val="20"/>
          <w:szCs w:val="20"/>
          <w:color w:val="auto"/>
        </w:rPr>
      </w:pPr>
      <w:r>
        <w:rPr>
          <w:rFonts w:ascii="Arial" w:cs="Arial" w:eastAsia="Arial" w:hAnsi="Arial"/>
          <w:sz w:val="16"/>
          <w:szCs w:val="16"/>
          <w:color w:val="auto"/>
        </w:rPr>
        <w:t>threshold balance for a participant to be eligible to receive payment in two annual installments was increased from $40,000 or less to $750,000 or less;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and (3) the threshold balance for a participant to be eligible to receive payment in three annual installments was increased to greater than</w:t>
      </w:r>
    </w:p>
    <w:p>
      <w:pPr>
        <w:spacing w:after="0" w:line="233" w:lineRule="auto"/>
        <w:rPr>
          <w:sz w:val="20"/>
          <w:szCs w:val="20"/>
          <w:color w:val="auto"/>
        </w:rPr>
      </w:pPr>
      <w:r>
        <w:rPr>
          <w:rFonts w:ascii="Arial" w:cs="Arial" w:eastAsia="Arial" w:hAnsi="Arial"/>
          <w:sz w:val="17"/>
          <w:szCs w:val="17"/>
          <w:color w:val="auto"/>
        </w:rPr>
        <w:t>$750,000. This change was made to facilitate greater flexibility for certain eligible participants to receive their balances in fewer installments and to</w:t>
      </w:r>
    </w:p>
    <w:p>
      <w:pPr>
        <w:spacing w:after="0"/>
        <w:rPr>
          <w:sz w:val="20"/>
          <w:szCs w:val="20"/>
          <w:color w:val="auto"/>
        </w:rPr>
      </w:pPr>
      <w:r>
        <w:rPr>
          <w:rFonts w:ascii="Arial" w:cs="Arial" w:eastAsia="Arial" w:hAnsi="Arial"/>
          <w:sz w:val="17"/>
          <w:szCs w:val="17"/>
          <w:color w:val="auto"/>
        </w:rPr>
        <w:t>accelerate the increase in publicly traded float for the Company’s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Stock Purchase Plan</w:t>
      </w:r>
    </w:p>
    <w:p>
      <w:pPr>
        <w:spacing w:after="0" w:line="218" w:lineRule="exact"/>
        <w:rPr>
          <w:sz w:val="20"/>
          <w:szCs w:val="20"/>
          <w:color w:val="auto"/>
        </w:rPr>
      </w:pPr>
    </w:p>
    <w:p>
      <w:pPr>
        <w:ind w:firstLine="865"/>
        <w:spacing w:after="0" w:line="236" w:lineRule="auto"/>
        <w:rPr>
          <w:sz w:val="20"/>
          <w:szCs w:val="20"/>
          <w:color w:val="auto"/>
        </w:rPr>
      </w:pPr>
      <w:r>
        <w:rPr>
          <w:rFonts w:ascii="Arial" w:cs="Arial" w:eastAsia="Arial" w:hAnsi="Arial"/>
          <w:sz w:val="17"/>
          <w:szCs w:val="17"/>
          <w:color w:val="auto"/>
        </w:rPr>
        <w:t>At the 2020 Annual Meeting of Parsons’ Shareholders, the shareholders approved the implementation of the Employee Stock Purchase Plan (ESPP). The ESPP provides an opportunity for eligible employees (as defined in the ESPP) to purchase Parsons’ stock. By participating in the ESPP, an eligible employee may purchase Parsons’ shares at a 5% discount from the New York Stock Exchange closing price at the end date for each offering period (June 30</w:t>
      </w:r>
      <w:r>
        <w:rPr>
          <w:rFonts w:ascii="Arial" w:cs="Arial" w:eastAsia="Arial" w:hAnsi="Arial"/>
          <w:sz w:val="14"/>
          <w:szCs w:val="14"/>
          <w:color w:val="auto"/>
        </w:rPr>
        <w:t>th</w:t>
      </w:r>
      <w:r>
        <w:rPr>
          <w:rFonts w:ascii="Arial" w:cs="Arial" w:eastAsia="Arial" w:hAnsi="Arial"/>
          <w:sz w:val="17"/>
          <w:szCs w:val="17"/>
          <w:color w:val="auto"/>
        </w:rPr>
        <w:t xml:space="preserve"> and December 31</w:t>
      </w:r>
      <w:r>
        <w:rPr>
          <w:rFonts w:ascii="Arial" w:cs="Arial" w:eastAsia="Arial" w:hAnsi="Arial"/>
          <w:sz w:val="14"/>
          <w:szCs w:val="14"/>
          <w:color w:val="auto"/>
        </w:rPr>
        <w:t>st</w:t>
      </w:r>
      <w:r>
        <w:rPr>
          <w:rFonts w:ascii="Arial" w:cs="Arial" w:eastAsia="Arial" w:hAnsi="Arial"/>
          <w:sz w:val="17"/>
          <w:szCs w:val="17"/>
          <w:color w:val="auto"/>
        </w:rPr>
        <w:t xml:space="preserve"> of each year). In 2021, the Compensation and Management Development Committee of the Parsons’ Board of Directors approved a special three-month offering period for eligible employees of BlackHorse Solutions and its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0" w:name="page21"/>
    <w:bookmarkEnd w:id="20"/>
    <w:p>
      <w:pPr>
        <w:ind w:right="20"/>
        <w:spacing w:after="0" w:line="242" w:lineRule="auto"/>
        <w:rPr>
          <w:sz w:val="20"/>
          <w:szCs w:val="20"/>
          <w:color w:val="auto"/>
        </w:rPr>
      </w:pPr>
      <w:r>
        <w:rPr>
          <w:rFonts w:ascii="Arial" w:cs="Arial" w:eastAsia="Arial" w:hAnsi="Arial"/>
          <w:sz w:val="17"/>
          <w:szCs w:val="17"/>
          <w:color w:val="auto"/>
        </w:rPr>
        <w:t>eligible subsidiary companies. During 2021 and 2020, our employees purchased approximately 161,000 and 127,000 shares, respectively, of Parsons’ stock.</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Repurchase Plan</w:t>
      </w:r>
    </w:p>
    <w:p>
      <w:pPr>
        <w:spacing w:after="0" w:line="218" w:lineRule="exact"/>
        <w:rPr>
          <w:sz w:val="20"/>
          <w:szCs w:val="20"/>
          <w:color w:val="auto"/>
        </w:rPr>
      </w:pPr>
    </w:p>
    <w:p>
      <w:pPr>
        <w:ind w:firstLine="282"/>
        <w:spacing w:after="0" w:line="236" w:lineRule="auto"/>
        <w:rPr>
          <w:sz w:val="20"/>
          <w:szCs w:val="20"/>
          <w:color w:val="auto"/>
        </w:rPr>
      </w:pPr>
      <w:r>
        <w:rPr>
          <w:rFonts w:ascii="Arial" w:cs="Arial" w:eastAsia="Arial" w:hAnsi="Arial"/>
          <w:sz w:val="17"/>
          <w:szCs w:val="17"/>
          <w:color w:val="auto"/>
        </w:rPr>
        <w:t>On August 9, 2021, the board of directors authorized Parsons Corporation to acquire a number of shares of common stock having an aggregate market value of not greater than $100,000,000 from time to time, commencing on August 12, 2021. The Board authorized management to execute any agreements providing for the repurchase of the Company’s stock, subject to such conditions, on behalf of the company in such lots, blocks or other amounts, from such persons or entities, from such sources, on the open market, in privately negotiated transactions, or otherwise, on such terms and conditions, from time to time, in accordance with applicable federal and state regulations. As of December 31, 2021, the company had repurchased 618,533 shares of common stock at an average price per share of $35.06 for a total amount of $21.7 million.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18" w:lineRule="exact"/>
        <w:rPr>
          <w:sz w:val="20"/>
          <w:szCs w:val="20"/>
          <w:color w:val="auto"/>
        </w:rPr>
      </w:pPr>
    </w:p>
    <w:p>
      <w:pPr>
        <w:ind w:right="160" w:firstLine="433"/>
        <w:spacing w:after="0" w:line="236" w:lineRule="auto"/>
        <w:rPr>
          <w:sz w:val="20"/>
          <w:szCs w:val="20"/>
          <w:color w:val="auto"/>
        </w:rPr>
      </w:pPr>
      <w:r>
        <w:rPr>
          <w:rFonts w:ascii="Arial" w:cs="Arial" w:eastAsia="Arial" w:hAnsi="Arial"/>
          <w:sz w:val="17"/>
          <w:szCs w:val="17"/>
          <w:color w:val="auto"/>
        </w:rPr>
        <w:t>Our intellectual property portfolio consists of issued and pending patents as well as trademarks for many of our technologies. In addition, we maintain a number of trade secrets that we endeavor to protect to ensure their continuing availability to us. Our technical expertise is vital to our growth strategy, and we believe they are a core competitive advantage. We have 35 registered patents and 22 pending patents in the United States and 12 pending patents internationally. We have 85 trademarks and 7 pending trademark applications in the United States, and 126 trademarks and 30 pending trademark applications internationally. We also currently offer 25 products for sale to our global customers.</w:t>
      </w:r>
    </w:p>
    <w:p>
      <w:pPr>
        <w:spacing w:after="0" w:line="193" w:lineRule="exact"/>
        <w:rPr>
          <w:sz w:val="20"/>
          <w:szCs w:val="20"/>
          <w:color w:val="auto"/>
        </w:rPr>
      </w:pPr>
    </w:p>
    <w:p>
      <w:pPr>
        <w:ind w:right="360" w:firstLine="433"/>
        <w:spacing w:after="0" w:line="236" w:lineRule="auto"/>
        <w:rPr>
          <w:sz w:val="20"/>
          <w:szCs w:val="20"/>
          <w:color w:val="auto"/>
        </w:rPr>
      </w:pPr>
      <w:r>
        <w:rPr>
          <w:rFonts w:ascii="Arial" w:cs="Arial" w:eastAsia="Arial" w:hAnsi="Arial"/>
          <w:sz w:val="17"/>
          <w:szCs w:val="17"/>
          <w:color w:val="auto"/>
        </w:rPr>
        <w:t>We rely upon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 While protecting trade secrets and proprietary information is important, we are not materially dependent on maintenance of any specific trade secret or group of trade secrets.</w:t>
      </w:r>
    </w:p>
    <w:p>
      <w:pPr>
        <w:spacing w:after="0" w:line="193" w:lineRule="exact"/>
        <w:rPr>
          <w:sz w:val="20"/>
          <w:szCs w:val="20"/>
          <w:color w:val="auto"/>
        </w:rPr>
      </w:pPr>
    </w:p>
    <w:p>
      <w:pPr>
        <w:ind w:right="180" w:firstLine="433"/>
        <w:spacing w:after="0" w:line="253" w:lineRule="auto"/>
        <w:rPr>
          <w:sz w:val="20"/>
          <w:szCs w:val="20"/>
          <w:color w:val="auto"/>
        </w:rPr>
      </w:pPr>
      <w:r>
        <w:rPr>
          <w:rFonts w:ascii="Arial" w:cs="Arial" w:eastAsia="Arial" w:hAnsi="Arial"/>
          <w:sz w:val="16"/>
          <w:szCs w:val="16"/>
          <w:color w:val="auto"/>
        </w:rPr>
        <w:t>During the normal course of business, we perform research and development and technology consulting services and related products in support of our customers. Typically, these services do not depend on patent protection. In accordance with applicable law, our government contracts often provide government agencies certain license rights to our inventions, copyrights, and other intellectual property. Government agencies may in turn sublicense to other contractors (including our competitors) the right to utilize our intellectual property. In addition, in the case of our work as a subcontractor, our prime contractor may also have certain rights to data, information and products we develop under the subcontract. At the same time, our government contracts often license to us patents, copyrights and other intellectual property owned by third parties.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218" w:lineRule="exact"/>
        <w:rPr>
          <w:sz w:val="20"/>
          <w:szCs w:val="20"/>
          <w:color w:val="auto"/>
        </w:rPr>
      </w:pPr>
    </w:p>
    <w:p>
      <w:pPr>
        <w:ind w:right="200" w:firstLine="433"/>
        <w:spacing w:after="0" w:line="242" w:lineRule="auto"/>
        <w:rPr>
          <w:sz w:val="20"/>
          <w:szCs w:val="20"/>
          <w:color w:val="auto"/>
        </w:rPr>
      </w:pPr>
      <w:r>
        <w:rPr>
          <w:rFonts w:ascii="Arial" w:cs="Arial" w:eastAsia="Arial" w:hAnsi="Arial"/>
          <w:sz w:val="17"/>
          <w:szCs w:val="17"/>
          <w:color w:val="auto"/>
        </w:rPr>
        <w:t>Our business is impacted by government procurement, anti-bribery, international trade, environmental, health and safety and other regulations and requirements. Below is a summary of some of the significant regulations that impact our business.</w:t>
      </w:r>
    </w:p>
    <w:p>
      <w:pPr>
        <w:spacing w:after="0" w:line="171" w:lineRule="exact"/>
        <w:rPr>
          <w:sz w:val="20"/>
          <w:szCs w:val="20"/>
          <w:color w:val="auto"/>
        </w:rPr>
      </w:pPr>
    </w:p>
    <w:p>
      <w:pPr>
        <w:ind w:right="20" w:firstLine="433"/>
        <w:spacing w:after="0" w:line="241" w:lineRule="auto"/>
        <w:rPr>
          <w:sz w:val="20"/>
          <w:szCs w:val="20"/>
          <w:color w:val="auto"/>
        </w:rPr>
      </w:pPr>
      <w:r>
        <w:rPr>
          <w:rFonts w:ascii="Arial" w:cs="Arial" w:eastAsia="Arial" w:hAnsi="Arial"/>
          <w:sz w:val="17"/>
          <w:szCs w:val="17"/>
          <w:i w:val="1"/>
          <w:iCs w:val="1"/>
          <w:color w:val="auto"/>
        </w:rPr>
        <w:t>Government Procurement</w:t>
      </w:r>
      <w:r>
        <w:rPr>
          <w:rFonts w:ascii="Arial" w:cs="Arial" w:eastAsia="Arial" w:hAnsi="Arial"/>
          <w:sz w:val="17"/>
          <w:szCs w:val="17"/>
          <w:color w:val="auto"/>
        </w:rPr>
        <w:t>. The services we provide to the U.S. Government are subject to Federal Acquisition Regulation, or FAR, the Truthful</w:t>
      </w:r>
      <w:r>
        <w:rPr>
          <w:rFonts w:ascii="Arial" w:cs="Arial" w:eastAsia="Arial" w:hAnsi="Arial"/>
          <w:sz w:val="17"/>
          <w:szCs w:val="17"/>
          <w:i w:val="1"/>
          <w:iCs w:val="1"/>
          <w:color w:val="auto"/>
        </w:rPr>
        <w:t xml:space="preserve"> </w:t>
      </w:r>
      <w:r>
        <w:rPr>
          <w:rFonts w:ascii="Arial" w:cs="Arial" w:eastAsia="Arial" w:hAnsi="Arial"/>
          <w:sz w:val="17"/>
          <w:szCs w:val="17"/>
          <w:color w:val="auto"/>
        </w:rPr>
        <w:t>Cost and Pricing Data Act, Cost Accounting Standards, or CAS, the Services Contract Act, the False Claims Act, export controls rules and U.S. Department of Defense security regulations, as well as government agency policies and many other laws and regulations. These laws and regulations affect how we transact business with our clients and, in some instances, impose additional costs on our business operations. A violation of specific laws and regulations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1" w:name="page22"/>
    <w:bookmarkEnd w:id="21"/>
    <w:p>
      <w:pPr>
        <w:ind w:right="20"/>
        <w:spacing w:after="0" w:line="242" w:lineRule="auto"/>
        <w:rPr>
          <w:sz w:val="20"/>
          <w:szCs w:val="20"/>
          <w:color w:val="auto"/>
        </w:rPr>
      </w:pPr>
      <w:r>
        <w:rPr>
          <w:rFonts w:ascii="Arial" w:cs="Arial" w:eastAsia="Arial" w:hAnsi="Arial"/>
          <w:sz w:val="17"/>
          <w:szCs w:val="17"/>
          <w:color w:val="auto"/>
        </w:rPr>
        <w:t>could lead to fines, contract termination or suspension of future contracts. Generally, our government clients can also terminate, renegotiate, or modify any of their contracts with us at their convenience, and many of our government contracts are subject to renewal or extension annually.</w:t>
      </w:r>
    </w:p>
    <w:p>
      <w:pPr>
        <w:spacing w:after="0" w:line="189" w:lineRule="exact"/>
        <w:rPr>
          <w:sz w:val="20"/>
          <w:szCs w:val="20"/>
          <w:color w:val="auto"/>
        </w:rPr>
      </w:pPr>
    </w:p>
    <w:p>
      <w:pPr>
        <w:ind w:firstLine="433"/>
        <w:spacing w:after="0" w:line="235" w:lineRule="auto"/>
        <w:rPr>
          <w:sz w:val="20"/>
          <w:szCs w:val="20"/>
          <w:color w:val="auto"/>
        </w:rPr>
      </w:pPr>
      <w:r>
        <w:rPr>
          <w:rFonts w:ascii="Arial" w:cs="Arial" w:eastAsia="Arial" w:hAnsi="Arial"/>
          <w:sz w:val="17"/>
          <w:szCs w:val="17"/>
          <w:color w:val="auto"/>
        </w:rPr>
        <w:t>In 2019, the U.S. Department of Defense announced the development of Cybersecurity Maturity Model Certification (“CMMC”) as a framework to assess and enhance the cybersecurity posture of the Defense Industrial Base (“DIB”), particularly as it relates to controlled unclassified information within the supply chain. CMMC is designed to ensure that contractors providing services to the U.S. Department of Defense have implemented cybersecurity controls and processes to adequately protect information that resides on DIB systems and networks. The U.S. Department of Defense issued an interim rule on September 29, 2020 to amend the Defense Federal Acquisition Regulation Supplement (DFARS) to include one new provision and two new contract clauses. It became effective on November 30, 2020. We collaborated with other companies to provide feedback following the 60-day public comment period. In December 2020, the U.S. Department of Defense identified seven approved pilots of the expected fifteen for fiscal year 2021 that are new Requests for Proposals which will be incorporated into CMMC requirements. All offerors are expected to undergo appropriate third-party CMMC assessment and achieve certification of Level 3 and below at the time of contract award. We are currently in compliance and are preparing for future certification and assessments.</w:t>
      </w:r>
    </w:p>
    <w:p>
      <w:pPr>
        <w:spacing w:after="0" w:line="172" w:lineRule="exact"/>
        <w:rPr>
          <w:sz w:val="20"/>
          <w:szCs w:val="20"/>
          <w:color w:val="auto"/>
        </w:rPr>
      </w:pPr>
    </w:p>
    <w:p>
      <w:pPr>
        <w:ind w:right="160" w:firstLine="433"/>
        <w:spacing w:after="0" w:line="241" w:lineRule="auto"/>
        <w:rPr>
          <w:sz w:val="20"/>
          <w:szCs w:val="20"/>
          <w:color w:val="auto"/>
        </w:rPr>
      </w:pPr>
      <w:r>
        <w:rPr>
          <w:rFonts w:ascii="Arial" w:cs="Arial" w:eastAsia="Arial" w:hAnsi="Arial"/>
          <w:sz w:val="17"/>
          <w:szCs w:val="17"/>
          <w:i w:val="1"/>
          <w:iCs w:val="1"/>
          <w:color w:val="auto"/>
        </w:rPr>
        <w:t xml:space="preserve">Anti-Bribery and other regulations. </w:t>
      </w:r>
      <w:r>
        <w:rPr>
          <w:rFonts w:ascii="Arial" w:cs="Arial" w:eastAsia="Arial" w:hAnsi="Arial"/>
          <w:sz w:val="17"/>
          <w:szCs w:val="17"/>
          <w:color w:val="auto"/>
        </w:rPr>
        <w:t>We are subject to the U.S. Foreign Corrupt Practices Act and similar anti-bribery laws, which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prohibit companies and their intermediaries from making improper payments to foreign government officials for the purpose of obtaining or retaining business. The U.K. Bribery Act of 2010 prohibits both domestic and international bribery, as well as bribery across both private and public sectors. In addition, an organization that “fails to prevent bribery” committed by anyone associated with the organization can be charged under the U.K. Bribery Act unless the organization can establish the defense of having implemented “adequate procedures” to prevent bribery.</w:t>
      </w:r>
    </w:p>
    <w:p>
      <w:pPr>
        <w:spacing w:after="0" w:line="172" w:lineRule="exact"/>
        <w:rPr>
          <w:sz w:val="20"/>
          <w:szCs w:val="20"/>
          <w:color w:val="auto"/>
        </w:rPr>
      </w:pPr>
    </w:p>
    <w:p>
      <w:pPr>
        <w:ind w:firstLine="433"/>
        <w:spacing w:after="0" w:line="237" w:lineRule="auto"/>
        <w:rPr>
          <w:sz w:val="20"/>
          <w:szCs w:val="20"/>
          <w:color w:val="auto"/>
        </w:rPr>
      </w:pPr>
      <w:r>
        <w:rPr>
          <w:rFonts w:ascii="Arial" w:cs="Arial" w:eastAsia="Arial" w:hAnsi="Arial"/>
          <w:sz w:val="17"/>
          <w:szCs w:val="17"/>
          <w:i w:val="1"/>
          <w:iCs w:val="1"/>
          <w:color w:val="auto"/>
        </w:rPr>
        <w:t>International Trade</w:t>
      </w:r>
      <w:r>
        <w:rPr>
          <w:rFonts w:ascii="Arial" w:cs="Arial" w:eastAsia="Arial" w:hAnsi="Arial"/>
          <w:sz w:val="17"/>
          <w:szCs w:val="17"/>
          <w:color w:val="auto"/>
        </w:rPr>
        <w:t>. We are subject to U.S. export control laws and regulations, including the International Traffic in Arms Regulations, or ITAR,</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Export Administration Regulations, or EAR, as well as U.S. economic and trade sanctions, including those administered and enforced by the U.S. Department of Treasury’s Office of Foreign Assets Control, or OFAC. To the extent we export items and provide services outside of the United States (or to certain parties in the United States), we must do so in compliance with these laws and regulations. These laws and regulations impose export licensing requirements, and we may not be successful in obtaining necessary licenses and other authorizations. Further, these laws and regulations restrict our ability to export items or provide services to certain countries and certain persons, including those that are the target of OFAC sanctions. Noncompliance with these or similar laws could lead to government investigations, penalties, reputational harm, and other negative consequences, and thereby could adversely affect our business and financial condition. Further, any change in these laws and regulations, or any shift in the approach to their enforcement or scope, or change to the countries, persons, or items targeted by such regulations, could potentially result in our decreased ability to export or sell items or services to existing or potential customers.</w:t>
      </w:r>
    </w:p>
    <w:p>
      <w:pPr>
        <w:spacing w:after="0" w:line="174" w:lineRule="exact"/>
        <w:rPr>
          <w:sz w:val="20"/>
          <w:szCs w:val="20"/>
          <w:color w:val="auto"/>
        </w:rPr>
      </w:pPr>
    </w:p>
    <w:p>
      <w:pPr>
        <w:ind w:right="60" w:firstLine="433"/>
        <w:spacing w:after="0" w:line="237" w:lineRule="auto"/>
        <w:rPr>
          <w:sz w:val="20"/>
          <w:szCs w:val="20"/>
          <w:color w:val="auto"/>
        </w:rPr>
      </w:pPr>
      <w:r>
        <w:rPr>
          <w:rFonts w:ascii="Arial" w:cs="Arial" w:eastAsia="Arial" w:hAnsi="Arial"/>
          <w:sz w:val="17"/>
          <w:szCs w:val="17"/>
          <w:i w:val="1"/>
          <w:iCs w:val="1"/>
          <w:color w:val="auto"/>
        </w:rPr>
        <w:t xml:space="preserve">Environmental, Health and Safety. </w:t>
      </w:r>
      <w:r>
        <w:rPr>
          <w:rFonts w:ascii="Arial" w:cs="Arial" w:eastAsia="Arial" w:hAnsi="Arial"/>
          <w:sz w:val="17"/>
          <w:szCs w:val="17"/>
          <w:color w:val="auto"/>
        </w:rPr>
        <w:t>We are subject to federal, state and local laws and regulations relating to environmental, health and safety</w:t>
      </w:r>
      <w:r>
        <w:rPr>
          <w:rFonts w:ascii="Arial" w:cs="Arial" w:eastAsia="Arial" w:hAnsi="Arial"/>
          <w:sz w:val="17"/>
          <w:szCs w:val="17"/>
          <w:i w:val="1"/>
          <w:iCs w:val="1"/>
          <w:color w:val="auto"/>
        </w:rPr>
        <w:t xml:space="preserve"> </w:t>
      </w:r>
      <w:r>
        <w:rPr>
          <w:rFonts w:ascii="Arial" w:cs="Arial" w:eastAsia="Arial" w:hAnsi="Arial"/>
          <w:sz w:val="17"/>
          <w:szCs w:val="17"/>
          <w:color w:val="auto"/>
        </w:rPr>
        <w:t>matters, including, among other things, the handling, transport and disposal of regulated substances and wastes, including hazardous and radioactive materials; contamination by regulated substances and wastes; the types, quantities and concentration of materials that can be released into the environment; the acquisition of a permit or other approval before conducting regulated activities; the maintenance of information about hazardous materials used or produced in operations and provision of such information to employees, state and local government authorities and the public; and employee health and safety. Our previous ownership and current and previous operation of real property may subject us to liability pursuant to these laws or regulations. Under the Comprehensive Environmental Response, Compensation and Liability Act, or CERCLA, and related state laws, certain persons may be liable at sites where or from a release or threatened release of hazardous substances has occurred or is threatened. These persons can include the current owner or operator of property where a release or threatened release occurred, any persons who owned or operated the property when the release occurred, and any persons who disposed of, or arranged for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2" w:name="page23"/>
    <w:bookmarkEnd w:id="22"/>
    <w:p>
      <w:pPr>
        <w:ind w:right="80"/>
        <w:spacing w:after="0" w:line="234" w:lineRule="auto"/>
        <w:rPr>
          <w:sz w:val="20"/>
          <w:szCs w:val="20"/>
          <w:color w:val="auto"/>
        </w:rPr>
      </w:pPr>
      <w:r>
        <w:rPr>
          <w:rFonts w:ascii="Arial" w:cs="Arial" w:eastAsia="Arial" w:hAnsi="Arial"/>
          <w:sz w:val="17"/>
          <w:szCs w:val="17"/>
          <w:color w:val="auto"/>
        </w:rPr>
        <w:t>transportation or disposal of, hazardous substances at a contaminated property. Liability under CERCLA is strict, retroactive and, under certain circumstances, joint and several, so that any responsible party may be held liable for the entire cost of investigating and remediating the release of hazardous substances. The Resource Conservation and Recovery Act, or RCRA, regulates the generation, treatment, storage, handling, transportation and disposal of solid waste and requires states to develop programs to ensure the safe disposal of solid waste. Under RCRA, persons may be liable at sites where the past or present storage, handling, treatment, transportation, or disposal of any solid or hazardous waste may present an imminent and substantial endangerment to health or the environment. These persons can include the current owner or operator of property where disposal occurred, any persons who owned or operated the property when the disposal occurred, and any persons who disposed of, or arranged for the transportation or disposal of, hazardous substances at a contaminated property. Liability under RCRA is strict and, under certain circumstances, joint and several, so that any responsible party may be held liable for the entire cost of investigating and remediating the release of hazardous substances. Violations and liabilities with respect to environmental, health and safety laws and regulations could result in significant administrative, civil, or criminal penalties, remedial clean-ups, natural resource damages, permit modifications or revocations, operational interruptions or shutdowns and other liabilities. Additionally, Congress, state legislatures, local governing bodies and federal and state agencies frequently revise environmental laws and regulations, and any changes could result in more stringent or costly requirements for our operations. Our costs related to complying with environmental, health and safety laws and regulations have not been material in the past and are not currently material to our total operating costs or cash flows. However, if we have any violations of, or incur liabilities pursuant to these laws or regulations in the future, our financial condition and operating results could be adversely affected. In addition, in the unlikely event that we are required to fund remediation of a contaminated site, the statutory framework might allow us to pursue rights of contribution from other potentially responsible parties.</w:t>
      </w:r>
    </w:p>
    <w:p>
      <w:pPr>
        <w:spacing w:after="0" w:line="196" w:lineRule="exact"/>
        <w:rPr>
          <w:sz w:val="20"/>
          <w:szCs w:val="20"/>
          <w:color w:val="auto"/>
        </w:rPr>
      </w:pPr>
    </w:p>
    <w:p>
      <w:pPr>
        <w:ind w:right="80" w:firstLine="433"/>
        <w:spacing w:after="0" w:line="260" w:lineRule="auto"/>
        <w:rPr>
          <w:sz w:val="20"/>
          <w:szCs w:val="20"/>
          <w:color w:val="auto"/>
        </w:rPr>
      </w:pPr>
      <w:r>
        <w:rPr>
          <w:rFonts w:ascii="Arial" w:cs="Arial" w:eastAsia="Arial" w:hAnsi="Arial"/>
          <w:sz w:val="16"/>
          <w:szCs w:val="16"/>
          <w:color w:val="auto"/>
        </w:rPr>
        <w:t>We maintain a compliance program designed to ensure compliance with the various regulations and requirements applicable to us. The compliance program, managed by our Chief Ethics and Compliance Counsel and overseen by our Chief Compliance Officer, includes an annual audit of performance with respect to our codes of ethics and business conduct and the adequacy of our compliance program, among other initiatives.</w:t>
      </w:r>
    </w:p>
    <w:p>
      <w:pPr>
        <w:spacing w:after="0" w:line="157" w:lineRule="exact"/>
        <w:rPr>
          <w:sz w:val="20"/>
          <w:szCs w:val="20"/>
          <w:color w:val="auto"/>
        </w:rPr>
      </w:pPr>
    </w:p>
    <w:p>
      <w:pPr>
        <w:ind w:firstLine="433"/>
        <w:spacing w:after="0" w:line="254" w:lineRule="auto"/>
        <w:rPr>
          <w:sz w:val="20"/>
          <w:szCs w:val="20"/>
          <w:color w:val="auto"/>
        </w:rPr>
      </w:pPr>
      <w:r>
        <w:rPr>
          <w:rFonts w:ascii="Arial" w:cs="Arial" w:eastAsia="Arial" w:hAnsi="Arial"/>
          <w:sz w:val="16"/>
          <w:szCs w:val="16"/>
          <w:i w:val="1"/>
          <w:iCs w:val="1"/>
          <w:color w:val="auto"/>
        </w:rPr>
        <w:t xml:space="preserve">Executive Order 14042 and OSHA Emergency Temporary Standard (ETS). </w:t>
      </w:r>
      <w:r>
        <w:rPr>
          <w:rFonts w:ascii="Arial" w:cs="Arial" w:eastAsia="Arial" w:hAnsi="Arial"/>
          <w:sz w:val="16"/>
          <w:szCs w:val="16"/>
          <w:color w:val="auto"/>
        </w:rPr>
        <w:t>In September 2021, President Joseph R. Biden issued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Order 14042 requiring federal government contractors to ensure that their employees are vaccinated, subject to certain medical or religious exceptions. Further, the Occupational Safety and Health Authority published an ETS on vaccination and testing on November 5, 2021 requiring companies with more than 100 employees to ensure that their employees are vaccinated or require unvaccinated employees to get a negative COVID test at least once per week. However, based upon a decision by the United States Supreme Court staying enforcement of the OSHA ETS, OSHA withdrew the ETS on January 24, 2022. The enforcement of Executive Order 14042 was preliminarily enjoined by an order of the United States District Court for the Southern District of Georgia. The preliminary injunction currently remains in effect. Parsons Corporation is closely following the legal status of Executive Order 14042 and has implemented plans to ensure compliance with both based upon the final legal determinations.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200" w:lineRule="exact"/>
        <w:rPr>
          <w:sz w:val="20"/>
          <w:szCs w:val="20"/>
          <w:color w:val="auto"/>
        </w:rPr>
      </w:pPr>
    </w:p>
    <w:p>
      <w:pPr>
        <w:ind w:right="140" w:firstLine="735"/>
        <w:spacing w:after="0" w:line="238" w:lineRule="auto"/>
        <w:rPr>
          <w:sz w:val="20"/>
          <w:szCs w:val="20"/>
          <w:color w:val="auto"/>
        </w:rPr>
      </w:pPr>
      <w:r>
        <w:rPr>
          <w:rFonts w:ascii="Arial" w:cs="Arial" w:eastAsia="Arial" w:hAnsi="Arial"/>
          <w:sz w:val="17"/>
          <w:szCs w:val="17"/>
          <w:i w:val="1"/>
          <w:iCs w:val="1"/>
          <w:color w:val="auto"/>
        </w:rPr>
        <w:t xml:space="preserve">Carey A. Smith </w:t>
      </w:r>
      <w:r>
        <w:rPr>
          <w:rFonts w:ascii="Arial" w:cs="Arial" w:eastAsia="Arial" w:hAnsi="Arial"/>
          <w:sz w:val="17"/>
          <w:szCs w:val="17"/>
          <w:color w:val="auto"/>
        </w:rPr>
        <w:t>was appointed Chairwoman of the Board of Directors on January 18, 2022, effective April 14, 2022. She became the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and Chief Executive Officer on July 1, 2021 and was appointed to the board of directors in December 2020. She was initially appointed as President and Chief Operating Officer in November 2019, Chief Operating Officer in November 2018 and led Parsons’ Federal Solutions business from November 2016. Before joining Parsons, Ms. Smith served in progressive leadership roles at Honeywell International Inc. (“Honeywell”) from 2011 to 2016, including President of the Defense and Space business unit. In total, Ms. Smith has 36 years of industry experience spanning the defense, intelligence and infrastructure markets. Ms. Smith serves on the Edison International board of directors, including on the Nominating and Governance and Safety and Operations Committees. She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3" w:name="page24"/>
    <w:bookmarkEnd w:id="23"/>
    <w:p>
      <w:pPr>
        <w:spacing w:after="0" w:line="236" w:lineRule="auto"/>
        <w:rPr>
          <w:sz w:val="20"/>
          <w:szCs w:val="20"/>
          <w:color w:val="auto"/>
        </w:rPr>
      </w:pPr>
      <w:r>
        <w:rPr>
          <w:rFonts w:ascii="Arial" w:cs="Arial" w:eastAsia="Arial" w:hAnsi="Arial"/>
          <w:sz w:val="17"/>
          <w:szCs w:val="17"/>
          <w:color w:val="auto"/>
        </w:rPr>
        <w:t>serves on three non-profit company boards, as the Chairwoman of the Professional Services Council, INSA (Intelligence and National Security Alliance) and the USGIF (United States Geospatial Intelligence Foundation) working with government, industry and academia to promote national security, and she is a National Association of Corporate Directors (NACD) Cyber Certified. Ms. Smith received an honorary doctorate degree from Ohio Northern University, a Master of Science degree in electrical engineering from Syracuse University and a bachelor-of-science in electrical engineering from Ohio Northern University. Ms. Smith was selected to serve on our board of directors because of the perspective and experience that she brings as our CEO and due to her significant industry and operations experience.</w:t>
      </w:r>
    </w:p>
    <w:p>
      <w:pPr>
        <w:spacing w:after="0" w:line="71" w:lineRule="exact"/>
        <w:rPr>
          <w:sz w:val="20"/>
          <w:szCs w:val="20"/>
          <w:color w:val="auto"/>
        </w:rPr>
      </w:pPr>
    </w:p>
    <w:p>
      <w:pPr>
        <w:ind w:firstLine="735"/>
        <w:spacing w:after="0" w:line="237" w:lineRule="auto"/>
        <w:rPr>
          <w:sz w:val="20"/>
          <w:szCs w:val="20"/>
          <w:color w:val="auto"/>
        </w:rPr>
      </w:pPr>
      <w:r>
        <w:rPr>
          <w:rFonts w:ascii="Arial" w:cs="Arial" w:eastAsia="Arial" w:hAnsi="Arial"/>
          <w:sz w:val="17"/>
          <w:szCs w:val="17"/>
          <w:i w:val="1"/>
          <w:iCs w:val="1"/>
          <w:color w:val="auto"/>
        </w:rPr>
        <w:t xml:space="preserve">Charles L. Harrington </w:t>
      </w:r>
      <w:r>
        <w:rPr>
          <w:rFonts w:ascii="Arial" w:cs="Arial" w:eastAsia="Arial" w:hAnsi="Arial"/>
          <w:sz w:val="17"/>
          <w:szCs w:val="17"/>
          <w:color w:val="auto"/>
        </w:rPr>
        <w:t>was appointed Executive Chairman of our board of directors effective July 1, 2021 following his service as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and Chairman of the board of directors since 2008 and as President of Parsons Corporation from 2009-20019. He also previously served as Executive Vice President, Chief Financial Officer and Treasurer and as a founding President of one of our business units. Mr. Harrington also serves on the board of directors of Constellation Energy, where he serves on the corporate governance and nuclear oversight committees; JBT Corporation, where he serves on the audit committee; and the J.G. Boswell Company, where he chairs the compensation committee and serves on the audit committee. Further, he serves on several non-profit boards of directors, including the California Polytechnic State University San Luis Obispo Foundation board of directors. Mr. Harrington received a Bachelor of Science in engineering from California Polytechnic State University and a masters-of-business administration from the University of California, Los Angeles (UCLA) Anderson School of Management. Mr. Harrington was selected to serve on our board of directors because of the perspective and experience he brings as our Executive Chair, as well as his operations and finance industry experience.</w:t>
      </w:r>
    </w:p>
    <w:p>
      <w:pPr>
        <w:spacing w:after="0" w:line="174" w:lineRule="exact"/>
        <w:rPr>
          <w:sz w:val="20"/>
          <w:szCs w:val="20"/>
          <w:color w:val="auto"/>
        </w:rPr>
      </w:pPr>
    </w:p>
    <w:p>
      <w:pPr>
        <w:ind w:firstLine="735"/>
        <w:spacing w:after="0" w:line="238" w:lineRule="auto"/>
        <w:rPr>
          <w:sz w:val="20"/>
          <w:szCs w:val="20"/>
          <w:color w:val="auto"/>
        </w:rPr>
      </w:pPr>
      <w:r>
        <w:rPr>
          <w:rFonts w:ascii="Arial" w:cs="Arial" w:eastAsia="Arial" w:hAnsi="Arial"/>
          <w:sz w:val="17"/>
          <w:szCs w:val="17"/>
          <w:i w:val="1"/>
          <w:iCs w:val="1"/>
          <w:color w:val="auto"/>
        </w:rPr>
        <w:t xml:space="preserve">George L. Ball </w:t>
      </w:r>
      <w:r>
        <w:rPr>
          <w:rFonts w:ascii="Arial" w:cs="Arial" w:eastAsia="Arial" w:hAnsi="Arial"/>
          <w:sz w:val="17"/>
          <w:szCs w:val="17"/>
          <w:color w:val="auto"/>
        </w:rPr>
        <w:t>was appointed our Chief Financial Officer in May 2008. Previously, he was Senior Vice President, Financial Systems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of Parsons Corporation from March 2007 to May 2008 and Vice President, Finance, of Parsons Development Company from October 2004 to February 2008. Since joining us in 1995, he has served in various capacities including Corporate Controller and International Division Manager of the Infrastructure &amp; Technology Group. Mr. Ball has more than 37 years of experience in finance and accounting roles for both public and private companies. In addition to his responsibilities with us, he serves on the board of directors, executive committee, compensation committee, affiliate transactions committee and chairs the audit committee and the routine transactions committee of Cornerstone Building Brands, Inc. Mr. Ball is also a National Association of Corporate Directors (NACD) Directorship Certified. Mr. Ball is a certified public accountant and holds a Bachelor of Science degree in accounting from Drexel University in Philadelphia, Pennsylvania.</w:t>
      </w:r>
    </w:p>
    <w:p>
      <w:pPr>
        <w:spacing w:after="0" w:line="173" w:lineRule="exact"/>
        <w:rPr>
          <w:sz w:val="20"/>
          <w:szCs w:val="20"/>
          <w:color w:val="auto"/>
        </w:rPr>
      </w:pPr>
    </w:p>
    <w:p>
      <w:pPr>
        <w:ind w:firstLine="735"/>
        <w:spacing w:after="0" w:line="237" w:lineRule="auto"/>
        <w:rPr>
          <w:sz w:val="20"/>
          <w:szCs w:val="20"/>
          <w:color w:val="auto"/>
        </w:rPr>
      </w:pPr>
      <w:r>
        <w:rPr>
          <w:rFonts w:ascii="Arial" w:cs="Arial" w:eastAsia="Arial" w:hAnsi="Arial"/>
          <w:sz w:val="17"/>
          <w:szCs w:val="17"/>
          <w:i w:val="1"/>
          <w:iCs w:val="1"/>
          <w:color w:val="auto"/>
        </w:rPr>
        <w:t xml:space="preserve">Michael R. Kolloway </w:t>
      </w:r>
      <w:r>
        <w:rPr>
          <w:rFonts w:ascii="Arial" w:cs="Arial" w:eastAsia="Arial" w:hAnsi="Arial"/>
          <w:sz w:val="17"/>
          <w:szCs w:val="17"/>
          <w:color w:val="auto"/>
        </w:rPr>
        <w:t>was appointed General Counsel and Corporate Secretary of Parsons Corporation in October 2017 and later became</w:t>
      </w:r>
      <w:r>
        <w:rPr>
          <w:rFonts w:ascii="Arial" w:cs="Arial" w:eastAsia="Arial" w:hAnsi="Arial"/>
          <w:sz w:val="17"/>
          <w:szCs w:val="17"/>
          <w:i w:val="1"/>
          <w:iCs w:val="1"/>
          <w:color w:val="auto"/>
        </w:rPr>
        <w:t xml:space="preserve"> </w:t>
      </w:r>
      <w:r>
        <w:rPr>
          <w:rFonts w:ascii="Arial" w:cs="Arial" w:eastAsia="Arial" w:hAnsi="Arial"/>
          <w:sz w:val="17"/>
          <w:szCs w:val="17"/>
          <w:color w:val="auto"/>
        </w:rPr>
        <w:t>our Chief Legal Officer in January 2019. Before assuming the role of General Counsel and Corporate Secretary, Mr. Kolloway served as Deputy General Counsel – Americas from March 2016 through October 2017. Before joining Parsons, Mr. Kolloway served as Senior Vice President and Assistant General Counsel for Operations and Risk Management at AECOM Technology Corporation, a publicly traded company. Prior to his tenure at AECOM, Mr. Kolloway was a partner in the Chicago law firm of Rock, Fusco &amp; Garvey, Ltd and a member of the Federal Trial Bar for the Northern District of Illinois. Mr. Kolloway received his Bachelor of Arts degree from St. Norbert College, his Juris Doctor from the University of Illinois College of Law and completed the General Counsel Program at the Harvard University School of Law. Mr. Kolloway served on the Board of Directors for MUSE/IQUE based in Pasadena, California. He is a member of the Association of Corporate Counsel and the In-House Mentorship Committee for the Charlotte Chapter.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18" w:lineRule="exact"/>
        <w:rPr>
          <w:sz w:val="20"/>
          <w:szCs w:val="20"/>
          <w:color w:val="auto"/>
        </w:rPr>
      </w:pPr>
    </w:p>
    <w:p>
      <w:pPr>
        <w:ind w:right="520" w:firstLine="735"/>
        <w:spacing w:after="0" w:line="238" w:lineRule="auto"/>
        <w:rPr>
          <w:sz w:val="20"/>
          <w:szCs w:val="20"/>
          <w:color w:val="auto"/>
        </w:rPr>
      </w:pPr>
      <w:r>
        <w:rPr>
          <w:rFonts w:ascii="Arial" w:cs="Arial" w:eastAsia="Arial" w:hAnsi="Arial"/>
          <w:sz w:val="17"/>
          <w:szCs w:val="17"/>
          <w:color w:val="auto"/>
        </w:rPr>
        <w:t>We file annual, quarterly, and current reports and other information with the Securities and Exchange Commission (SEC). The SEC maintains a website (www.sec.gov) that contains reports, proxy and information statements, and other information regarding registrants that file electronically with the SEC, including us. You may also access, free of charge, our reports filed with the SEC (for example, our</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24" w:name="page25"/>
    <w:bookmarkEnd w:id="24"/>
    <w:p>
      <w:pPr>
        <w:ind w:right="180"/>
        <w:spacing w:after="0" w:line="237" w:lineRule="auto"/>
        <w:rPr>
          <w:sz w:val="20"/>
          <w:szCs w:val="20"/>
          <w:color w:val="auto"/>
        </w:rPr>
      </w:pPr>
      <w:r>
        <w:rPr>
          <w:rFonts w:ascii="Arial" w:cs="Arial" w:eastAsia="Arial" w:hAnsi="Arial"/>
          <w:sz w:val="17"/>
          <w:szCs w:val="17"/>
          <w:color w:val="auto"/>
        </w:rPr>
        <w:t>Annual Report on Form 10-K, our Quarterly Reports on Form 10-Q, and our Current Reports on Form 8-K and any amendments to those forms) through the “Investors” portion of our website (www.parsons.com). Reports filed with or furnished to the SEC will be available as soon as reasonably practicable after they are filed with or furnished to the SEC. Our website is included in this Annual Report as an inactive textual reference only. The information found on our website is not part of this or any other report filed with or furnished to the SEC.</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00" w:lineRule="exact"/>
        <w:rPr>
          <w:sz w:val="20"/>
          <w:szCs w:val="20"/>
          <w:color w:val="auto"/>
        </w:rPr>
      </w:pPr>
    </w:p>
    <w:p>
      <w:pPr>
        <w:ind w:firstLine="433"/>
        <w:spacing w:after="0" w:line="243" w:lineRule="auto"/>
        <w:rPr>
          <w:sz w:val="20"/>
          <w:szCs w:val="20"/>
          <w:color w:val="auto"/>
        </w:rPr>
      </w:pPr>
      <w:r>
        <w:rPr>
          <w:rFonts w:ascii="Arial" w:cs="Arial" w:eastAsia="Arial" w:hAnsi="Arial"/>
          <w:sz w:val="17"/>
          <w:szCs w:val="17"/>
          <w:i w:val="1"/>
          <w:iCs w:val="1"/>
          <w:color w:val="auto"/>
        </w:rPr>
        <w:t>You should carefully consider the risks described below and the other information contained in this Annual Report, including our consolidated financial statements and the related notes, before making an investment decision. Our business, financial condition and results of operations could be materially and adversely affected by any of these risks or uncertainties. In that case, the trading price of our common stock could decline, and you may lose all or part of your investment.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 Summary</w:t>
      </w:r>
    </w:p>
    <w:p>
      <w:pPr>
        <w:spacing w:after="0" w:line="218"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following is a summary of the principal risks that could adversely affect our business, operations and financial results.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 Relating to Our Business</w:t>
      </w:r>
    </w:p>
    <w:p>
      <w:pPr>
        <w:spacing w:after="0" w:line="218" w:lineRule="exact"/>
        <w:rPr>
          <w:sz w:val="20"/>
          <w:szCs w:val="20"/>
          <w:color w:val="auto"/>
        </w:rPr>
      </w:pPr>
    </w:p>
    <w:p>
      <w:pPr>
        <w:ind w:left="860" w:right="160" w:hanging="428"/>
        <w:spacing w:after="0" w:line="242" w:lineRule="auto"/>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business, results of operations, financial condition, cash flows and stock price can be adversely affected by pandemics, epidemics or other public health emergencies, such as the current global COVID-19 pandemic and post-pandemic impacts.</w:t>
      </w:r>
    </w:p>
    <w:p>
      <w:pPr>
        <w:spacing w:after="0" w:line="188" w:lineRule="exact"/>
        <w:rPr>
          <w:rFonts w:ascii="Arial" w:cs="Arial" w:eastAsia="Arial" w:hAnsi="Arial"/>
          <w:sz w:val="17"/>
          <w:szCs w:val="17"/>
          <w:color w:val="auto"/>
        </w:rPr>
      </w:pPr>
    </w:p>
    <w:p>
      <w:pPr>
        <w:ind w:left="860" w:hanging="428"/>
        <w:spacing w:after="0"/>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Government spending and priorities could change in a manner that adversely affects our future revenue and limits our growth prospects.</w:t>
      </w:r>
    </w:p>
    <w:p>
      <w:pPr>
        <w:spacing w:after="0" w:line="210" w:lineRule="exact"/>
        <w:rPr>
          <w:rFonts w:ascii="Arial" w:cs="Arial" w:eastAsia="Arial" w:hAnsi="Arial"/>
          <w:sz w:val="17"/>
          <w:szCs w:val="17"/>
          <w:color w:val="auto"/>
        </w:rPr>
      </w:pPr>
    </w:p>
    <w:p>
      <w:pPr>
        <w:ind w:left="860" w:right="280" w:hanging="428"/>
        <w:spacing w:after="0" w:line="242" w:lineRule="auto"/>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U.S. federal government and its agencies collectively are our largest single customer and, if our reputation or relationships with the U.S. federal government were harmed, our future revenues and cash flows would be adversely affected.</w:t>
      </w:r>
    </w:p>
    <w:p>
      <w:pPr>
        <w:spacing w:after="0" w:line="188" w:lineRule="exact"/>
        <w:rPr>
          <w:rFonts w:ascii="Arial" w:cs="Arial" w:eastAsia="Arial" w:hAnsi="Arial"/>
          <w:sz w:val="17"/>
          <w:szCs w:val="17"/>
          <w:color w:val="auto"/>
        </w:rPr>
      </w:pPr>
    </w:p>
    <w:p>
      <w:pPr>
        <w:ind w:left="860" w:right="160" w:hanging="428"/>
        <w:spacing w:after="0" w:line="238" w:lineRule="auto"/>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failure to comply with a variety of complex procurement rules and regulations could result in our being liable for penalties, including termination of our government contracts, disqualification from bidding on future government contracts and suspension or debarment from government contracting.</w:t>
      </w:r>
    </w:p>
    <w:p>
      <w:pPr>
        <w:spacing w:after="0" w:line="191" w:lineRule="exact"/>
        <w:rPr>
          <w:rFonts w:ascii="Arial" w:cs="Arial" w:eastAsia="Arial" w:hAnsi="Arial"/>
          <w:sz w:val="17"/>
          <w:szCs w:val="17"/>
          <w:color w:val="auto"/>
        </w:rPr>
      </w:pPr>
    </w:p>
    <w:p>
      <w:pPr>
        <w:ind w:left="860" w:right="620" w:hanging="428"/>
        <w:spacing w:after="0" w:line="242" w:lineRule="auto"/>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substantial portion of our business is subject to reviews, audits and cost adjustments by government agencies, which, if resolved unfavorably to us, could adversely affect our profitability, cash flows or growth prospects.</w:t>
      </w:r>
    </w:p>
    <w:p>
      <w:pPr>
        <w:spacing w:after="0" w:line="188" w:lineRule="exact"/>
        <w:rPr>
          <w:rFonts w:ascii="Arial" w:cs="Arial" w:eastAsia="Arial" w:hAnsi="Arial"/>
          <w:sz w:val="17"/>
          <w:szCs w:val="17"/>
          <w:color w:val="auto"/>
        </w:rPr>
      </w:pPr>
    </w:p>
    <w:p>
      <w:pPr>
        <w:ind w:left="860" w:right="80" w:hanging="428"/>
        <w:spacing w:after="0" w:line="238" w:lineRule="auto"/>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government contracts may be terminated by the government counterparty at any time and may contain other provisions permitting the government to discontinue contract performance, and if lost contracts are not replaced, our operating results may differ materially and adversely from those anticipated.</w:t>
      </w:r>
    </w:p>
    <w:p>
      <w:pPr>
        <w:spacing w:after="0" w:line="191" w:lineRule="exact"/>
        <w:rPr>
          <w:rFonts w:ascii="Arial" w:cs="Arial" w:eastAsia="Arial" w:hAnsi="Arial"/>
          <w:sz w:val="17"/>
          <w:szCs w:val="17"/>
          <w:color w:val="auto"/>
        </w:rPr>
      </w:pPr>
    </w:p>
    <w:p>
      <w:pPr>
        <w:ind w:left="860" w:right="400" w:hanging="428"/>
        <w:spacing w:after="0" w:line="242" w:lineRule="auto"/>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revenue and growth prospects may be harmed if we or our employees are unable to obtain government granted eligibility or other qualifications, we and they need to perform services for our customers.</w:t>
      </w:r>
    </w:p>
    <w:p>
      <w:pPr>
        <w:spacing w:after="0" w:line="188" w:lineRule="exact"/>
        <w:rPr>
          <w:rFonts w:ascii="Arial" w:cs="Arial" w:eastAsia="Arial" w:hAnsi="Arial"/>
          <w:sz w:val="17"/>
          <w:szCs w:val="17"/>
          <w:color w:val="auto"/>
        </w:rPr>
      </w:pPr>
    </w:p>
    <w:p>
      <w:pPr>
        <w:ind w:left="860" w:right="300" w:hanging="428"/>
        <w:spacing w:after="0" w:line="242" w:lineRule="auto"/>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make acquisitions, investments, joint ventures and divestitures in the future that involve numerous risks, which if realized, may adversely affect our business and our future results.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5" w:name="page26"/>
    <w:bookmarkEnd w:id="25"/>
    <w:p>
      <w:pPr>
        <w:ind w:left="428" w:hanging="428"/>
        <w:spacing w:after="0"/>
        <w:tabs>
          <w:tab w:leader="none" w:pos="4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acquisitions may not achieve their full intended benefits or may disrupt our plans and operations.</w:t>
      </w:r>
    </w:p>
    <w:p>
      <w:pPr>
        <w:spacing w:after="0" w:line="210" w:lineRule="exact"/>
        <w:rPr>
          <w:rFonts w:ascii="Arial" w:cs="Arial" w:eastAsia="Arial" w:hAnsi="Arial"/>
          <w:sz w:val="17"/>
          <w:szCs w:val="17"/>
          <w:color w:val="auto"/>
        </w:rPr>
      </w:pPr>
    </w:p>
    <w:p>
      <w:pPr>
        <w:ind w:left="428" w:right="140" w:hanging="428"/>
        <w:spacing w:after="0" w:line="242" w:lineRule="auto"/>
        <w:tabs>
          <w:tab w:leader="none" w:pos="4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conduct a portion of our work through joint venture entities, some of which we do not have management control over, and with which we typically have joint and several liability with our joint venture partners.</w:t>
      </w:r>
    </w:p>
    <w:p>
      <w:pPr>
        <w:spacing w:after="0" w:line="188" w:lineRule="exact"/>
        <w:rPr>
          <w:rFonts w:ascii="Arial" w:cs="Arial" w:eastAsia="Arial" w:hAnsi="Arial"/>
          <w:sz w:val="17"/>
          <w:szCs w:val="17"/>
          <w:color w:val="auto"/>
        </w:rPr>
      </w:pPr>
    </w:p>
    <w:p>
      <w:pPr>
        <w:ind w:left="428" w:right="500" w:hanging="428"/>
        <w:spacing w:after="0" w:line="242" w:lineRule="auto"/>
        <w:tabs>
          <w:tab w:leader="none" w:pos="4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earnings and profitability may vary based on the mix of our contracts and may be adversely affected by our failure to accurately estimate and manage costs, time and resources.</w:t>
      </w:r>
    </w:p>
    <w:p>
      <w:pPr>
        <w:spacing w:after="0" w:line="188" w:lineRule="exact"/>
        <w:rPr>
          <w:rFonts w:ascii="Arial" w:cs="Arial" w:eastAsia="Arial" w:hAnsi="Arial"/>
          <w:sz w:val="17"/>
          <w:szCs w:val="17"/>
          <w:color w:val="auto"/>
        </w:rPr>
      </w:pPr>
    </w:p>
    <w:p>
      <w:pPr>
        <w:ind w:left="428" w:right="240" w:hanging="428"/>
        <w:spacing w:after="0" w:line="242" w:lineRule="auto"/>
        <w:tabs>
          <w:tab w:leader="none" w:pos="4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use estimates in recognizing revenues and, if we make changes to estimates used in recognizing revenues, our profitability may be adversely affected.</w:t>
      </w:r>
    </w:p>
    <w:p>
      <w:pPr>
        <w:spacing w:after="0" w:line="188" w:lineRule="exact"/>
        <w:rPr>
          <w:rFonts w:ascii="Arial" w:cs="Arial" w:eastAsia="Arial" w:hAnsi="Arial"/>
          <w:sz w:val="17"/>
          <w:szCs w:val="17"/>
          <w:color w:val="auto"/>
        </w:rPr>
      </w:pPr>
    </w:p>
    <w:p>
      <w:pPr>
        <w:ind w:left="428" w:right="40" w:hanging="428"/>
        <w:spacing w:after="0" w:line="242" w:lineRule="auto"/>
        <w:tabs>
          <w:tab w:leader="none" w:pos="4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Systems that we develop, integrate, maintain, or otherwise support could experience security breaches which may damage our reputation with our clients and hinder future contract win rates.</w:t>
      </w:r>
    </w:p>
    <w:p>
      <w:pPr>
        <w:spacing w:after="0" w:line="188" w:lineRule="exact"/>
        <w:rPr>
          <w:rFonts w:ascii="Arial" w:cs="Arial" w:eastAsia="Arial" w:hAnsi="Arial"/>
          <w:sz w:val="17"/>
          <w:szCs w:val="17"/>
          <w:color w:val="auto"/>
        </w:rPr>
      </w:pPr>
    </w:p>
    <w:p>
      <w:pPr>
        <w:jc w:val="both"/>
        <w:ind w:left="428" w:right="120" w:hanging="428"/>
        <w:spacing w:after="0" w:line="272" w:lineRule="auto"/>
        <w:tabs>
          <w:tab w:leader="none" w:pos="428"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Services we provide and technologies we develop are designed to detect and monitor threats to our clients, the failure of which may lead to reputational harm or liability against us by our clients or third parties and may subject our staff to potential threats, risk of loss or harm.</w:t>
      </w:r>
    </w:p>
    <w:p>
      <w:pPr>
        <w:spacing w:after="0" w:line="166" w:lineRule="exact"/>
        <w:rPr>
          <w:rFonts w:ascii="Arial" w:cs="Arial" w:eastAsia="Arial" w:hAnsi="Arial"/>
          <w:sz w:val="16"/>
          <w:szCs w:val="16"/>
          <w:color w:val="auto"/>
        </w:rPr>
      </w:pPr>
    </w:p>
    <w:p>
      <w:pPr>
        <w:ind w:left="428" w:right="240" w:hanging="428"/>
        <w:spacing w:after="0" w:line="238" w:lineRule="auto"/>
        <w:tabs>
          <w:tab w:leader="none" w:pos="4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Internal system or service failures affecting us or our vendors, including as a result of cyber or other security threats, could disrupt our business and impair our ability to effectively provide our services to our clients, which could damage our reputation and have a material adverse effect on our business, financial condition and results of operations.</w:t>
      </w:r>
    </w:p>
    <w:p>
      <w:pPr>
        <w:spacing w:after="0" w:line="191" w:lineRule="exact"/>
        <w:rPr>
          <w:rFonts w:ascii="Arial" w:cs="Arial" w:eastAsia="Arial" w:hAnsi="Arial"/>
          <w:sz w:val="17"/>
          <w:szCs w:val="17"/>
          <w:color w:val="auto"/>
        </w:rPr>
      </w:pPr>
    </w:p>
    <w:p>
      <w:pPr>
        <w:ind w:left="428" w:right="80" w:hanging="428"/>
        <w:spacing w:after="0" w:line="242" w:lineRule="auto"/>
        <w:tabs>
          <w:tab w:leader="none" w:pos="4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business is subject to numerous legal and regulatory requirements and any violation of these requirements or any misconduct by our employees, subcontractors, agents or business partners could harm our business and reputation.</w:t>
      </w:r>
    </w:p>
    <w:p>
      <w:pPr>
        <w:spacing w:after="0" w:line="188" w:lineRule="exact"/>
        <w:rPr>
          <w:rFonts w:ascii="Arial" w:cs="Arial" w:eastAsia="Arial" w:hAnsi="Arial"/>
          <w:sz w:val="17"/>
          <w:szCs w:val="17"/>
          <w:color w:val="auto"/>
        </w:rPr>
      </w:pPr>
    </w:p>
    <w:p>
      <w:pPr>
        <w:ind w:left="428" w:right="620" w:hanging="428"/>
        <w:spacing w:after="0" w:line="242" w:lineRule="auto"/>
        <w:tabs>
          <w:tab w:leader="none" w:pos="4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business is subject the impact of supply chain disruption and inflation risk upon the cost of providing materials and services to customers and upon the profitability for certain contracts.</w:t>
      </w:r>
    </w:p>
    <w:p>
      <w:pPr>
        <w:spacing w:after="0" w:line="188" w:lineRule="exact"/>
        <w:rPr>
          <w:rFonts w:ascii="Arial" w:cs="Arial" w:eastAsia="Arial" w:hAnsi="Arial"/>
          <w:sz w:val="17"/>
          <w:szCs w:val="17"/>
          <w:color w:val="auto"/>
        </w:rPr>
      </w:pPr>
    </w:p>
    <w:p>
      <w:pPr>
        <w:ind w:left="428" w:right="280" w:hanging="428"/>
        <w:spacing w:after="0" w:line="242" w:lineRule="auto"/>
        <w:tabs>
          <w:tab w:leader="none" w:pos="4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Goodwill and intangible assets represent a significant amount of our total assets, and any impairment of these assets would negatively impact our results of operations.</w:t>
      </w:r>
    </w:p>
    <w:p>
      <w:pPr>
        <w:spacing w:after="0" w:line="188" w:lineRule="exact"/>
        <w:rPr>
          <w:rFonts w:ascii="Arial" w:cs="Arial" w:eastAsia="Arial" w:hAnsi="Arial"/>
          <w:sz w:val="17"/>
          <w:szCs w:val="17"/>
          <w:color w:val="auto"/>
        </w:rPr>
      </w:pPr>
    </w:p>
    <w:p>
      <w:pPr>
        <w:jc w:val="both"/>
        <w:ind w:left="428" w:hanging="428"/>
        <w:spacing w:after="0" w:line="238" w:lineRule="auto"/>
        <w:tabs>
          <w:tab w:leader="none" w:pos="4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depend on our teaming arrangements and relationships with other contractors and subcontractors. If we are not able to maintain these relationships, or if these parties fail to satisfy their obligations to us or the customer, our revenues, profitability and growth prospects could be adversely affected.</w:t>
      </w:r>
    </w:p>
    <w:p>
      <w:pPr>
        <w:spacing w:after="0" w:line="191" w:lineRule="exact"/>
        <w:rPr>
          <w:rFonts w:ascii="Arial" w:cs="Arial" w:eastAsia="Arial" w:hAnsi="Arial"/>
          <w:sz w:val="17"/>
          <w:szCs w:val="17"/>
          <w:color w:val="auto"/>
        </w:rPr>
      </w:pPr>
    </w:p>
    <w:p>
      <w:pPr>
        <w:ind w:left="428" w:right="120" w:hanging="428"/>
        <w:spacing w:after="0" w:line="242" w:lineRule="auto"/>
        <w:tabs>
          <w:tab w:leader="none" w:pos="4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Many of our contracts require innovative design capabilities, are technologically complex or are dependent upon factors not wholly within our control. Failure to meet these obligations could adversely affect our business, financial condition or results of operations.</w:t>
      </w:r>
    </w:p>
    <w:p>
      <w:pPr>
        <w:spacing w:after="0" w:line="188" w:lineRule="exact"/>
        <w:rPr>
          <w:rFonts w:ascii="Arial" w:cs="Arial" w:eastAsia="Arial" w:hAnsi="Arial"/>
          <w:sz w:val="17"/>
          <w:szCs w:val="17"/>
          <w:color w:val="auto"/>
        </w:rPr>
      </w:pPr>
    </w:p>
    <w:p>
      <w:pPr>
        <w:ind w:left="428" w:right="400" w:hanging="428"/>
        <w:spacing w:after="0" w:line="242" w:lineRule="auto"/>
        <w:tabs>
          <w:tab w:leader="none" w:pos="4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Assertions by third parties of infringement, misappropriation or other violations by us of their intellectual property rights could result in significant costs and substantially harm our business, financial condition and operation results.</w:t>
      </w:r>
    </w:p>
    <w:p>
      <w:pPr>
        <w:spacing w:after="0" w:line="188" w:lineRule="exact"/>
        <w:rPr>
          <w:rFonts w:ascii="Arial" w:cs="Arial" w:eastAsia="Arial" w:hAnsi="Arial"/>
          <w:sz w:val="17"/>
          <w:szCs w:val="17"/>
          <w:color w:val="auto"/>
        </w:rPr>
      </w:pPr>
    </w:p>
    <w:p>
      <w:pPr>
        <w:ind w:left="428" w:right="240" w:hanging="428"/>
        <w:spacing w:after="0" w:line="242" w:lineRule="auto"/>
        <w:tabs>
          <w:tab w:leader="none" w:pos="4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have operations in the Middle East and neighboring regions, and these regions may experience turmoil that may impact our current projects, future business and financial stability.</w:t>
      </w:r>
    </w:p>
    <w:p>
      <w:pPr>
        <w:spacing w:after="0" w:line="188" w:lineRule="exact"/>
        <w:rPr>
          <w:rFonts w:ascii="Arial" w:cs="Arial" w:eastAsia="Arial" w:hAnsi="Arial"/>
          <w:sz w:val="17"/>
          <w:szCs w:val="17"/>
          <w:color w:val="auto"/>
        </w:rPr>
      </w:pPr>
    </w:p>
    <w:p>
      <w:pPr>
        <w:ind w:left="428" w:hanging="428"/>
        <w:spacing w:after="0"/>
        <w:tabs>
          <w:tab w:leader="none" w:pos="4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not realize the full value of our backlog, which may result in lower-than-expected revenue.</w:t>
      </w:r>
    </w:p>
    <w:p>
      <w:pPr>
        <w:spacing w:after="0" w:line="210" w:lineRule="exact"/>
        <w:rPr>
          <w:sz w:val="20"/>
          <w:szCs w:val="20"/>
          <w:color w:val="auto"/>
        </w:rPr>
      </w:pPr>
    </w:p>
    <w:p>
      <w:pPr>
        <w:jc w:val="center"/>
        <w:ind w:right="352"/>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48895</wp:posOffset>
            </wp:positionV>
            <wp:extent cx="716597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0748"/>
          </w:cols>
          <w:pgMar w:left="752" w:top="544" w:right="399" w:bottom="1440" w:gutter="0" w:footer="0" w:header="0"/>
        </w:sectPr>
      </w:pPr>
    </w:p>
    <w:bookmarkStart w:id="26" w:name="page27"/>
    <w:bookmarkEnd w:id="26"/>
    <w:p>
      <w:pPr>
        <w:ind w:left="860" w:right="40" w:hanging="428"/>
        <w:spacing w:after="0" w:line="238" w:lineRule="auto"/>
        <w:tabs>
          <w:tab w:leader="none" w:pos="8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Many of our field project sites and facilities are inherently dangerous workplaces. Failure to manage our field project sites and facilities safely could result in environmental disasters, employee deaths or injuries, reduced profitability, the loss of projects or clients and possible exposure to litigation.</w:t>
      </w:r>
    </w:p>
    <w:p>
      <w:pPr>
        <w:spacing w:after="0" w:line="191" w:lineRule="exact"/>
        <w:rPr>
          <w:rFonts w:ascii="Arial" w:cs="Arial" w:eastAsia="Arial" w:hAnsi="Arial"/>
          <w:sz w:val="17"/>
          <w:szCs w:val="17"/>
          <w:color w:val="auto"/>
        </w:rPr>
      </w:pPr>
    </w:p>
    <w:p>
      <w:pPr>
        <w:ind w:left="860" w:right="380" w:hanging="428"/>
        <w:spacing w:after="0" w:line="242" w:lineRule="auto"/>
        <w:tabs>
          <w:tab w:leader="none" w:pos="8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impact of extreme weather events, including floods, hurricanes, droughts, and wildfires, including as a result of climate change or supply shortages, could have an adverse impact on our business and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 Related to Our Common Stock</w:t>
      </w:r>
    </w:p>
    <w:p>
      <w:pPr>
        <w:spacing w:after="0" w:line="218" w:lineRule="exact"/>
        <w:rPr>
          <w:sz w:val="20"/>
          <w:szCs w:val="20"/>
          <w:color w:val="auto"/>
        </w:rPr>
      </w:pPr>
    </w:p>
    <w:p>
      <w:pPr>
        <w:ind w:left="860" w:right="80" w:hanging="428"/>
        <w:spacing w:after="0" w:line="238" w:lineRule="auto"/>
        <w:tabs>
          <w:tab w:leader="none" w:pos="8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Your ability to influence corporate matters may be limited because the ESOP beneficially owns a majority of our stock and therefore our employees, voting the shares allocated to them under the ESOP, or the ESOP Trustee, who will have the right to vote shares for which no voting instructions are provided by employees, could have substantial control over us.</w:t>
      </w:r>
    </w:p>
    <w:p>
      <w:pPr>
        <w:spacing w:after="0" w:line="191" w:lineRule="exact"/>
        <w:rPr>
          <w:rFonts w:ascii="Arial" w:cs="Arial" w:eastAsia="Arial" w:hAnsi="Arial"/>
          <w:sz w:val="17"/>
          <w:szCs w:val="17"/>
          <w:color w:val="auto"/>
        </w:rPr>
      </w:pPr>
    </w:p>
    <w:p>
      <w:pPr>
        <w:jc w:val="both"/>
        <w:ind w:left="860" w:right="720" w:hanging="428"/>
        <w:spacing w:after="0" w:line="238" w:lineRule="auto"/>
        <w:tabs>
          <w:tab w:leader="none" w:pos="8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are a “controlled company” within the meaning of the New York Stock Exchange listing standards and, as a result, qualify for exemptions from certain corporate governance requirements. You may not have the same protections afforded to stockholders of companies that are subject to such requirements.</w:t>
      </w:r>
    </w:p>
    <w:p>
      <w:pPr>
        <w:spacing w:after="0" w:line="172" w:lineRule="exact"/>
        <w:rPr>
          <w:sz w:val="20"/>
          <w:szCs w:val="20"/>
          <w:color w:val="auto"/>
        </w:rPr>
      </w:pPr>
    </w:p>
    <w:p>
      <w:pPr>
        <w:ind w:left="2460"/>
        <w:spacing w:after="0"/>
        <w:rPr>
          <w:sz w:val="20"/>
          <w:szCs w:val="20"/>
          <w:color w:val="auto"/>
        </w:rPr>
      </w:pPr>
      <w:r>
        <w:rPr>
          <w:rFonts w:ascii="Arial" w:cs="Arial" w:eastAsia="Arial" w:hAnsi="Arial"/>
          <w:sz w:val="17"/>
          <w:szCs w:val="17"/>
          <w:b w:val="1"/>
          <w:bCs w:val="1"/>
          <w:color w:val="auto"/>
        </w:rPr>
        <w:t>Risks Related to the COVID-19 Pandemic</w:t>
      </w:r>
    </w:p>
    <w:p>
      <w:pPr>
        <w:spacing w:after="0" w:line="198"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b w:val="1"/>
          <w:bCs w:val="1"/>
          <w:i w:val="1"/>
          <w:iCs w:val="1"/>
          <w:color w:val="auto"/>
        </w:rPr>
        <w:t>Our business, results of operations, financial condition, cash flows and stock price can be adversely affected by pandemics, epidemics, or other public health emergencies, such as the current global COVID-19 pandemic.</w:t>
      </w:r>
    </w:p>
    <w:p>
      <w:pPr>
        <w:spacing w:after="0" w:line="16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business, results of operations, financial condition, cash flows and stock price can be adversely affected by pandemics, epidemics, or other public health emergencies, such as the current global COVID-19 pandemic and variants thereof. The pandemic resulted in governments around the world implementing increasingly stringent measures to help control the spread of the virus, including quarantines, “shelter in place” and “stay at home” orders, travel restrictions, business curtailments, school closures, and other measures. While many of these restrictions have been removed or reduced, the spread of recent variants of COVID-19 has resulted in the imposition of additional restrictions. In addition, governments and central banks in several parts of the world have enacted fiscal and monetary stimulus measures to counteract the impacts of the COVID-19 pandemic.</w:t>
      </w:r>
    </w:p>
    <w:p>
      <w:pPr>
        <w:spacing w:after="0" w:line="19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Although we continued our operations throughout 2021 consistent with federal guidelines and state and local orders, the continued outbreak of COVID-19 and any preventive or protective actions taken by governmental authorities may continue to have a material adverse effect on our operations, employees, and customers, including business shutdowns or disruptions. The COVID-19 pandemic is expected to reduce demand for our services and impact client spending in certain circumstances. The extent to which the COVID-19 pandemic will continue to impact our business depends on future developments, which are highly uncertain and unpredictable, depending upon the severity and duration of continued outbreaks, development of new variants and the effectiveness of actions taken globally to contain or mitigate the pandemic’s effects. The resultant financial impact cannot be estimated reasonably at this time but may materially adversely affect our ability to collect accounts receivables and our business, results of operations, financial condition and cash flows. Even after the COVID-19 pandemic has subsided, we may experience materially adverse impacts to our business due to any resulting economic recession or depression. Additionally, concerns over the economic impact of the COVID-19 pandemic have caused extreme volatility in financial and other capital markets which has and may continue to adversely impact our stock price and our ability to access capital markets. To the extent the COVID-19 pandemic adversely affects our business and financial results, it may also have the effect of heightening many of the other risks described in this Annual Report on Form 10-K for the year ended December 31, 2021, such as those relating to government spending and priorities.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27" w:name="page28"/>
    <w:bookmarkEnd w:id="27"/>
    <w:p>
      <w:pPr>
        <w:ind w:right="100"/>
        <w:spacing w:after="0" w:line="236" w:lineRule="auto"/>
        <w:rPr>
          <w:sz w:val="20"/>
          <w:szCs w:val="20"/>
          <w:color w:val="auto"/>
        </w:rPr>
      </w:pPr>
      <w:r>
        <w:rPr>
          <w:rFonts w:ascii="Arial" w:cs="Arial" w:eastAsia="Arial" w:hAnsi="Arial"/>
          <w:sz w:val="17"/>
          <w:szCs w:val="17"/>
          <w:color w:val="auto"/>
        </w:rPr>
        <w:t>Further, in September 2021, President Joseph R. Biden issued Executive Order 14042 requiring federal government contractors to ensure that their employees are vaccinated, subject to certain medical or religious exceptions. The enforcement of Executive Order 14042 was preliminarily enjoined by an order of the United States District Court for the Southern District of Georgia. Parsons Corporation is closely following the legal status of Executive Order 14042 and has implemented plans to ensure compliance based upon the final legal determinations. There may be an impact to our business if we are required to implement plans to ensure compliance with Executive Order 14042, as certain employees may elect not to continue their employment rather than comply.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560"/>
        <w:spacing w:after="0"/>
        <w:rPr>
          <w:sz w:val="20"/>
          <w:szCs w:val="20"/>
          <w:color w:val="auto"/>
        </w:rPr>
      </w:pPr>
      <w:r>
        <w:rPr>
          <w:rFonts w:ascii="Arial" w:cs="Arial" w:eastAsia="Arial" w:hAnsi="Arial"/>
          <w:sz w:val="17"/>
          <w:szCs w:val="17"/>
          <w:b w:val="1"/>
          <w:bCs w:val="1"/>
          <w:color w:val="auto"/>
        </w:rPr>
        <w:t>Risks Related to Government Contracts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spending and priorities could change in a manner that adversely affects our future revenue and limits our growth prospects.</w:t>
      </w:r>
    </w:p>
    <w:p>
      <w:pPr>
        <w:spacing w:after="0" w:line="218" w:lineRule="exact"/>
        <w:rPr>
          <w:sz w:val="20"/>
          <w:szCs w:val="20"/>
          <w:color w:val="auto"/>
        </w:rPr>
      </w:pPr>
    </w:p>
    <w:p>
      <w:pPr>
        <w:ind w:right="140" w:firstLine="541"/>
        <w:spacing w:after="0" w:line="236" w:lineRule="auto"/>
        <w:rPr>
          <w:sz w:val="20"/>
          <w:szCs w:val="20"/>
          <w:color w:val="auto"/>
        </w:rPr>
      </w:pPr>
      <w:r>
        <w:rPr>
          <w:rFonts w:ascii="Arial" w:cs="Arial" w:eastAsia="Arial" w:hAnsi="Arial"/>
          <w:sz w:val="17"/>
          <w:szCs w:val="17"/>
          <w:color w:val="auto"/>
        </w:rPr>
        <w:t>We derive, and expect to continue to derive, a significant portion of our revenue from contracts with government entities. As a result, our business depends upon continued government expenditures on defense, intelligence, civil and engineering programs for which we provide support, both among foreign governments and at federal, state and local levels domestically. These expenditures have not remained constant over time and have been reduced in some periods. In particular, these expenditures have recently been affected by efforts to improve efficiency and reduce costs affecting government programs generally. Our business, prospects, financial condition or operating results could be materially harmed, among other causes, by the following:</w:t>
      </w:r>
    </w:p>
    <w:p>
      <w:pPr>
        <w:spacing w:after="0" w:line="191" w:lineRule="exact"/>
        <w:rPr>
          <w:sz w:val="20"/>
          <w:szCs w:val="20"/>
          <w:color w:val="auto"/>
        </w:rPr>
      </w:pPr>
    </w:p>
    <w:p>
      <w:pPr>
        <w:ind w:left="1080" w:right="460" w:hanging="863"/>
        <w:spacing w:after="0" w:line="242"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budgetary constraints, including mandated automatic spending cuts, affecting across-the-board government spending, or specific agencies in particular, and changes in available funding;</w:t>
      </w:r>
    </w:p>
    <w:p>
      <w:pPr>
        <w:spacing w:after="0" w:line="188" w:lineRule="exact"/>
        <w:rPr>
          <w:rFonts w:ascii="Arial" w:cs="Arial" w:eastAsia="Arial" w:hAnsi="Arial"/>
          <w:sz w:val="17"/>
          <w:szCs w:val="17"/>
          <w:color w:val="auto"/>
        </w:rPr>
      </w:pPr>
    </w:p>
    <w:p>
      <w:pPr>
        <w:ind w:left="1080" w:hanging="863"/>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shift in expenditures away from agencies or programs that we support;</w:t>
      </w:r>
    </w:p>
    <w:p>
      <w:pPr>
        <w:spacing w:after="0" w:line="210" w:lineRule="exact"/>
        <w:rPr>
          <w:rFonts w:ascii="Arial" w:cs="Arial" w:eastAsia="Arial" w:hAnsi="Arial"/>
          <w:sz w:val="17"/>
          <w:szCs w:val="17"/>
          <w:color w:val="auto"/>
        </w:rPr>
      </w:pPr>
    </w:p>
    <w:p>
      <w:pPr>
        <w:ind w:left="1080" w:right="120" w:hanging="863"/>
        <w:spacing w:after="0" w:line="238"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reduced government outsourcing of functions that we are currently contracted to provide, including as a result of increased insourcing by various U.S. government agencies due to changes in the definition of “inherently governmental” work, including proposals to limit contractor access to sensitive or classified information and work assignments;</w:t>
      </w:r>
    </w:p>
    <w:p>
      <w:pPr>
        <w:spacing w:after="0" w:line="191" w:lineRule="exact"/>
        <w:rPr>
          <w:rFonts w:ascii="Arial" w:cs="Arial" w:eastAsia="Arial" w:hAnsi="Arial"/>
          <w:sz w:val="17"/>
          <w:szCs w:val="17"/>
          <w:color w:val="auto"/>
        </w:rPr>
      </w:pPr>
    </w:p>
    <w:p>
      <w:pPr>
        <w:ind w:left="1080" w:hanging="863"/>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further efforts to improve efficiency and reduce costs affecting government programs;</w:t>
      </w:r>
    </w:p>
    <w:p>
      <w:pPr>
        <w:spacing w:after="0" w:line="210" w:lineRule="exact"/>
        <w:rPr>
          <w:rFonts w:ascii="Arial" w:cs="Arial" w:eastAsia="Arial" w:hAnsi="Arial"/>
          <w:sz w:val="17"/>
          <w:szCs w:val="17"/>
          <w:color w:val="auto"/>
        </w:rPr>
      </w:pPr>
    </w:p>
    <w:p>
      <w:pPr>
        <w:ind w:left="1080" w:hanging="863"/>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or delays in government programs that we support or the programs’ requirements;</w:t>
      </w:r>
    </w:p>
    <w:p>
      <w:pPr>
        <w:spacing w:after="0" w:line="210" w:lineRule="exact"/>
        <w:rPr>
          <w:rFonts w:ascii="Arial" w:cs="Arial" w:eastAsia="Arial" w:hAnsi="Arial"/>
          <w:sz w:val="17"/>
          <w:szCs w:val="17"/>
          <w:color w:val="auto"/>
        </w:rPr>
      </w:pPr>
    </w:p>
    <w:p>
      <w:pPr>
        <w:ind w:left="1080" w:hanging="863"/>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continuation of recent efforts by the U.S. government in particular to decrease spending for management support service contracts;</w:t>
      </w:r>
    </w:p>
    <w:p>
      <w:pPr>
        <w:spacing w:after="0" w:line="210" w:lineRule="exact"/>
        <w:rPr>
          <w:rFonts w:ascii="Arial" w:cs="Arial" w:eastAsia="Arial" w:hAnsi="Arial"/>
          <w:sz w:val="17"/>
          <w:szCs w:val="17"/>
          <w:color w:val="auto"/>
        </w:rPr>
      </w:pPr>
    </w:p>
    <w:p>
      <w:pPr>
        <w:jc w:val="both"/>
        <w:ind w:left="1080" w:hanging="863"/>
        <w:spacing w:after="0" w:line="238"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U.S. government shutdowns due to, among other reasons, a failure by elected officials to fund the government, such as the shutdowns which occurred during government fiscal years 2019 and 2014 and, to a lesser extent, government fiscal year 2018, and other potential delays in the appropriations process;</w:t>
      </w:r>
    </w:p>
    <w:p>
      <w:pPr>
        <w:spacing w:after="0" w:line="191" w:lineRule="exact"/>
        <w:rPr>
          <w:rFonts w:ascii="Arial" w:cs="Arial" w:eastAsia="Arial" w:hAnsi="Arial"/>
          <w:sz w:val="17"/>
          <w:szCs w:val="17"/>
          <w:color w:val="auto"/>
        </w:rPr>
      </w:pPr>
    </w:p>
    <w:p>
      <w:pPr>
        <w:ind w:left="1080" w:hanging="863"/>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U.S. government agencies awarding contracts on a technically acceptable/lowest cost basis in order to reduce expenditures;</w:t>
      </w:r>
    </w:p>
    <w:p>
      <w:pPr>
        <w:spacing w:after="0" w:line="210" w:lineRule="exact"/>
        <w:rPr>
          <w:rFonts w:ascii="Arial" w:cs="Arial" w:eastAsia="Arial" w:hAnsi="Arial"/>
          <w:sz w:val="17"/>
          <w:szCs w:val="17"/>
          <w:color w:val="auto"/>
        </w:rPr>
      </w:pPr>
    </w:p>
    <w:p>
      <w:pPr>
        <w:ind w:left="1080" w:hanging="863"/>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delays in the payment of our invoices by government payment offices;</w:t>
      </w:r>
    </w:p>
    <w:p>
      <w:pPr>
        <w:spacing w:after="0" w:line="210" w:lineRule="exact"/>
        <w:rPr>
          <w:rFonts w:ascii="Arial" w:cs="Arial" w:eastAsia="Arial" w:hAnsi="Arial"/>
          <w:sz w:val="17"/>
          <w:szCs w:val="17"/>
          <w:color w:val="auto"/>
        </w:rPr>
      </w:pPr>
    </w:p>
    <w:p>
      <w:pPr>
        <w:ind w:left="1080" w:hanging="863"/>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results of elections, including politicians who may have priorities that would reduce spending in areas in which we operate;</w:t>
      </w: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60"/>
          </w:cols>
          <w:pgMar w:left="320" w:top="544" w:right="419" w:bottom="1440" w:gutter="0" w:footer="0" w:header="0"/>
        </w:sectPr>
      </w:pPr>
    </w:p>
    <w:bookmarkStart w:id="28" w:name="page29"/>
    <w:bookmarkEnd w:id="28"/>
    <w:p>
      <w:pPr>
        <w:ind w:left="1080" w:right="400" w:hanging="863"/>
        <w:spacing w:after="0" w:line="242"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 inability by the U.S. government to fund its operations as a result of a failure to increase the federal government’s debt ceiling, a credit downgrade of U.S. government obligations or for any other reason; and</w:t>
      </w:r>
    </w:p>
    <w:p>
      <w:pPr>
        <w:spacing w:after="0" w:line="188" w:lineRule="exact"/>
        <w:rPr>
          <w:rFonts w:ascii="Arial" w:cs="Arial" w:eastAsia="Arial" w:hAnsi="Arial"/>
          <w:sz w:val="17"/>
          <w:szCs w:val="17"/>
          <w:color w:val="auto"/>
        </w:rPr>
      </w:pPr>
    </w:p>
    <w:p>
      <w:pPr>
        <w:ind w:left="1080" w:hanging="863"/>
        <w:spacing w:after="0" w:line="242"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the political climate and general economic conditions, including a slowdown of the economy or unstable economic conditions and responses to conditions, such as emergency spending, that reduce funds available for other government priorities.</w:t>
      </w:r>
    </w:p>
    <w:p>
      <w:pPr>
        <w:spacing w:after="0" w:line="189" w:lineRule="exact"/>
        <w:rPr>
          <w:sz w:val="20"/>
          <w:szCs w:val="20"/>
          <w:color w:val="auto"/>
        </w:rPr>
      </w:pPr>
    </w:p>
    <w:p>
      <w:pPr>
        <w:ind w:right="260" w:firstLine="433"/>
        <w:spacing w:after="0" w:line="237" w:lineRule="auto"/>
        <w:rPr>
          <w:sz w:val="20"/>
          <w:szCs w:val="20"/>
          <w:color w:val="auto"/>
        </w:rPr>
      </w:pPr>
      <w:r>
        <w:rPr>
          <w:rFonts w:ascii="Arial" w:cs="Arial" w:eastAsia="Arial" w:hAnsi="Arial"/>
          <w:sz w:val="17"/>
          <w:szCs w:val="17"/>
          <w:color w:val="auto"/>
        </w:rPr>
        <w:t>Any disruption in the functioning of government agencies, including as a result of government closures and shutdowns, terrorism, war, natural disasters, destruction of government facilities, and other potential calamities could have a negative impact on our operations and cause us to lose revenue or incur additional costs due to, among other things, our inability to deploy our staff to client locations or facilities as a result of such disruptions.</w:t>
      </w:r>
    </w:p>
    <w:p>
      <w:pPr>
        <w:spacing w:after="0" w:line="191" w:lineRule="exact"/>
        <w:rPr>
          <w:sz w:val="20"/>
          <w:szCs w:val="20"/>
          <w:color w:val="auto"/>
        </w:rPr>
      </w:pPr>
    </w:p>
    <w:p>
      <w:pPr>
        <w:ind w:firstLine="433"/>
        <w:spacing w:after="0" w:line="234" w:lineRule="auto"/>
        <w:rPr>
          <w:sz w:val="20"/>
          <w:szCs w:val="20"/>
          <w:color w:val="auto"/>
        </w:rPr>
      </w:pPr>
      <w:r>
        <w:rPr>
          <w:rFonts w:ascii="Arial" w:cs="Arial" w:eastAsia="Arial" w:hAnsi="Arial"/>
          <w:sz w:val="17"/>
          <w:szCs w:val="17"/>
          <w:color w:val="auto"/>
        </w:rPr>
        <w:t>In particular, with regard to our largest single customer, the U.S. federal government, budget deficits, the national debt and the prevailing economic condition, and actions taken to address them, could continue to negatively affect the U.S. government expenditures on defense, intelligence and civil programs for which we provide support. The U.S. Department of Defense is one of our significant clients and cost cutting, including through consolidation and elimination of duplicative organizations and insourcing, has become a major initiative for the U.S. Department of Defense. There remains uncertainty as to how exactly budget cuts, including sequestration, will impact us, and we are therefore unable to predict the extent of the impact of such cuts on our business and results of operations. However, a reduction in the amount of or delays or cancellations of funding for, services that we are contracted to provide to the U.S. Department of Defense as a result of any of these initiatives, legislation or otherwise could have a material adverse effect on our business, financial condition and results of operations. In addition, in response to an Office of Management and Budget mandate, government agencies have reduced management support services spending in recent years. If federal awards for management support services continue to decline, our revenue and operating profits may materially decline and further efforts by the Office of Management and Budget to decrease federal awards for management support services could have a material and adverse effect on our business, financial condition and results of operations.</w:t>
      </w:r>
    </w:p>
    <w:p>
      <w:pPr>
        <w:spacing w:after="0" w:line="198" w:lineRule="exact"/>
        <w:rPr>
          <w:sz w:val="20"/>
          <w:szCs w:val="20"/>
          <w:color w:val="auto"/>
        </w:rPr>
      </w:pPr>
    </w:p>
    <w:p>
      <w:pPr>
        <w:ind w:right="20" w:firstLine="433"/>
        <w:spacing w:after="0" w:line="235" w:lineRule="auto"/>
        <w:rPr>
          <w:sz w:val="20"/>
          <w:szCs w:val="20"/>
          <w:color w:val="auto"/>
        </w:rPr>
      </w:pPr>
      <w:r>
        <w:rPr>
          <w:rFonts w:ascii="Arial" w:cs="Arial" w:eastAsia="Arial" w:hAnsi="Arial"/>
          <w:sz w:val="17"/>
          <w:szCs w:val="17"/>
          <w:color w:val="auto"/>
        </w:rPr>
        <w:t>In addition, most government contracts are subject to the government’s budgetary approval process. Legislatures typically appropriate funds for a given program on a year-by-year basis, even though contract performance may take more than one year. In addition, public-supported financing such as state and local municipal bonds may be only partially raised to support existing infrastructure projects. As a result, at the beginning of a program, the related contract is only partially funded, and additional funding is normally committed only as appropriations are made in each fiscal year. These appropriations, and the timing of payment of appropriated amounts, may be influenced by, among other things, the state of the economy, competing priorities for appropriation, changes in administration or control of legislatures and the timing and amount of tax receipts and the overall level of government expenditures. Similarly, the impact of an economic downturn on state and local governments may make it more difficult for them to fund infrastructure projects. If appropriations are not made in subsequent years on our government contracts, then we will not realize all of our potential revenue and profit from that contract, and we may incur substantial labor costs without reimbursement.</w:t>
      </w:r>
    </w:p>
    <w:p>
      <w:pPr>
        <w:spacing w:after="0" w:line="192" w:lineRule="exact"/>
        <w:rPr>
          <w:sz w:val="20"/>
          <w:szCs w:val="20"/>
          <w:color w:val="auto"/>
        </w:rPr>
      </w:pPr>
    </w:p>
    <w:p>
      <w:pPr>
        <w:ind w:right="40" w:firstLine="433"/>
        <w:spacing w:after="0" w:line="236" w:lineRule="auto"/>
        <w:rPr>
          <w:sz w:val="20"/>
          <w:szCs w:val="20"/>
          <w:color w:val="auto"/>
        </w:rPr>
      </w:pPr>
      <w:r>
        <w:rPr>
          <w:rFonts w:ascii="Arial" w:cs="Arial" w:eastAsia="Arial" w:hAnsi="Arial"/>
          <w:sz w:val="17"/>
          <w:szCs w:val="17"/>
          <w:color w:val="auto"/>
        </w:rPr>
        <w:t>Government funding with respect to our Critical Infrastructure services fluctuates over time and new or changing government policies may affect our Critical Infrastructure business and operations. In March 2018, for example, President Trump signed proclamations to impose tariffs on steel and aluminum imports per the U.S. Trade Expansion Act of 1962 increasing the price for steel and aluminum in the United States which could impact client spending. Government spending for our Critical Infrastructure services may also depend on factors related to government demand, such as the condition of the existing infrastructure and buildings and the need for new or expanded infrastructure and buildings. Our government clients may face budget cuts or deficits that prohibit them from funding proposed and existing Critical Infrastructure projects.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9" w:name="page30"/>
    <w:bookmarkEnd w:id="29"/>
    <w:p>
      <w:pPr>
        <w:ind w:right="120" w:firstLine="433"/>
        <w:spacing w:after="0" w:line="237" w:lineRule="auto"/>
        <w:rPr>
          <w:sz w:val="20"/>
          <w:szCs w:val="20"/>
          <w:color w:val="auto"/>
        </w:rPr>
      </w:pPr>
      <w:r>
        <w:rPr>
          <w:rFonts w:ascii="Arial" w:cs="Arial" w:eastAsia="Arial" w:hAnsi="Arial"/>
          <w:sz w:val="17"/>
          <w:szCs w:val="17"/>
          <w:color w:val="auto"/>
        </w:rPr>
        <w:t>These or other factors could cause our defense, intelligence, infrastructure or civil clients to decrease the number of new government contracts awarded generally and fail to award us new government contracts, reduce their purchases under our existing government contracts, exercise their right to terminate our government contracts or not exercise options to renew our government contracts, any of which could materially and adversely affect our business, financial condition and results of operations.</w:t>
      </w:r>
    </w:p>
    <w:p>
      <w:pPr>
        <w:spacing w:after="0" w:line="171" w:lineRule="exact"/>
        <w:rPr>
          <w:sz w:val="20"/>
          <w:szCs w:val="20"/>
          <w:color w:val="auto"/>
        </w:rPr>
      </w:pPr>
    </w:p>
    <w:p>
      <w:pPr>
        <w:ind w:right="180" w:firstLine="433"/>
        <w:spacing w:after="0" w:line="267" w:lineRule="auto"/>
        <w:rPr>
          <w:sz w:val="20"/>
          <w:szCs w:val="20"/>
          <w:color w:val="auto"/>
        </w:rPr>
      </w:pPr>
      <w:r>
        <w:rPr>
          <w:rFonts w:ascii="Arial" w:cs="Arial" w:eastAsia="Arial" w:hAnsi="Arial"/>
          <w:sz w:val="17"/>
          <w:szCs w:val="17"/>
          <w:b w:val="1"/>
          <w:bCs w:val="1"/>
          <w:i w:val="1"/>
          <w:iCs w:val="1"/>
          <w:color w:val="auto"/>
        </w:rPr>
        <w:t>The U.S. federal government and its agencies collectively are our largest single customer and, if our reputation or relationships with the U.S. federal government were harmed, our future revenues and cash flows would be adversely affected.</w:t>
      </w:r>
    </w:p>
    <w:p>
      <w:pPr>
        <w:spacing w:after="0" w:line="168" w:lineRule="exact"/>
        <w:rPr>
          <w:sz w:val="20"/>
          <w:szCs w:val="20"/>
          <w:color w:val="auto"/>
        </w:rPr>
      </w:pPr>
    </w:p>
    <w:p>
      <w:pPr>
        <w:ind w:firstLine="433"/>
        <w:spacing w:after="0" w:line="235" w:lineRule="auto"/>
        <w:rPr>
          <w:sz w:val="20"/>
          <w:szCs w:val="20"/>
          <w:color w:val="auto"/>
        </w:rPr>
      </w:pPr>
      <w:r>
        <w:rPr>
          <w:rFonts w:ascii="Arial" w:cs="Arial" w:eastAsia="Arial" w:hAnsi="Arial"/>
          <w:sz w:val="17"/>
          <w:szCs w:val="17"/>
          <w:color w:val="auto"/>
        </w:rPr>
        <w:t>The U.S. federal government and its agencies, including the military and intelligence community, collectively are our largest customer. In particular, it represents substantially all of the revenue of our Federal Solutions segment. Approximately 52% of our consolidated revenues in 2021, 49% in 2020 and 48% in 2019, and approximately 17% of accounts receivable as of December 31, 2021 and 19% as of December 31, 2020 were derived from contracts with the U.S. federal government and its agencies. Our reputation and relationships with various U.S. government entities and agencies, and in particular with the U.S. Department of Defense, including the Missile Defense Agency and the United States Army, the Federal Aviation Administration, the United States intelligence community and the U.S. Department of Energy are key factors in maintaining and growing these revenues and winning new bids for new business. Negative press reports or publicity, regardless of accuracy, could harm our reputation. If our reputation or relationships with government agencies were to be negatively affected, or if we are suspended or debarred from contracting with government agencies for any reason, the amount of business with government and other customers would decrease and our financial condition and results of operations could be adversely affected.</w:t>
      </w:r>
    </w:p>
    <w:p>
      <w:pPr>
        <w:spacing w:after="0" w:line="170"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b w:val="1"/>
          <w:bCs w:val="1"/>
          <w:i w:val="1"/>
          <w:iCs w:val="1"/>
          <w:color w:val="auto"/>
        </w:rPr>
        <w:t>Our failure to comply with a variety of complex procurement rules and regulations could result in our being liable for penalties, including termination of our government contracts, disqualification from bidding on future government contracts and suspension or debarment from government contracting.</w:t>
      </w:r>
    </w:p>
    <w:p>
      <w:pPr>
        <w:spacing w:after="0" w:line="182" w:lineRule="exact"/>
        <w:rPr>
          <w:sz w:val="20"/>
          <w:szCs w:val="20"/>
          <w:color w:val="auto"/>
        </w:rPr>
      </w:pPr>
    </w:p>
    <w:p>
      <w:pPr>
        <w:ind w:right="340" w:firstLine="433"/>
        <w:spacing w:after="0" w:line="242" w:lineRule="auto"/>
        <w:rPr>
          <w:sz w:val="20"/>
          <w:szCs w:val="20"/>
          <w:color w:val="auto"/>
        </w:rPr>
      </w:pPr>
      <w:r>
        <w:rPr>
          <w:rFonts w:ascii="Arial" w:cs="Arial" w:eastAsia="Arial" w:hAnsi="Arial"/>
          <w:sz w:val="17"/>
          <w:szCs w:val="17"/>
          <w:color w:val="auto"/>
        </w:rPr>
        <w:t>We must comply with various laws and regulations relating to the formation, administration and performance of government contracts, which affect how we do business with our customers and may impose added costs on our business.</w:t>
      </w:r>
    </w:p>
    <w:p>
      <w:pPr>
        <w:spacing w:after="0" w:line="189" w:lineRule="exact"/>
        <w:rPr>
          <w:sz w:val="20"/>
          <w:szCs w:val="20"/>
          <w:color w:val="auto"/>
        </w:rPr>
      </w:pPr>
    </w:p>
    <w:p>
      <w:pPr>
        <w:ind w:right="80" w:firstLine="433"/>
        <w:spacing w:after="0" w:line="236" w:lineRule="auto"/>
        <w:rPr>
          <w:sz w:val="20"/>
          <w:szCs w:val="20"/>
          <w:color w:val="auto"/>
        </w:rPr>
      </w:pPr>
      <w:r>
        <w:rPr>
          <w:rFonts w:ascii="Arial" w:cs="Arial" w:eastAsia="Arial" w:hAnsi="Arial"/>
          <w:sz w:val="17"/>
          <w:szCs w:val="17"/>
          <w:color w:val="auto"/>
        </w:rPr>
        <w:t>Many of our U.S. government contracts contain organizational conflict of interest, or OCI, clauses that may limit our ability to compete for or perform contracts or other types of services for particular customers. OCI arises when we engage in activities that may make us unable to render impartial assistance or advice to the U.S. government, impair our objectivity in performing contract work or provide us with an unfair competitive advantage. Existing OCI, and any OCI that may develop, could preclude our competition for or performance on a significant project or contract, which could limit our opportunities.</w:t>
      </w:r>
    </w:p>
    <w:p>
      <w:pPr>
        <w:spacing w:after="0" w:line="193" w:lineRule="exact"/>
        <w:rPr>
          <w:sz w:val="20"/>
          <w:szCs w:val="20"/>
          <w:color w:val="auto"/>
        </w:rPr>
      </w:pPr>
    </w:p>
    <w:p>
      <w:pPr>
        <w:ind w:firstLine="433"/>
        <w:spacing w:after="0" w:line="236" w:lineRule="auto"/>
        <w:rPr>
          <w:sz w:val="20"/>
          <w:szCs w:val="20"/>
          <w:color w:val="auto"/>
        </w:rPr>
      </w:pPr>
      <w:r>
        <w:rPr>
          <w:rFonts w:ascii="Arial" w:cs="Arial" w:eastAsia="Arial" w:hAnsi="Arial"/>
          <w:sz w:val="17"/>
          <w:szCs w:val="17"/>
          <w:color w:val="auto"/>
        </w:rPr>
        <w:t>Some U.S. federal and state statutes and regulations provide for automatic debarment based on our actions, such as violations of the U.S. False Claims Act or the U.S. Foreign Corrupt Practices Act, or FCPA. The suspension or debarment in any particular case may be limited to the facility, contract or subsidiary involved in the violation or could be applied to our entire enterprise in severe circumstances. Even a narrow scope suspension or debarment could result in negative publicity that could adversely affect our ability to renew contracts and to secure new contracts, both with governments and private customers, which could materially and adversely affect our business,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Governments may adopt new contract rules and regulations or revise their procurement practices in a manner adverse to us at any time.</w:t>
      </w:r>
    </w:p>
    <w:p>
      <w:pPr>
        <w:spacing w:after="0" w:line="218" w:lineRule="exact"/>
        <w:rPr>
          <w:sz w:val="20"/>
          <w:szCs w:val="20"/>
          <w:color w:val="auto"/>
        </w:rPr>
      </w:pPr>
    </w:p>
    <w:p>
      <w:pPr>
        <w:jc w:val="both"/>
        <w:ind w:right="180" w:firstLine="433"/>
        <w:spacing w:after="0" w:line="238" w:lineRule="auto"/>
        <w:rPr>
          <w:sz w:val="20"/>
          <w:szCs w:val="20"/>
          <w:color w:val="auto"/>
        </w:rPr>
      </w:pPr>
      <w:r>
        <w:rPr>
          <w:rFonts w:ascii="Arial" w:cs="Arial" w:eastAsia="Arial" w:hAnsi="Arial"/>
          <w:sz w:val="17"/>
          <w:szCs w:val="17"/>
          <w:color w:val="auto"/>
        </w:rPr>
        <w:t>The government-related industries within which we do business continue to experience significant changes to business practices as a result of an increased focus on affordability, efficiencies and recovery of costs, among other items. Our existing and potential clients are similarly focused on increasing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0" w:name="page31"/>
    <w:bookmarkEnd w:id="30"/>
    <w:p>
      <w:pPr>
        <w:ind w:right="80"/>
        <w:spacing w:after="0" w:line="235" w:lineRule="auto"/>
        <w:rPr>
          <w:sz w:val="20"/>
          <w:szCs w:val="20"/>
          <w:color w:val="auto"/>
        </w:rPr>
      </w:pPr>
      <w:r>
        <w:rPr>
          <w:rFonts w:ascii="Arial" w:cs="Arial" w:eastAsia="Arial" w:hAnsi="Arial"/>
          <w:sz w:val="17"/>
          <w:szCs w:val="17"/>
          <w:color w:val="auto"/>
        </w:rPr>
        <w:t>productivity of their contractual arrangements. Moreover, government agencies may face restrictions or pressure regarding the type and amount of services that they may obtain from private contractors. Legislation, regulations and initiatives dealing with procurement reform, mitigation of potential OCIs, deterrence of fraud, and environmental responsibility or sustainability could have an adverse effect on us. Moreover, shifts in the buying practices of government agencies, such as increased usage of fixed price contracts, multiple award contracts and small business set-aside contracts, could have adverse effects on government contractors, including us. Any of these changes could impair our ability to obtain new contracts or contract renewals. Any new contracting requirements or procurement methods could be costly or administratively difficult for us to implement and could adversely affect our business, financial condition and results of operations.</w:t>
      </w:r>
    </w:p>
    <w:p>
      <w:pPr>
        <w:spacing w:after="0" w:line="174" w:lineRule="exact"/>
        <w:rPr>
          <w:sz w:val="20"/>
          <w:szCs w:val="20"/>
          <w:color w:val="auto"/>
        </w:rPr>
      </w:pPr>
    </w:p>
    <w:p>
      <w:pPr>
        <w:ind w:right="600"/>
        <w:spacing w:after="0" w:line="267" w:lineRule="auto"/>
        <w:rPr>
          <w:sz w:val="20"/>
          <w:szCs w:val="20"/>
          <w:color w:val="auto"/>
        </w:rPr>
      </w:pPr>
      <w:r>
        <w:rPr>
          <w:rFonts w:ascii="Arial" w:cs="Arial" w:eastAsia="Arial" w:hAnsi="Arial"/>
          <w:sz w:val="17"/>
          <w:szCs w:val="17"/>
          <w:b w:val="1"/>
          <w:bCs w:val="1"/>
          <w:i w:val="1"/>
          <w:iCs w:val="1"/>
          <w:color w:val="auto"/>
        </w:rPr>
        <w:t>A substantial portion of our business is subject to reviews, audits and cost adjustments by government agencies, which, if resolved unfavorably to us, could adversely affect our profitability, cash flows or growth prospects.</w:t>
      </w:r>
    </w:p>
    <w:p>
      <w:pPr>
        <w:spacing w:after="0" w:line="168" w:lineRule="exact"/>
        <w:rPr>
          <w:sz w:val="20"/>
          <w:szCs w:val="20"/>
          <w:color w:val="auto"/>
        </w:rPr>
      </w:pPr>
    </w:p>
    <w:p>
      <w:pPr>
        <w:ind w:right="20" w:firstLine="433"/>
        <w:spacing w:after="0" w:line="235" w:lineRule="auto"/>
        <w:rPr>
          <w:sz w:val="20"/>
          <w:szCs w:val="20"/>
          <w:color w:val="auto"/>
        </w:rPr>
      </w:pPr>
      <w:r>
        <w:rPr>
          <w:rFonts w:ascii="Arial" w:cs="Arial" w:eastAsia="Arial" w:hAnsi="Arial"/>
          <w:sz w:val="17"/>
          <w:szCs w:val="17"/>
          <w:color w:val="auto"/>
        </w:rPr>
        <w:t>Government agencies routinely audit and review a contractor’s performance on government contracts, indirect cost rates and pricing practices, and compliance with applicable contracting and procurement laws, regulations and standards. They also review the adequacy of the contractor’s compliance with government standards for its business systems, which are defined as the contractor’s accounting, earned value management, estimating, materials management, property management and purchasing systems. A finding of significant control deficiencies in a contractor’s business systems or a finding of noncompliance with U.S. government Cost Accounting Standards, or CAS, can result in decremented billing rates to U.S. government customers until the control deficiencies are corrected and their remediation is accepted by the Defense Contract Management Agency. The agencies conducting these audits and reviews have come under increased scrutiny. As a result, audits and reviews have become more rigorous and the standards to which we are held are being more strictly interpreted which has increased the likelihood of an audit or review resulting in an adverse outcome.</w:t>
      </w:r>
    </w:p>
    <w:p>
      <w:pPr>
        <w:spacing w:after="0" w:line="192" w:lineRule="exact"/>
        <w:rPr>
          <w:sz w:val="20"/>
          <w:szCs w:val="20"/>
          <w:color w:val="auto"/>
        </w:rPr>
      </w:pPr>
    </w:p>
    <w:p>
      <w:pPr>
        <w:ind w:firstLine="433"/>
        <w:spacing w:after="0" w:line="236" w:lineRule="auto"/>
        <w:rPr>
          <w:sz w:val="20"/>
          <w:szCs w:val="20"/>
          <w:color w:val="auto"/>
        </w:rPr>
      </w:pPr>
      <w:r>
        <w:rPr>
          <w:rFonts w:ascii="Arial" w:cs="Arial" w:eastAsia="Arial" w:hAnsi="Arial"/>
          <w:sz w:val="17"/>
          <w:szCs w:val="17"/>
          <w:color w:val="auto"/>
        </w:rPr>
        <w:t>If a review or investigation by a government agency identifies improper or illegal activities, we may be subject to civil or criminal penalties or administrative sanctions which could include the termination of contracts, forfeiture of profits, the triggering of price reduction clauses, suspension of payments, fines, and suspension or debarment from doing business with governmental agencies. We may suffer harm to our reputation if allegations of impropriety are made against us, which would impair our ability to win new contract awards or receive contract renewals. Penalties and sanctions are not uncommon in our industries. If we incur a material penalty or administrative sanction or otherwise suffer harm to our reputation, our profitability, cash position and future prospects could be adversely affected.</w:t>
      </w:r>
    </w:p>
    <w:p>
      <w:pPr>
        <w:spacing w:after="0" w:line="191" w:lineRule="exact"/>
        <w:rPr>
          <w:sz w:val="20"/>
          <w:szCs w:val="20"/>
          <w:color w:val="auto"/>
        </w:rPr>
      </w:pPr>
    </w:p>
    <w:p>
      <w:pPr>
        <w:ind w:right="20" w:firstLine="433"/>
        <w:spacing w:after="0" w:line="235" w:lineRule="auto"/>
        <w:rPr>
          <w:sz w:val="20"/>
          <w:szCs w:val="20"/>
          <w:color w:val="auto"/>
        </w:rPr>
      </w:pPr>
      <w:r>
        <w:rPr>
          <w:rFonts w:ascii="Arial" w:cs="Arial" w:eastAsia="Arial" w:hAnsi="Arial"/>
          <w:sz w:val="17"/>
          <w:szCs w:val="17"/>
          <w:color w:val="auto"/>
        </w:rPr>
        <w:t>Government audits and reviews may conclude that our practices are not consistent with applicable laws and regulations and result in adjustments to contract costs and mandatory customer refunds. Such adjustments can be applied retroactively, which could result in significant customer refunds, and those refunds would negatively impact our revenue. Receipt of adverse audit findings or the failure to obtain an “approved” determination on our various business systems could significantly and adversely affect our business by, among other things, restricting our ability to bid on new contracts and, for those proposals under evaluation, diminishing our competitive position. A determination of noncompliance could also result in penalties and sanctions against us, including withholding of payments, suspension of payments and increased government scrutiny. Increased scrutiny could adversely impact our ability to perform on contracts, affect our ability to invoice for work performed, delay the receipt of timely payment on contracts, and weaken our ability to compete for new contracts with the government.</w:t>
      </w:r>
    </w:p>
    <w:p>
      <w:pPr>
        <w:spacing w:after="0" w:line="173"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b w:val="1"/>
          <w:bCs w:val="1"/>
          <w:i w:val="1"/>
          <w:iCs w:val="1"/>
          <w:color w:val="auto"/>
        </w:rPr>
        <w:t>Our government contracts may be terminated by the government counterparty at any time and may contain other provisions permitting the government to discontinue contract performance, and if lost contracts are not replaced, our operating results may differ materially and adversely from those anticipated.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1" w:name="page32"/>
    <w:bookmarkEnd w:id="31"/>
    <w:p>
      <w:pPr>
        <w:ind w:right="60" w:firstLine="433"/>
        <w:spacing w:after="0" w:line="242" w:lineRule="auto"/>
        <w:rPr>
          <w:sz w:val="20"/>
          <w:szCs w:val="20"/>
          <w:color w:val="auto"/>
        </w:rPr>
      </w:pPr>
      <w:r>
        <w:rPr>
          <w:rFonts w:ascii="Arial" w:cs="Arial" w:eastAsia="Arial" w:hAnsi="Arial"/>
          <w:sz w:val="17"/>
          <w:szCs w:val="17"/>
          <w:color w:val="auto"/>
        </w:rPr>
        <w:t>Government contracts often contain provisions and are subject to laws and regulations that provide government clients with rights and remedies not typically found in commercial contracts. These rights and remedies allow government clients, among other things, to:</w:t>
      </w:r>
    </w:p>
    <w:p>
      <w:pPr>
        <w:spacing w:after="0" w:line="189" w:lineRule="exact"/>
        <w:rPr>
          <w:sz w:val="20"/>
          <w:szCs w:val="20"/>
          <w:color w:val="auto"/>
        </w:rPr>
      </w:pPr>
    </w:p>
    <w:p>
      <w:pPr>
        <w:ind w:left="1300" w:hanging="436"/>
        <w:spacing w:after="0"/>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terminate existing contracts, with short notice, for convenience as well as for default;</w:t>
      </w:r>
    </w:p>
    <w:p>
      <w:pPr>
        <w:spacing w:after="0" w:line="210" w:lineRule="exact"/>
        <w:rPr>
          <w:rFonts w:ascii="Arial" w:cs="Arial" w:eastAsia="Arial" w:hAnsi="Arial"/>
          <w:sz w:val="17"/>
          <w:szCs w:val="17"/>
          <w:color w:val="auto"/>
        </w:rPr>
      </w:pPr>
    </w:p>
    <w:p>
      <w:pPr>
        <w:ind w:left="1300" w:hanging="436"/>
        <w:spacing w:after="0"/>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reduce orders under or otherwise modify contracts;</w:t>
      </w:r>
    </w:p>
    <w:p>
      <w:pPr>
        <w:spacing w:after="0" w:line="210" w:lineRule="exact"/>
        <w:rPr>
          <w:rFonts w:ascii="Arial" w:cs="Arial" w:eastAsia="Arial" w:hAnsi="Arial"/>
          <w:sz w:val="17"/>
          <w:szCs w:val="17"/>
          <w:color w:val="auto"/>
        </w:rPr>
      </w:pPr>
    </w:p>
    <w:p>
      <w:pPr>
        <w:ind w:left="1300" w:right="240" w:hanging="436"/>
        <w:spacing w:after="0" w:line="242"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for contracts subject to the Truthful Cost and Pricing Data Act, reduce the contract price or cost where it was increased because a contractor or subcontractor furnished cost or pricing data during negotiations that was not complete, accurate and current;</w:t>
      </w:r>
    </w:p>
    <w:p>
      <w:pPr>
        <w:spacing w:after="0" w:line="188" w:lineRule="exact"/>
        <w:rPr>
          <w:rFonts w:ascii="Arial" w:cs="Arial" w:eastAsia="Arial" w:hAnsi="Arial"/>
          <w:sz w:val="17"/>
          <w:szCs w:val="17"/>
          <w:color w:val="auto"/>
        </w:rPr>
      </w:pPr>
    </w:p>
    <w:p>
      <w:pPr>
        <w:ind w:left="1300" w:right="60" w:hanging="436"/>
        <w:spacing w:after="0" w:line="238"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for some contracts, (1) demand a refund, make a forward price adjustment or terminate a contract for default if a contractor provided inaccurate or incomplete data during the contract negotiation process and (2) reduce the contract price under triggering circumstances, including the revision of price lists or other documents upon which the contract award was predicated;</w:t>
      </w:r>
    </w:p>
    <w:p>
      <w:pPr>
        <w:spacing w:after="0" w:line="191" w:lineRule="exact"/>
        <w:rPr>
          <w:rFonts w:ascii="Arial" w:cs="Arial" w:eastAsia="Arial" w:hAnsi="Arial"/>
          <w:sz w:val="17"/>
          <w:szCs w:val="17"/>
          <w:color w:val="auto"/>
        </w:rPr>
      </w:pPr>
    </w:p>
    <w:p>
      <w:pPr>
        <w:ind w:left="1300" w:right="240" w:hanging="436"/>
        <w:spacing w:after="0" w:line="242"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terminate our facility security clearances and thereby prevent us from receiving classified contracts and complete work on existing contracts;</w:t>
      </w:r>
    </w:p>
    <w:p>
      <w:pPr>
        <w:spacing w:after="0" w:line="188" w:lineRule="exact"/>
        <w:rPr>
          <w:rFonts w:ascii="Arial" w:cs="Arial" w:eastAsia="Arial" w:hAnsi="Arial"/>
          <w:sz w:val="17"/>
          <w:szCs w:val="17"/>
          <w:color w:val="auto"/>
        </w:rPr>
      </w:pPr>
    </w:p>
    <w:p>
      <w:pPr>
        <w:ind w:left="1300" w:hanging="436"/>
        <w:spacing w:after="0"/>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cancel multi-year contracts and related task orders if funds for contract performance for any subsequent year become unavailable;</w:t>
      </w:r>
    </w:p>
    <w:p>
      <w:pPr>
        <w:spacing w:after="0" w:line="210" w:lineRule="exact"/>
        <w:rPr>
          <w:rFonts w:ascii="Arial" w:cs="Arial" w:eastAsia="Arial" w:hAnsi="Arial"/>
          <w:sz w:val="17"/>
          <w:szCs w:val="17"/>
          <w:color w:val="auto"/>
        </w:rPr>
      </w:pPr>
    </w:p>
    <w:p>
      <w:pPr>
        <w:ind w:left="1300" w:right="520" w:hanging="436"/>
        <w:spacing w:after="0" w:line="242"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decline to exercise an option to renew a multi-year contract or issue task orders in connection with indefinite delivery/indefinite quantity contracts, or IDIQ contracts;</w:t>
      </w:r>
    </w:p>
    <w:p>
      <w:pPr>
        <w:spacing w:after="0" w:line="188" w:lineRule="exact"/>
        <w:rPr>
          <w:rFonts w:ascii="Arial" w:cs="Arial" w:eastAsia="Arial" w:hAnsi="Arial"/>
          <w:sz w:val="17"/>
          <w:szCs w:val="17"/>
          <w:color w:val="auto"/>
        </w:rPr>
      </w:pPr>
    </w:p>
    <w:p>
      <w:pPr>
        <w:ind w:left="1300" w:right="120" w:hanging="436"/>
        <w:spacing w:after="0" w:line="238"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claim rights in solutions, systems and technology produced by us, appropriate such work-product for their continued use without continuing to contract for our services and disclose such work-product to third parties, including other government agencies and our competitors, which could harm our competitive position;</w:t>
      </w:r>
    </w:p>
    <w:p>
      <w:pPr>
        <w:spacing w:after="0" w:line="191" w:lineRule="exact"/>
        <w:rPr>
          <w:rFonts w:ascii="Arial" w:cs="Arial" w:eastAsia="Arial" w:hAnsi="Arial"/>
          <w:sz w:val="17"/>
          <w:szCs w:val="17"/>
          <w:color w:val="auto"/>
        </w:rPr>
      </w:pPr>
    </w:p>
    <w:p>
      <w:pPr>
        <w:ind w:left="1300" w:right="40" w:hanging="436"/>
        <w:spacing w:after="0" w:line="238"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spacing w:after="0" w:line="191" w:lineRule="exact"/>
        <w:rPr>
          <w:rFonts w:ascii="Arial" w:cs="Arial" w:eastAsia="Arial" w:hAnsi="Arial"/>
          <w:sz w:val="17"/>
          <w:szCs w:val="17"/>
          <w:color w:val="auto"/>
        </w:rPr>
      </w:pPr>
    </w:p>
    <w:p>
      <w:pPr>
        <w:jc w:val="both"/>
        <w:ind w:left="1300" w:right="40" w:hanging="436"/>
        <w:spacing w:after="0" w:line="238"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subject the award of contracts to protest by competitors, which may require the contracting federal agency or department to suspend our performance pending the outcome of the protest and may also result in a requirement to resubmit offers for the contract or in the termination, reduction or modification of the awarded contract;</w:t>
      </w:r>
    </w:p>
    <w:p>
      <w:pPr>
        <w:spacing w:after="0" w:line="191" w:lineRule="exact"/>
        <w:rPr>
          <w:rFonts w:ascii="Arial" w:cs="Arial" w:eastAsia="Arial" w:hAnsi="Arial"/>
          <w:sz w:val="17"/>
          <w:szCs w:val="17"/>
          <w:color w:val="auto"/>
        </w:rPr>
      </w:pPr>
    </w:p>
    <w:p>
      <w:pPr>
        <w:ind w:left="1300" w:hanging="436"/>
        <w:spacing w:after="0"/>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suspend or debar us from doing business with the applicable government; and</w:t>
      </w:r>
    </w:p>
    <w:p>
      <w:pPr>
        <w:spacing w:after="0" w:line="210" w:lineRule="exact"/>
        <w:rPr>
          <w:rFonts w:ascii="Arial" w:cs="Arial" w:eastAsia="Arial" w:hAnsi="Arial"/>
          <w:sz w:val="17"/>
          <w:szCs w:val="17"/>
          <w:color w:val="auto"/>
        </w:rPr>
      </w:pPr>
    </w:p>
    <w:p>
      <w:pPr>
        <w:ind w:left="1300" w:hanging="436"/>
        <w:spacing w:after="0"/>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control or prohibit the export of our services.</w:t>
      </w:r>
    </w:p>
    <w:p>
      <w:pPr>
        <w:spacing w:after="0" w:line="210" w:lineRule="exact"/>
        <w:rPr>
          <w:sz w:val="20"/>
          <w:szCs w:val="20"/>
          <w:color w:val="auto"/>
        </w:rPr>
      </w:pPr>
    </w:p>
    <w:p>
      <w:pPr>
        <w:ind w:firstLine="433"/>
        <w:spacing w:after="0" w:line="236" w:lineRule="auto"/>
        <w:rPr>
          <w:sz w:val="20"/>
          <w:szCs w:val="20"/>
          <w:color w:val="auto"/>
        </w:rPr>
      </w:pPr>
      <w:r>
        <w:rPr>
          <w:rFonts w:ascii="Arial" w:cs="Arial" w:eastAsia="Arial" w:hAnsi="Arial"/>
          <w:sz w:val="17"/>
          <w:szCs w:val="17"/>
          <w:color w:val="auto"/>
        </w:rPr>
        <w:t>Recent and potential future budget cuts, the impact of sequestration and recent efforts by the Office of Management and Budget to decrease federal awards for management support services, may cause agencies with which we currently have contracts to terminate, reduce the number of task orders under or fail to renew such contracts. If a government client were to unexpectedly terminate, cancel, or decline to exercise an option to renew with respect to one or more of our significant contracts, or suspend or debar us from doing business with such government, our revenue and operating results would be materially harmed.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2" w:name="page33"/>
    <w:bookmarkEnd w:id="32"/>
    <w:p>
      <w:pPr>
        <w:ind w:right="440"/>
        <w:spacing w:after="0" w:line="267" w:lineRule="auto"/>
        <w:rPr>
          <w:sz w:val="20"/>
          <w:szCs w:val="20"/>
          <w:color w:val="auto"/>
        </w:rPr>
      </w:pPr>
      <w:r>
        <w:rPr>
          <w:rFonts w:ascii="Arial" w:cs="Arial" w:eastAsia="Arial" w:hAnsi="Arial"/>
          <w:sz w:val="17"/>
          <w:szCs w:val="17"/>
          <w:b w:val="1"/>
          <w:bCs w:val="1"/>
          <w:i w:val="1"/>
          <w:iCs w:val="1"/>
          <w:color w:val="auto"/>
        </w:rPr>
        <w:t>Our revenue and growth prospects may be harmed if we or our employees are unable to obtain government granted eligibility or other qualifications, we and they need to perform services for our customers.</w:t>
      </w:r>
    </w:p>
    <w:p>
      <w:pPr>
        <w:spacing w:after="0" w:line="168" w:lineRule="exact"/>
        <w:rPr>
          <w:sz w:val="20"/>
          <w:szCs w:val="20"/>
          <w:color w:val="auto"/>
        </w:rPr>
      </w:pPr>
    </w:p>
    <w:p>
      <w:pPr>
        <w:ind w:firstLine="433"/>
        <w:spacing w:after="0" w:line="236" w:lineRule="auto"/>
        <w:rPr>
          <w:sz w:val="20"/>
          <w:szCs w:val="20"/>
          <w:color w:val="auto"/>
        </w:rPr>
      </w:pPr>
      <w:r>
        <w:rPr>
          <w:rFonts w:ascii="Arial" w:cs="Arial" w:eastAsia="Arial" w:hAnsi="Arial"/>
          <w:sz w:val="17"/>
          <w:szCs w:val="17"/>
          <w:color w:val="auto"/>
        </w:rPr>
        <w:t>A number of government programs require contractors to have certain kinds of government granted eligibility, such as security clearance credentials. Depending on the project, eligibility can be difficult and time-consuming to obtain. If we or our employees are unable to obtain or retain the necessary eligibility, including local ownership requirements, we may not be able to win new business, and our existing customers could terminate their contracts with us or decide not to renew them. To the extent we cannot obtain or maintain the required security clearances for our employees working on a particular contract, we may not derive the revenue or profit anticipated from such contract.</w:t>
      </w:r>
    </w:p>
    <w:p>
      <w:pPr>
        <w:spacing w:after="0" w:line="173" w:lineRule="exact"/>
        <w:rPr>
          <w:sz w:val="20"/>
          <w:szCs w:val="20"/>
          <w:color w:val="auto"/>
        </w:rPr>
      </w:pPr>
    </w:p>
    <w:p>
      <w:pPr>
        <w:ind w:left="1480"/>
        <w:spacing w:after="0"/>
        <w:rPr>
          <w:sz w:val="20"/>
          <w:szCs w:val="20"/>
          <w:color w:val="auto"/>
        </w:rPr>
      </w:pPr>
      <w:r>
        <w:rPr>
          <w:rFonts w:ascii="Arial" w:cs="Arial" w:eastAsia="Arial" w:hAnsi="Arial"/>
          <w:sz w:val="17"/>
          <w:szCs w:val="17"/>
          <w:b w:val="1"/>
          <w:bCs w:val="1"/>
          <w:color w:val="auto"/>
        </w:rPr>
        <w:t>Risks Related to Our Operations and Markets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profitability could suffer if we are not able to timely and effectively utilize our employees or manage our cost structure.</w:t>
      </w:r>
    </w:p>
    <w:p>
      <w:pPr>
        <w:spacing w:after="0" w:line="218" w:lineRule="exact"/>
        <w:rPr>
          <w:sz w:val="20"/>
          <w:szCs w:val="20"/>
          <w:color w:val="auto"/>
        </w:rPr>
      </w:pPr>
    </w:p>
    <w:p>
      <w:pPr>
        <w:ind w:right="60" w:firstLine="433"/>
        <w:spacing w:after="0" w:line="242" w:lineRule="auto"/>
        <w:rPr>
          <w:sz w:val="20"/>
          <w:szCs w:val="20"/>
          <w:color w:val="auto"/>
        </w:rPr>
      </w:pPr>
      <w:r>
        <w:rPr>
          <w:rFonts w:ascii="Arial" w:cs="Arial" w:eastAsia="Arial" w:hAnsi="Arial"/>
          <w:sz w:val="17"/>
          <w:szCs w:val="17"/>
          <w:color w:val="auto"/>
        </w:rPr>
        <w:t>The cost of providing our services, including the degree to which our employees are utilized, affects our profitability. The degree to which we are able to utilize our employees in a timely manner or at all is affected by a number of factors, including:</w:t>
      </w:r>
    </w:p>
    <w:p>
      <w:pPr>
        <w:spacing w:after="0" w:line="189" w:lineRule="exact"/>
        <w:rPr>
          <w:sz w:val="20"/>
          <w:szCs w:val="20"/>
          <w:color w:val="auto"/>
        </w:rPr>
      </w:pPr>
    </w:p>
    <w:p>
      <w:pPr>
        <w:ind w:left="1300" w:hanging="436"/>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transition employees from completed projects to new assignments and to hire, assimilate and deploy new employees;</w:t>
      </w:r>
    </w:p>
    <w:p>
      <w:pPr>
        <w:spacing w:after="0" w:line="210" w:lineRule="exact"/>
        <w:rPr>
          <w:rFonts w:ascii="Arial" w:cs="Arial" w:eastAsia="Arial" w:hAnsi="Arial"/>
          <w:sz w:val="17"/>
          <w:szCs w:val="17"/>
          <w:color w:val="auto"/>
        </w:rPr>
      </w:pPr>
    </w:p>
    <w:p>
      <w:pPr>
        <w:ind w:left="1300" w:right="740" w:hanging="436"/>
        <w:spacing w:after="0" w:line="242" w:lineRule="auto"/>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forecast demand for our services and to maintain and deploy headcount that is aligned with demand, including employees with the right mix of skills and experience to support our projects;</w:t>
      </w:r>
    </w:p>
    <w:p>
      <w:pPr>
        <w:spacing w:after="0" w:line="188" w:lineRule="exact"/>
        <w:rPr>
          <w:rFonts w:ascii="Arial" w:cs="Arial" w:eastAsia="Arial" w:hAnsi="Arial"/>
          <w:sz w:val="17"/>
          <w:szCs w:val="17"/>
          <w:color w:val="auto"/>
        </w:rPr>
      </w:pPr>
    </w:p>
    <w:p>
      <w:pPr>
        <w:ind w:left="1300" w:hanging="436"/>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employees’ ability to obtain or retain necessary security clearances or required certifications;</w:t>
      </w:r>
    </w:p>
    <w:p>
      <w:pPr>
        <w:spacing w:after="0" w:line="210" w:lineRule="exact"/>
        <w:rPr>
          <w:rFonts w:ascii="Arial" w:cs="Arial" w:eastAsia="Arial" w:hAnsi="Arial"/>
          <w:sz w:val="17"/>
          <w:szCs w:val="17"/>
          <w:color w:val="auto"/>
        </w:rPr>
      </w:pPr>
    </w:p>
    <w:p>
      <w:pPr>
        <w:ind w:left="1300" w:hanging="436"/>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changes to or delays or cancellations of projects, as a result of governmental budgetary processes or otherwise;</w:t>
      </w:r>
    </w:p>
    <w:p>
      <w:pPr>
        <w:spacing w:after="0" w:line="210" w:lineRule="exact"/>
        <w:rPr>
          <w:rFonts w:ascii="Arial" w:cs="Arial" w:eastAsia="Arial" w:hAnsi="Arial"/>
          <w:sz w:val="17"/>
          <w:szCs w:val="17"/>
          <w:color w:val="auto"/>
        </w:rPr>
      </w:pPr>
    </w:p>
    <w:p>
      <w:pPr>
        <w:ind w:left="1300" w:hanging="436"/>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manage attrition;</w:t>
      </w:r>
    </w:p>
    <w:p>
      <w:pPr>
        <w:spacing w:after="0" w:line="210" w:lineRule="exact"/>
        <w:rPr>
          <w:rFonts w:ascii="Arial" w:cs="Arial" w:eastAsia="Arial" w:hAnsi="Arial"/>
          <w:sz w:val="17"/>
          <w:szCs w:val="17"/>
          <w:color w:val="auto"/>
        </w:rPr>
      </w:pPr>
    </w:p>
    <w:p>
      <w:pPr>
        <w:ind w:left="1300" w:hanging="436"/>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impact of inflation upon the cost of services and materials provided to customers; and</w:t>
      </w:r>
    </w:p>
    <w:p>
      <w:pPr>
        <w:spacing w:after="0" w:line="210" w:lineRule="exact"/>
        <w:rPr>
          <w:rFonts w:ascii="Arial" w:cs="Arial" w:eastAsia="Arial" w:hAnsi="Arial"/>
          <w:sz w:val="17"/>
          <w:szCs w:val="17"/>
          <w:color w:val="auto"/>
        </w:rPr>
      </w:pPr>
    </w:p>
    <w:p>
      <w:pPr>
        <w:ind w:left="1300" w:hanging="436"/>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need to devote time and resources to training, business development, and other non-chargeable activities.</w:t>
      </w:r>
    </w:p>
    <w:p>
      <w:pPr>
        <w:spacing w:after="0" w:line="210" w:lineRule="exact"/>
        <w:rPr>
          <w:sz w:val="20"/>
          <w:szCs w:val="20"/>
          <w:color w:val="auto"/>
        </w:rPr>
      </w:pPr>
    </w:p>
    <w:p>
      <w:pPr>
        <w:ind w:right="60" w:firstLine="433"/>
        <w:spacing w:after="0" w:line="238" w:lineRule="auto"/>
        <w:rPr>
          <w:sz w:val="20"/>
          <w:szCs w:val="20"/>
          <w:color w:val="auto"/>
        </w:rPr>
      </w:pPr>
      <w:r>
        <w:rPr>
          <w:rFonts w:ascii="Arial" w:cs="Arial" w:eastAsia="Arial" w:hAnsi="Arial"/>
          <w:sz w:val="17"/>
          <w:szCs w:val="17"/>
          <w:color w:val="auto"/>
        </w:rPr>
        <w:t>If our employees are under-utilized, our profit margin and profitability could suffer. Additionally, if our employees are over-utilized, it could have a material adverse effect on employee morale and attrition, which would in turn have a material adverse impact on our business, financial condition or results of operations.</w:t>
      </w:r>
    </w:p>
    <w:p>
      <w:pPr>
        <w:spacing w:after="0" w:line="192" w:lineRule="exact"/>
        <w:rPr>
          <w:sz w:val="20"/>
          <w:szCs w:val="20"/>
          <w:color w:val="auto"/>
        </w:rPr>
      </w:pPr>
    </w:p>
    <w:p>
      <w:pPr>
        <w:jc w:val="both"/>
        <w:ind w:right="80" w:firstLine="433"/>
        <w:spacing w:after="0" w:line="238" w:lineRule="auto"/>
        <w:rPr>
          <w:sz w:val="20"/>
          <w:szCs w:val="20"/>
          <w:color w:val="auto"/>
        </w:rPr>
      </w:pPr>
      <w:r>
        <w:rPr>
          <w:rFonts w:ascii="Arial" w:cs="Arial" w:eastAsia="Arial" w:hAnsi="Arial"/>
          <w:sz w:val="17"/>
          <w:szCs w:val="17"/>
          <w:color w:val="auto"/>
        </w:rPr>
        <w:t>Our profitability is also affected by the extent to which we are able to effectively manage our overall cost structure for operating expenses, such as wages and benefits, real estate expenses, overhead and capital and other investment-related expenditures. If we are unable to effectively manage our costs and expenses and achieve efficiencies, our competitiveness and profitability may be adversely affected.</w:t>
      </w:r>
    </w:p>
    <w:p>
      <w:pPr>
        <w:spacing w:after="0" w:line="172" w:lineRule="exact"/>
        <w:rPr>
          <w:sz w:val="20"/>
          <w:szCs w:val="20"/>
          <w:color w:val="auto"/>
        </w:rPr>
      </w:pPr>
    </w:p>
    <w:p>
      <w:pPr>
        <w:ind w:right="420"/>
        <w:spacing w:after="0" w:line="267" w:lineRule="auto"/>
        <w:rPr>
          <w:sz w:val="20"/>
          <w:szCs w:val="20"/>
          <w:color w:val="auto"/>
        </w:rPr>
      </w:pPr>
      <w:r>
        <w:rPr>
          <w:rFonts w:ascii="Arial" w:cs="Arial" w:eastAsia="Arial" w:hAnsi="Arial"/>
          <w:sz w:val="17"/>
          <w:szCs w:val="17"/>
          <w:b w:val="1"/>
          <w:bCs w:val="1"/>
          <w:i w:val="1"/>
          <w:iCs w:val="1"/>
          <w:color w:val="auto"/>
        </w:rPr>
        <w:t>Our focus on new growth areas for our business entails risks, including those associated with new relationships, clients, talent needs, capabilities, service offerings and maintaining our collaborative culture and core values.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33" w:name="page34"/>
    <w:bookmarkEnd w:id="33"/>
    <w:p>
      <w:pPr>
        <w:ind w:firstLine="433"/>
        <w:spacing w:after="0" w:line="234" w:lineRule="auto"/>
        <w:rPr>
          <w:sz w:val="20"/>
          <w:szCs w:val="20"/>
          <w:color w:val="auto"/>
        </w:rPr>
      </w:pPr>
      <w:r>
        <w:rPr>
          <w:rFonts w:ascii="Arial" w:cs="Arial" w:eastAsia="Arial" w:hAnsi="Arial"/>
          <w:sz w:val="17"/>
          <w:szCs w:val="17"/>
          <w:color w:val="auto"/>
        </w:rPr>
        <w:t>We are focused on growing our presence in our addressable markets by enhancing and optimizing our core operations, extending into opportunity-rich adjacent markets and acquiring and integrating transformative, disruptive technologies. These efforts entail inherent risks associated with innovation and competition from other participants in those areas, potential failure to help our clients respond to the challenges they face, our ability to comply with uncertain evolving legal standards applicable to some of our service offerings, including those in the cybersecurity area, and, with respect to potential international growth, risks associated with operating in foreign jurisdictions, such as compliance with applicable foreign and U.S. laws and regulations that may impose different and, occasionally, conflicting or contradictory requirements, and the economic, legal, and political conditions in the foreign jurisdictions in which we operate, as described in additional detail below. As we attempt to develop new relationships, clients, capabilities, and service offerings, these efforts could harm our results of operations due to, among other things, a diversion of our focus and resources and actual costs, opportunity costs of pursuing these opportunities in lieu of others and a failure to reach a profitable return on our investments in new technologies, capabilities, and businesses, including expenses on research and development investments, and these efforts could ultimately be unsuccessful. Additionally, the possibility exists that our competitors might develop new capabilities or service offerings that might cause our existing capabilities and service offerings to become obsolete. If we fail in our new capabilities development efforts or our capabilities or services fail to achieve market acceptance more rapidly than our competitors, our ability to procure new contracts could be negatively impacted, which would negatively impact our results of operations and our financial condition.</w:t>
      </w:r>
    </w:p>
    <w:p>
      <w:pPr>
        <w:spacing w:after="0" w:line="197" w:lineRule="exact"/>
        <w:rPr>
          <w:sz w:val="20"/>
          <w:szCs w:val="20"/>
          <w:color w:val="auto"/>
        </w:rPr>
      </w:pPr>
    </w:p>
    <w:p>
      <w:pPr>
        <w:ind w:right="40" w:firstLine="433"/>
        <w:spacing w:after="0" w:line="237" w:lineRule="auto"/>
        <w:rPr>
          <w:sz w:val="20"/>
          <w:szCs w:val="20"/>
          <w:color w:val="auto"/>
        </w:rPr>
      </w:pPr>
      <w:r>
        <w:rPr>
          <w:rFonts w:ascii="Arial" w:cs="Arial" w:eastAsia="Arial" w:hAnsi="Arial"/>
          <w:sz w:val="17"/>
          <w:szCs w:val="17"/>
          <w:color w:val="auto"/>
        </w:rPr>
        <w:t>In addition, our ability to grow our business by leveraging our operating model to deploy our people efficiently and effectively across our client base is largely dependent on our ability to maintain our collaborative culture. To the extent that we are unable to maintain our culture for any reason, including our effort to focus on new growth areas or acquire new businesses with different corporate cultures, we may be unable to grow our business. Any such failure could have a material adverse effect on our business, financial condition and results of operations.</w:t>
      </w:r>
    </w:p>
    <w:p>
      <w:pPr>
        <w:spacing w:after="0" w:line="191" w:lineRule="exact"/>
        <w:rPr>
          <w:sz w:val="20"/>
          <w:szCs w:val="20"/>
          <w:color w:val="auto"/>
        </w:rPr>
      </w:pPr>
    </w:p>
    <w:p>
      <w:pPr>
        <w:ind w:right="20" w:firstLine="433"/>
        <w:spacing w:after="0" w:line="236" w:lineRule="auto"/>
        <w:rPr>
          <w:sz w:val="20"/>
          <w:szCs w:val="20"/>
          <w:color w:val="auto"/>
        </w:rPr>
      </w:pPr>
      <w:r>
        <w:rPr>
          <w:rFonts w:ascii="Arial" w:cs="Arial" w:eastAsia="Arial" w:hAnsi="Arial"/>
          <w:sz w:val="17"/>
          <w:szCs w:val="17"/>
          <w:color w:val="auto"/>
        </w:rPr>
        <w:t>With the growth of our U.S. and international operations, we are now providing client services and undertaking business development efforts in numerous and disparate geographic locations both domestically and internationally. Our ability to effectively serve our clients is dependent upon our ability to successfully leverage our operating model across all of these and any future locations, maintain effective management controls over all of our locations to ensure, among other things, compliance with applicable laws, rules and regulations, and instill our core values in all of our personnel at each of these and any future locations. Any inability to ensure any of the foregoing could have a material adverse effect on our business, financial condition and results of operations.</w:t>
      </w:r>
    </w:p>
    <w:p>
      <w:pPr>
        <w:spacing w:after="0" w:line="171" w:lineRule="exact"/>
        <w:rPr>
          <w:sz w:val="20"/>
          <w:szCs w:val="20"/>
          <w:color w:val="auto"/>
        </w:rPr>
      </w:pPr>
    </w:p>
    <w:p>
      <w:pPr>
        <w:ind w:right="640"/>
        <w:spacing w:after="0" w:line="267" w:lineRule="auto"/>
        <w:rPr>
          <w:sz w:val="20"/>
          <w:szCs w:val="20"/>
          <w:color w:val="auto"/>
        </w:rPr>
      </w:pPr>
      <w:r>
        <w:rPr>
          <w:rFonts w:ascii="Arial" w:cs="Arial" w:eastAsia="Arial" w:hAnsi="Arial"/>
          <w:sz w:val="17"/>
          <w:szCs w:val="17"/>
          <w:b w:val="1"/>
          <w:bCs w:val="1"/>
          <w:i w:val="1"/>
          <w:iCs w:val="1"/>
          <w:color w:val="auto"/>
        </w:rPr>
        <w:t>We have submitted claims to clients for work we performed beyond the initial scope of some of our contracts. If these clients do not approve these claims, our results of operations could be adversely impacted.</w:t>
      </w:r>
    </w:p>
    <w:p>
      <w:pPr>
        <w:spacing w:after="0" w:line="168" w:lineRule="exact"/>
        <w:rPr>
          <w:sz w:val="20"/>
          <w:szCs w:val="20"/>
          <w:color w:val="auto"/>
        </w:rPr>
      </w:pPr>
    </w:p>
    <w:p>
      <w:pPr>
        <w:ind w:right="100" w:firstLine="433"/>
        <w:spacing w:after="0" w:line="236" w:lineRule="auto"/>
        <w:rPr>
          <w:sz w:val="20"/>
          <w:szCs w:val="20"/>
          <w:color w:val="auto"/>
        </w:rPr>
      </w:pPr>
      <w:r>
        <w:rPr>
          <w:rFonts w:ascii="Arial" w:cs="Arial" w:eastAsia="Arial" w:hAnsi="Arial"/>
          <w:sz w:val="17"/>
          <w:szCs w:val="17"/>
          <w:color w:val="auto"/>
        </w:rPr>
        <w:t>We typically have pending claims submitted under some of our contracts for payment of work performed beyond the initial contractual requirements for which we have already recorded revenue. Some of these relate to change orders from the original scope of the contract. Our client may dispute these change orders and claims, and we cannot guarantee that such claims will be approved in whole, in part, or at all. Often, these claims and disputes can be the subject of lengthy arbitration or litigation proceedings, and it is difficult to accurately predict when these claims and disputes will be fully resolved. We may also renegotiate contracts to address these additional costs. When these types of events occur, we have used working capital in projects to cover cost overruns. If our claims are not approved or resolved, our revenue may be reduced in future periods.</w:t>
      </w:r>
    </w:p>
    <w:p>
      <w:pPr>
        <w:spacing w:after="0" w:line="171"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b w:val="1"/>
          <w:bCs w:val="1"/>
          <w:i w:val="1"/>
          <w:iCs w:val="1"/>
          <w:color w:val="auto"/>
        </w:rPr>
        <w:t>Many of our contracts require innovative design capabilities, are technologically complex or are dependent upon factors not wholly within our control. Failure to meet these obligations could adversely affect our business, financial condition or results of operations.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4" w:name="page35"/>
    <w:bookmarkEnd w:id="34"/>
    <w:p>
      <w:pPr>
        <w:ind w:firstLine="433"/>
        <w:spacing w:after="0" w:line="235" w:lineRule="auto"/>
        <w:rPr>
          <w:sz w:val="20"/>
          <w:szCs w:val="20"/>
          <w:color w:val="auto"/>
        </w:rPr>
      </w:pPr>
      <w:r>
        <w:rPr>
          <w:rFonts w:ascii="Arial" w:cs="Arial" w:eastAsia="Arial" w:hAnsi="Arial"/>
          <w:sz w:val="17"/>
          <w:szCs w:val="17"/>
          <w:color w:val="auto"/>
        </w:rPr>
        <w:t>We design and develop technologically advanced and innovative products and services applied by our customers in a variety of environments. Problems and delays in development or delivery as a result of issues with respect to design, technology, licensing and patent rights, labor, learning curve assumptions or materials and components could prevent us from achieving contractual requirements. Our offerings cannot be tested and proven in all situations and are otherwise subject to unforeseen problems that could negatively affect revenue and profitability such as problems with governmental inaction, quality and workmanship, delivery of subcontractor components or services, unplanned degradation of product performance, unavailability of vendor materials and changes in the project scope requested by our clients. Among the factors that may adversely affect our business, financial condition or results of operations could be unforeseen costs and expenses not covered by insurance or indemnification from the customer, diversion of management focus in responding to unforeseen problems, loss of follow-on work, damage to our reputation and repayment to the customer of contract cost and fee payments we previously received.</w:t>
      </w:r>
    </w:p>
    <w:p>
      <w:pPr>
        <w:spacing w:after="0" w:line="172"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b w:val="1"/>
          <w:bCs w:val="1"/>
          <w:i w:val="1"/>
          <w:iCs w:val="1"/>
          <w:color w:val="auto"/>
        </w:rPr>
        <w:t>We face aggressive competition that can impact our ability to obtain contracts and may affect our future revenues, profitability and growth prospects.</w:t>
      </w:r>
    </w:p>
    <w:p>
      <w:pPr>
        <w:spacing w:after="0" w:line="168" w:lineRule="exact"/>
        <w:rPr>
          <w:sz w:val="20"/>
          <w:szCs w:val="20"/>
          <w:color w:val="auto"/>
        </w:rPr>
      </w:pPr>
    </w:p>
    <w:p>
      <w:pPr>
        <w:ind w:firstLine="433"/>
        <w:spacing w:after="0" w:line="234" w:lineRule="auto"/>
        <w:rPr>
          <w:sz w:val="20"/>
          <w:szCs w:val="20"/>
          <w:color w:val="auto"/>
        </w:rPr>
      </w:pPr>
      <w:r>
        <w:rPr>
          <w:rFonts w:ascii="Arial" w:cs="Arial" w:eastAsia="Arial" w:hAnsi="Arial"/>
          <w:sz w:val="17"/>
          <w:szCs w:val="17"/>
          <w:color w:val="auto"/>
        </w:rPr>
        <w:t>We expect that a majority of the business that we seek in the foreseeable future will be awarded through a competitive bidding process. For example, the U.S. government increasingly relies on IDIQ, GSA Schedule and other multi-award contracts, which has resulted in greater competition and increased pricing pressure. The competitive bidding process involves substantial costs and a number of risks, including significant cost and managerial time to prepare bids and proposals for contracts that may not be awarded to us, or that may be awarded but for which we do not receive meaningful task orders. For contracts awarded to us, we also face the risk of inaccurately estimating the resources and costs that will be required to fulfill any contract we win. Following contract award, we may encounter significant expense, delay, contract modifications or even contract loss as a result of our competitors protesting the award of contracts to us in competitive bidding. Any resulting loss or delay of startup and funding of work under protested contract awards may adversely affect our revenues and/or profitability. In addition, multi-award contracts require that we make sustained post-award efforts to obtain task orders under the contract. As a result, we may not be able to obtain these task orders or recognize revenues under these multi award contracts. Our failure to compete effectively in this procurement environment would adversely affect our business, financial condition and results of operations.</w:t>
      </w:r>
    </w:p>
    <w:p>
      <w:pPr>
        <w:spacing w:after="0" w:line="198" w:lineRule="exact"/>
        <w:rPr>
          <w:sz w:val="20"/>
          <w:szCs w:val="20"/>
          <w:color w:val="auto"/>
        </w:rPr>
      </w:pPr>
    </w:p>
    <w:p>
      <w:pPr>
        <w:ind w:right="40" w:firstLine="433"/>
        <w:spacing w:after="0" w:line="236" w:lineRule="auto"/>
        <w:rPr>
          <w:sz w:val="20"/>
          <w:szCs w:val="20"/>
          <w:color w:val="auto"/>
        </w:rPr>
      </w:pPr>
      <w:r>
        <w:rPr>
          <w:rFonts w:ascii="Arial" w:cs="Arial" w:eastAsia="Arial" w:hAnsi="Arial"/>
          <w:sz w:val="17"/>
          <w:szCs w:val="17"/>
          <w:color w:val="auto"/>
        </w:rPr>
        <w:t>Projects may be awarded based solely upon price, but often take into account other factors, such as technical qualifications, proposed project team, schedule and past performance on similar projects. We compete with larger companies that have greater name recognition, financial resources and larger technical staffs and with smaller, more specialized companies that are able to concentrate their resources on particular areas. Additionally, we may compete with a government’s own capabilities. Technology-focused companies may also develop products and services that could disrupt our business or compete with our services. To remain competitive, we must consistently provide superior service, technology and performance on a cost-effective basis to our customers and there is no assurance that we will do so.</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Changing global tax laws could have a material impact on our effective income tax rate.</w:t>
      </w:r>
    </w:p>
    <w:p>
      <w:pPr>
        <w:spacing w:after="0" w:line="218" w:lineRule="exact"/>
        <w:rPr>
          <w:sz w:val="20"/>
          <w:szCs w:val="20"/>
          <w:color w:val="auto"/>
        </w:rPr>
      </w:pPr>
    </w:p>
    <w:p>
      <w:pPr>
        <w:ind w:right="600" w:firstLine="433"/>
        <w:spacing w:after="0" w:line="237" w:lineRule="auto"/>
        <w:rPr>
          <w:sz w:val="20"/>
          <w:szCs w:val="20"/>
          <w:color w:val="auto"/>
        </w:rPr>
      </w:pPr>
      <w:r>
        <w:rPr>
          <w:rFonts w:ascii="Arial" w:cs="Arial" w:eastAsia="Arial" w:hAnsi="Arial"/>
          <w:sz w:val="17"/>
          <w:szCs w:val="17"/>
          <w:color w:val="auto"/>
        </w:rPr>
        <w:t>We are subject to income taxes in the U.S. and numerous foreign jurisdictions. Many tax jurisdictions, including the U.S., have called for comprehensive changes to fiscal and tax policies that could significantly impact how we are taxed on our domestic and foreign earnings. Such changes, if enacted into law, could increase our effective tax rate and have a material adverse impact on our financial condition and results of operation.</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7"/>
          <w:szCs w:val="17"/>
          <w:b w:val="1"/>
          <w:bCs w:val="1"/>
          <w:color w:val="auto"/>
        </w:rPr>
        <w:t>Risks Related to Acquisitions and Joint Ventures</w:t>
      </w:r>
    </w:p>
    <w:p>
      <w:pPr>
        <w:spacing w:after="0" w:line="198" w:lineRule="exact"/>
        <w:rPr>
          <w:sz w:val="20"/>
          <w:szCs w:val="20"/>
          <w:color w:val="auto"/>
        </w:rPr>
      </w:pPr>
    </w:p>
    <w:p>
      <w:pPr>
        <w:ind w:right="320"/>
        <w:spacing w:after="0" w:line="267" w:lineRule="auto"/>
        <w:rPr>
          <w:sz w:val="20"/>
          <w:szCs w:val="20"/>
          <w:color w:val="auto"/>
        </w:rPr>
      </w:pPr>
      <w:r>
        <w:rPr>
          <w:rFonts w:ascii="Arial" w:cs="Arial" w:eastAsia="Arial" w:hAnsi="Arial"/>
          <w:sz w:val="17"/>
          <w:szCs w:val="17"/>
          <w:b w:val="1"/>
          <w:bCs w:val="1"/>
          <w:i w:val="1"/>
          <w:iCs w:val="1"/>
          <w:color w:val="auto"/>
        </w:rPr>
        <w:t>We may make acquisitions, investments, joint ventures and divestitures in the future that involve numerous risks, which if realized, may adversely affect our business and our future results.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5" w:name="page36"/>
    <w:bookmarkEnd w:id="35"/>
    <w:p>
      <w:pPr>
        <w:jc w:val="both"/>
        <w:ind w:firstLine="433"/>
        <w:spacing w:after="0" w:line="236" w:lineRule="auto"/>
        <w:rPr>
          <w:sz w:val="20"/>
          <w:szCs w:val="20"/>
          <w:color w:val="auto"/>
        </w:rPr>
      </w:pPr>
      <w:r>
        <w:rPr>
          <w:rFonts w:ascii="Arial" w:cs="Arial" w:eastAsia="Arial" w:hAnsi="Arial"/>
          <w:sz w:val="17"/>
          <w:szCs w:val="17"/>
          <w:color w:val="auto"/>
        </w:rPr>
        <w:t>We may make strategic acquisitions, engage in joint ventures or divest existing businesses, which could cause us to incur unforeseen expenses and have disruptive effects on our business and may not yield the benefits we expect. Our Credit Agreement imposes limitations on our ability to make other acquisitions. Subject to those limitations, we may selectively pursue additional strategic acquisitions, investments and joint ventures in the future. Any future acquisitions, investments and joint ventures may pose many risks that could adversely affect our reputation, operations or financial results, including:</w:t>
      </w:r>
    </w:p>
    <w:p>
      <w:pPr>
        <w:spacing w:after="0" w:line="193" w:lineRule="exact"/>
        <w:rPr>
          <w:sz w:val="20"/>
          <w:szCs w:val="20"/>
          <w:color w:val="auto"/>
        </w:rPr>
      </w:pPr>
    </w:p>
    <w:p>
      <w:pPr>
        <w:ind w:left="1300" w:hanging="436"/>
        <w:spacing w:after="0" w:line="242" w:lineRule="auto"/>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not retain key employees (including those with needed security clearances), customers and business partners of an acquired business in the future;</w:t>
      </w:r>
    </w:p>
    <w:p>
      <w:pPr>
        <w:spacing w:after="0" w:line="188" w:lineRule="exact"/>
        <w:rPr>
          <w:rFonts w:ascii="Arial" w:cs="Arial" w:eastAsia="Arial" w:hAnsi="Arial"/>
          <w:sz w:val="17"/>
          <w:szCs w:val="17"/>
          <w:color w:val="auto"/>
        </w:rPr>
      </w:pPr>
    </w:p>
    <w:p>
      <w:pPr>
        <w:ind w:left="1300" w:right="140" w:hanging="436"/>
        <w:spacing w:after="0" w:line="242" w:lineRule="auto"/>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fail to successfully integrate acquired businesses, such as failing to successfully integrate information technology and other control systems relating to the operations of any acquired business;</w:t>
      </w:r>
    </w:p>
    <w:p>
      <w:pPr>
        <w:spacing w:after="0" w:line="188" w:lineRule="exact"/>
        <w:rPr>
          <w:rFonts w:ascii="Arial" w:cs="Arial" w:eastAsia="Arial" w:hAnsi="Arial"/>
          <w:sz w:val="17"/>
          <w:szCs w:val="17"/>
          <w:color w:val="auto"/>
        </w:rPr>
      </w:pPr>
    </w:p>
    <w:p>
      <w:pPr>
        <w:ind w:left="1300" w:right="660" w:hanging="436"/>
        <w:spacing w:after="0" w:line="242" w:lineRule="auto"/>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acquisitions normally require a significant investment of time and resources, which may disrupt our business and distract our management from other important responsibilities;</w:t>
      </w:r>
    </w:p>
    <w:p>
      <w:pPr>
        <w:spacing w:after="0" w:line="188" w:lineRule="exact"/>
        <w:rPr>
          <w:rFonts w:ascii="Arial" w:cs="Arial" w:eastAsia="Arial" w:hAnsi="Arial"/>
          <w:sz w:val="17"/>
          <w:szCs w:val="17"/>
          <w:color w:val="auto"/>
        </w:rPr>
      </w:pPr>
    </w:p>
    <w:p>
      <w:pPr>
        <w:ind w:left="1300" w:right="180" w:hanging="436"/>
        <w:spacing w:after="0" w:line="238" w:lineRule="auto"/>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not be able to accurately estimate the financial effect of any acquisitions and investments on our business and we may not realize anticipated revenue opportunities, cost savings, or other synergies or benefits, or acquisitions may not result in improved operating performance; and</w:t>
      </w:r>
    </w:p>
    <w:p>
      <w:pPr>
        <w:spacing w:after="0" w:line="191" w:lineRule="exact"/>
        <w:rPr>
          <w:rFonts w:ascii="Arial" w:cs="Arial" w:eastAsia="Arial" w:hAnsi="Arial"/>
          <w:sz w:val="17"/>
          <w:szCs w:val="17"/>
          <w:color w:val="auto"/>
        </w:rPr>
      </w:pPr>
    </w:p>
    <w:p>
      <w:pPr>
        <w:ind w:left="1300" w:right="380" w:hanging="436"/>
        <w:spacing w:after="0" w:line="242" w:lineRule="auto"/>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assume known as well as unknown material liabilities, legal or regulatory risks that were not identified as part of our due diligence or for which we are unable to receive a purchase price adjustment or reimbursement through indemnification.</w:t>
      </w:r>
    </w:p>
    <w:p>
      <w:pPr>
        <w:spacing w:after="0" w:line="189" w:lineRule="exact"/>
        <w:rPr>
          <w:sz w:val="20"/>
          <w:szCs w:val="20"/>
          <w:color w:val="auto"/>
        </w:rPr>
      </w:pPr>
    </w:p>
    <w:p>
      <w:pPr>
        <w:ind w:right="80" w:firstLine="433"/>
        <w:spacing w:after="0" w:line="242" w:lineRule="auto"/>
        <w:rPr>
          <w:sz w:val="20"/>
          <w:szCs w:val="20"/>
          <w:color w:val="auto"/>
        </w:rPr>
      </w:pPr>
      <w:r>
        <w:rPr>
          <w:rFonts w:ascii="Arial" w:cs="Arial" w:eastAsia="Arial" w:hAnsi="Arial"/>
          <w:sz w:val="17"/>
          <w:szCs w:val="17"/>
          <w:color w:val="auto"/>
        </w:rPr>
        <w:t>If any acquisitions, investments or joint ventures fail, perform poorly or their value is otherwise impaired for any reason, including contractions in credit markets and global economic conditions, our business, financial condition and results of operations could be adversely affected.</w:t>
      </w:r>
    </w:p>
    <w:p>
      <w:pPr>
        <w:spacing w:after="0" w:line="189" w:lineRule="exact"/>
        <w:rPr>
          <w:sz w:val="20"/>
          <w:szCs w:val="20"/>
          <w:color w:val="auto"/>
        </w:rPr>
      </w:pPr>
    </w:p>
    <w:p>
      <w:pPr>
        <w:ind w:right="80" w:firstLine="433"/>
        <w:spacing w:after="0" w:line="236" w:lineRule="auto"/>
        <w:rPr>
          <w:sz w:val="20"/>
          <w:szCs w:val="20"/>
          <w:color w:val="auto"/>
        </w:rPr>
      </w:pPr>
      <w:r>
        <w:rPr>
          <w:rFonts w:ascii="Arial" w:cs="Arial" w:eastAsia="Arial" w:hAnsi="Arial"/>
          <w:sz w:val="17"/>
          <w:szCs w:val="17"/>
          <w:color w:val="auto"/>
        </w:rPr>
        <w:t>In addition, we may periodically divest or plan to divest businesses, including businesses that are no longer a part of our ongoing strategic plan. These divestitures similarly require significant investment of time and resources and may disrupt our business, distract management from other responsibilities and may result in losses on disposal or continued financial involvement in the divested business, including through indemnification, guarantee or other financial arrangements, for a period of time following the transaction, which could adversely affect our business, financial condition or results of operations. When we determine that we would like to divest a business, we may not be able to divest that business on attractive terms or at all.</w:t>
      </w:r>
    </w:p>
    <w:p>
      <w:pPr>
        <w:spacing w:after="0" w:line="171"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b w:val="1"/>
          <w:bCs w:val="1"/>
          <w:i w:val="1"/>
          <w:iCs w:val="1"/>
          <w:color w:val="auto"/>
        </w:rPr>
        <w:t>We conduct a portion of our work through joint venture entities, some of which we do not have management control over, and with which we typically have joint and several liability with our joint venture partners.</w:t>
      </w:r>
    </w:p>
    <w:p>
      <w:pPr>
        <w:spacing w:after="0" w:line="168" w:lineRule="exact"/>
        <w:rPr>
          <w:sz w:val="20"/>
          <w:szCs w:val="20"/>
          <w:color w:val="auto"/>
        </w:rPr>
      </w:pPr>
    </w:p>
    <w:p>
      <w:pPr>
        <w:ind w:right="40" w:firstLine="433"/>
        <w:spacing w:after="0" w:line="248" w:lineRule="auto"/>
        <w:rPr>
          <w:sz w:val="20"/>
          <w:szCs w:val="20"/>
          <w:color w:val="auto"/>
        </w:rPr>
      </w:pPr>
      <w:r>
        <w:rPr>
          <w:rFonts w:ascii="Arial" w:cs="Arial" w:eastAsia="Arial" w:hAnsi="Arial"/>
          <w:sz w:val="16"/>
          <w:szCs w:val="16"/>
          <w:color w:val="auto"/>
        </w:rPr>
        <w:t>11.0% of our revenue during fiscal 2021, 11.5% of our revenue during fiscal 2020 and 12.0% of our revenue during fiscal 2019 was derived from our operations through consolidated joint ventures. In addition, 5.6% of our revenue during fiscal 2021, 4.4% of our revenue during fiscal 2020 and</w:t>
      </w:r>
    </w:p>
    <w:p>
      <w:pPr>
        <w:ind w:right="140"/>
        <w:spacing w:after="0" w:line="236" w:lineRule="auto"/>
        <w:rPr>
          <w:sz w:val="20"/>
          <w:szCs w:val="20"/>
          <w:color w:val="auto"/>
        </w:rPr>
      </w:pPr>
      <w:r>
        <w:rPr>
          <w:rFonts w:ascii="Arial" w:cs="Arial" w:eastAsia="Arial" w:hAnsi="Arial"/>
          <w:sz w:val="17"/>
          <w:szCs w:val="17"/>
          <w:color w:val="auto"/>
        </w:rPr>
        <w:t>4.0% of our revenues in fiscal 2019 related to services we provided to our unconsolidated joint ventures, where control resides with unaffiliated third parties, and 27.8% of our operating income during fiscal 2021, 16.9% of our operating income during fiscal 2020 and 45.3% of our operating income during fiscal 2019 was derived from equity in our unconsolidated joint ventures. As with most joint venture arrangements, differences in views among the joint venture participants may result in delayed decisions or disputes. We also cannot control the actions of our joint venture partners and we typically have joint and several liability with our joint venture partners under the applicable contracts for joint venture projects. These factors could potentially adversely impact the business and operations of a joint venture and, in turn, our business and operations.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6" w:name="page37"/>
    <w:bookmarkEnd w:id="36"/>
    <w:p>
      <w:pPr>
        <w:ind w:right="100" w:firstLine="433"/>
        <w:spacing w:after="0" w:line="236" w:lineRule="auto"/>
        <w:rPr>
          <w:sz w:val="20"/>
          <w:szCs w:val="20"/>
          <w:color w:val="auto"/>
        </w:rPr>
      </w:pPr>
      <w:r>
        <w:rPr>
          <w:rFonts w:ascii="Arial" w:cs="Arial" w:eastAsia="Arial" w:hAnsi="Arial"/>
          <w:sz w:val="17"/>
          <w:szCs w:val="17"/>
          <w:color w:val="auto"/>
        </w:rPr>
        <w:t>Operating through joint ventures in which we are a minority holder results in us having limited control over many decisions made with respect to projects and internal controls relating to projects. We generally do not have control of these unconsolidated joint ventures. These joint ventures may not be subject to the same requirements regarding internal controls and internal control over financial reporting that we follow. As a result, internal control problems may arise with respect to these joint ventures, which could have a material adverse effect on our business, financial condition and results of operations and could also affect our reputation in the industries we serve.</w:t>
      </w:r>
    </w:p>
    <w:p>
      <w:pPr>
        <w:spacing w:after="0" w:line="173" w:lineRule="exact"/>
        <w:rPr>
          <w:sz w:val="20"/>
          <w:szCs w:val="20"/>
          <w:color w:val="auto"/>
        </w:rPr>
      </w:pPr>
    </w:p>
    <w:p>
      <w:pPr>
        <w:ind w:right="460"/>
        <w:spacing w:after="0" w:line="267" w:lineRule="auto"/>
        <w:rPr>
          <w:sz w:val="20"/>
          <w:szCs w:val="20"/>
          <w:color w:val="auto"/>
        </w:rPr>
      </w:pPr>
      <w:r>
        <w:rPr>
          <w:rFonts w:ascii="Arial" w:cs="Arial" w:eastAsia="Arial" w:hAnsi="Arial"/>
          <w:sz w:val="17"/>
          <w:szCs w:val="17"/>
          <w:b w:val="1"/>
          <w:bCs w:val="1"/>
          <w:i w:val="1"/>
          <w:iCs w:val="1"/>
          <w:color w:val="auto"/>
        </w:rPr>
        <w:t>We participate in joint ventures where we provide guarantees and may be adversely impacted by the failure of such joint venture or its participants to fulfill their obligations.</w:t>
      </w:r>
    </w:p>
    <w:p>
      <w:pPr>
        <w:spacing w:after="0" w:line="168" w:lineRule="exact"/>
        <w:rPr>
          <w:sz w:val="20"/>
          <w:szCs w:val="20"/>
          <w:color w:val="auto"/>
        </w:rPr>
      </w:pPr>
    </w:p>
    <w:p>
      <w:pPr>
        <w:ind w:right="140" w:firstLine="433"/>
        <w:spacing w:after="0" w:line="237" w:lineRule="auto"/>
        <w:rPr>
          <w:sz w:val="20"/>
          <w:szCs w:val="20"/>
          <w:color w:val="auto"/>
        </w:rPr>
      </w:pPr>
      <w:r>
        <w:rPr>
          <w:rFonts w:ascii="Arial" w:cs="Arial" w:eastAsia="Arial" w:hAnsi="Arial"/>
          <w:sz w:val="17"/>
          <w:szCs w:val="17"/>
          <w:color w:val="auto"/>
        </w:rPr>
        <w:t>We have investments in and commitments to joint ventures with unrelated parties. These joint ventures from time to time may borrow money to help finance their activities and, in some circumstances, we may be required to provide guarantees of the obligations of our affiliated entities. At December 31, 2021, we had $75.0 million of letters of credit and guarantees that relate to joint ventures. If these entities are not able to honor their obligations under the guarantees, we may be required to expend additional resources or suffer losses, which could be significant.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acquisitions may not achieve their full intended benefits or may disrupt our plans and operations.</w:t>
      </w:r>
    </w:p>
    <w:p>
      <w:pPr>
        <w:spacing w:after="0" w:line="218" w:lineRule="exact"/>
        <w:rPr>
          <w:sz w:val="20"/>
          <w:szCs w:val="20"/>
          <w:color w:val="auto"/>
        </w:rPr>
      </w:pPr>
    </w:p>
    <w:p>
      <w:pPr>
        <w:ind w:firstLine="433"/>
        <w:spacing w:after="0" w:line="236" w:lineRule="auto"/>
        <w:rPr>
          <w:sz w:val="20"/>
          <w:szCs w:val="20"/>
          <w:color w:val="auto"/>
        </w:rPr>
      </w:pPr>
      <w:r>
        <w:rPr>
          <w:rFonts w:ascii="Arial" w:cs="Arial" w:eastAsia="Arial" w:hAnsi="Arial"/>
          <w:sz w:val="17"/>
          <w:szCs w:val="17"/>
          <w:color w:val="auto"/>
        </w:rPr>
        <w:t>We cannot assure you that we will be able to successfully integrate acquired companies with our business or otherwise realize the expected benefits of our acquisitions. For example, in the last several years we have made four large acquisitions. The combination of multiple independent businesses will be a complex, costly, and time-consuming process. Our business may be negatively impacted following acquisitions if we are unable to effectively manage our expanded operations. The integration process will require significant time and focus from our management team and may divert attention from the day-to-day operations of the combined business. Additionally, consummation of acquisitions could disrupt our current plans and operations, which could delay the achievement of our strategic objectives.</w:t>
      </w:r>
    </w:p>
    <w:p>
      <w:pPr>
        <w:spacing w:after="0" w:line="191" w:lineRule="exact"/>
        <w:rPr>
          <w:sz w:val="20"/>
          <w:szCs w:val="20"/>
          <w:color w:val="auto"/>
        </w:rPr>
      </w:pPr>
    </w:p>
    <w:p>
      <w:pPr>
        <w:jc w:val="both"/>
        <w:ind w:firstLine="433"/>
        <w:spacing w:after="0" w:line="237" w:lineRule="auto"/>
        <w:rPr>
          <w:sz w:val="20"/>
          <w:szCs w:val="20"/>
          <w:color w:val="auto"/>
        </w:rPr>
      </w:pPr>
      <w:r>
        <w:rPr>
          <w:rFonts w:ascii="Arial" w:cs="Arial" w:eastAsia="Arial" w:hAnsi="Arial"/>
          <w:sz w:val="17"/>
          <w:szCs w:val="17"/>
          <w:color w:val="auto"/>
        </w:rPr>
        <w:t>The expected synergies and operating efficiencies of the acquisitions may not be fully realized, which could result in increased costs and have a material adverse effect on our business, financial condition and results of operations. In addition, the overall integration of the businesses may result in material unanticipated problems, expenses, liabilities, competitive responses, loss of customer relationships and diversion of management’s attention, among other potential adverse consequences. The risks of combining our operations of the businesses include, among others:</w:t>
      </w:r>
    </w:p>
    <w:p>
      <w:pPr>
        <w:spacing w:after="0" w:line="191" w:lineRule="exact"/>
        <w:rPr>
          <w:sz w:val="20"/>
          <w:szCs w:val="20"/>
          <w:color w:val="auto"/>
        </w:rPr>
      </w:pPr>
    </w:p>
    <w:p>
      <w:pPr>
        <w:ind w:left="1300" w:hanging="436"/>
        <w:spacing w:after="0"/>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may have underestimated the costs to integrate the information systems of acquired companies with ours;</w:t>
      </w:r>
    </w:p>
    <w:p>
      <w:pPr>
        <w:spacing w:after="0" w:line="210" w:lineRule="exact"/>
        <w:rPr>
          <w:rFonts w:ascii="Arial" w:cs="Arial" w:eastAsia="Arial" w:hAnsi="Arial"/>
          <w:sz w:val="17"/>
          <w:szCs w:val="17"/>
          <w:color w:val="auto"/>
        </w:rPr>
      </w:pPr>
    </w:p>
    <w:p>
      <w:pPr>
        <w:ind w:left="1300" w:right="820" w:hanging="436"/>
        <w:spacing w:after="0" w:line="242" w:lineRule="auto"/>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may face difficulties in integrating employees, integrating different corporate cultures and in attracting and retaining key personnel; and</w:t>
      </w:r>
    </w:p>
    <w:p>
      <w:pPr>
        <w:spacing w:after="0" w:line="188" w:lineRule="exact"/>
        <w:rPr>
          <w:rFonts w:ascii="Arial" w:cs="Arial" w:eastAsia="Arial" w:hAnsi="Arial"/>
          <w:sz w:val="17"/>
          <w:szCs w:val="17"/>
          <w:color w:val="auto"/>
        </w:rPr>
      </w:pPr>
    </w:p>
    <w:p>
      <w:pPr>
        <w:ind w:left="1300" w:hanging="436"/>
        <w:spacing w:after="0"/>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may face challenges in keeping existing contracts and customers.</w:t>
      </w:r>
    </w:p>
    <w:p>
      <w:pPr>
        <w:spacing w:after="0" w:line="210" w:lineRule="exact"/>
        <w:rPr>
          <w:sz w:val="20"/>
          <w:szCs w:val="20"/>
          <w:color w:val="auto"/>
        </w:rPr>
      </w:pPr>
    </w:p>
    <w:p>
      <w:pPr>
        <w:ind w:right="240" w:firstLine="433"/>
        <w:spacing w:after="0" w:line="236" w:lineRule="auto"/>
        <w:rPr>
          <w:sz w:val="20"/>
          <w:szCs w:val="20"/>
          <w:color w:val="auto"/>
        </w:rPr>
      </w:pPr>
      <w:r>
        <w:rPr>
          <w:rFonts w:ascii="Arial" w:cs="Arial" w:eastAsia="Arial" w:hAnsi="Arial"/>
          <w:sz w:val="17"/>
          <w:szCs w:val="17"/>
          <w:color w:val="auto"/>
        </w:rPr>
        <w:t>Many of these risks will be outside of our control and any one of them could result in increased costs, decreases in the amount of expected revenue, and diversion of our management’s time and energy, which could have a material adverse effect on our business, financial condition and results of operations. In addition, even if our operations are integrated successfully, we may not realize the full benefits of the acquisitions, including the synergies, operating efficiencies, or sales or growth opportunities that are expected. These benefits may not be achieved within the anticipated time frame or at all.</w:t>
      </w:r>
    </w:p>
    <w:p>
      <w:pPr>
        <w:spacing w:after="0" w:line="173"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b w:val="1"/>
          <w:bCs w:val="1"/>
          <w:i w:val="1"/>
          <w:iCs w:val="1"/>
          <w:color w:val="auto"/>
        </w:rPr>
        <w:t>We depend on our teaming arrangements and relationships with other contractors and subcontractors. If we are not able to maintain these relationships, of if these parties fail to satisfy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i w:val="1"/>
          <w:iCs w:val="1"/>
          <w:color w:val="auto"/>
        </w:rPr>
        <w:t>their obligations to us or the customer, our revenues, profitability and growth prospects could be adversely affected.</w:t>
      </w:r>
    </w:p>
    <w:p>
      <w:pPr>
        <w:spacing w:after="0" w:line="218" w:lineRule="exact"/>
        <w:rPr>
          <w:sz w:val="20"/>
          <w:szCs w:val="20"/>
          <w:color w:val="auto"/>
        </w:rPr>
      </w:pPr>
    </w:p>
    <w:p>
      <w:pPr>
        <w:ind w:right="20" w:firstLine="282"/>
        <w:spacing w:after="0" w:line="235" w:lineRule="auto"/>
        <w:rPr>
          <w:sz w:val="20"/>
          <w:szCs w:val="20"/>
          <w:color w:val="auto"/>
        </w:rPr>
      </w:pPr>
      <w:r>
        <w:rPr>
          <w:rFonts w:ascii="Arial" w:cs="Arial" w:eastAsia="Arial" w:hAnsi="Arial"/>
          <w:sz w:val="17"/>
          <w:szCs w:val="17"/>
          <w:color w:val="auto"/>
        </w:rPr>
        <w:t>We rely on teaming relationships with other prime contractors and subcontractors in order to submit bids for large procurements or other opportunities where we believe the combination of services, products, and solutions provided by us and our teammates will help us to win and perform the contract. Our future revenues and growth prospects could be adversely affected if the other contractors eliminate or reduce their contract relationships with us, of if our government clients terminate or reduce these other contractors’ programs, do not award them new contracts or refuse to pay under a contract. Companies that do not have access to government contracts or experience with our customers may perform services as our subcontractor that we cannot otherwise provide ourselves, and that exposure could enhance such companies’ prospects of securing a future position as a prime government contractor which could increase competition for future contracts and impair our ability to win these contracts.</w:t>
      </w:r>
    </w:p>
    <w:p>
      <w:pPr>
        <w:spacing w:after="0" w:line="194" w:lineRule="exact"/>
        <w:rPr>
          <w:sz w:val="20"/>
          <w:szCs w:val="20"/>
          <w:color w:val="auto"/>
        </w:rPr>
      </w:pPr>
    </w:p>
    <w:p>
      <w:pPr>
        <w:ind w:right="40" w:firstLine="282"/>
        <w:spacing w:after="0" w:line="237" w:lineRule="auto"/>
        <w:rPr>
          <w:sz w:val="20"/>
          <w:szCs w:val="20"/>
          <w:color w:val="auto"/>
        </w:rPr>
      </w:pPr>
      <w:r>
        <w:rPr>
          <w:rFonts w:ascii="Arial" w:cs="Arial" w:eastAsia="Arial" w:hAnsi="Arial"/>
          <w:sz w:val="17"/>
          <w:szCs w:val="17"/>
          <w:color w:val="auto"/>
        </w:rPr>
        <w:t>Whenever our subcontractors fail to timely meet their contractual obligations, have regulatory compliance or other problems, our ability to fulfill our obligations as a prime contractor or higher tier subcontractor may be jeopardized. Subcontractor performance deficiencies under subcontracts with us as the prime contractor could lead to significant losses in future periods and could result in our termination for default as the prime contractor even though it was the subcontractor that failed to perform and not our personnel.</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7"/>
          <w:szCs w:val="17"/>
          <w:b w:val="1"/>
          <w:bCs w:val="1"/>
          <w:color w:val="auto"/>
        </w:rPr>
        <w:t>Risks Related to Estimates and Accounting</w:t>
      </w:r>
    </w:p>
    <w:p>
      <w:pPr>
        <w:spacing w:after="0" w:line="198" w:lineRule="exact"/>
        <w:rPr>
          <w:sz w:val="20"/>
          <w:szCs w:val="20"/>
          <w:color w:val="auto"/>
        </w:rPr>
      </w:pPr>
    </w:p>
    <w:p>
      <w:pPr>
        <w:ind w:right="640"/>
        <w:spacing w:after="0" w:line="267" w:lineRule="auto"/>
        <w:rPr>
          <w:sz w:val="20"/>
          <w:szCs w:val="20"/>
          <w:color w:val="auto"/>
        </w:rPr>
      </w:pPr>
      <w:r>
        <w:rPr>
          <w:rFonts w:ascii="Arial" w:cs="Arial" w:eastAsia="Arial" w:hAnsi="Arial"/>
          <w:sz w:val="17"/>
          <w:szCs w:val="17"/>
          <w:b w:val="1"/>
          <w:bCs w:val="1"/>
          <w:i w:val="1"/>
          <w:iCs w:val="1"/>
          <w:color w:val="auto"/>
        </w:rPr>
        <w:t>Our earnings and profitability may vary based on the mix of our contracts and may be adversely affected by our failure to accurately estimate and manage costs, time and resources.</w:t>
      </w:r>
    </w:p>
    <w:p>
      <w:pPr>
        <w:spacing w:after="0" w:line="168" w:lineRule="exact"/>
        <w:rPr>
          <w:sz w:val="20"/>
          <w:szCs w:val="20"/>
          <w:color w:val="auto"/>
        </w:rPr>
      </w:pPr>
    </w:p>
    <w:p>
      <w:pPr>
        <w:ind w:right="20" w:firstLine="433"/>
        <w:spacing w:after="0" w:line="252" w:lineRule="auto"/>
        <w:rPr>
          <w:sz w:val="20"/>
          <w:szCs w:val="20"/>
          <w:color w:val="auto"/>
        </w:rPr>
      </w:pPr>
      <w:r>
        <w:rPr>
          <w:rFonts w:ascii="Arial" w:cs="Arial" w:eastAsia="Arial" w:hAnsi="Arial"/>
          <w:sz w:val="16"/>
          <w:szCs w:val="16"/>
          <w:color w:val="auto"/>
        </w:rPr>
        <w:t>We generate revenue under various types of contracts, which include time-and-materials, cost-plus and fixed-price contracts. Our earnings and profitability may vary materially depending on changes in the proportionate amount of revenues derived from each type of contract, the nature of services or solutions provided, as well as the achievement of performance objectives and the stage of performance at which the right to receive fees, particularly under incentive fee contracts, is finally determined. Cost-plus and time-and-materials contracts generally have lower profitability than fixed-price contracts. To varying degrees, each of our contract types involves some risk that we could underestimate the costs and resources necessary to fulfill the contract. Our profitability is adversely affected when we incur costs on cost-plus and time-and-materials contracts that we cannot bill to our customers. While fixed-price contracts allow us to benefit from cost savings, these contracts also increase our exposure to the risk of cost overruns.</w:t>
      </w:r>
    </w:p>
    <w:p>
      <w:pPr>
        <w:spacing w:after="0" w:line="182" w:lineRule="exact"/>
        <w:rPr>
          <w:sz w:val="20"/>
          <w:szCs w:val="20"/>
          <w:color w:val="auto"/>
        </w:rPr>
      </w:pPr>
    </w:p>
    <w:p>
      <w:pPr>
        <w:ind w:firstLine="433"/>
        <w:spacing w:after="0" w:line="235" w:lineRule="auto"/>
        <w:rPr>
          <w:sz w:val="20"/>
          <w:szCs w:val="20"/>
          <w:color w:val="auto"/>
        </w:rPr>
      </w:pPr>
      <w:r>
        <w:rPr>
          <w:rFonts w:ascii="Arial" w:cs="Arial" w:eastAsia="Arial" w:hAnsi="Arial"/>
          <w:sz w:val="17"/>
          <w:szCs w:val="17"/>
          <w:color w:val="auto"/>
        </w:rPr>
        <w:t>Revenue derived from fixed-price contracts represented 26% of our total revenue during fiscal 2021, 32% of our total revenue during fiscal 2020, and 30% of our total revenue during fiscal 2019. When making proposals on fixed-price contracts, we rely heavily on our estimates of costs, scope and timing for completing the associated projects, as well as assumptions regarding technical issues. In particular, contracts in our Critical Infrastructure segment are often won in a hard-bid process, in which clients primarily select the lowest price from a qualified bidder with the understanding that they will not pay above the bid amount, even if we perform work beyond the initial scope of our contract. In each case, our failure to accurately estimate costs, scope or the resources and technology needed to perform our contracts or to effectively manage and control our costs during the performance of work could result, and in some instances has resulted, in reduced profits or in losses. More generally, any increased or unexpected costs or unanticipated delays in connection with the performance of our contracts, including costs and delays caused by contractual disputes or other factors outside of our control, such as performance failures of our subcontractors, natural disasters or other force majeure events, could make our contracts less profitable than expected or unprofitable.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38" w:name="page39"/>
    <w:bookmarkEnd w:id="38"/>
    <w:p>
      <w:pPr>
        <w:ind w:right="400"/>
        <w:spacing w:after="0" w:line="267" w:lineRule="auto"/>
        <w:rPr>
          <w:sz w:val="20"/>
          <w:szCs w:val="20"/>
          <w:color w:val="auto"/>
        </w:rPr>
      </w:pPr>
      <w:r>
        <w:rPr>
          <w:rFonts w:ascii="Arial" w:cs="Arial" w:eastAsia="Arial" w:hAnsi="Arial"/>
          <w:sz w:val="17"/>
          <w:szCs w:val="17"/>
          <w:b w:val="1"/>
          <w:bCs w:val="1"/>
          <w:i w:val="1"/>
          <w:iCs w:val="1"/>
          <w:color w:val="auto"/>
        </w:rPr>
        <w:t>We use estimates in recognizing revenues and, if we make changes to estimates used in recognizing revenues, our profitability may be adversely affected.</w:t>
      </w:r>
    </w:p>
    <w:p>
      <w:pPr>
        <w:spacing w:after="0" w:line="168" w:lineRule="exact"/>
        <w:rPr>
          <w:sz w:val="20"/>
          <w:szCs w:val="20"/>
          <w:color w:val="auto"/>
        </w:rPr>
      </w:pPr>
    </w:p>
    <w:p>
      <w:pPr>
        <w:ind w:right="100" w:firstLine="433"/>
        <w:spacing w:after="0" w:line="236" w:lineRule="auto"/>
        <w:rPr>
          <w:sz w:val="20"/>
          <w:szCs w:val="20"/>
          <w:color w:val="auto"/>
        </w:rPr>
      </w:pPr>
      <w:r>
        <w:rPr>
          <w:rFonts w:ascii="Arial" w:cs="Arial" w:eastAsia="Arial" w:hAnsi="Arial"/>
          <w:sz w:val="17"/>
          <w:szCs w:val="17"/>
          <w:color w:val="auto"/>
        </w:rPr>
        <w:t>A significant portion of our contract revenues are recognized using the cost-to-cost measure of progress method. This method requires estimates of total costs at completion or measurement of progress towards completion. Particularly due to the technical nature of the services being performed and the length of the contracts, this estimation process is complex and involves significant judgment. Adjustments to original estimates are often required as work progresses, experience is gained and additional information becomes known, even though the scope of the work required under the contract may not change. Any adjustment as a result of a change in estimate is recognized immediately. Changes in the underlying assumptions, circumstances or estimates could result in adjustments that may adversely affect our financial results of operations.</w:t>
      </w:r>
    </w:p>
    <w:p>
      <w:pPr>
        <w:spacing w:after="0" w:line="171" w:lineRule="exact"/>
        <w:rPr>
          <w:sz w:val="20"/>
          <w:szCs w:val="20"/>
          <w:color w:val="auto"/>
        </w:rPr>
      </w:pPr>
    </w:p>
    <w:p>
      <w:pPr>
        <w:ind w:right="440"/>
        <w:spacing w:after="0" w:line="267" w:lineRule="auto"/>
        <w:rPr>
          <w:sz w:val="20"/>
          <w:szCs w:val="20"/>
          <w:color w:val="auto"/>
        </w:rPr>
      </w:pPr>
      <w:r>
        <w:rPr>
          <w:rFonts w:ascii="Arial" w:cs="Arial" w:eastAsia="Arial" w:hAnsi="Arial"/>
          <w:sz w:val="17"/>
          <w:szCs w:val="17"/>
          <w:b w:val="1"/>
          <w:bCs w:val="1"/>
          <w:i w:val="1"/>
          <w:iCs w:val="1"/>
          <w:color w:val="auto"/>
        </w:rPr>
        <w:t>Goodwill and intangible assets represent a significant amount of our total assets and any impairment of these assets would negatively impact our results of operations.</w:t>
      </w:r>
    </w:p>
    <w:p>
      <w:pPr>
        <w:spacing w:after="0" w:line="168" w:lineRule="exact"/>
        <w:rPr>
          <w:sz w:val="20"/>
          <w:szCs w:val="20"/>
          <w:color w:val="auto"/>
        </w:rPr>
      </w:pPr>
    </w:p>
    <w:p>
      <w:pPr>
        <w:ind w:firstLine="433"/>
        <w:spacing w:after="0" w:line="236" w:lineRule="auto"/>
        <w:rPr>
          <w:sz w:val="20"/>
          <w:szCs w:val="20"/>
          <w:color w:val="auto"/>
        </w:rPr>
      </w:pPr>
      <w:r>
        <w:rPr>
          <w:rFonts w:ascii="Arial" w:cs="Arial" w:eastAsia="Arial" w:hAnsi="Arial"/>
          <w:sz w:val="17"/>
          <w:szCs w:val="17"/>
          <w:color w:val="auto"/>
        </w:rPr>
        <w:t>As of December 31, 2021, we had goodwill and intangible assets of $ 1.6 billion. Goodwill is tested for impairment annually, or more often if indicators of potential impairment exist, and intangible assets are tested for impairment whenever events or changes in circumstances indicate that the carrying value may not be recoverable. Examples of events or changes in circumstances indicating that the carrying value of goodwill may not be recoverable could include a significant adverse change in legal factors or in the business climate, an adverse action or assessment by a regulator, unanticipated competition, loss of key contracts, customer relationships, or personnel that affect current and future operating cash flows of the reporting unit. Any future impairment of goodwill or other intangible assets would have a negative impact on our profitability and financial results.</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7"/>
          <w:szCs w:val="17"/>
          <w:b w:val="1"/>
          <w:bCs w:val="1"/>
          <w:color w:val="auto"/>
        </w:rPr>
        <w:t>Risks Related to Technology Systems</w:t>
      </w:r>
    </w:p>
    <w:p>
      <w:pPr>
        <w:spacing w:after="0" w:line="198"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b w:val="1"/>
          <w:bCs w:val="1"/>
          <w:i w:val="1"/>
          <w:iCs w:val="1"/>
          <w:color w:val="auto"/>
        </w:rPr>
        <w:t>Systems that we develop, integrate, maintain, or otherwise support could experience security breaches which may damage our reputation with our clients and hinder future contract win rates.</w:t>
      </w:r>
    </w:p>
    <w:p>
      <w:pPr>
        <w:spacing w:after="0" w:line="168" w:lineRule="exact"/>
        <w:rPr>
          <w:sz w:val="20"/>
          <w:szCs w:val="20"/>
          <w:color w:val="auto"/>
        </w:rPr>
      </w:pPr>
    </w:p>
    <w:p>
      <w:pPr>
        <w:ind w:firstLine="433"/>
        <w:spacing w:after="0" w:line="235" w:lineRule="auto"/>
        <w:rPr>
          <w:sz w:val="20"/>
          <w:szCs w:val="20"/>
          <w:color w:val="auto"/>
        </w:rPr>
      </w:pPr>
      <w:r>
        <w:rPr>
          <w:rFonts w:ascii="Arial" w:cs="Arial" w:eastAsia="Arial" w:hAnsi="Arial"/>
          <w:sz w:val="17"/>
          <w:szCs w:val="17"/>
          <w:color w:val="auto"/>
        </w:rPr>
        <w:t>We develop, integrate, maintain, or otherwise support systems and provide services that include managing and protecting information involved in intelligence, national security and other sensitive or classified government functions. Our systems also store and process sensitive information for commercial clients. The cyber and security threats that our clients face have grown more frequent and sophisticated. A security breach in one of these systems could cause serious harm to our business, damage our reputation, and prevent us from being eligible for further work on sensitive systems for government or commercial clients. Work for non-government and commercial clients involving the protection of information systems or that store clients’ information could also be harmed due to associated security breaches. Damage to our reputation or limitations on our eligibility for additional work or any liability resulting from a security breach in one of the systems we develop, install, maintain, or otherwise support could have a material adverse effect on our business, financial condition and results of operations.</w:t>
      </w:r>
    </w:p>
    <w:p>
      <w:pPr>
        <w:spacing w:after="0" w:line="17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b w:val="1"/>
          <w:bCs w:val="1"/>
          <w:i w:val="1"/>
          <w:iCs w:val="1"/>
          <w:color w:val="auto"/>
        </w:rPr>
        <w:t>Services we provide and technologies we develop are designed to detect and monitor threats to our clients, the failure of which may lead to reputational harm or liability against us by our clients or third parties and may subject our staff to potential threats, risk of loss or harm.</w:t>
      </w:r>
    </w:p>
    <w:p>
      <w:pPr>
        <w:spacing w:after="0" w:line="168" w:lineRule="exact"/>
        <w:rPr>
          <w:sz w:val="20"/>
          <w:szCs w:val="20"/>
          <w:color w:val="auto"/>
        </w:rPr>
      </w:pPr>
    </w:p>
    <w:p>
      <w:pPr>
        <w:ind w:right="20" w:firstLine="433"/>
        <w:spacing w:after="0" w:line="253" w:lineRule="auto"/>
        <w:rPr>
          <w:sz w:val="20"/>
          <w:szCs w:val="20"/>
          <w:color w:val="auto"/>
        </w:rPr>
      </w:pPr>
      <w:r>
        <w:rPr>
          <w:rFonts w:ascii="Arial" w:cs="Arial" w:eastAsia="Arial" w:hAnsi="Arial"/>
          <w:sz w:val="16"/>
          <w:szCs w:val="16"/>
          <w:color w:val="auto"/>
        </w:rPr>
        <w:t>We help our clients detect, monitor and mitigate threats to their people, information and facilities. These threats may originate from nation states, terrorist or criminal actors, activist hackers or others who seek to harm our clients. There are many factors, some of which are beyond our control, which could result in the failure of our products to detect, monitor or mitigate these threats. Successful attacks on our clients may cause physical or reputational harm to us and our clients, as well as lead to liability claims against us by our clients or third parties, particularly if such attacks are a result of a failure or perceived failure of our services or technologies. In addition, as a result of our involvement with some clients or projects, our staff, information and facilities may be targeted by these or other threat actors and may be at risk for loss, or physical or reputational harm.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39" w:name="page40"/>
    <w:bookmarkEnd w:id="39"/>
    <w:p>
      <w:pPr>
        <w:jc w:val="both"/>
        <w:ind w:right="280"/>
        <w:spacing w:after="0" w:line="250" w:lineRule="auto"/>
        <w:rPr>
          <w:sz w:val="20"/>
          <w:szCs w:val="20"/>
          <w:color w:val="auto"/>
        </w:rPr>
      </w:pPr>
      <w:r>
        <w:rPr>
          <w:rFonts w:ascii="Arial" w:cs="Arial" w:eastAsia="Arial" w:hAnsi="Arial"/>
          <w:sz w:val="17"/>
          <w:szCs w:val="17"/>
          <w:b w:val="1"/>
          <w:bCs w:val="1"/>
          <w:i w:val="1"/>
          <w:iCs w:val="1"/>
          <w:color w:val="auto"/>
        </w:rPr>
        <w:t>Internal system or service failures affecting us or our vendors, including as a result of cyber or other security threats, could disrupt our business and impair our ability to effectively provide our services to our clients, which could damage our reputation and have a material adverse effect on our business, financial condition and results of operations.</w:t>
      </w:r>
    </w:p>
    <w:p>
      <w:pPr>
        <w:spacing w:after="0" w:line="182" w:lineRule="exact"/>
        <w:rPr>
          <w:sz w:val="20"/>
          <w:szCs w:val="20"/>
          <w:color w:val="auto"/>
        </w:rPr>
      </w:pPr>
    </w:p>
    <w:p>
      <w:pPr>
        <w:ind w:firstLine="433"/>
        <w:spacing w:after="0" w:line="234" w:lineRule="auto"/>
        <w:rPr>
          <w:sz w:val="20"/>
          <w:szCs w:val="20"/>
          <w:color w:val="auto"/>
        </w:rPr>
      </w:pPr>
      <w:r>
        <w:rPr>
          <w:rFonts w:ascii="Arial" w:cs="Arial" w:eastAsia="Arial" w:hAnsi="Arial"/>
          <w:sz w:val="17"/>
          <w:szCs w:val="17"/>
          <w:color w:val="auto"/>
        </w:rPr>
        <w:t>We create, implement, and maintain information technology and engineering systems and also use vendors to provide services that are often critical to our clients’ operations, some of which involve sensitive information and may be conducted in war zones or other hazardous environments, or include information whose confidentiality is protected by law. As a result, we may be subject to systems or service failures, not only resulting from our own failures or the failures of third-party service providers, natural disasters, power shortages, or terrorist attacks, but also from continuous exposure to cyber and other security threats, including computer viruses and malware, attacks by computer hackers or physical break-ins. There has been an increase in the frequency and sophistication of the cyber and security threats we face, with attacks ranging from those common to businesses generally to those that are more advanced and persistent, which may target us because, as a cybersecurity services contractor, we hold classified, controlled unclassified and other sensitive information. As a result, we and our vendors face a heightened risk of a security breach or disruption resulting from an attack by computer hackers, foreign governments, and cyber terrorists. While we put in place policies, controls and technologies to help detect and protect against such attacks, we cannot guarantee that future incidents will not occur, and if an incident does occur, we may not be able to successfully mitigate the impact. We have been the target of these types of attacks in the past and future attacks are likely to occur. If successful, these types of attacks on our network or other systems or service failures could have a material adverse effect on our business, financial condition and results of operations, due to, among other things, the loss of client or proprietary data, interruptions or delays in our clients’ businesses and damage to our reputation. In addition, the failure or disruption of our systems, communications, vendors, or utilities could cause us to interrupt or suspend our operations, which could have a material adverse effect on our business, financial condition and results of operations. In addition, if our employees inadvertently do not adhere to appropriate information security protocols, our protocols are inadequate, or our employees intentionally avoid these protocols, our or our clients’ sensitive information may be released thereby causing significant negative impacts to our reputation and exposing us or our clients to liability.</w:t>
      </w:r>
    </w:p>
    <w:p>
      <w:pPr>
        <w:spacing w:after="0" w:line="195" w:lineRule="exact"/>
        <w:rPr>
          <w:sz w:val="20"/>
          <w:szCs w:val="20"/>
          <w:color w:val="auto"/>
        </w:rPr>
      </w:pPr>
    </w:p>
    <w:p>
      <w:pPr>
        <w:ind w:right="360" w:firstLine="433"/>
        <w:spacing w:after="0" w:line="242" w:lineRule="auto"/>
        <w:rPr>
          <w:sz w:val="20"/>
          <w:szCs w:val="20"/>
          <w:color w:val="auto"/>
        </w:rPr>
      </w:pPr>
      <w:r>
        <w:rPr>
          <w:rFonts w:ascii="Arial" w:cs="Arial" w:eastAsia="Arial" w:hAnsi="Arial"/>
          <w:sz w:val="17"/>
          <w:szCs w:val="17"/>
          <w:color w:val="auto"/>
        </w:rPr>
        <w:t>If our or our vendors’ systems, services or other applications have significant defects or errors, are successfully attacked by cyber and other security threats, suffer delivery delays or otherwise fail to meet our clients’ expectations, we may:</w:t>
      </w:r>
    </w:p>
    <w:p>
      <w:pPr>
        <w:spacing w:after="0" w:line="189" w:lineRule="exact"/>
        <w:rPr>
          <w:sz w:val="20"/>
          <w:szCs w:val="20"/>
          <w:color w:val="auto"/>
        </w:rPr>
      </w:pPr>
    </w:p>
    <w:p>
      <w:pPr>
        <w:ind w:left="860" w:hanging="428"/>
        <w:spacing w:after="0"/>
        <w:tabs>
          <w:tab w:leader="none" w:pos="8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lose revenue due to adverse client reaction;</w:t>
      </w:r>
    </w:p>
    <w:p>
      <w:pPr>
        <w:spacing w:after="0" w:line="210" w:lineRule="exact"/>
        <w:rPr>
          <w:rFonts w:ascii="Arial" w:cs="Arial" w:eastAsia="Arial" w:hAnsi="Arial"/>
          <w:sz w:val="17"/>
          <w:szCs w:val="17"/>
          <w:color w:val="auto"/>
        </w:rPr>
      </w:pPr>
    </w:p>
    <w:p>
      <w:pPr>
        <w:ind w:left="860" w:hanging="428"/>
        <w:spacing w:after="0"/>
        <w:tabs>
          <w:tab w:leader="none" w:pos="8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be required to provide additional services to a client at no charge;</w:t>
      </w:r>
    </w:p>
    <w:p>
      <w:pPr>
        <w:spacing w:after="0" w:line="210" w:lineRule="exact"/>
        <w:rPr>
          <w:rFonts w:ascii="Arial" w:cs="Arial" w:eastAsia="Arial" w:hAnsi="Arial"/>
          <w:sz w:val="17"/>
          <w:szCs w:val="17"/>
          <w:color w:val="auto"/>
        </w:rPr>
      </w:pPr>
    </w:p>
    <w:p>
      <w:pPr>
        <w:ind w:left="860" w:hanging="428"/>
        <w:spacing w:after="0"/>
        <w:tabs>
          <w:tab w:leader="none" w:pos="8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incur additional costs related to remediation, monitoring and increasing our cybersecurity;</w:t>
      </w:r>
    </w:p>
    <w:p>
      <w:pPr>
        <w:spacing w:after="0" w:line="210" w:lineRule="exact"/>
        <w:rPr>
          <w:rFonts w:ascii="Arial" w:cs="Arial" w:eastAsia="Arial" w:hAnsi="Arial"/>
          <w:sz w:val="17"/>
          <w:szCs w:val="17"/>
          <w:color w:val="auto"/>
        </w:rPr>
      </w:pPr>
    </w:p>
    <w:p>
      <w:pPr>
        <w:ind w:left="860" w:hanging="428"/>
        <w:spacing w:after="0"/>
        <w:tabs>
          <w:tab w:leader="none" w:pos="8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lose revenue due to the deployment of internal staff for remediation efforts instead of client assignments;</w:t>
      </w:r>
    </w:p>
    <w:p>
      <w:pPr>
        <w:spacing w:after="0" w:line="210" w:lineRule="exact"/>
        <w:rPr>
          <w:rFonts w:ascii="Arial" w:cs="Arial" w:eastAsia="Arial" w:hAnsi="Arial"/>
          <w:sz w:val="17"/>
          <w:szCs w:val="17"/>
          <w:color w:val="auto"/>
        </w:rPr>
      </w:pPr>
    </w:p>
    <w:p>
      <w:pPr>
        <w:ind w:left="860" w:hanging="428"/>
        <w:spacing w:after="0"/>
        <w:tabs>
          <w:tab w:leader="none" w:pos="8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receive negative publicity, which could damage our reputation and adversely affect our ability to attract or retain clients;</w:t>
      </w:r>
    </w:p>
    <w:p>
      <w:pPr>
        <w:spacing w:after="0" w:line="210" w:lineRule="exact"/>
        <w:rPr>
          <w:rFonts w:ascii="Arial" w:cs="Arial" w:eastAsia="Arial" w:hAnsi="Arial"/>
          <w:sz w:val="17"/>
          <w:szCs w:val="17"/>
          <w:color w:val="auto"/>
        </w:rPr>
      </w:pPr>
    </w:p>
    <w:p>
      <w:pPr>
        <w:ind w:left="860" w:right="360" w:hanging="428"/>
        <w:spacing w:after="0" w:line="242" w:lineRule="auto"/>
        <w:tabs>
          <w:tab w:leader="none" w:pos="8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be unable to successfully market services that are reliant on the creation and maintaining of secure information technology systems to government and commercial clients;</w:t>
      </w:r>
    </w:p>
    <w:p>
      <w:pPr>
        <w:spacing w:after="0" w:line="188" w:lineRule="exact"/>
        <w:rPr>
          <w:rFonts w:ascii="Arial" w:cs="Arial" w:eastAsia="Arial" w:hAnsi="Arial"/>
          <w:sz w:val="17"/>
          <w:szCs w:val="17"/>
          <w:color w:val="auto"/>
        </w:rPr>
      </w:pPr>
    </w:p>
    <w:p>
      <w:pPr>
        <w:ind w:left="860" w:right="380" w:hanging="428"/>
        <w:spacing w:after="0" w:line="242" w:lineRule="auto"/>
        <w:tabs>
          <w:tab w:leader="none" w:pos="8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suffer claims by clients or impacted third parties for substantial damages, particularly as a result of any successful network or systems breach and exfiltration of client and/or third-party information; or</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40" w:name="page41"/>
    <w:bookmarkEnd w:id="40"/>
    <w:p>
      <w:pPr>
        <w:ind w:left="860" w:right="160" w:hanging="428"/>
        <w:spacing w:after="0" w:line="242" w:lineRule="auto"/>
        <w:tabs>
          <w:tab w:leader="none" w:pos="8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incur significant costs, including fines from government regulators related to complying with applicable federal or state law, including laws pertaining to the security and protection of personal information.</w:t>
      </w:r>
    </w:p>
    <w:p>
      <w:pPr>
        <w:spacing w:after="0" w:line="189" w:lineRule="exact"/>
        <w:rPr>
          <w:sz w:val="20"/>
          <w:szCs w:val="20"/>
          <w:color w:val="auto"/>
        </w:rPr>
      </w:pPr>
    </w:p>
    <w:p>
      <w:pPr>
        <w:ind w:right="160" w:firstLine="433"/>
        <w:spacing w:after="0" w:line="242" w:lineRule="auto"/>
        <w:rPr>
          <w:sz w:val="20"/>
          <w:szCs w:val="20"/>
          <w:color w:val="auto"/>
        </w:rPr>
      </w:pPr>
      <w:r>
        <w:rPr>
          <w:rFonts w:ascii="Arial" w:cs="Arial" w:eastAsia="Arial" w:hAnsi="Arial"/>
          <w:sz w:val="17"/>
          <w:szCs w:val="17"/>
          <w:color w:val="auto"/>
        </w:rPr>
        <w:t>In addition to any costs resulting from contract performance or required corrective action, these failures may result in increased costs or loss of revenue if they result in clients postponing subsequently scheduled work or canceling or failing to renew contracts.</w:t>
      </w:r>
    </w:p>
    <w:p>
      <w:pPr>
        <w:spacing w:after="0" w:line="189" w:lineRule="exact"/>
        <w:rPr>
          <w:sz w:val="20"/>
          <w:szCs w:val="20"/>
          <w:color w:val="auto"/>
        </w:rPr>
      </w:pPr>
    </w:p>
    <w:p>
      <w:pPr>
        <w:ind w:right="240" w:firstLine="433"/>
        <w:spacing w:after="0" w:line="237" w:lineRule="auto"/>
        <w:rPr>
          <w:sz w:val="20"/>
          <w:szCs w:val="20"/>
          <w:color w:val="auto"/>
        </w:rPr>
      </w:pPr>
      <w:r>
        <w:rPr>
          <w:rFonts w:ascii="Arial" w:cs="Arial" w:eastAsia="Arial" w:hAnsi="Arial"/>
          <w:sz w:val="17"/>
          <w:szCs w:val="17"/>
          <w:color w:val="auto"/>
        </w:rPr>
        <w:t>In 2021, Parsons actively monitored external cyber threats, including potential risks associated with SolarWinds and Log4j vulnerabilities. Parsons implements customized and continuous monitoring of its systems and actively engages with its suppliers to defend the enterprise environment against cyber threats. The SolarWinds and Log4j threats did not compromise Parsons’ systems. However, the existence of external threats remains and requires ongoing vigilance.</w:t>
      </w:r>
    </w:p>
    <w:p>
      <w:pPr>
        <w:spacing w:after="0" w:line="191" w:lineRule="exact"/>
        <w:rPr>
          <w:sz w:val="20"/>
          <w:szCs w:val="20"/>
          <w:color w:val="auto"/>
        </w:rPr>
      </w:pPr>
    </w:p>
    <w:p>
      <w:pPr>
        <w:ind w:right="60" w:firstLine="433"/>
        <w:spacing w:after="0" w:line="235" w:lineRule="auto"/>
        <w:rPr>
          <w:sz w:val="20"/>
          <w:szCs w:val="20"/>
          <w:color w:val="auto"/>
        </w:rPr>
      </w:pPr>
      <w:r>
        <w:rPr>
          <w:rFonts w:ascii="Arial" w:cs="Arial" w:eastAsia="Arial" w:hAnsi="Arial"/>
          <w:sz w:val="17"/>
          <w:szCs w:val="17"/>
          <w:color w:val="auto"/>
        </w:rPr>
        <w:t>The costs related to cyber or other security threats or disruptions may not be fully insured or indemnified by other means. Additionally, some cyber technologies and techniques that we utilize or develop may raise potential liabilities related to legal compliance, intellectual property and civil liberties, including privacy concerns, which may not be fully insured or indemnified. We may not be able to obtain and maintain insurance coverage on reasonable terms or in sufficient amounts to cover one or more large claims, or the insurer may disclaim coverage as to some types of future claims. The successful assertion of any large claim against us could seriously harm our business. Even if not successful, these claims could result in significant legal and other costs, may be a distraction to our management, and may harm our client relationships. In some new business areas, we may not be able to obtain sufficient insurance and may decide not to accept or solicit business in these areas.</w:t>
      </w:r>
    </w:p>
    <w:p>
      <w:pPr>
        <w:spacing w:after="0" w:line="194" w:lineRule="exact"/>
        <w:rPr>
          <w:sz w:val="20"/>
          <w:szCs w:val="20"/>
          <w:color w:val="auto"/>
        </w:rPr>
      </w:pPr>
    </w:p>
    <w:p>
      <w:pPr>
        <w:ind w:right="100" w:firstLine="433"/>
        <w:spacing w:after="0" w:line="236" w:lineRule="auto"/>
        <w:rPr>
          <w:sz w:val="20"/>
          <w:szCs w:val="20"/>
          <w:color w:val="auto"/>
        </w:rPr>
      </w:pPr>
      <w:r>
        <w:rPr>
          <w:rFonts w:ascii="Arial" w:cs="Arial" w:eastAsia="Arial" w:hAnsi="Arial"/>
          <w:sz w:val="17"/>
          <w:szCs w:val="17"/>
          <w:color w:val="auto"/>
        </w:rPr>
        <w:t>As a contractor supporting defense and national security clients, we are also subject to regulatory compliance requirements under the Federal Acquisition Regulations, the Defense Federal Acquisition Regulation Supplement and other federal regulations requiring that our networks and information technology systems comply with the security and privacy controls in National Institute of Standards and Technology Special Publications and similar documents. To the extent that we do not comply with the applicable security and control requirements, whether imposed by regulation or contract, unauthorized access or disclosure of sensitive information could potentially result in a contract termination that has a material adverse effect on our business, financial condition and results of operations and reputational harm.</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7"/>
          <w:szCs w:val="17"/>
          <w:b w:val="1"/>
          <w:bCs w:val="1"/>
          <w:color w:val="auto"/>
        </w:rPr>
        <w:t>Risk Related to Legal Matters and Insurance</w:t>
      </w:r>
    </w:p>
    <w:p>
      <w:pPr>
        <w:spacing w:after="0" w:line="198"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i w:val="1"/>
          <w:iCs w:val="1"/>
          <w:color w:val="auto"/>
        </w:rPr>
        <w:t>Unavailability or cancellation of third-party insurance coverage would increase our overall risk exposure as well as disrupt the management of our business operations.</w:t>
      </w:r>
    </w:p>
    <w:p>
      <w:pPr>
        <w:spacing w:after="0" w:line="168" w:lineRule="exact"/>
        <w:rPr>
          <w:sz w:val="20"/>
          <w:szCs w:val="20"/>
          <w:color w:val="auto"/>
        </w:rPr>
      </w:pPr>
    </w:p>
    <w:p>
      <w:pPr>
        <w:ind w:firstLine="433"/>
        <w:spacing w:after="0" w:line="236" w:lineRule="auto"/>
        <w:rPr>
          <w:sz w:val="20"/>
          <w:szCs w:val="20"/>
          <w:color w:val="auto"/>
        </w:rPr>
      </w:pPr>
      <w:r>
        <w:rPr>
          <w:rFonts w:ascii="Arial" w:cs="Arial" w:eastAsia="Arial" w:hAnsi="Arial"/>
          <w:sz w:val="17"/>
          <w:szCs w:val="17"/>
          <w:color w:val="auto"/>
        </w:rPr>
        <w:t>We maintain insurance coverage from third-party insurers as part of our overall risk management strategy and because some of our contracts require us to maintain specific insurance coverage limits. If any of our third-party insurers fail, suddenly cancel our coverage or otherwise are unable to provide us with adequate insurance coverage, then our overall risk exposure and our operational expenses would increase, and the management of our business operations would be disrupted. In addition, there can be no assurance that any of our existing insurance coverage will be renewable upon the expiration of the coverage period or that future coverage will be affordable at the required limits.</w:t>
      </w:r>
    </w:p>
    <w:p>
      <w:pPr>
        <w:spacing w:after="0" w:line="173"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b w:val="1"/>
          <w:bCs w:val="1"/>
          <w:i w:val="1"/>
          <w:iCs w:val="1"/>
          <w:color w:val="auto"/>
        </w:rPr>
        <w:t>Adverse judgments or settlements in legal disputes could result in materially adverse monetary damages or injunctive relief and damage our reputation.</w:t>
      </w:r>
    </w:p>
    <w:p>
      <w:pPr>
        <w:spacing w:after="0" w:line="168" w:lineRule="exact"/>
        <w:rPr>
          <w:sz w:val="20"/>
          <w:szCs w:val="20"/>
          <w:color w:val="auto"/>
        </w:rPr>
      </w:pPr>
    </w:p>
    <w:p>
      <w:pPr>
        <w:ind w:right="160" w:firstLine="433"/>
        <w:spacing w:after="0" w:line="238" w:lineRule="auto"/>
        <w:rPr>
          <w:sz w:val="20"/>
          <w:szCs w:val="20"/>
          <w:color w:val="auto"/>
        </w:rPr>
      </w:pPr>
      <w:r>
        <w:rPr>
          <w:rFonts w:ascii="Arial" w:cs="Arial" w:eastAsia="Arial" w:hAnsi="Arial"/>
          <w:sz w:val="17"/>
          <w:szCs w:val="17"/>
          <w:color w:val="auto"/>
        </w:rPr>
        <w:t>We are subject to, and may become a party to, a variety of litigation or other claims and suits that arise from time to time in the ordinary course of our business. For example, our performance under U.S. government contracts and compliance with the terms of those contracts and applicable laws and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1" w:name="page42"/>
    <w:bookmarkEnd w:id="41"/>
    <w:p>
      <w:pPr>
        <w:ind w:right="400"/>
        <w:spacing w:after="0" w:line="242" w:lineRule="auto"/>
        <w:rPr>
          <w:sz w:val="20"/>
          <w:szCs w:val="20"/>
          <w:color w:val="auto"/>
        </w:rPr>
      </w:pPr>
      <w:r>
        <w:rPr>
          <w:rFonts w:ascii="Arial" w:cs="Arial" w:eastAsia="Arial" w:hAnsi="Arial"/>
          <w:sz w:val="17"/>
          <w:szCs w:val="17"/>
          <w:color w:val="auto"/>
        </w:rPr>
        <w:t>regulations are subject to continuous audit, review, and investigation by the U.S. government which may include such investigative techniques as subpoenas or civil investigative demands.</w:t>
      </w:r>
    </w:p>
    <w:p>
      <w:pPr>
        <w:spacing w:after="0" w:line="189" w:lineRule="exact"/>
        <w:rPr>
          <w:sz w:val="20"/>
          <w:szCs w:val="20"/>
          <w:color w:val="auto"/>
        </w:rPr>
      </w:pPr>
    </w:p>
    <w:p>
      <w:pPr>
        <w:ind w:firstLine="433"/>
        <w:spacing w:after="0" w:line="236" w:lineRule="auto"/>
        <w:rPr>
          <w:sz w:val="20"/>
          <w:szCs w:val="20"/>
          <w:color w:val="auto"/>
        </w:rPr>
      </w:pPr>
      <w:r>
        <w:rPr>
          <w:rFonts w:ascii="Arial" w:cs="Arial" w:eastAsia="Arial" w:hAnsi="Arial"/>
          <w:sz w:val="17"/>
          <w:szCs w:val="17"/>
          <w:color w:val="auto"/>
        </w:rPr>
        <w:t>The results of litigation and other legal proceedings, including the claims described under “Business—Legal Proceedings”, are inherently uncertain and adverse judgments or settlements in some or all of these legal disputes may result in materially adverse monetary damages or injunctive relief against us. Additionally, our insurance policies may not protect us against potential liability due to various exclusions in the policies and self-insured retention amounts. Partially or completely uninsured claims, if successful and of significant magnitude, could have a material adverse effect on our business, financial condition and results of operations. Furthermore, any claims or litigation, even if fully indemnified or insured, could damage our reputation and make it more difficult to compete effectively or obtain adequate insurance in the future.</w:t>
      </w:r>
    </w:p>
    <w:p>
      <w:pPr>
        <w:spacing w:after="0" w:line="171"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b w:val="1"/>
          <w:bCs w:val="1"/>
          <w:i w:val="1"/>
          <w:iCs w:val="1"/>
          <w:color w:val="auto"/>
        </w:rPr>
        <w:t>Our business is subject to numerous legal and regulatory requirements and any violation of these requirements or any misconduct by our employees, subcontractors, agents or business partners could harm our business and reputation.</w:t>
      </w:r>
    </w:p>
    <w:p>
      <w:pPr>
        <w:spacing w:after="0" w:line="168" w:lineRule="exact"/>
        <w:rPr>
          <w:sz w:val="20"/>
          <w:szCs w:val="20"/>
          <w:color w:val="auto"/>
        </w:rPr>
      </w:pPr>
    </w:p>
    <w:p>
      <w:pPr>
        <w:ind w:right="20" w:firstLine="433"/>
        <w:spacing w:after="0" w:line="235" w:lineRule="auto"/>
        <w:rPr>
          <w:sz w:val="20"/>
          <w:szCs w:val="20"/>
          <w:color w:val="auto"/>
        </w:rPr>
      </w:pPr>
      <w:r>
        <w:rPr>
          <w:rFonts w:ascii="Arial" w:cs="Arial" w:eastAsia="Arial" w:hAnsi="Arial"/>
          <w:sz w:val="17"/>
          <w:szCs w:val="17"/>
          <w:color w:val="auto"/>
        </w:rPr>
        <w:t>In addition to government contract procurement laws and regulations, we are subject to numerous other federal, state and foreign legal requirements on matters as diverse as data privacy and protection, employment and labor relations, immigration, taxation, anti-corruption, import/export controls, trade restrictions, internal and disclosure control obligations, securities regulation and anti -competition. Compliance with diverse and changing legal requirements is costly, time-consuming and requires significant resources. Violations of one or more of these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and/or criminal prosecution, unfavorable publicity and other reputational damage, restrictions on our ability to compete for work and allegations by our customers that we have not performed our contractual obligations.</w:t>
      </w:r>
    </w:p>
    <w:p>
      <w:pPr>
        <w:spacing w:after="0" w:line="192"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Misconduct by our employees, subcontractors, agents or business partners could subject us to fines and penalties, restitution or other damages, loss of security clearance, loss of current and future customer contracts and suspension or debarment from contracting with federal, state or local government agencies, any of which could adversely affect our business, financial condition and results of operations. Such misconduct could include fraud or other improper activities such as falsifying time or other records, failure to comply with our policies and procedures or violations of applicable laws and regulations.</w:t>
      </w:r>
    </w:p>
    <w:p>
      <w:pPr>
        <w:spacing w:after="0" w:line="173" w:lineRule="exact"/>
        <w:rPr>
          <w:sz w:val="20"/>
          <w:szCs w:val="20"/>
          <w:color w:val="auto"/>
        </w:rPr>
      </w:pPr>
    </w:p>
    <w:p>
      <w:pPr>
        <w:ind w:right="600"/>
        <w:spacing w:after="0" w:line="267" w:lineRule="auto"/>
        <w:rPr>
          <w:sz w:val="20"/>
          <w:szCs w:val="20"/>
          <w:color w:val="auto"/>
        </w:rPr>
      </w:pPr>
      <w:r>
        <w:rPr>
          <w:rFonts w:ascii="Arial" w:cs="Arial" w:eastAsia="Arial" w:hAnsi="Arial"/>
          <w:sz w:val="17"/>
          <w:szCs w:val="17"/>
          <w:b w:val="1"/>
          <w:bCs w:val="1"/>
          <w:i w:val="1"/>
          <w:iCs w:val="1"/>
          <w:color w:val="auto"/>
        </w:rPr>
        <w:t>Our services and operations sometimes involve handling or disposing of hazardous substances or dangerous materials, and we are subject to environmental requirements and risks which could result in significant costs, liabilities and obligations.</w:t>
      </w:r>
    </w:p>
    <w:p>
      <w:pPr>
        <w:spacing w:after="0" w:line="168" w:lineRule="exact"/>
        <w:rPr>
          <w:sz w:val="20"/>
          <w:szCs w:val="20"/>
          <w:color w:val="auto"/>
        </w:rPr>
      </w:pPr>
    </w:p>
    <w:p>
      <w:pPr>
        <w:ind w:firstLine="433"/>
        <w:spacing w:after="0" w:line="234" w:lineRule="auto"/>
        <w:rPr>
          <w:sz w:val="20"/>
          <w:szCs w:val="20"/>
          <w:color w:val="auto"/>
        </w:rPr>
      </w:pPr>
      <w:r>
        <w:rPr>
          <w:rFonts w:ascii="Arial" w:cs="Arial" w:eastAsia="Arial" w:hAnsi="Arial"/>
          <w:sz w:val="17"/>
          <w:szCs w:val="17"/>
          <w:color w:val="auto"/>
        </w:rPr>
        <w:t>Our operations are subject to stringent and complex federal, state and local laws and regulations governing the discharge of materials into the environment, the health and safety aspects of our operations, or otherwise relating to environmental protection. Some of our services and operations involve the handling or disposal of hazardous substances or dangerous materials, including explosive, chemical, biological, radiological or nuclear materials. These activities generally subject us to extensive foreign, federal, state and local environmental protection and health and safety laws and regulations, which, among other things, require us to incur costs to comply with these regulations and could impose liability on us for handling or disposing of hazardous substances or dangerous materials. Numerous governmental authorities, such as the U.S. Environmental Protection Agency, or the EPA, and analogous state agencies, have the power to enforce compliance with these laws and regulations and the permits issued under them. Such enforcement actions often involve difficult and costly compliance measures or corrective actions. Furthermore, failure to comply with these environmental protection and health and safety laws and regulations could result in civil, criminal, regulatory, administrative or contractual sanctions, including fines, penalties or suspension or debarment from contracting with the U.S. government, and could also result in investigations, the imposition of corrective action or remedial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2" w:name="page43"/>
    <w:bookmarkEnd w:id="42"/>
    <w:p>
      <w:pPr>
        <w:ind w:right="160"/>
        <w:spacing w:after="0" w:line="254" w:lineRule="auto"/>
        <w:rPr>
          <w:sz w:val="20"/>
          <w:szCs w:val="20"/>
          <w:color w:val="auto"/>
        </w:rPr>
      </w:pPr>
      <w:r>
        <w:rPr>
          <w:rFonts w:ascii="Arial" w:cs="Arial" w:eastAsia="Arial" w:hAnsi="Arial"/>
          <w:sz w:val="16"/>
          <w:szCs w:val="16"/>
          <w:color w:val="auto"/>
        </w:rPr>
        <w:t>obligations, and the issuance of orders limiting or prohibiting some or all of our operations. In certain instances, citizen groups also have the ability to bring legal proceedings against us if we are not in compliance with environmental laws. In addition, claims for damages to persons or property, including natural resources, may result from the environmental, health and safety impacts of our operations. We, like other businesses, can never completely eliminate the risk of contamination or injury from certain materials that we use in our business. If we have any violations of, or incur liabilities pursuant to, these laws or regulations, it may result in a material adverse effect on our business, financial condition or results of operations.</w:t>
      </w:r>
    </w:p>
    <w:p>
      <w:pPr>
        <w:spacing w:after="0" w:line="180" w:lineRule="exact"/>
        <w:rPr>
          <w:sz w:val="20"/>
          <w:szCs w:val="20"/>
          <w:color w:val="auto"/>
        </w:rPr>
      </w:pPr>
    </w:p>
    <w:p>
      <w:pPr>
        <w:ind w:right="220" w:firstLine="433"/>
        <w:spacing w:after="0" w:line="236" w:lineRule="auto"/>
        <w:rPr>
          <w:sz w:val="20"/>
          <w:szCs w:val="20"/>
          <w:color w:val="auto"/>
        </w:rPr>
      </w:pPr>
      <w:r>
        <w:rPr>
          <w:rFonts w:ascii="Arial" w:cs="Arial" w:eastAsia="Arial" w:hAnsi="Arial"/>
          <w:sz w:val="17"/>
          <w:szCs w:val="17"/>
          <w:color w:val="auto"/>
        </w:rPr>
        <w:t>Certain environmental laws impose strict liability (i.e., no showing of “fault” is required)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the consequences of our own actions that were in compliance with all applicable laws at the time those actions were taken.</w:t>
      </w:r>
    </w:p>
    <w:p>
      <w:pPr>
        <w:spacing w:after="0" w:line="193" w:lineRule="exact"/>
        <w:rPr>
          <w:sz w:val="20"/>
          <w:szCs w:val="20"/>
          <w:color w:val="auto"/>
        </w:rPr>
      </w:pPr>
    </w:p>
    <w:p>
      <w:pPr>
        <w:jc w:val="both"/>
        <w:ind w:right="480" w:firstLine="433"/>
        <w:spacing w:after="0" w:line="238" w:lineRule="auto"/>
        <w:rPr>
          <w:sz w:val="20"/>
          <w:szCs w:val="20"/>
          <w:color w:val="auto"/>
        </w:rPr>
      </w:pPr>
      <w:r>
        <w:rPr>
          <w:rFonts w:ascii="Arial" w:cs="Arial" w:eastAsia="Arial" w:hAnsi="Arial"/>
          <w:sz w:val="17"/>
          <w:szCs w:val="17"/>
          <w:color w:val="auto"/>
        </w:rPr>
        <w:t>We have limited, and potentially insufficient, insurance coverage for expenses and losses that may arise in connection with environmental contamination. Finally, in connection with certain acquisitions, we could acquire, or be required to provide indemnification against, environmental liabilities that could expose us to material losses.</w:t>
      </w:r>
    </w:p>
    <w:p>
      <w:pPr>
        <w:spacing w:after="0" w:line="172"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b w:val="1"/>
          <w:bCs w:val="1"/>
          <w:i w:val="1"/>
          <w:iCs w:val="1"/>
          <w:color w:val="auto"/>
        </w:rPr>
        <w:t>Our failure to meet contractual schedule requirements, meet a required performance standard, meet our internal contractual performance projections or otherwise perform adequately on a project could adversely affect our business, financial condition or results of operations.</w:t>
      </w:r>
    </w:p>
    <w:p>
      <w:pPr>
        <w:spacing w:after="0" w:line="146" w:lineRule="exact"/>
        <w:rPr>
          <w:sz w:val="20"/>
          <w:szCs w:val="20"/>
          <w:color w:val="auto"/>
        </w:rPr>
      </w:pPr>
    </w:p>
    <w:p>
      <w:pPr>
        <w:ind w:firstLine="433"/>
        <w:spacing w:after="0" w:line="235" w:lineRule="auto"/>
        <w:rPr>
          <w:sz w:val="20"/>
          <w:szCs w:val="20"/>
          <w:color w:val="auto"/>
        </w:rPr>
      </w:pPr>
      <w:r>
        <w:rPr>
          <w:rFonts w:ascii="Arial" w:cs="Arial" w:eastAsia="Arial" w:hAnsi="Arial"/>
          <w:sz w:val="17"/>
          <w:szCs w:val="17"/>
          <w:color w:val="auto"/>
        </w:rPr>
        <w:t>Under some of our contracts, we can incur liquidated or other damages if we do not achieve project completion by a scheduled date. In addition, our costs generally increase from schedule delays and/or could exceed our projections for a particular project. Project performance can be affected by a number of factors beyond our control, including unavoidable delays from governmental inaction, public opposition, inability to obtain financing, weather conditions, unavailability of vendor materials, changes in the project scope of services requested by our clients, industrial accidents, environmental hazards, labor disruptions and other factors. Any defects or errors, or failures to meet our clients’ expectations, in our projects or services could result in claims for damages against us and could adversely affect our reputation. Material performance problems for existing and future contracts could cause actual results of operations to differ from those anticipated by us and also could cause us to suffer damage to our reputation within our industries and client base.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adequately protect, maintain, or enforce our rights in our intellectual property may adversely limit our competitive position.</w:t>
      </w:r>
    </w:p>
    <w:p>
      <w:pPr>
        <w:spacing w:after="0" w:line="218" w:lineRule="exact"/>
        <w:rPr>
          <w:sz w:val="20"/>
          <w:szCs w:val="20"/>
          <w:color w:val="auto"/>
        </w:rPr>
      </w:pPr>
    </w:p>
    <w:p>
      <w:pPr>
        <w:ind w:right="20" w:firstLine="433"/>
        <w:spacing w:after="0" w:line="235" w:lineRule="auto"/>
        <w:rPr>
          <w:sz w:val="20"/>
          <w:szCs w:val="20"/>
          <w:color w:val="auto"/>
        </w:rPr>
      </w:pPr>
      <w:r>
        <w:rPr>
          <w:rFonts w:ascii="Arial" w:cs="Arial" w:eastAsia="Arial" w:hAnsi="Arial"/>
          <w:sz w:val="17"/>
          <w:szCs w:val="17"/>
          <w:color w:val="auto"/>
        </w:rPr>
        <w:t>We rely upon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 Trade secrets are generally difficult to protect. Although our employees are subject to confidentiality obligations, this protection may be inadequate to deter or prevent misappropriation of our confidential information and/or the infringement of our patents and copyrights. Further, we may be unable to detect unauthorized use of our intellectual property or otherwise take appropriate steps to enforce our rights. Failure to adequately protect, maintain, or enforce our intellectual property rights may adversely limit our competitive position.</w:t>
      </w:r>
    </w:p>
    <w:p>
      <w:pPr>
        <w:spacing w:after="0" w:line="174"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b w:val="1"/>
          <w:bCs w:val="1"/>
          <w:i w:val="1"/>
          <w:iCs w:val="1"/>
          <w:color w:val="auto"/>
        </w:rPr>
        <w:t>Assertions by third parties of infringement, misappropriation or other violations by us of their intellectual property rights could result in significant costs and substantially harm our business, financial condition and operation results.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3" w:name="page44"/>
    <w:bookmarkEnd w:id="43"/>
    <w:p>
      <w:pPr>
        <w:jc w:val="both"/>
        <w:ind w:firstLine="433"/>
        <w:spacing w:after="0" w:line="236" w:lineRule="auto"/>
        <w:rPr>
          <w:sz w:val="20"/>
          <w:szCs w:val="20"/>
          <w:color w:val="auto"/>
        </w:rPr>
      </w:pPr>
      <w:r>
        <w:rPr>
          <w:rFonts w:ascii="Arial" w:cs="Arial" w:eastAsia="Arial" w:hAnsi="Arial"/>
          <w:sz w:val="17"/>
          <w:szCs w:val="17"/>
          <w:color w:val="auto"/>
        </w:rPr>
        <w:t>In recent years, there has been significant litigation involving intellectual property rights in technology industries. We may face from time to time, allegations that we or a supplier or customer have violated the rights of third parties, including patent, trademark, and other intellectual property rights. If, with respect to any claim against us for violation of third-party intellectual property rights, we are unable to prevail in the litigation or retain or obtain sufficient rights or develop non-infringing intellectual property or otherwise alter our business practices on a timely or cost-efficient basis, our business, financial condition or results of operations may be adversely affected.</w:t>
      </w:r>
    </w:p>
    <w:p>
      <w:pPr>
        <w:spacing w:after="0" w:line="193" w:lineRule="exact"/>
        <w:rPr>
          <w:sz w:val="20"/>
          <w:szCs w:val="20"/>
          <w:color w:val="auto"/>
        </w:rPr>
      </w:pPr>
    </w:p>
    <w:p>
      <w:pPr>
        <w:ind w:right="300" w:firstLine="433"/>
        <w:spacing w:after="0" w:line="237" w:lineRule="auto"/>
        <w:rPr>
          <w:sz w:val="20"/>
          <w:szCs w:val="20"/>
          <w:color w:val="auto"/>
        </w:rPr>
      </w:pPr>
      <w:r>
        <w:rPr>
          <w:rFonts w:ascii="Arial" w:cs="Arial" w:eastAsia="Arial" w:hAnsi="Arial"/>
          <w:sz w:val="17"/>
          <w:szCs w:val="17"/>
          <w:color w:val="auto"/>
        </w:rPr>
        <w:t>Any infringement, misappropriation or related claims, whether or not meritorious, are time consuming, divert technical and management personnel, and are costly to resolve. As a result of any such dispute, we may have to develop non-infringing technology, pay damages, enter into royalty or licensing agreements, cease utilizing products or services, or take other actions to resolve the claims. These actions, if required, may be costly or unavailable on terms acceptable to us.</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7"/>
          <w:szCs w:val="17"/>
          <w:b w:val="1"/>
          <w:bCs w:val="1"/>
          <w:color w:val="auto"/>
        </w:rPr>
        <w:t>Risks Related to International Operations</w:t>
      </w:r>
    </w:p>
    <w:p>
      <w:pPr>
        <w:spacing w:after="0" w:line="198" w:lineRule="exact"/>
        <w:rPr>
          <w:sz w:val="20"/>
          <w:szCs w:val="20"/>
          <w:color w:val="auto"/>
        </w:rPr>
      </w:pPr>
    </w:p>
    <w:p>
      <w:pPr>
        <w:ind w:right="720"/>
        <w:spacing w:after="0" w:line="267" w:lineRule="auto"/>
        <w:rPr>
          <w:sz w:val="20"/>
          <w:szCs w:val="20"/>
          <w:color w:val="auto"/>
        </w:rPr>
      </w:pPr>
      <w:r>
        <w:rPr>
          <w:rFonts w:ascii="Arial" w:cs="Arial" w:eastAsia="Arial" w:hAnsi="Arial"/>
          <w:sz w:val="17"/>
          <w:szCs w:val="17"/>
          <w:b w:val="1"/>
          <w:bCs w:val="1"/>
          <w:i w:val="1"/>
          <w:iCs w:val="1"/>
          <w:color w:val="auto"/>
        </w:rPr>
        <w:t>Our operations outside the United States expose us to legal, political and economic risks in different countries as well as currency exchange rate fluctuations that could harm our business and financial results.</w:t>
      </w:r>
    </w:p>
    <w:p>
      <w:pPr>
        <w:spacing w:after="0" w:line="168" w:lineRule="exact"/>
        <w:rPr>
          <w:sz w:val="20"/>
          <w:szCs w:val="20"/>
          <w:color w:val="auto"/>
        </w:rPr>
      </w:pPr>
    </w:p>
    <w:p>
      <w:pPr>
        <w:ind w:right="260" w:firstLine="433"/>
        <w:spacing w:after="0" w:line="242" w:lineRule="auto"/>
        <w:rPr>
          <w:sz w:val="20"/>
          <w:szCs w:val="20"/>
          <w:color w:val="auto"/>
        </w:rPr>
      </w:pPr>
      <w:r>
        <w:rPr>
          <w:rFonts w:ascii="Arial" w:cs="Arial" w:eastAsia="Arial" w:hAnsi="Arial"/>
          <w:sz w:val="17"/>
          <w:szCs w:val="17"/>
          <w:color w:val="auto"/>
        </w:rPr>
        <w:t>Revenue attributable to our services provided outside of the United States as a percentage of our total revenue was 25.0% in 2021, 24.5% in 2020 and 24.8% in 2019. There are risks inherent in doing business internationally, including:</w:t>
      </w:r>
    </w:p>
    <w:p>
      <w:pPr>
        <w:spacing w:after="0" w:line="189" w:lineRule="exact"/>
        <w:rPr>
          <w:sz w:val="20"/>
          <w:szCs w:val="20"/>
          <w:color w:val="auto"/>
        </w:rPr>
      </w:pPr>
    </w:p>
    <w:p>
      <w:pPr>
        <w:ind w:left="1300" w:hanging="436"/>
        <w:spacing w:after="0"/>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imposition of governmental controls and changes in laws, regulations or policies;</w:t>
      </w:r>
    </w:p>
    <w:p>
      <w:pPr>
        <w:spacing w:after="0" w:line="210" w:lineRule="exact"/>
        <w:rPr>
          <w:rFonts w:ascii="Arial" w:cs="Arial" w:eastAsia="Arial" w:hAnsi="Arial"/>
          <w:sz w:val="17"/>
          <w:szCs w:val="17"/>
          <w:color w:val="auto"/>
        </w:rPr>
      </w:pPr>
    </w:p>
    <w:p>
      <w:pPr>
        <w:ind w:left="1300" w:hanging="436"/>
        <w:spacing w:after="0"/>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political and economic instability, such as in the Middle East;</w:t>
      </w:r>
    </w:p>
    <w:p>
      <w:pPr>
        <w:spacing w:after="0" w:line="210" w:lineRule="exact"/>
        <w:rPr>
          <w:rFonts w:ascii="Arial" w:cs="Arial" w:eastAsia="Arial" w:hAnsi="Arial"/>
          <w:sz w:val="17"/>
          <w:szCs w:val="17"/>
          <w:color w:val="auto"/>
        </w:rPr>
      </w:pPr>
    </w:p>
    <w:p>
      <w:pPr>
        <w:ind w:left="1300" w:hanging="436"/>
        <w:spacing w:after="0"/>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civil unrest, acts of terrorism, force majeure, war, or other armed conflict;</w:t>
      </w:r>
    </w:p>
    <w:p>
      <w:pPr>
        <w:spacing w:after="0" w:line="210" w:lineRule="exact"/>
        <w:rPr>
          <w:rFonts w:ascii="Arial" w:cs="Arial" w:eastAsia="Arial" w:hAnsi="Arial"/>
          <w:sz w:val="17"/>
          <w:szCs w:val="17"/>
          <w:color w:val="auto"/>
        </w:rPr>
      </w:pPr>
    </w:p>
    <w:p>
      <w:pPr>
        <w:ind w:left="1300" w:hanging="436"/>
        <w:spacing w:after="0"/>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greater physical security risks;</w:t>
      </w:r>
    </w:p>
    <w:p>
      <w:pPr>
        <w:spacing w:after="0" w:line="210" w:lineRule="exact"/>
        <w:rPr>
          <w:rFonts w:ascii="Arial" w:cs="Arial" w:eastAsia="Arial" w:hAnsi="Arial"/>
          <w:sz w:val="17"/>
          <w:szCs w:val="17"/>
          <w:color w:val="auto"/>
        </w:rPr>
      </w:pPr>
    </w:p>
    <w:p>
      <w:pPr>
        <w:ind w:left="1300" w:hanging="436"/>
        <w:spacing w:after="0"/>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U.S. and other national government trade policies affecting the markets for our services;</w:t>
      </w:r>
    </w:p>
    <w:p>
      <w:pPr>
        <w:spacing w:after="0" w:line="210" w:lineRule="exact"/>
        <w:rPr>
          <w:rFonts w:ascii="Arial" w:cs="Arial" w:eastAsia="Arial" w:hAnsi="Arial"/>
          <w:sz w:val="17"/>
          <w:szCs w:val="17"/>
          <w:color w:val="auto"/>
        </w:rPr>
      </w:pPr>
    </w:p>
    <w:p>
      <w:pPr>
        <w:ind w:left="1300" w:hanging="436"/>
        <w:spacing w:after="0"/>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regulatory practices, tariffs and taxes;</w:t>
      </w:r>
    </w:p>
    <w:p>
      <w:pPr>
        <w:spacing w:after="0" w:line="210" w:lineRule="exact"/>
        <w:rPr>
          <w:rFonts w:ascii="Arial" w:cs="Arial" w:eastAsia="Arial" w:hAnsi="Arial"/>
          <w:sz w:val="17"/>
          <w:szCs w:val="17"/>
          <w:color w:val="auto"/>
        </w:rPr>
      </w:pPr>
    </w:p>
    <w:p>
      <w:pPr>
        <w:ind w:left="1300" w:right="260" w:hanging="436"/>
        <w:spacing w:after="0" w:line="242" w:lineRule="auto"/>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potential non-compliance with a wide variety of laws and regulations, including anti-corruption, U.S. export controls and economic and trade sanctions, and anti-boycott laws and similar non-U.S. laws and regulations;</w:t>
      </w:r>
    </w:p>
    <w:p>
      <w:pPr>
        <w:spacing w:after="0" w:line="188" w:lineRule="exact"/>
        <w:rPr>
          <w:rFonts w:ascii="Arial" w:cs="Arial" w:eastAsia="Arial" w:hAnsi="Arial"/>
          <w:sz w:val="17"/>
          <w:szCs w:val="17"/>
          <w:color w:val="auto"/>
        </w:rPr>
      </w:pPr>
    </w:p>
    <w:p>
      <w:pPr>
        <w:ind w:left="1300" w:hanging="436"/>
        <w:spacing w:after="0"/>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labor conditions;</w:t>
      </w:r>
    </w:p>
    <w:p>
      <w:pPr>
        <w:spacing w:after="0" w:line="210" w:lineRule="exact"/>
        <w:rPr>
          <w:rFonts w:ascii="Arial" w:cs="Arial" w:eastAsia="Arial" w:hAnsi="Arial"/>
          <w:sz w:val="17"/>
          <w:szCs w:val="17"/>
          <w:color w:val="auto"/>
        </w:rPr>
      </w:pPr>
    </w:p>
    <w:p>
      <w:pPr>
        <w:ind w:left="1300" w:hanging="436"/>
        <w:spacing w:after="0"/>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logistical and communication challenges;</w:t>
      </w:r>
    </w:p>
    <w:p>
      <w:pPr>
        <w:spacing w:after="0" w:line="210" w:lineRule="exact"/>
        <w:rPr>
          <w:rFonts w:ascii="Arial" w:cs="Arial" w:eastAsia="Arial" w:hAnsi="Arial"/>
          <w:sz w:val="17"/>
          <w:szCs w:val="17"/>
          <w:color w:val="auto"/>
        </w:rPr>
      </w:pPr>
    </w:p>
    <w:p>
      <w:pPr>
        <w:ind w:left="1300" w:hanging="436"/>
        <w:spacing w:after="0"/>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currency exchange rate fluctuations, devaluations and other conversion restrictions; and</w:t>
      </w:r>
    </w:p>
    <w:p>
      <w:pPr>
        <w:spacing w:after="0" w:line="210" w:lineRule="exact"/>
        <w:rPr>
          <w:rFonts w:ascii="Arial" w:cs="Arial" w:eastAsia="Arial" w:hAnsi="Arial"/>
          <w:sz w:val="17"/>
          <w:szCs w:val="17"/>
          <w:color w:val="auto"/>
        </w:rPr>
      </w:pPr>
    </w:p>
    <w:p>
      <w:pPr>
        <w:ind w:left="1300" w:hanging="436"/>
        <w:spacing w:after="0"/>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health and safety concerns, including those related to the COVID-19 pandemic and other potential epidemics.</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Any of these factors could have a material adverse effect on our business, financial condition or results of operations.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44" w:name="page45"/>
    <w:bookmarkEnd w:id="44"/>
    <w:p>
      <w:pPr>
        <w:ind w:right="380"/>
        <w:spacing w:after="0" w:line="267" w:lineRule="auto"/>
        <w:rPr>
          <w:sz w:val="20"/>
          <w:szCs w:val="20"/>
          <w:color w:val="auto"/>
        </w:rPr>
      </w:pPr>
      <w:r>
        <w:rPr>
          <w:rFonts w:ascii="Arial" w:cs="Arial" w:eastAsia="Arial" w:hAnsi="Arial"/>
          <w:sz w:val="17"/>
          <w:szCs w:val="17"/>
          <w:b w:val="1"/>
          <w:bCs w:val="1"/>
          <w:i w:val="1"/>
          <w:iCs w:val="1"/>
          <w:color w:val="auto"/>
        </w:rPr>
        <w:t>We have operations in the Middle East and neighboring regions, and these regions may experience turmoil that may impact our current projects, future business and financial stability.</w:t>
      </w:r>
    </w:p>
    <w:p>
      <w:pPr>
        <w:spacing w:after="0" w:line="168" w:lineRule="exact"/>
        <w:rPr>
          <w:sz w:val="20"/>
          <w:szCs w:val="20"/>
          <w:color w:val="auto"/>
        </w:rPr>
      </w:pPr>
    </w:p>
    <w:p>
      <w:pPr>
        <w:ind w:right="120" w:firstLine="433"/>
        <w:spacing w:after="0" w:line="235" w:lineRule="auto"/>
        <w:rPr>
          <w:sz w:val="20"/>
          <w:szCs w:val="20"/>
          <w:color w:val="auto"/>
        </w:rPr>
      </w:pPr>
      <w:r>
        <w:rPr>
          <w:rFonts w:ascii="Arial" w:cs="Arial" w:eastAsia="Arial" w:hAnsi="Arial"/>
          <w:sz w:val="17"/>
          <w:szCs w:val="17"/>
          <w:color w:val="auto"/>
        </w:rPr>
        <w:t>We currently have operations in the Middle East, including in Oman, Qatar, Saudi Arabia and the United Arab Emirates. These countries experience frequent political turmoil such as the tensions among Qatar and several of its neighbors, including Saudi Arabia and the United Arab Emirates. This uncertainty may affect our ability to continue our projects in these regions due to lack of resources, local support, and safety for our workers. If we are unable to finish these projects, it is likely that our finances will be impacted. Furthermore, we may experience liability regarding our employees and their safety and security in these locations. We also may incur material costs to maintain the safety of our personnel. Despite these precautions, the safety of our personnel in these locations may continue to be at risk. Acts of terrorism and threats of armed conflicts in or around various areas in which we operate could limit or disrupt markets and our operations, including disruptions resulting from the evacuation of personnel, cancellation of contracts, or the loss of key employees, contractors or assets.</w:t>
      </w:r>
    </w:p>
    <w:p>
      <w:pPr>
        <w:spacing w:after="0" w:line="173"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b w:val="1"/>
          <w:bCs w:val="1"/>
          <w:i w:val="1"/>
          <w:iCs w:val="1"/>
          <w:color w:val="auto"/>
        </w:rPr>
        <w:t>We operate in many different jurisdictions and we could be adversely affected by violations of the U.S. Foreign Corrupt Practices Act and similar worldwide anti-corruption laws.</w:t>
      </w:r>
    </w:p>
    <w:p>
      <w:pPr>
        <w:spacing w:after="0" w:line="168" w:lineRule="exact"/>
        <w:rPr>
          <w:sz w:val="20"/>
          <w:szCs w:val="20"/>
          <w:color w:val="auto"/>
        </w:rPr>
      </w:pPr>
    </w:p>
    <w:p>
      <w:pPr>
        <w:ind w:right="100" w:firstLine="433"/>
        <w:spacing w:after="0" w:line="235" w:lineRule="auto"/>
        <w:rPr>
          <w:sz w:val="20"/>
          <w:szCs w:val="20"/>
          <w:color w:val="auto"/>
        </w:rPr>
      </w:pPr>
      <w:r>
        <w:rPr>
          <w:rFonts w:ascii="Arial" w:cs="Arial" w:eastAsia="Arial" w:hAnsi="Arial"/>
          <w:sz w:val="17"/>
          <w:szCs w:val="17"/>
          <w:color w:val="auto"/>
        </w:rPr>
        <w:t>The FCPA and similar worldwide anti-corruption laws, including the U.K. Bribery Act of 2010, generally prohibit companies and their intermediaries from making improper payments to non-U.S. officials for the purpose of obtaining or retaining business. Our internal policies mandate compliance with these anti-corruption laws, including the requirements to maintain accurate information and internal controls which may fall within the purview of the FCPA, its books and records provisions or its anti-bribery provisions. We operate in many parts of the world that have experienced governmental corruption to some degree; and, in some circumstances, strict compliance with anticorruption laws may conflict with local customs and practices. Despite our training and compliance programs, we cannot be certain that our internal control policies and procedures always will protect us from reckless or criminal acts committed by our employees or agents. In addition, from time to time, government investigations of corruption in industries we operate in may affect us and our peers. Violations of these laws, or allegations of such violations, could disrupt our business and result in a material adverse effect on our business, financial condition or results of operations.</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7"/>
          <w:szCs w:val="17"/>
          <w:b w:val="1"/>
          <w:bCs w:val="1"/>
          <w:color w:val="auto"/>
        </w:rPr>
        <w:t>Risks Related to Debt and Backlog</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realize the full value of our backlog, which may result in lower-than-expected revenue.</w:t>
      </w:r>
    </w:p>
    <w:p>
      <w:pPr>
        <w:spacing w:after="0" w:line="218" w:lineRule="exact"/>
        <w:rPr>
          <w:sz w:val="20"/>
          <w:szCs w:val="20"/>
          <w:color w:val="auto"/>
        </w:rPr>
      </w:pPr>
    </w:p>
    <w:p>
      <w:pPr>
        <w:ind w:firstLine="433"/>
        <w:spacing w:after="0" w:line="249" w:lineRule="auto"/>
        <w:rPr>
          <w:sz w:val="20"/>
          <w:szCs w:val="20"/>
          <w:color w:val="auto"/>
        </w:rPr>
      </w:pPr>
      <w:r>
        <w:rPr>
          <w:rFonts w:ascii="Arial" w:cs="Arial" w:eastAsia="Arial" w:hAnsi="Arial"/>
          <w:sz w:val="16"/>
          <w:szCs w:val="16"/>
          <w:color w:val="auto"/>
        </w:rPr>
        <w:t>As of December 31, 2021, our total backlog was $8.3 billion, of which $4.4 billion was funded. Our backlog includes orders under contracts that can extend for several years, and in some cases, contracts that extend for more than 10 to 15 years. We historically have not realized all of the revenue included in our total backlog, and we may not realize all of the revenue included in our total backlog in the future. There is a somewhat higher degree of risk in this regard with respect to unfunded backlog and backlog related to unexercised options years and IDIQ contracts for which task orders have not yet been issued. In addition, there can be no assurance that our backlog will result in actual revenue in any particular period. This is because the actual receipt, timing and amount of revenue under contracts included in backlog are subject to various contingencies, including congressional appropriations, many of which are beyond our control. In particular, delays in the completion of the U.S. government’s budgeting process and the use of continuing resolutions could adversely affect our ability to timely recognize revenue under our contracts included in backlog. Furthermore, the actual receipt of revenue from contracts included in backlog may never occur or may be delayed because: a program schedule could change or the program could be canceled; a contract’s funding or scope could be reduced, modified, delayed or terminated early, including as a result of a lack of appropriated funds or as a result of cost cutting initiatives and other efforts to reduce government spending; in the case of funded backlog, the period of performance for the contract has expired; in the case of unfunded backlog, funding may not be available; in the case of backlog related to unexercised option years, the contract option is not yet exercised or may ever be exercised; and, in the case of backlog related to IDIQ contracts where task orders have not been issued, no further task orders may be issued. In addition, headcount growth is the primary means by which we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45" w:name="page46"/>
    <w:bookmarkEnd w:id="45"/>
    <w:p>
      <w:pPr>
        <w:ind w:right="40"/>
        <w:spacing w:after="0" w:line="235" w:lineRule="auto"/>
        <w:rPr>
          <w:sz w:val="20"/>
          <w:szCs w:val="20"/>
          <w:color w:val="auto"/>
        </w:rPr>
      </w:pPr>
      <w:r>
        <w:rPr>
          <w:rFonts w:ascii="Arial" w:cs="Arial" w:eastAsia="Arial" w:hAnsi="Arial"/>
          <w:sz w:val="17"/>
          <w:szCs w:val="17"/>
          <w:color w:val="auto"/>
        </w:rPr>
        <w:t>are able to achieve revenue growth. Any inability to hire additional appropriately qualified personnel or failure to timely and effectively deploy such additional personnel against funded backlog could negatively affect our ability to grow our revenue. We may also not recognize revenue on funded backlog due to, among other reasons, the tardy submissions of invoices by our subcontractors and the expiration of the relevant appropriated funding in accordance with a predetermined expiration date such as the end of the U.S. government’s fiscal year. The amount of our funded backlog is also subject to change, due to, among other factors: changes in appropriations that reflect changes in government policies or priorities resulting from various military, political, economic or international developments; changes in the use of government contracting vehicles, and the provisions therein used to procure our services; and adjustments to the scope of services under, or cancellation of contracts, by the applicable government at any time. Furthermore, even if our backlog results in revenue, the contracts may not be profitable.</w:t>
      </w:r>
    </w:p>
    <w:p>
      <w:pPr>
        <w:spacing w:after="0" w:line="173"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i w:val="1"/>
          <w:iCs w:val="1"/>
          <w:color w:val="auto"/>
        </w:rPr>
        <w:t>If we cannot collect our receivables or if payment is delayed, our business may be adversely affected by our inability to generate cash flow, provide working capital or continue our business operations.</w:t>
      </w:r>
    </w:p>
    <w:p>
      <w:pPr>
        <w:spacing w:after="0" w:line="168" w:lineRule="exact"/>
        <w:rPr>
          <w:sz w:val="20"/>
          <w:szCs w:val="20"/>
          <w:color w:val="auto"/>
        </w:rPr>
      </w:pPr>
    </w:p>
    <w:p>
      <w:pPr>
        <w:ind w:right="100" w:firstLine="433"/>
        <w:spacing w:after="0" w:line="236" w:lineRule="auto"/>
        <w:rPr>
          <w:sz w:val="20"/>
          <w:szCs w:val="20"/>
          <w:color w:val="auto"/>
        </w:rPr>
      </w:pPr>
      <w:r>
        <w:rPr>
          <w:rFonts w:ascii="Arial" w:cs="Arial" w:eastAsia="Arial" w:hAnsi="Arial"/>
          <w:sz w:val="17"/>
          <w:szCs w:val="17"/>
          <w:color w:val="auto"/>
        </w:rPr>
        <w:t>As of December 31, 2021, our accounts receivable, net was $598.3 million. We depend on the timely collection of our receivables to generate cash flow, provide working capital and continue our business operations. If our customers fail to pay or delay the payment of invoices for any reason, our business and financial condition may be materially and adversely affected. Our customers have in the past and may in the future delay or fail to pay invoices for a number of reasons, including lack of appropriated funds, lack of an approved budget or as a result of audit findings by government regulatory agencies. We also experience longer payment cycles in the Middle East. We cannot assure you that we will collect all our accounts receivable in excess of our allowance for doubtful accounts in a timely manner, which would impact our cash flows.</w:t>
      </w:r>
    </w:p>
    <w:p>
      <w:pPr>
        <w:spacing w:after="0" w:line="171" w:lineRule="exact"/>
        <w:rPr>
          <w:sz w:val="20"/>
          <w:szCs w:val="20"/>
          <w:color w:val="auto"/>
        </w:rPr>
      </w:pPr>
    </w:p>
    <w:p>
      <w:pPr>
        <w:ind w:right="400"/>
        <w:spacing w:after="0" w:line="267" w:lineRule="auto"/>
        <w:rPr>
          <w:sz w:val="20"/>
          <w:szCs w:val="20"/>
          <w:color w:val="auto"/>
        </w:rPr>
      </w:pPr>
      <w:r>
        <w:rPr>
          <w:rFonts w:ascii="Arial" w:cs="Arial" w:eastAsia="Arial" w:hAnsi="Arial"/>
          <w:sz w:val="17"/>
          <w:szCs w:val="17"/>
          <w:b w:val="1"/>
          <w:bCs w:val="1"/>
          <w:i w:val="1"/>
          <w:iCs w:val="1"/>
          <w:color w:val="auto"/>
        </w:rPr>
        <w:t>The agreements governing our debt contain a number of restrictive covenants which may limit our ability to finance future operations, acquisitions or capital needs or engage in other business activities that may be in our interest.</w:t>
      </w:r>
    </w:p>
    <w:p>
      <w:pPr>
        <w:spacing w:after="0" w:line="168" w:lineRule="exact"/>
        <w:rPr>
          <w:sz w:val="20"/>
          <w:szCs w:val="20"/>
          <w:color w:val="auto"/>
        </w:rPr>
      </w:pPr>
    </w:p>
    <w:p>
      <w:pPr>
        <w:jc w:val="both"/>
        <w:ind w:right="260" w:firstLine="433"/>
        <w:spacing w:after="0" w:line="238" w:lineRule="auto"/>
        <w:rPr>
          <w:sz w:val="20"/>
          <w:szCs w:val="20"/>
          <w:color w:val="auto"/>
        </w:rPr>
      </w:pPr>
      <w:r>
        <w:rPr>
          <w:rFonts w:ascii="Arial" w:cs="Arial" w:eastAsia="Arial" w:hAnsi="Arial"/>
          <w:sz w:val="17"/>
          <w:szCs w:val="17"/>
          <w:color w:val="auto"/>
        </w:rPr>
        <w:t>As of December 31, 2021, our total indebtedness was approximately $590 million. Our Credit Agreement and the agreements governing our Senior Notes and Convertible Notes contain a number of covenants that impose operating and other restrictions on us and our subsidiaries. Such restrictions affect or will affect, and in many respects limit or prohibit our ability and the ability of our subsidiaries to, among other things:</w:t>
      </w:r>
    </w:p>
    <w:p>
      <w:pPr>
        <w:spacing w:after="0" w:line="192" w:lineRule="exact"/>
        <w:rPr>
          <w:sz w:val="20"/>
          <w:szCs w:val="20"/>
          <w:color w:val="auto"/>
        </w:rPr>
      </w:pPr>
    </w:p>
    <w:p>
      <w:pPr>
        <w:ind w:left="1300" w:hanging="436"/>
        <w:spacing w:after="0"/>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incur additional indebtedness;</w:t>
      </w:r>
    </w:p>
    <w:p>
      <w:pPr>
        <w:spacing w:after="0" w:line="210" w:lineRule="exact"/>
        <w:rPr>
          <w:rFonts w:ascii="Arial" w:cs="Arial" w:eastAsia="Arial" w:hAnsi="Arial"/>
          <w:sz w:val="17"/>
          <w:szCs w:val="17"/>
          <w:color w:val="auto"/>
        </w:rPr>
      </w:pPr>
    </w:p>
    <w:p>
      <w:pPr>
        <w:ind w:left="1300" w:hanging="436"/>
        <w:spacing w:after="0"/>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create liens;</w:t>
      </w:r>
    </w:p>
    <w:p>
      <w:pPr>
        <w:spacing w:after="0" w:line="210" w:lineRule="exact"/>
        <w:rPr>
          <w:rFonts w:ascii="Arial" w:cs="Arial" w:eastAsia="Arial" w:hAnsi="Arial"/>
          <w:sz w:val="17"/>
          <w:szCs w:val="17"/>
          <w:color w:val="auto"/>
        </w:rPr>
      </w:pPr>
    </w:p>
    <w:p>
      <w:pPr>
        <w:ind w:left="1300" w:hanging="436"/>
        <w:spacing w:after="0"/>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pay dividends and make other distributions in respect of our equity securities;</w:t>
      </w:r>
    </w:p>
    <w:p>
      <w:pPr>
        <w:spacing w:after="0" w:line="210" w:lineRule="exact"/>
        <w:rPr>
          <w:rFonts w:ascii="Arial" w:cs="Arial" w:eastAsia="Arial" w:hAnsi="Arial"/>
          <w:sz w:val="17"/>
          <w:szCs w:val="17"/>
          <w:color w:val="auto"/>
        </w:rPr>
      </w:pPr>
    </w:p>
    <w:p>
      <w:pPr>
        <w:ind w:left="1300" w:hanging="436"/>
        <w:spacing w:after="0"/>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redeem our equity securities;</w:t>
      </w:r>
    </w:p>
    <w:p>
      <w:pPr>
        <w:spacing w:after="0" w:line="210" w:lineRule="exact"/>
        <w:rPr>
          <w:rFonts w:ascii="Arial" w:cs="Arial" w:eastAsia="Arial" w:hAnsi="Arial"/>
          <w:sz w:val="17"/>
          <w:szCs w:val="17"/>
          <w:color w:val="auto"/>
        </w:rPr>
      </w:pPr>
    </w:p>
    <w:p>
      <w:pPr>
        <w:ind w:left="1300" w:hanging="436"/>
        <w:spacing w:after="0"/>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make loans, advances, investments or other restricted payments;</w:t>
      </w:r>
    </w:p>
    <w:p>
      <w:pPr>
        <w:spacing w:after="0" w:line="210" w:lineRule="exact"/>
        <w:rPr>
          <w:rFonts w:ascii="Arial" w:cs="Arial" w:eastAsia="Arial" w:hAnsi="Arial"/>
          <w:sz w:val="17"/>
          <w:szCs w:val="17"/>
          <w:color w:val="auto"/>
        </w:rPr>
      </w:pPr>
    </w:p>
    <w:p>
      <w:pPr>
        <w:ind w:left="1300" w:hanging="436"/>
        <w:spacing w:after="0"/>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sell assets or receivables;</w:t>
      </w:r>
    </w:p>
    <w:p>
      <w:pPr>
        <w:spacing w:after="0" w:line="210" w:lineRule="exact"/>
        <w:rPr>
          <w:rFonts w:ascii="Arial" w:cs="Arial" w:eastAsia="Arial" w:hAnsi="Arial"/>
          <w:sz w:val="17"/>
          <w:szCs w:val="17"/>
          <w:color w:val="auto"/>
        </w:rPr>
      </w:pPr>
    </w:p>
    <w:p>
      <w:pPr>
        <w:ind w:left="1300" w:hanging="436"/>
        <w:spacing w:after="0"/>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engage in certain business activities;</w:t>
      </w:r>
    </w:p>
    <w:p>
      <w:pPr>
        <w:spacing w:after="0" w:line="210" w:lineRule="exact"/>
        <w:rPr>
          <w:rFonts w:ascii="Arial" w:cs="Arial" w:eastAsia="Arial" w:hAnsi="Arial"/>
          <w:sz w:val="17"/>
          <w:szCs w:val="17"/>
          <w:color w:val="auto"/>
        </w:rPr>
      </w:pPr>
    </w:p>
    <w:p>
      <w:pPr>
        <w:ind w:left="1300" w:hanging="436"/>
        <w:spacing w:after="0"/>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amend our ESOP’s plan documents;</w:t>
      </w:r>
    </w:p>
    <w:p>
      <w:pPr>
        <w:spacing w:after="0" w:line="210" w:lineRule="exact"/>
        <w:rPr>
          <w:rFonts w:ascii="Arial" w:cs="Arial" w:eastAsia="Arial" w:hAnsi="Arial"/>
          <w:sz w:val="17"/>
          <w:szCs w:val="17"/>
          <w:color w:val="auto"/>
        </w:rPr>
      </w:pPr>
    </w:p>
    <w:p>
      <w:pPr>
        <w:ind w:left="1300" w:hanging="436"/>
        <w:spacing w:after="0"/>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enter into transactions with affiliates; and</w:t>
      </w:r>
    </w:p>
    <w:p>
      <w:pPr>
        <w:spacing w:after="0" w:line="210" w:lineRule="exact"/>
        <w:rPr>
          <w:rFonts w:ascii="Arial" w:cs="Arial" w:eastAsia="Arial" w:hAnsi="Arial"/>
          <w:sz w:val="17"/>
          <w:szCs w:val="17"/>
          <w:color w:val="auto"/>
        </w:rPr>
      </w:pPr>
    </w:p>
    <w:p>
      <w:pPr>
        <w:ind w:left="1300" w:hanging="436"/>
        <w:spacing w:after="0"/>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effect mergers or consolidations.</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46" w:name="page47"/>
    <w:bookmarkEnd w:id="46"/>
    <w:p>
      <w:pPr>
        <w:ind w:right="320" w:firstLine="433"/>
        <w:spacing w:after="0" w:line="242" w:lineRule="auto"/>
        <w:rPr>
          <w:sz w:val="20"/>
          <w:szCs w:val="20"/>
          <w:color w:val="auto"/>
        </w:rPr>
      </w:pPr>
      <w:r>
        <w:rPr>
          <w:rFonts w:ascii="Arial" w:cs="Arial" w:eastAsia="Arial" w:hAnsi="Arial"/>
          <w:sz w:val="17"/>
          <w:szCs w:val="17"/>
          <w:color w:val="auto"/>
        </w:rPr>
        <w:t>In addition, our Credit Agreement also requires us to comply with certain financial ratio covenants, including a debt leverage ratio and a fixed charge coverage ratio. Our ability to comply with these ratios may be affected by events beyond our control.</w:t>
      </w:r>
    </w:p>
    <w:p>
      <w:pPr>
        <w:spacing w:after="0" w:line="189" w:lineRule="exact"/>
        <w:rPr>
          <w:sz w:val="20"/>
          <w:szCs w:val="20"/>
          <w:color w:val="auto"/>
        </w:rPr>
      </w:pPr>
    </w:p>
    <w:p>
      <w:pPr>
        <w:ind w:right="360" w:firstLine="433"/>
        <w:spacing w:after="0" w:line="238" w:lineRule="auto"/>
        <w:rPr>
          <w:sz w:val="20"/>
          <w:szCs w:val="20"/>
          <w:color w:val="auto"/>
        </w:rPr>
      </w:pPr>
      <w:r>
        <w:rPr>
          <w:rFonts w:ascii="Arial" w:cs="Arial" w:eastAsia="Arial" w:hAnsi="Arial"/>
          <w:sz w:val="17"/>
          <w:szCs w:val="17"/>
          <w:color w:val="auto"/>
        </w:rPr>
        <w:t>These restrictions could limit our ability to plan for or react to market or economic conditions or meet capital needs or otherwise restrict our activities or business plans and could adversely affect our ability to finance our operations, acquisitions, investments or strategic alliances or other capital needs or to engage in other business activities that would be in our interest.</w:t>
      </w:r>
    </w:p>
    <w:p>
      <w:pPr>
        <w:spacing w:after="0" w:line="192" w:lineRule="exact"/>
        <w:rPr>
          <w:sz w:val="20"/>
          <w:szCs w:val="20"/>
          <w:color w:val="auto"/>
        </w:rPr>
      </w:pPr>
    </w:p>
    <w:p>
      <w:pPr>
        <w:ind w:right="940" w:firstLine="433"/>
        <w:spacing w:after="0" w:line="242" w:lineRule="auto"/>
        <w:rPr>
          <w:sz w:val="20"/>
          <w:szCs w:val="20"/>
          <w:color w:val="auto"/>
        </w:rPr>
      </w:pPr>
      <w:r>
        <w:rPr>
          <w:rFonts w:ascii="Arial" w:cs="Arial" w:eastAsia="Arial" w:hAnsi="Arial"/>
          <w:sz w:val="17"/>
          <w:szCs w:val="17"/>
          <w:color w:val="auto"/>
        </w:rPr>
        <w:t>A breach of any of these covenants or our inability to comply with the required financial ratios could result in a default under our debt instruments. If an event of default occurs, our creditors could elect to:</w:t>
      </w:r>
    </w:p>
    <w:p>
      <w:pPr>
        <w:spacing w:after="0" w:line="189" w:lineRule="exact"/>
        <w:rPr>
          <w:sz w:val="20"/>
          <w:szCs w:val="20"/>
          <w:color w:val="auto"/>
        </w:rPr>
      </w:pPr>
    </w:p>
    <w:p>
      <w:pPr>
        <w:ind w:left="1300" w:hanging="436"/>
        <w:spacing w:after="0"/>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declare all borrowings outstanding, together with accrued and unpaid interest, to be immediately due and payable;</w:t>
      </w:r>
    </w:p>
    <w:p>
      <w:pPr>
        <w:spacing w:after="0" w:line="210" w:lineRule="exact"/>
        <w:rPr>
          <w:rFonts w:ascii="Arial" w:cs="Arial" w:eastAsia="Arial" w:hAnsi="Arial"/>
          <w:sz w:val="17"/>
          <w:szCs w:val="17"/>
          <w:color w:val="auto"/>
        </w:rPr>
      </w:pPr>
    </w:p>
    <w:p>
      <w:pPr>
        <w:ind w:left="1300" w:hanging="436"/>
        <w:spacing w:after="0"/>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require us to apply all of our available cash to repay the borrowings; or</w:t>
      </w:r>
    </w:p>
    <w:p>
      <w:pPr>
        <w:spacing w:after="0" w:line="210" w:lineRule="exact"/>
        <w:rPr>
          <w:rFonts w:ascii="Arial" w:cs="Arial" w:eastAsia="Arial" w:hAnsi="Arial"/>
          <w:sz w:val="17"/>
          <w:szCs w:val="17"/>
          <w:color w:val="auto"/>
        </w:rPr>
      </w:pPr>
    </w:p>
    <w:p>
      <w:pPr>
        <w:ind w:left="1300" w:hanging="436"/>
        <w:spacing w:after="0"/>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prevent us from making debt service payments on some of our borrowings.</w:t>
      </w:r>
    </w:p>
    <w:p>
      <w:pPr>
        <w:spacing w:after="0" w:line="210" w:lineRule="exact"/>
        <w:rPr>
          <w:sz w:val="20"/>
          <w:szCs w:val="20"/>
          <w:color w:val="auto"/>
        </w:rPr>
      </w:pPr>
    </w:p>
    <w:p>
      <w:pPr>
        <w:ind w:right="120" w:firstLine="433"/>
        <w:spacing w:after="0" w:line="238" w:lineRule="auto"/>
        <w:rPr>
          <w:sz w:val="20"/>
          <w:szCs w:val="20"/>
          <w:color w:val="auto"/>
        </w:rPr>
      </w:pPr>
      <w:r>
        <w:rPr>
          <w:rFonts w:ascii="Arial" w:cs="Arial" w:eastAsia="Arial" w:hAnsi="Arial"/>
          <w:sz w:val="17"/>
          <w:szCs w:val="17"/>
          <w:color w:val="auto"/>
        </w:rPr>
        <w:t>If we were unable to repay or otherwise refinance these borrowings when due, the lenders under our Credit Agreement could demand payment from subsidiary guarantors, as provided under our Credit Agreement. These guarantors constitute substantially all of our domestic, wholly owned subsidiaries’ assets.</w:t>
      </w:r>
    </w:p>
    <w:p>
      <w:pPr>
        <w:spacing w:after="0" w:line="172" w:lineRule="exact"/>
        <w:rPr>
          <w:sz w:val="20"/>
          <w:szCs w:val="20"/>
          <w:color w:val="auto"/>
        </w:rPr>
      </w:pPr>
    </w:p>
    <w:p>
      <w:pPr>
        <w:jc w:val="both"/>
        <w:ind w:right="280"/>
        <w:spacing w:after="0" w:line="250" w:lineRule="auto"/>
        <w:rPr>
          <w:sz w:val="20"/>
          <w:szCs w:val="20"/>
          <w:color w:val="auto"/>
        </w:rPr>
      </w:pPr>
      <w:r>
        <w:rPr>
          <w:rFonts w:ascii="Arial" w:cs="Arial" w:eastAsia="Arial" w:hAnsi="Arial"/>
          <w:sz w:val="17"/>
          <w:szCs w:val="17"/>
          <w:b w:val="1"/>
          <w:bCs w:val="1"/>
          <w:i w:val="1"/>
          <w:iCs w:val="1"/>
          <w:color w:val="auto"/>
        </w:rPr>
        <w:t>Prior to our initial public offering, we were 100% owned by the ESOP, which is a retirement plan that is intended to be qualified under the Internal Revenue Code. If the ESOP failed to meet the requirements of a tax qualified retirement plan, we could be subject to substantial penalties.</w:t>
      </w:r>
    </w:p>
    <w:p>
      <w:pPr>
        <w:spacing w:after="0" w:line="182" w:lineRule="exact"/>
        <w:rPr>
          <w:sz w:val="20"/>
          <w:szCs w:val="20"/>
          <w:color w:val="auto"/>
        </w:rPr>
      </w:pPr>
    </w:p>
    <w:p>
      <w:pPr>
        <w:ind w:right="20" w:firstLine="433"/>
        <w:spacing w:after="0" w:line="236" w:lineRule="auto"/>
        <w:rPr>
          <w:sz w:val="20"/>
          <w:szCs w:val="20"/>
          <w:color w:val="auto"/>
        </w:rPr>
      </w:pPr>
      <w:r>
        <w:rPr>
          <w:rFonts w:ascii="Arial" w:cs="Arial" w:eastAsia="Arial" w:hAnsi="Arial"/>
          <w:sz w:val="17"/>
          <w:szCs w:val="17"/>
          <w:color w:val="auto"/>
        </w:rPr>
        <w:t>The ESOP is a defined contribution retirement plan subject to the requirements of the Internal Revenue Code (Code) and the Employment Retirement Income Security Act (ERISA). The ESOP received a determination letter, dated January 31, 2012, from the Internal Revenue Service (IRS) that it meets the requirements of a tax qualified retirement plan in form, and we endeavor to maintain and administer the ESOP in compliance with all requirements of the Code and ERISA. However, the rules regarding tax qualified plans, and especially ESOPs, are complex and change frequently. Accordingly, it is possible that the ESOP may not have been administered in full compliance with all applicable rules under the Code or ERISA at all times.</w:t>
      </w:r>
    </w:p>
    <w:p>
      <w:pPr>
        <w:spacing w:after="0" w:line="191" w:lineRule="exact"/>
        <w:rPr>
          <w:sz w:val="20"/>
          <w:szCs w:val="20"/>
          <w:color w:val="auto"/>
        </w:rPr>
      </w:pPr>
    </w:p>
    <w:p>
      <w:pPr>
        <w:jc w:val="both"/>
        <w:ind w:right="40" w:firstLine="433"/>
        <w:spacing w:after="0" w:line="260" w:lineRule="auto"/>
        <w:rPr>
          <w:sz w:val="20"/>
          <w:szCs w:val="20"/>
          <w:color w:val="auto"/>
        </w:rPr>
      </w:pPr>
      <w:r>
        <w:rPr>
          <w:rFonts w:ascii="Arial" w:cs="Arial" w:eastAsia="Arial" w:hAnsi="Arial"/>
          <w:sz w:val="16"/>
          <w:szCs w:val="16"/>
          <w:color w:val="auto"/>
        </w:rPr>
        <w:t>If the ESOP were determined not to be in material compliance with the Code or ERISA, then the ESOP could lose its tax qualified status and we could be subject to substantial penalties under the Code and ERISA which could have a material adverse effect on our business, financial condition or results of operations. Additionally, loss of the ESOP’s tax-qualified status would adversely impact our prior treatment as an S Corporation.</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7"/>
          <w:szCs w:val="17"/>
          <w:b w:val="1"/>
          <w:bCs w:val="1"/>
          <w:i w:val="1"/>
          <w:iCs w:val="1"/>
          <w:color w:val="auto"/>
        </w:rPr>
        <w:t>Risks Related to our Employees</w:t>
      </w:r>
    </w:p>
    <w:p>
      <w:pPr>
        <w:spacing w:after="0" w:line="198" w:lineRule="exact"/>
        <w:rPr>
          <w:sz w:val="20"/>
          <w:szCs w:val="20"/>
          <w:color w:val="auto"/>
        </w:rPr>
      </w:pPr>
    </w:p>
    <w:p>
      <w:pPr>
        <w:ind w:right="320"/>
        <w:spacing w:after="0" w:line="267" w:lineRule="auto"/>
        <w:rPr>
          <w:sz w:val="20"/>
          <w:szCs w:val="20"/>
          <w:color w:val="auto"/>
        </w:rPr>
      </w:pPr>
      <w:r>
        <w:rPr>
          <w:rFonts w:ascii="Arial" w:cs="Arial" w:eastAsia="Arial" w:hAnsi="Arial"/>
          <w:sz w:val="17"/>
          <w:szCs w:val="17"/>
          <w:b w:val="1"/>
          <w:bCs w:val="1"/>
          <w:i w:val="1"/>
          <w:iCs w:val="1"/>
          <w:color w:val="auto"/>
        </w:rPr>
        <w:t>A failure to attract, train and retain skilled employees and our senior management team would adversely affect our ability to execute our strategy and may disrupt our operations.</w:t>
      </w:r>
    </w:p>
    <w:p>
      <w:pPr>
        <w:spacing w:after="0" w:line="168" w:lineRule="exact"/>
        <w:rPr>
          <w:sz w:val="20"/>
          <w:szCs w:val="20"/>
          <w:color w:val="auto"/>
        </w:rPr>
      </w:pPr>
    </w:p>
    <w:p>
      <w:pPr>
        <w:ind w:firstLine="433"/>
        <w:spacing w:after="0" w:line="236" w:lineRule="auto"/>
        <w:rPr>
          <w:sz w:val="20"/>
          <w:szCs w:val="20"/>
          <w:color w:val="auto"/>
        </w:rPr>
      </w:pPr>
      <w:r>
        <w:rPr>
          <w:rFonts w:ascii="Arial" w:cs="Arial" w:eastAsia="Arial" w:hAnsi="Arial"/>
          <w:sz w:val="17"/>
          <w:szCs w:val="17"/>
          <w:color w:val="auto"/>
        </w:rPr>
        <w:t>Our business relies heavily upon the expertise and services of our employees. Our continued success depends on our ability to recruit and retain highly trained and skilled engineering, technical and professional personnel. Competition for skilled personnel is intense and competitors aggressively recruit key employees. In addition, many U.S. government programs require contractors to have security clearances. Depending on the level of required clearance, security clearances can be difficult and time-consuming to obtain and personnel with security clearances are in great demand. Particularly in highly specialized areas, it has become more difficult to retain employees and meet all of our needs for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7" w:name="page48"/>
    <w:bookmarkEnd w:id="47"/>
    <w:p>
      <w:pPr>
        <w:ind w:right="140"/>
        <w:spacing w:after="0" w:line="237" w:lineRule="auto"/>
        <w:rPr>
          <w:sz w:val="20"/>
          <w:szCs w:val="20"/>
          <w:color w:val="auto"/>
        </w:rPr>
      </w:pPr>
      <w:r>
        <w:rPr>
          <w:rFonts w:ascii="Arial" w:cs="Arial" w:eastAsia="Arial" w:hAnsi="Arial"/>
          <w:sz w:val="17"/>
          <w:szCs w:val="17"/>
          <w:color w:val="auto"/>
        </w:rPr>
        <w:t>employees in a timely manner, which may affect our growth in the current and future fiscal years. Although we intend to continue to devote significant resources to recruiting, training and retaining qualified employees, we may not be able to attract, effectively train and retain these employees. Any failure to do so could impair our ability to efficiently perform our contractual obligations, timely meet our customers’ needs and ultimately win new business, all of which could adversely affect our business, financial condition and results of operations.</w:t>
      </w:r>
    </w:p>
    <w:p>
      <w:pPr>
        <w:spacing w:after="0" w:line="191" w:lineRule="exact"/>
        <w:rPr>
          <w:sz w:val="20"/>
          <w:szCs w:val="20"/>
          <w:color w:val="auto"/>
        </w:rPr>
      </w:pPr>
    </w:p>
    <w:p>
      <w:pPr>
        <w:ind w:right="140" w:firstLine="433"/>
        <w:spacing w:after="0" w:line="238" w:lineRule="auto"/>
        <w:rPr>
          <w:sz w:val="20"/>
          <w:szCs w:val="20"/>
          <w:color w:val="auto"/>
        </w:rPr>
      </w:pPr>
      <w:r>
        <w:rPr>
          <w:rFonts w:ascii="Arial" w:cs="Arial" w:eastAsia="Arial" w:hAnsi="Arial"/>
          <w:sz w:val="17"/>
          <w:szCs w:val="17"/>
          <w:color w:val="auto"/>
        </w:rPr>
        <w:t>We believe that our success also depends on the continued employment of a highly qualified and experienced senior management team and that team’s ability to retain existing business and generate new business. The loss of key personnel in critical functions could lead to lack of business continuity or disruptions in our business until we are able to hire and train replacement personnel.</w:t>
      </w:r>
    </w:p>
    <w:p>
      <w:pPr>
        <w:spacing w:after="0" w:line="172"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b w:val="1"/>
          <w:bCs w:val="1"/>
          <w:i w:val="1"/>
          <w:iCs w:val="1"/>
          <w:color w:val="auto"/>
        </w:rPr>
        <w:t>We may lose one or more members of our senior management team or fail to develop new leaders, which could cause a disruption in the management of our business.</w:t>
      </w:r>
    </w:p>
    <w:p>
      <w:pPr>
        <w:spacing w:after="0" w:line="168" w:lineRule="exact"/>
        <w:rPr>
          <w:sz w:val="20"/>
          <w:szCs w:val="20"/>
          <w:color w:val="auto"/>
        </w:rPr>
      </w:pPr>
    </w:p>
    <w:p>
      <w:pPr>
        <w:ind w:right="120" w:firstLine="433"/>
        <w:spacing w:after="0" w:line="235" w:lineRule="auto"/>
        <w:rPr>
          <w:sz w:val="20"/>
          <w:szCs w:val="20"/>
          <w:color w:val="auto"/>
        </w:rPr>
      </w:pPr>
      <w:r>
        <w:rPr>
          <w:rFonts w:ascii="Arial" w:cs="Arial" w:eastAsia="Arial" w:hAnsi="Arial"/>
          <w:sz w:val="17"/>
          <w:szCs w:val="17"/>
          <w:color w:val="auto"/>
        </w:rPr>
        <w:t>We believe that the future success of our business and our ability to operate profitably depends on the continued contributions of the members of our senior management and the continued development of new members of senior management. We rely on our senior management to generate business and execute programs successfully. In addition, the relationships and reputation that many members of our senior management team have established and maintain with our clients are important to our business and our ability to identify new business opportunities. We do not have any employment agreements providing for a specific term of employment with any members of our senior management. The loss of any member of our senior management or our failure to continue to develop new members could impair our ability to identify and secure new contracts, to maintain good client relations, and to otherwise manage our business, and could have a material adverse effect on our business, financial condition and results of operations.</w:t>
      </w:r>
    </w:p>
    <w:p>
      <w:pPr>
        <w:spacing w:after="0" w:line="173" w:lineRule="exact"/>
        <w:rPr>
          <w:sz w:val="20"/>
          <w:szCs w:val="20"/>
          <w:color w:val="auto"/>
        </w:rPr>
      </w:pPr>
    </w:p>
    <w:p>
      <w:pPr>
        <w:ind w:right="500"/>
        <w:spacing w:after="0" w:line="298" w:lineRule="auto"/>
        <w:rPr>
          <w:sz w:val="20"/>
          <w:szCs w:val="20"/>
          <w:color w:val="auto"/>
        </w:rPr>
      </w:pPr>
      <w:r>
        <w:rPr>
          <w:rFonts w:ascii="Arial" w:cs="Arial" w:eastAsia="Arial" w:hAnsi="Arial"/>
          <w:sz w:val="16"/>
          <w:szCs w:val="16"/>
          <w:b w:val="1"/>
          <w:bCs w:val="1"/>
          <w:i w:val="1"/>
          <w:iCs w:val="1"/>
          <w:color w:val="auto"/>
        </w:rPr>
        <w:t>Negotiations with labor unions and possible work actions could divert management attention and disrupt operations. In addition, new collective bargaining agreements or amendments to existing agreements could increase our labor costs and operating expenses.</w:t>
      </w:r>
    </w:p>
    <w:p>
      <w:pPr>
        <w:spacing w:after="0" w:line="146" w:lineRule="exact"/>
        <w:rPr>
          <w:sz w:val="20"/>
          <w:szCs w:val="20"/>
          <w:color w:val="auto"/>
        </w:rPr>
      </w:pPr>
    </w:p>
    <w:p>
      <w:pPr>
        <w:ind w:right="20" w:firstLine="433"/>
        <w:spacing w:after="0" w:line="235" w:lineRule="auto"/>
        <w:rPr>
          <w:sz w:val="20"/>
          <w:szCs w:val="20"/>
          <w:color w:val="auto"/>
        </w:rPr>
      </w:pPr>
      <w:r>
        <w:rPr>
          <w:rFonts w:ascii="Arial" w:cs="Arial" w:eastAsia="Arial" w:hAnsi="Arial"/>
          <w:sz w:val="17"/>
          <w:szCs w:val="17"/>
          <w:color w:val="auto"/>
        </w:rPr>
        <w:t>We have entered into twenty-four union labor or collective bargaining agreements as of December 31, 2021. The outcome of any future negotiations relating to union representation or collective bargaining agreements for these or other employees in the future may not be favorable to us. We may reach agreements in collective bargaining that increase our operating expenses and lower our net income as a result of higher wages or benefit expenses. In addition, negotiations with unions could divert management attention and disrupt operations, which may adversely affect our results of operations. If we are unable to negotiate acceptable collective bargaining agreements, we may have to address the threat of union-initiated work actions, including strikes. Depending on the nature of the threat or the type and duration of any work action, these actions could disrupt our operations and adversely affect our operating results.</w:t>
      </w:r>
    </w:p>
    <w:p>
      <w:pPr>
        <w:spacing w:after="0" w:line="174" w:lineRule="exact"/>
        <w:rPr>
          <w:sz w:val="20"/>
          <w:szCs w:val="20"/>
          <w:color w:val="auto"/>
        </w:rPr>
      </w:pPr>
    </w:p>
    <w:p>
      <w:pPr>
        <w:spacing w:after="0" w:line="250" w:lineRule="auto"/>
        <w:rPr>
          <w:sz w:val="20"/>
          <w:szCs w:val="20"/>
          <w:color w:val="auto"/>
        </w:rPr>
      </w:pPr>
      <w:r>
        <w:rPr>
          <w:rFonts w:ascii="Arial" w:cs="Arial" w:eastAsia="Arial" w:hAnsi="Arial"/>
          <w:sz w:val="17"/>
          <w:szCs w:val="17"/>
          <w:b w:val="1"/>
          <w:bCs w:val="1"/>
          <w:i w:val="1"/>
          <w:iCs w:val="1"/>
          <w:color w:val="auto"/>
        </w:rPr>
        <w:t>Many of our field project sites and facilities are inherently dangerous workplaces. Failure to manage our field project sites and facilities safely could result in environmental disasters, employee deaths or injuries, reduced profitability, the loss of projects or clients and possible exposure to litigation.</w:t>
      </w:r>
    </w:p>
    <w:p>
      <w:pPr>
        <w:spacing w:after="0" w:line="182" w:lineRule="exact"/>
        <w:rPr>
          <w:sz w:val="20"/>
          <w:szCs w:val="20"/>
          <w:color w:val="auto"/>
        </w:rPr>
      </w:pPr>
    </w:p>
    <w:p>
      <w:pPr>
        <w:ind w:right="100" w:firstLine="433"/>
        <w:spacing w:after="0" w:line="236" w:lineRule="auto"/>
        <w:rPr>
          <w:sz w:val="20"/>
          <w:szCs w:val="20"/>
          <w:color w:val="auto"/>
        </w:rPr>
      </w:pPr>
      <w:r>
        <w:rPr>
          <w:rFonts w:ascii="Arial" w:cs="Arial" w:eastAsia="Arial" w:hAnsi="Arial"/>
          <w:sz w:val="17"/>
          <w:szCs w:val="17"/>
          <w:color w:val="auto"/>
        </w:rPr>
        <w:t>Our field project sites and facilities, particularly in our Critical Infrastructure business, often put our employees and others in close proximity with mechanized equipment, moving vehicles, chemical and manufacturing processes, and highly regulated materials. On some field project sites and in some of our facilities, we may be responsible for safety and, accordingly, we have an obligation to implement effective safety procedures. If these procedures are not appropriately implemented or are ineffective, our employees could be injured or killed, and we could be exposed to possible litigation. As a result, our failure to maintain adequate safety standards and equipment could result in reduced profitability or the loss of projects or clients and could have a material adverse impact on our business, financial condition, and results of operations.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8" w:name="page49"/>
    <w:bookmarkEnd w:id="48"/>
    <w:p>
      <w:pPr>
        <w:ind w:left="3260"/>
        <w:spacing w:after="0"/>
        <w:rPr>
          <w:sz w:val="20"/>
          <w:szCs w:val="20"/>
          <w:color w:val="auto"/>
        </w:rPr>
      </w:pPr>
      <w:r>
        <w:rPr>
          <w:rFonts w:ascii="Arial" w:cs="Arial" w:eastAsia="Arial" w:hAnsi="Arial"/>
          <w:sz w:val="17"/>
          <w:szCs w:val="17"/>
          <w:b w:val="1"/>
          <w:bCs w:val="1"/>
          <w:color w:val="auto"/>
        </w:rPr>
        <w:t>Risk Related to Our Common Stock</w:t>
      </w:r>
    </w:p>
    <w:p>
      <w:pPr>
        <w:spacing w:after="0" w:line="294" w:lineRule="exact"/>
        <w:rPr>
          <w:sz w:val="20"/>
          <w:szCs w:val="20"/>
          <w:color w:val="auto"/>
        </w:rPr>
      </w:pPr>
    </w:p>
    <w:p>
      <w:pPr>
        <w:spacing w:after="0" w:line="280" w:lineRule="auto"/>
        <w:rPr>
          <w:sz w:val="20"/>
          <w:szCs w:val="20"/>
          <w:color w:val="auto"/>
        </w:rPr>
      </w:pPr>
      <w:r>
        <w:rPr>
          <w:rFonts w:ascii="Arial" w:cs="Arial" w:eastAsia="Arial" w:hAnsi="Arial"/>
          <w:sz w:val="18"/>
          <w:szCs w:val="18"/>
          <w:b w:val="1"/>
          <w:bCs w:val="1"/>
          <w:i w:val="1"/>
          <w:iCs w:val="1"/>
          <w:color w:val="auto"/>
        </w:rPr>
        <w:t>If we are unable to maintain effective internal control over financial reporting in the future, investors may lose confidence in the accuracy and completeness of our financial reports and the market price of our common stock may be negatively affected.</w:t>
      </w:r>
    </w:p>
    <w:p>
      <w:pPr>
        <w:spacing w:after="0" w:line="46" w:lineRule="exact"/>
        <w:rPr>
          <w:sz w:val="20"/>
          <w:szCs w:val="20"/>
          <w:color w:val="auto"/>
        </w:rPr>
      </w:pPr>
    </w:p>
    <w:p>
      <w:pPr>
        <w:ind w:right="100" w:firstLine="433"/>
        <w:spacing w:after="0" w:line="237" w:lineRule="auto"/>
        <w:rPr>
          <w:sz w:val="20"/>
          <w:szCs w:val="20"/>
          <w:color w:val="auto"/>
        </w:rPr>
      </w:pPr>
      <w:r>
        <w:rPr>
          <w:rFonts w:ascii="Arial" w:cs="Arial" w:eastAsia="Arial" w:hAnsi="Arial"/>
          <w:sz w:val="18"/>
          <w:szCs w:val="18"/>
          <w:color w:val="auto"/>
        </w:rPr>
        <w:t>As a public company, we are required to maintain internal control over financial reporting and to report any material weaknesses in such internal control. The process of designing, implementing and testing the internal control over financial reporting required to comply with this obligation is time-consuming, costly and complicated. If we identify material weaknesses in our internal control over financial reporting, or if we are unable to comply in a timely manner with the management certification requirements of Section 404 of the Sarbanes-Oxley Act as to the effectiveness of our internal control over financial reporting or to assert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the market price of our common stock could be negatively affected, and we could become subject to investigations by our stock exchange, the SEC or other regulatory authorities, which could require additional financial and management resources.</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If our stock price fluctuates, you could lose a significant part of your investment.</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9"/>
          <w:szCs w:val="19"/>
          <w:color w:val="auto"/>
        </w:rPr>
        <w:t>The market price of our stock may be influenced by many factors, some of which are beyond our control, including the following:</w:t>
      </w:r>
    </w:p>
    <w:p>
      <w:pPr>
        <w:spacing w:after="0" w:line="86" w:lineRule="exact"/>
        <w:rPr>
          <w:sz w:val="20"/>
          <w:szCs w:val="20"/>
          <w:color w:val="auto"/>
        </w:rPr>
      </w:pPr>
    </w:p>
    <w:p>
      <w:pPr>
        <w:ind w:left="2100" w:hanging="676"/>
        <w:spacing w:after="0"/>
        <w:tabs>
          <w:tab w:leader="none" w:pos="21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opinions and estimates of any securities analysts who publish research about us;</w:t>
      </w:r>
    </w:p>
    <w:p>
      <w:pPr>
        <w:spacing w:after="0" w:line="85" w:lineRule="exact"/>
        <w:rPr>
          <w:rFonts w:ascii="Arial" w:cs="Arial" w:eastAsia="Arial" w:hAnsi="Arial"/>
          <w:sz w:val="19"/>
          <w:szCs w:val="19"/>
          <w:color w:val="auto"/>
        </w:rPr>
      </w:pPr>
    </w:p>
    <w:p>
      <w:pPr>
        <w:ind w:left="2100" w:hanging="676"/>
        <w:spacing w:after="0"/>
        <w:tabs>
          <w:tab w:leader="none" w:pos="21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announcements by us or our competitors of significant contracts, acquisitions or capital commitments;</w:t>
      </w:r>
    </w:p>
    <w:p>
      <w:pPr>
        <w:spacing w:after="0" w:line="85" w:lineRule="exact"/>
        <w:rPr>
          <w:rFonts w:ascii="Arial" w:cs="Arial" w:eastAsia="Arial" w:hAnsi="Arial"/>
          <w:sz w:val="19"/>
          <w:szCs w:val="19"/>
          <w:color w:val="auto"/>
        </w:rPr>
      </w:pPr>
    </w:p>
    <w:p>
      <w:pPr>
        <w:ind w:left="2100" w:hanging="676"/>
        <w:spacing w:after="0"/>
        <w:tabs>
          <w:tab w:leader="none" w:pos="21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variations in quarterly operating results;</w:t>
      </w:r>
    </w:p>
    <w:p>
      <w:pPr>
        <w:spacing w:after="0" w:line="85" w:lineRule="exact"/>
        <w:rPr>
          <w:rFonts w:ascii="Arial" w:cs="Arial" w:eastAsia="Arial" w:hAnsi="Arial"/>
          <w:sz w:val="19"/>
          <w:szCs w:val="19"/>
          <w:color w:val="auto"/>
        </w:rPr>
      </w:pPr>
    </w:p>
    <w:p>
      <w:pPr>
        <w:ind w:left="2100" w:hanging="676"/>
        <w:spacing w:after="0"/>
        <w:tabs>
          <w:tab w:leader="none" w:pos="21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changes in general economic or market conditions or trends in our industry or the economy as a whole;</w:t>
      </w:r>
    </w:p>
    <w:p>
      <w:pPr>
        <w:spacing w:after="0" w:line="85" w:lineRule="exact"/>
        <w:rPr>
          <w:rFonts w:ascii="Arial" w:cs="Arial" w:eastAsia="Arial" w:hAnsi="Arial"/>
          <w:sz w:val="19"/>
          <w:szCs w:val="19"/>
          <w:color w:val="auto"/>
        </w:rPr>
      </w:pPr>
    </w:p>
    <w:p>
      <w:pPr>
        <w:ind w:left="2100" w:hanging="676"/>
        <w:spacing w:after="0"/>
        <w:tabs>
          <w:tab w:leader="none" w:pos="21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future sales of our common stock; and</w:t>
      </w:r>
    </w:p>
    <w:p>
      <w:pPr>
        <w:spacing w:after="0" w:line="85" w:lineRule="exact"/>
        <w:rPr>
          <w:rFonts w:ascii="Arial" w:cs="Arial" w:eastAsia="Arial" w:hAnsi="Arial"/>
          <w:sz w:val="19"/>
          <w:szCs w:val="19"/>
          <w:color w:val="auto"/>
        </w:rPr>
      </w:pPr>
    </w:p>
    <w:p>
      <w:pPr>
        <w:ind w:left="2100" w:hanging="676"/>
        <w:spacing w:after="0"/>
        <w:tabs>
          <w:tab w:leader="none" w:pos="21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investor perception of us and the industries we operate in.</w:t>
      </w:r>
    </w:p>
    <w:p>
      <w:pPr>
        <w:spacing w:after="0" w:line="187" w:lineRule="exact"/>
        <w:rPr>
          <w:sz w:val="20"/>
          <w:szCs w:val="20"/>
          <w:color w:val="auto"/>
        </w:rPr>
      </w:pPr>
    </w:p>
    <w:p>
      <w:pPr>
        <w:ind w:right="40" w:firstLine="433"/>
        <w:spacing w:after="0" w:line="230" w:lineRule="auto"/>
        <w:rPr>
          <w:sz w:val="20"/>
          <w:szCs w:val="20"/>
          <w:color w:val="auto"/>
        </w:rPr>
      </w:pPr>
      <w:r>
        <w:rPr>
          <w:rFonts w:ascii="Arial" w:cs="Arial" w:eastAsia="Arial" w:hAnsi="Arial"/>
          <w:sz w:val="19"/>
          <w:szCs w:val="19"/>
          <w:color w:val="auto"/>
        </w:rPr>
        <w:t>As a result of these factors, investors in our common stock may not be able to resell their shares at or above the initial purchase price. These broad market and industry factors may materially reduce the market price of our common stock, regardless of our operating performance.</w:t>
      </w:r>
    </w:p>
    <w:p>
      <w:pPr>
        <w:spacing w:after="0" w:line="183" w:lineRule="exact"/>
        <w:rPr>
          <w:sz w:val="20"/>
          <w:szCs w:val="20"/>
          <w:color w:val="auto"/>
        </w:rPr>
      </w:pPr>
    </w:p>
    <w:p>
      <w:pPr>
        <w:ind w:right="20" w:firstLine="433"/>
        <w:spacing w:after="0" w:line="228" w:lineRule="auto"/>
        <w:rPr>
          <w:sz w:val="20"/>
          <w:szCs w:val="20"/>
          <w:color w:val="auto"/>
        </w:rPr>
      </w:pPr>
      <w:r>
        <w:rPr>
          <w:rFonts w:ascii="Arial" w:cs="Arial" w:eastAsia="Arial" w:hAnsi="Arial"/>
          <w:sz w:val="19"/>
          <w:szCs w:val="19"/>
          <w:color w:val="auto"/>
        </w:rPr>
        <w:t>In addition, the stock markets have experienced extreme price and volume fluctuations that have affected and continue to affect the market prices of equity securities of many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2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operating results and share price may be volatile, and the market price of our common stock may drop.</w:t>
      </w:r>
    </w:p>
    <w:p>
      <w:pPr>
        <w:spacing w:after="0" w:line="209" w:lineRule="exact"/>
        <w:rPr>
          <w:sz w:val="20"/>
          <w:szCs w:val="20"/>
          <w:color w:val="auto"/>
        </w:rPr>
      </w:pPr>
    </w:p>
    <w:p>
      <w:pPr>
        <w:ind w:right="100" w:firstLine="433"/>
        <w:spacing w:after="0" w:line="228" w:lineRule="auto"/>
        <w:rPr>
          <w:sz w:val="20"/>
          <w:szCs w:val="20"/>
          <w:color w:val="auto"/>
        </w:rPr>
      </w:pPr>
      <w:r>
        <w:rPr>
          <w:rFonts w:ascii="Arial" w:cs="Arial" w:eastAsia="Arial" w:hAnsi="Arial"/>
          <w:sz w:val="19"/>
          <w:szCs w:val="19"/>
          <w:color w:val="auto"/>
        </w:rPr>
        <w:t>Our quarterly operating results have fluctuated and are likely to continue to fluctuate in the future.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9" w:name="page50"/>
    <w:bookmarkEnd w:id="49"/>
    <w:p>
      <w:pPr>
        <w:ind w:right="600"/>
        <w:spacing w:after="0" w:line="234" w:lineRule="auto"/>
        <w:rPr>
          <w:sz w:val="20"/>
          <w:szCs w:val="20"/>
          <w:color w:val="auto"/>
        </w:rPr>
      </w:pPr>
      <w:r>
        <w:rPr>
          <w:rFonts w:ascii="Arial" w:cs="Arial" w:eastAsia="Arial" w:hAnsi="Arial"/>
          <w:sz w:val="19"/>
          <w:szCs w:val="19"/>
          <w:color w:val="auto"/>
        </w:rPr>
        <w:t>our operating performance. Our operating results and the trading price of our shares may fluctuate in response to various factors, including:</w:t>
      </w:r>
    </w:p>
    <w:p>
      <w:pPr>
        <w:spacing w:after="0" w:line="81" w:lineRule="exact"/>
        <w:rPr>
          <w:sz w:val="20"/>
          <w:szCs w:val="20"/>
          <w:color w:val="auto"/>
        </w:rPr>
      </w:pPr>
    </w:p>
    <w:p>
      <w:pPr>
        <w:ind w:left="1720" w:hanging="425"/>
        <w:spacing w:after="0"/>
        <w:tabs>
          <w:tab w:leader="none" w:pos="1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market conditions in the broader stock market;</w:t>
      </w:r>
    </w:p>
    <w:p>
      <w:pPr>
        <w:spacing w:after="0" w:line="85" w:lineRule="exact"/>
        <w:rPr>
          <w:rFonts w:ascii="Arial" w:cs="Arial" w:eastAsia="Arial" w:hAnsi="Arial"/>
          <w:sz w:val="19"/>
          <w:szCs w:val="19"/>
          <w:color w:val="auto"/>
        </w:rPr>
      </w:pPr>
    </w:p>
    <w:p>
      <w:pPr>
        <w:ind w:left="1720" w:hanging="425"/>
        <w:spacing w:after="0"/>
        <w:tabs>
          <w:tab w:leader="none" w:pos="1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actual or anticipated fluctuations in our quarterly financial and operating results;</w:t>
      </w:r>
    </w:p>
    <w:p>
      <w:pPr>
        <w:spacing w:after="0" w:line="85" w:lineRule="exact"/>
        <w:rPr>
          <w:rFonts w:ascii="Arial" w:cs="Arial" w:eastAsia="Arial" w:hAnsi="Arial"/>
          <w:sz w:val="19"/>
          <w:szCs w:val="19"/>
          <w:color w:val="auto"/>
        </w:rPr>
      </w:pPr>
    </w:p>
    <w:p>
      <w:pPr>
        <w:ind w:left="1720" w:hanging="425"/>
        <w:spacing w:after="0"/>
        <w:tabs>
          <w:tab w:leader="none" w:pos="1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introduction of new products or services by us or our competitors;</w:t>
      </w:r>
    </w:p>
    <w:p>
      <w:pPr>
        <w:spacing w:after="0" w:line="85" w:lineRule="exact"/>
        <w:rPr>
          <w:rFonts w:ascii="Arial" w:cs="Arial" w:eastAsia="Arial" w:hAnsi="Arial"/>
          <w:sz w:val="19"/>
          <w:szCs w:val="19"/>
          <w:color w:val="auto"/>
        </w:rPr>
      </w:pPr>
    </w:p>
    <w:p>
      <w:pPr>
        <w:ind w:left="1720" w:hanging="425"/>
        <w:spacing w:after="0"/>
        <w:tabs>
          <w:tab w:leader="none" w:pos="1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changes in our awards, backlog and book-to-bill ratios in a given period;</w:t>
      </w:r>
    </w:p>
    <w:p>
      <w:pPr>
        <w:spacing w:after="0" w:line="85" w:lineRule="exact"/>
        <w:rPr>
          <w:rFonts w:ascii="Arial" w:cs="Arial" w:eastAsia="Arial" w:hAnsi="Arial"/>
          <w:sz w:val="19"/>
          <w:szCs w:val="19"/>
          <w:color w:val="auto"/>
        </w:rPr>
      </w:pPr>
    </w:p>
    <w:p>
      <w:pPr>
        <w:ind w:left="1720" w:hanging="425"/>
        <w:spacing w:after="0"/>
        <w:tabs>
          <w:tab w:leader="none" w:pos="1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issuance of new or changed securities analysts’ reports or recommendations;</w:t>
      </w:r>
    </w:p>
    <w:p>
      <w:pPr>
        <w:spacing w:after="0" w:line="85" w:lineRule="exact"/>
        <w:rPr>
          <w:rFonts w:ascii="Arial" w:cs="Arial" w:eastAsia="Arial" w:hAnsi="Arial"/>
          <w:sz w:val="19"/>
          <w:szCs w:val="19"/>
          <w:color w:val="auto"/>
        </w:rPr>
      </w:pPr>
    </w:p>
    <w:p>
      <w:pPr>
        <w:ind w:left="1720" w:hanging="425"/>
        <w:spacing w:after="0"/>
        <w:tabs>
          <w:tab w:leader="none" w:pos="1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results of operations that vary from expectations of securities analysis and investors;</w:t>
      </w:r>
    </w:p>
    <w:p>
      <w:pPr>
        <w:spacing w:after="0" w:line="85" w:lineRule="exact"/>
        <w:rPr>
          <w:rFonts w:ascii="Arial" w:cs="Arial" w:eastAsia="Arial" w:hAnsi="Arial"/>
          <w:sz w:val="19"/>
          <w:szCs w:val="19"/>
          <w:color w:val="auto"/>
        </w:rPr>
      </w:pPr>
    </w:p>
    <w:p>
      <w:pPr>
        <w:ind w:left="1720" w:hanging="425"/>
        <w:spacing w:after="0"/>
        <w:tabs>
          <w:tab w:leader="none" w:pos="1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guidance, if any, that we provide to the public, any changes in this guidance or our failure to meet this guidance;</w:t>
      </w:r>
    </w:p>
    <w:p>
      <w:pPr>
        <w:spacing w:after="0" w:line="85" w:lineRule="exact"/>
        <w:rPr>
          <w:rFonts w:ascii="Arial" w:cs="Arial" w:eastAsia="Arial" w:hAnsi="Arial"/>
          <w:sz w:val="19"/>
          <w:szCs w:val="19"/>
          <w:color w:val="auto"/>
        </w:rPr>
      </w:pPr>
    </w:p>
    <w:p>
      <w:pPr>
        <w:ind w:left="1720" w:hanging="425"/>
        <w:spacing w:after="0"/>
        <w:tabs>
          <w:tab w:leader="none" w:pos="1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strategic actions by us or our competitors;</w:t>
      </w:r>
    </w:p>
    <w:p>
      <w:pPr>
        <w:spacing w:after="0" w:line="85" w:lineRule="exact"/>
        <w:rPr>
          <w:rFonts w:ascii="Arial" w:cs="Arial" w:eastAsia="Arial" w:hAnsi="Arial"/>
          <w:sz w:val="19"/>
          <w:szCs w:val="19"/>
          <w:color w:val="auto"/>
        </w:rPr>
      </w:pPr>
    </w:p>
    <w:p>
      <w:pPr>
        <w:ind w:left="1720" w:hanging="425"/>
        <w:spacing w:after="0"/>
        <w:tabs>
          <w:tab w:leader="none" w:pos="1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announcement by us, our competitors or our acquisition targets;</w:t>
      </w:r>
    </w:p>
    <w:p>
      <w:pPr>
        <w:spacing w:after="0" w:line="85" w:lineRule="exact"/>
        <w:rPr>
          <w:rFonts w:ascii="Arial" w:cs="Arial" w:eastAsia="Arial" w:hAnsi="Arial"/>
          <w:sz w:val="19"/>
          <w:szCs w:val="19"/>
          <w:color w:val="auto"/>
        </w:rPr>
      </w:pPr>
    </w:p>
    <w:p>
      <w:pPr>
        <w:ind w:left="1720" w:hanging="425"/>
        <w:spacing w:after="0"/>
        <w:tabs>
          <w:tab w:leader="none" w:pos="1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sales, or anticipated sales, of large blocks of our stock;</w:t>
      </w:r>
    </w:p>
    <w:p>
      <w:pPr>
        <w:spacing w:after="0" w:line="85" w:lineRule="exact"/>
        <w:rPr>
          <w:rFonts w:ascii="Arial" w:cs="Arial" w:eastAsia="Arial" w:hAnsi="Arial"/>
          <w:sz w:val="19"/>
          <w:szCs w:val="19"/>
          <w:color w:val="auto"/>
        </w:rPr>
      </w:pPr>
    </w:p>
    <w:p>
      <w:pPr>
        <w:ind w:left="1720" w:hanging="425"/>
        <w:spacing w:after="0"/>
        <w:tabs>
          <w:tab w:leader="none" w:pos="1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additions or departures of key personnel;</w:t>
      </w:r>
    </w:p>
    <w:p>
      <w:pPr>
        <w:spacing w:after="0" w:line="85" w:lineRule="exact"/>
        <w:rPr>
          <w:rFonts w:ascii="Arial" w:cs="Arial" w:eastAsia="Arial" w:hAnsi="Arial"/>
          <w:sz w:val="19"/>
          <w:szCs w:val="19"/>
          <w:color w:val="auto"/>
        </w:rPr>
      </w:pPr>
    </w:p>
    <w:p>
      <w:pPr>
        <w:ind w:left="1720" w:hanging="425"/>
        <w:spacing w:after="0"/>
        <w:tabs>
          <w:tab w:leader="none" w:pos="1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regulatory, legal or political developments;</w:t>
      </w:r>
    </w:p>
    <w:p>
      <w:pPr>
        <w:spacing w:after="0" w:line="85" w:lineRule="exact"/>
        <w:rPr>
          <w:rFonts w:ascii="Arial" w:cs="Arial" w:eastAsia="Arial" w:hAnsi="Arial"/>
          <w:sz w:val="19"/>
          <w:szCs w:val="19"/>
          <w:color w:val="auto"/>
        </w:rPr>
      </w:pPr>
    </w:p>
    <w:p>
      <w:pPr>
        <w:ind w:left="1720" w:hanging="425"/>
        <w:spacing w:after="0" w:line="234" w:lineRule="auto"/>
        <w:tabs>
          <w:tab w:leader="none" w:pos="1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public response to press releases or other public announcements by us or third parties, including our filings with the SEC;</w:t>
      </w:r>
    </w:p>
    <w:p>
      <w:pPr>
        <w:spacing w:after="0" w:line="81" w:lineRule="exact"/>
        <w:rPr>
          <w:rFonts w:ascii="Arial" w:cs="Arial" w:eastAsia="Arial" w:hAnsi="Arial"/>
          <w:sz w:val="19"/>
          <w:szCs w:val="19"/>
          <w:color w:val="auto"/>
        </w:rPr>
      </w:pPr>
    </w:p>
    <w:p>
      <w:pPr>
        <w:ind w:left="1720" w:hanging="425"/>
        <w:spacing w:after="0"/>
        <w:tabs>
          <w:tab w:leader="none" w:pos="1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litigation and governmental investigations;</w:t>
      </w:r>
    </w:p>
    <w:p>
      <w:pPr>
        <w:spacing w:after="0" w:line="85" w:lineRule="exact"/>
        <w:rPr>
          <w:rFonts w:ascii="Arial" w:cs="Arial" w:eastAsia="Arial" w:hAnsi="Arial"/>
          <w:sz w:val="19"/>
          <w:szCs w:val="19"/>
          <w:color w:val="auto"/>
        </w:rPr>
      </w:pPr>
    </w:p>
    <w:p>
      <w:pPr>
        <w:ind w:left="1720" w:hanging="425"/>
        <w:spacing w:after="0"/>
        <w:tabs>
          <w:tab w:leader="none" w:pos="1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seasonality associated with U.S. federal, state, regional and local government funding and spending;</w:t>
      </w:r>
    </w:p>
    <w:p>
      <w:pPr>
        <w:spacing w:after="0" w:line="85" w:lineRule="exact"/>
        <w:rPr>
          <w:rFonts w:ascii="Arial" w:cs="Arial" w:eastAsia="Arial" w:hAnsi="Arial"/>
          <w:sz w:val="19"/>
          <w:szCs w:val="19"/>
          <w:color w:val="auto"/>
        </w:rPr>
      </w:pPr>
    </w:p>
    <w:p>
      <w:pPr>
        <w:ind w:left="1720" w:hanging="425"/>
        <w:spacing w:after="0"/>
        <w:tabs>
          <w:tab w:leader="none" w:pos="1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changing economic conditions;</w:t>
      </w:r>
    </w:p>
    <w:p>
      <w:pPr>
        <w:spacing w:after="0" w:line="85" w:lineRule="exact"/>
        <w:rPr>
          <w:rFonts w:ascii="Arial" w:cs="Arial" w:eastAsia="Arial" w:hAnsi="Arial"/>
          <w:sz w:val="19"/>
          <w:szCs w:val="19"/>
          <w:color w:val="auto"/>
        </w:rPr>
      </w:pPr>
    </w:p>
    <w:p>
      <w:pPr>
        <w:ind w:left="1720" w:hanging="425"/>
        <w:spacing w:after="0"/>
        <w:tabs>
          <w:tab w:leader="none" w:pos="1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changes in accounting principles;</w:t>
      </w:r>
    </w:p>
    <w:p>
      <w:pPr>
        <w:spacing w:after="0" w:line="85" w:lineRule="exact"/>
        <w:rPr>
          <w:rFonts w:ascii="Arial" w:cs="Arial" w:eastAsia="Arial" w:hAnsi="Arial"/>
          <w:sz w:val="19"/>
          <w:szCs w:val="19"/>
          <w:color w:val="auto"/>
        </w:rPr>
      </w:pPr>
    </w:p>
    <w:p>
      <w:pPr>
        <w:ind w:left="1720" w:hanging="425"/>
        <w:spacing w:after="0"/>
        <w:tabs>
          <w:tab w:leader="none" w:pos="1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default under agreements governing our indebtedness;</w:t>
      </w:r>
    </w:p>
    <w:p>
      <w:pPr>
        <w:spacing w:after="0" w:line="85" w:lineRule="exact"/>
        <w:rPr>
          <w:rFonts w:ascii="Arial" w:cs="Arial" w:eastAsia="Arial" w:hAnsi="Arial"/>
          <w:sz w:val="19"/>
          <w:szCs w:val="19"/>
          <w:color w:val="auto"/>
        </w:rPr>
      </w:pPr>
    </w:p>
    <w:p>
      <w:pPr>
        <w:ind w:left="1720" w:hanging="425"/>
        <w:spacing w:after="0"/>
        <w:tabs>
          <w:tab w:leader="none" w:pos="17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exchange rate fluctuations; and</w:t>
      </w:r>
    </w:p>
    <w:p>
      <w:pPr>
        <w:spacing w:after="0" w:line="85" w:lineRule="exact"/>
        <w:rPr>
          <w:rFonts w:ascii="Arial" w:cs="Arial" w:eastAsia="Arial" w:hAnsi="Arial"/>
          <w:sz w:val="19"/>
          <w:szCs w:val="19"/>
          <w:color w:val="auto"/>
        </w:rPr>
      </w:pPr>
    </w:p>
    <w:p>
      <w:pPr>
        <w:ind w:left="1040" w:right="240" w:firstLine="384"/>
        <w:spacing w:after="0" w:line="234" w:lineRule="auto"/>
        <w:tabs>
          <w:tab w:leader="none" w:pos="2107" w:val="left"/>
        </w:tabs>
        <w:numPr>
          <w:ilvl w:val="1"/>
          <w:numId w:val="37"/>
        </w:numPr>
        <w:rPr>
          <w:rFonts w:ascii="Arial" w:cs="Arial" w:eastAsia="Arial" w:hAnsi="Arial"/>
          <w:sz w:val="19"/>
          <w:szCs w:val="19"/>
          <w:color w:val="auto"/>
        </w:rPr>
      </w:pPr>
      <w:r>
        <w:rPr>
          <w:rFonts w:ascii="Arial" w:cs="Arial" w:eastAsia="Arial" w:hAnsi="Arial"/>
          <w:sz w:val="19"/>
          <w:szCs w:val="19"/>
          <w:color w:val="auto"/>
        </w:rPr>
        <w:t>other events or factors, including those from natural disasters, war, actors of terrorism or responses to these events and pandemics, such as the COVID-19 pandemic.</w:t>
      </w:r>
    </w:p>
    <w:p>
      <w:pPr>
        <w:spacing w:after="0" w:line="182" w:lineRule="exact"/>
        <w:rPr>
          <w:sz w:val="20"/>
          <w:szCs w:val="20"/>
          <w:color w:val="auto"/>
        </w:rPr>
      </w:pPr>
    </w:p>
    <w:p>
      <w:pPr>
        <w:ind w:right="20" w:firstLine="433"/>
        <w:spacing w:after="0" w:line="225" w:lineRule="auto"/>
        <w:rPr>
          <w:sz w:val="20"/>
          <w:szCs w:val="20"/>
          <w:color w:val="auto"/>
        </w:rPr>
      </w:pPr>
      <w:r>
        <w:rPr>
          <w:rFonts w:ascii="Arial" w:cs="Arial" w:eastAsia="Arial" w:hAnsi="Arial"/>
          <w:sz w:val="19"/>
          <w:szCs w:val="19"/>
          <w:color w:val="auto"/>
        </w:rPr>
        <w:t>These and other factors, many of which are beyond our control, may cause our operating results and the market price and demand for our shares to fluctuate substantially. While we believe that operating results for any particular quarter are not necessarily a meaningful indication of future results, fluctuations in our quarterly operating results could limit or prevent investors from readily selling their shares and may otherwise negatively affect the market price and liquidity of our shares. In addition, in the past, when the market price of a stock has been volatile, holders of that stock have sometimes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165" w:lineRule="exact"/>
        <w:rPr>
          <w:sz w:val="20"/>
          <w:szCs w:val="20"/>
          <w:color w:val="auto"/>
        </w:rPr>
      </w:pPr>
    </w:p>
    <w:p>
      <w:pPr>
        <w:ind w:right="260"/>
        <w:spacing w:after="0" w:line="253" w:lineRule="auto"/>
        <w:rPr>
          <w:sz w:val="20"/>
          <w:szCs w:val="20"/>
          <w:color w:val="auto"/>
        </w:rPr>
      </w:pPr>
      <w:r>
        <w:rPr>
          <w:rFonts w:ascii="Arial" w:cs="Arial" w:eastAsia="Arial" w:hAnsi="Arial"/>
          <w:sz w:val="19"/>
          <w:szCs w:val="19"/>
          <w:b w:val="1"/>
          <w:bCs w:val="1"/>
          <w:i w:val="1"/>
          <w:iCs w:val="1"/>
          <w:color w:val="auto"/>
        </w:rPr>
        <w:t>Sales of outstanding shares of our common stock into the market in the future by the ESOP could cause the market price of our common stock to drop significantly.</w:t>
      </w:r>
    </w:p>
    <w:p>
      <w:pPr>
        <w:spacing w:after="0" w:line="170" w:lineRule="exact"/>
        <w:rPr>
          <w:sz w:val="20"/>
          <w:szCs w:val="20"/>
          <w:color w:val="auto"/>
        </w:rPr>
      </w:pPr>
    </w:p>
    <w:p>
      <w:pPr>
        <w:ind w:right="60" w:firstLine="433"/>
        <w:spacing w:after="0" w:line="245" w:lineRule="auto"/>
        <w:rPr>
          <w:sz w:val="20"/>
          <w:szCs w:val="20"/>
          <w:color w:val="auto"/>
        </w:rPr>
      </w:pPr>
      <w:r>
        <w:rPr>
          <w:rFonts w:ascii="Arial" w:cs="Arial" w:eastAsia="Arial" w:hAnsi="Arial"/>
          <w:sz w:val="18"/>
          <w:szCs w:val="18"/>
          <w:color w:val="auto"/>
        </w:rPr>
        <w:t>At December 31, 2021, we had 146,276,880 shares of our common stock issued and 103,659,731 outstanding. Of these shares, 70,328,237 shares are owned by the ESOP, 33,331,494 shares are publicly owned, and 42,617,149 shares are Treasury stock. We are party to a registration rights agreement with the ESOP Trustee, providing the ESOP with certain demand registration rights related to</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542" w:right="379" w:bottom="1440" w:gutter="0" w:footer="0" w:header="0"/>
        </w:sectPr>
      </w:pPr>
    </w:p>
    <w:bookmarkStart w:id="50" w:name="page51"/>
    <w:bookmarkEnd w:id="50"/>
    <w:p>
      <w:pPr>
        <w:ind w:right="20"/>
        <w:spacing w:after="0" w:line="230" w:lineRule="auto"/>
        <w:rPr>
          <w:sz w:val="20"/>
          <w:szCs w:val="20"/>
          <w:color w:val="auto"/>
        </w:rPr>
      </w:pPr>
      <w:r>
        <w:rPr>
          <w:rFonts w:ascii="Arial" w:cs="Arial" w:eastAsia="Arial" w:hAnsi="Arial"/>
          <w:sz w:val="19"/>
          <w:szCs w:val="19"/>
          <w:color w:val="auto"/>
        </w:rPr>
        <w:t>shares held by the ESOP in the event the ESOP Trustee determines in good faith, in exercising its fiduciary duties under ERISA, that the ESOP is required to sell its shares, which we believe is only likely to occur if our business, financial condition or results of operations have materially and adversely deteriorated.</w:t>
      </w:r>
    </w:p>
    <w:p>
      <w:pPr>
        <w:spacing w:after="0" w:line="263" w:lineRule="exact"/>
        <w:rPr>
          <w:sz w:val="20"/>
          <w:szCs w:val="20"/>
          <w:color w:val="auto"/>
        </w:rPr>
      </w:pPr>
    </w:p>
    <w:p>
      <w:pPr>
        <w:spacing w:after="0" w:line="253" w:lineRule="auto"/>
        <w:rPr>
          <w:sz w:val="20"/>
          <w:szCs w:val="20"/>
          <w:color w:val="auto"/>
        </w:rPr>
      </w:pPr>
      <w:r>
        <w:rPr>
          <w:rFonts w:ascii="Arial" w:cs="Arial" w:eastAsia="Arial" w:hAnsi="Arial"/>
          <w:sz w:val="19"/>
          <w:szCs w:val="19"/>
          <w:b w:val="1"/>
          <w:bCs w:val="1"/>
          <w:i w:val="1"/>
          <w:iCs w:val="1"/>
          <w:color w:val="auto"/>
        </w:rPr>
        <w:t>Qualifying ESOP participants have the right to receive distributions of shares of our common stock from the ESOP and can sell such shares in the market.</w:t>
      </w:r>
    </w:p>
    <w:p>
      <w:pPr>
        <w:spacing w:after="0" w:line="271" w:lineRule="exact"/>
        <w:rPr>
          <w:sz w:val="20"/>
          <w:szCs w:val="20"/>
          <w:color w:val="auto"/>
        </w:rPr>
      </w:pPr>
    </w:p>
    <w:p>
      <w:pPr>
        <w:ind w:right="20" w:firstLine="433"/>
        <w:spacing w:after="0" w:line="225" w:lineRule="auto"/>
        <w:rPr>
          <w:sz w:val="20"/>
          <w:szCs w:val="20"/>
          <w:color w:val="auto"/>
        </w:rPr>
      </w:pPr>
      <w:r>
        <w:rPr>
          <w:rFonts w:ascii="Arial" w:cs="Arial" w:eastAsia="Arial" w:hAnsi="Arial"/>
          <w:sz w:val="19"/>
          <w:szCs w:val="19"/>
          <w:color w:val="auto"/>
        </w:rPr>
        <w:t>As of December 31, 2021, there were 70,328,237 shares of common stock held in the ESOP. Shares held in the ESOP are eligible for sale in the public market, subject to applicable Rule 144 limitations, vesting restrictions and any applicable market standoff agreements and lock-up agreements. Participants are generally entitled to distributions from the ESOP only following termination of employment or upon death and in order to diversify their accounts upon attaining a specified age and completing a specified number of years of service. As previously noted in the section of Part 1, Item 1 entitled “Employee Stock Ownership Plan”, in December 2020, the board of directors approved an amendment to the Employee Stock Ownership Plan to provide more flexible diversification rights for participants, and in January 2021, the board of directors approved the modification of the thresholds for distributions to participants in the ESOP effective March 1, 2021.</w:t>
      </w:r>
    </w:p>
    <w:p>
      <w:pPr>
        <w:spacing w:after="0" w:line="288" w:lineRule="exact"/>
        <w:rPr>
          <w:sz w:val="20"/>
          <w:szCs w:val="20"/>
          <w:color w:val="auto"/>
        </w:rPr>
      </w:pPr>
    </w:p>
    <w:p>
      <w:pPr>
        <w:ind w:right="260" w:firstLine="433"/>
        <w:spacing w:after="0" w:line="227" w:lineRule="auto"/>
        <w:rPr>
          <w:sz w:val="20"/>
          <w:szCs w:val="20"/>
          <w:color w:val="auto"/>
        </w:rPr>
      </w:pPr>
      <w:r>
        <w:rPr>
          <w:rFonts w:ascii="Arial" w:cs="Arial" w:eastAsia="Arial" w:hAnsi="Arial"/>
          <w:sz w:val="19"/>
          <w:szCs w:val="19"/>
          <w:color w:val="auto"/>
        </w:rPr>
        <w:t>ESOP distributions are made in the form of shares of our common stock (other than distributions in respect of fractional shares, which will be made in cash). Upon receiving a distribution of our common stock from the ESOP, a participant will be able to sell such shares in the market. As a result, we cannot predict the effect, if any, that these distributions and the corresponding sales of shares by the participants may have on the market price of our common stock. Distribution of substantial amounts of our common stock to participants may cause the market price of our common stock to decline.</w:t>
      </w:r>
    </w:p>
    <w:p>
      <w:pPr>
        <w:spacing w:after="0" w:line="263" w:lineRule="exact"/>
        <w:rPr>
          <w:sz w:val="20"/>
          <w:szCs w:val="20"/>
          <w:color w:val="auto"/>
        </w:rPr>
      </w:pPr>
    </w:p>
    <w:p>
      <w:pPr>
        <w:ind w:right="220"/>
        <w:spacing w:after="0" w:line="253" w:lineRule="auto"/>
        <w:rPr>
          <w:sz w:val="20"/>
          <w:szCs w:val="20"/>
          <w:color w:val="auto"/>
        </w:rPr>
      </w:pPr>
      <w:r>
        <w:rPr>
          <w:rFonts w:ascii="Arial" w:cs="Arial" w:eastAsia="Arial" w:hAnsi="Arial"/>
          <w:sz w:val="19"/>
          <w:szCs w:val="19"/>
          <w:b w:val="1"/>
          <w:bCs w:val="1"/>
          <w:i w:val="1"/>
          <w:iCs w:val="1"/>
          <w:color w:val="auto"/>
        </w:rPr>
        <w:t>The issuance of additional stock, not reserved for issuance under our equity incentive plans or otherwise, will dilute all other stockholdings.</w:t>
      </w:r>
    </w:p>
    <w:p>
      <w:pPr>
        <w:spacing w:after="0" w:line="68" w:lineRule="exact"/>
        <w:rPr>
          <w:sz w:val="20"/>
          <w:szCs w:val="20"/>
          <w:color w:val="auto"/>
        </w:rPr>
      </w:pPr>
    </w:p>
    <w:p>
      <w:pPr>
        <w:ind w:firstLine="433"/>
        <w:spacing w:after="0" w:line="238" w:lineRule="auto"/>
        <w:rPr>
          <w:sz w:val="20"/>
          <w:szCs w:val="20"/>
          <w:color w:val="auto"/>
        </w:rPr>
      </w:pPr>
      <w:r>
        <w:rPr>
          <w:rFonts w:ascii="Arial" w:cs="Arial" w:eastAsia="Arial" w:hAnsi="Arial"/>
          <w:sz w:val="18"/>
          <w:szCs w:val="18"/>
          <w:color w:val="auto"/>
        </w:rPr>
        <w:t>We have an aggregate of 853,723,120 shares of common stock authorized but not outstanding and not reserved for issuance under our 2021 Plan, under our existing Incentive Plans or otherwise. We may issue all of these shares without any action or approval by our stockholders. The issuance of additional shares could be dilutive to existing holders. We historically have made annual contributions of our common stock to the ESOP. We made contributions of 1,631,477 shares in fiscal 2021, 1,522,381 shares in fiscal 2020, and 1,345,198 shares in fiscal 2019 of our common stock to the ESOP and intend to continue to make annual contributions in shares of our common stock to the ESOP. In fiscal 2021, 2020 and 2019, we made annual contributions to the ESOP in shares of our common stock in the amount of 8% of the participants’ cash compensation for the applicable year (net of shares forfeited by participants in the applicable year). For future fiscal years, the annual contribution to the ESOP shall be in amounts as determined by the board of directors.</w:t>
      </w:r>
    </w:p>
    <w:p>
      <w:pPr>
        <w:spacing w:after="0" w:line="26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b w:val="1"/>
          <w:bCs w:val="1"/>
          <w:i w:val="1"/>
          <w:iCs w:val="1"/>
          <w:color w:val="auto"/>
        </w:rPr>
        <w:t>Your ability to influence corporate matters may be limited because the ESOP beneficially owns a majority of our stock and therefore our ESOP participants, voting the shares allocated to them under the ESOP, or the ESOP Trustee, who will have the right to vote shares for which no voting instructions are provided by employees, could have substantial control over us.</w:t>
      </w:r>
    </w:p>
    <w:p>
      <w:pPr>
        <w:spacing w:after="0" w:line="67" w:lineRule="exact"/>
        <w:rPr>
          <w:sz w:val="20"/>
          <w:szCs w:val="20"/>
          <w:color w:val="auto"/>
        </w:rPr>
      </w:pPr>
    </w:p>
    <w:p>
      <w:pPr>
        <w:ind w:right="60" w:firstLine="433"/>
        <w:spacing w:after="0" w:line="226" w:lineRule="auto"/>
        <w:rPr>
          <w:sz w:val="20"/>
          <w:szCs w:val="20"/>
          <w:color w:val="auto"/>
        </w:rPr>
      </w:pPr>
      <w:r>
        <w:rPr>
          <w:rFonts w:ascii="Arial" w:cs="Arial" w:eastAsia="Arial" w:hAnsi="Arial"/>
          <w:sz w:val="19"/>
          <w:szCs w:val="19"/>
          <w:color w:val="auto"/>
        </w:rPr>
        <w:t>Our common stock has one vote per share. The ESOP beneficially owns approximately 68% of our outstanding common stock, 40% of which is owned by employees of Parsons Corporation. Under the terms of the ESOP, each participant has the ability to direct the ESOP Trustee on the voting of the shares allocated to his or her account under the ESOP. However, the ESOP Trustee will vote any shares that a participant does not direct the voting, or any shares that are held by the ESOP which are not allocated to participants’ accounts. As such, the ESOP Trustee may be able to exercise a greater influence than otherwise over matters requiring stockholder approval, including the election of directors and approval of significant corporate transactions.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51" w:name="page52"/>
    <w:bookmarkEnd w:id="51"/>
    <w:p>
      <w:pPr>
        <w:ind w:right="380" w:firstLine="433"/>
        <w:spacing w:after="0" w:line="234" w:lineRule="auto"/>
        <w:rPr>
          <w:sz w:val="20"/>
          <w:szCs w:val="20"/>
          <w:color w:val="auto"/>
        </w:rPr>
      </w:pPr>
      <w:r>
        <w:rPr>
          <w:rFonts w:ascii="Arial" w:cs="Arial" w:eastAsia="Arial" w:hAnsi="Arial"/>
          <w:sz w:val="19"/>
          <w:szCs w:val="19"/>
          <w:color w:val="auto"/>
        </w:rPr>
        <w:t>The purpose of the ESOP is to provide retirement income to employees and their beneficiaries. Accordingly, the interests of the ESOP and the ESOP participants may be contrary to yours as an outside investor.</w:t>
      </w:r>
    </w:p>
    <w:p>
      <w:pPr>
        <w:spacing w:after="0" w:line="182" w:lineRule="exact"/>
        <w:rPr>
          <w:sz w:val="20"/>
          <w:szCs w:val="20"/>
          <w:color w:val="auto"/>
        </w:rPr>
      </w:pPr>
    </w:p>
    <w:p>
      <w:pPr>
        <w:ind w:firstLine="433"/>
        <w:spacing w:after="0" w:line="225" w:lineRule="auto"/>
        <w:rPr>
          <w:sz w:val="20"/>
          <w:szCs w:val="20"/>
          <w:color w:val="auto"/>
        </w:rPr>
      </w:pPr>
      <w:r>
        <w:rPr>
          <w:rFonts w:ascii="Arial" w:cs="Arial" w:eastAsia="Arial" w:hAnsi="Arial"/>
          <w:sz w:val="19"/>
          <w:szCs w:val="19"/>
          <w:color w:val="auto"/>
        </w:rPr>
        <w:t>ERISA sets forth certain fiduciary requirements that require an ERISA fiduciary, like the ESOP Trustee, to act solely in the interests of plan participants and their beneficiaries for the purpose of providing retirement benefits. The Department of Labor, which is the agency with the authority to interpret and enforce the fiduciary sections of ERISA, has indicated in its interpretative guidance that voting is an ERISA fiduciary act. The ESOP Trustee’s fiduciary duties under ERISA to the ESOP and its participants may cause the ESOP Trustee to override participants’ voting directions to the extent that following such directions would violate ERISA. In such case, the ESOP Trustee will be able to exercise voting control over all of the ESOP’s shares. Further, the interests of the minority stockholders may not be aligned with those of the ESOP as the majority stockholder, because the ESOP Trustee is required under ERISA to act in the best interest of the ESOP participants and beneficiaries, this may present a conflict.</w:t>
      </w:r>
    </w:p>
    <w:p>
      <w:pPr>
        <w:spacing w:after="0" w:line="187" w:lineRule="exact"/>
        <w:rPr>
          <w:sz w:val="20"/>
          <w:szCs w:val="20"/>
          <w:color w:val="auto"/>
        </w:rPr>
      </w:pPr>
    </w:p>
    <w:p>
      <w:pPr>
        <w:jc w:val="both"/>
        <w:ind w:right="20" w:firstLine="433"/>
        <w:spacing w:after="0" w:line="230" w:lineRule="auto"/>
        <w:rPr>
          <w:sz w:val="20"/>
          <w:szCs w:val="20"/>
          <w:color w:val="auto"/>
        </w:rPr>
      </w:pPr>
      <w:r>
        <w:rPr>
          <w:rFonts w:ascii="Arial" w:cs="Arial" w:eastAsia="Arial" w:hAnsi="Arial"/>
          <w:sz w:val="19"/>
          <w:szCs w:val="19"/>
          <w:color w:val="auto"/>
        </w:rPr>
        <w:t>As a result, the concentration of ownership in our company by the ESOP could delay or prevent a change in control of our company or otherwise discourage a potential acquirer from attempting to obtain control of our company, which in turn could reduce the price of our common stock.</w:t>
      </w:r>
    </w:p>
    <w:p>
      <w:pPr>
        <w:spacing w:after="0" w:line="263" w:lineRule="exact"/>
        <w:rPr>
          <w:sz w:val="20"/>
          <w:szCs w:val="20"/>
          <w:color w:val="auto"/>
        </w:rPr>
      </w:pPr>
    </w:p>
    <w:p>
      <w:pPr>
        <w:ind w:right="160"/>
        <w:spacing w:after="0" w:line="238" w:lineRule="auto"/>
        <w:rPr>
          <w:sz w:val="20"/>
          <w:szCs w:val="20"/>
          <w:color w:val="auto"/>
        </w:rPr>
      </w:pPr>
      <w:r>
        <w:rPr>
          <w:rFonts w:ascii="Arial" w:cs="Arial" w:eastAsia="Arial" w:hAnsi="Arial"/>
          <w:sz w:val="19"/>
          <w:szCs w:val="19"/>
          <w:b w:val="1"/>
          <w:bCs w:val="1"/>
          <w:i w:val="1"/>
          <w:iCs w:val="1"/>
          <w:color w:val="auto"/>
        </w:rPr>
        <w:t>We are a “controlled company” within the meaning of the New York Stock Exchange listing standards and, as a result, qualify for exemptions from certain corporate governance requirements. You may not have the same protections afforded to stockholders of companies that are subject to such requirements.</w:t>
      </w:r>
    </w:p>
    <w:p>
      <w:pPr>
        <w:spacing w:after="0" w:line="82" w:lineRule="exact"/>
        <w:rPr>
          <w:sz w:val="20"/>
          <w:szCs w:val="20"/>
          <w:color w:val="auto"/>
        </w:rPr>
      </w:pPr>
    </w:p>
    <w:p>
      <w:pPr>
        <w:ind w:right="60" w:firstLine="433"/>
        <w:spacing w:after="0" w:line="237" w:lineRule="auto"/>
        <w:rPr>
          <w:sz w:val="20"/>
          <w:szCs w:val="20"/>
          <w:color w:val="auto"/>
        </w:rPr>
      </w:pPr>
      <w:r>
        <w:rPr>
          <w:rFonts w:ascii="Arial" w:cs="Arial" w:eastAsia="Arial" w:hAnsi="Arial"/>
          <w:sz w:val="18"/>
          <w:szCs w:val="18"/>
          <w:color w:val="auto"/>
        </w:rPr>
        <w:t>The ESOP holds common stock representing approximately 68% of the voting power of our common stock as of December 31, 2021. As a result, we are considered a “controlled company” for the purposes of New York Stock Exchange (“NYSE”) rules and corporate governance standards. As a controlled company, we are exempt from certain NYSE corporate governance requirements, including those that would otherwise require our board of directors to have a majority of independent directors and require that we either establish compensation and nominating and corporate governance board committees, each comprised entirely of independent directors, or otherwise ensure that the compensation of our executive officers and nominees for directors are determined or recommended to the board of directors by the independent members of the board of directors. While we intend to have a majority of independent directors, and our compensation and nominating and corporate governance committees to consist entirely of independent directors, we may decide at a later time to rely on one of the “controlled company” exemptions. Accordingly, our common stock may not have the same protections afforded to stockholders of companies that are subject to all of the NYSE corporate governance requirements.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raise capital in the future may be limited, which could limit our business plan or adversely affect your investment.</w:t>
      </w:r>
    </w:p>
    <w:p>
      <w:pPr>
        <w:spacing w:after="0" w:line="119" w:lineRule="exact"/>
        <w:rPr>
          <w:sz w:val="20"/>
          <w:szCs w:val="20"/>
          <w:color w:val="auto"/>
        </w:rPr>
      </w:pPr>
    </w:p>
    <w:p>
      <w:pPr>
        <w:ind w:right="60" w:firstLine="433"/>
        <w:spacing w:after="0" w:line="225" w:lineRule="auto"/>
        <w:rPr>
          <w:sz w:val="20"/>
          <w:szCs w:val="20"/>
          <w:color w:val="auto"/>
        </w:rPr>
      </w:pPr>
      <w:r>
        <w:rPr>
          <w:rFonts w:ascii="Arial" w:cs="Arial" w:eastAsia="Arial" w:hAnsi="Arial"/>
          <w:sz w:val="19"/>
          <w:szCs w:val="19"/>
          <w:color w:val="auto"/>
        </w:rPr>
        <w:t>Our business and strategic plans may consume resources faster than we anticipate. In the future, we may need to raise additional funds through the issuance of new equity securities, debt or a combination of both. However, any decline in the market price of our common stock could impair our ability to raise capital. Separately, additional financing may not be available on favorable terms, or at all. If adequate funds are not available on acceptable terms, we may be unable to fund our operations or new investments. If we issue new debt securities, the debt holders would have rights senior to common stockholders to make claims on our assets, and the terms of any debt could restrict our operations, including our ability to pay dividends on our common stock. If we issue additional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our stockholders bear the risk of our future securities offerings reducing the market price of our common stock and diluting their interest.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52" w:name="page53"/>
    <w:bookmarkEnd w:id="52"/>
    <w:p>
      <w:pPr>
        <w:spacing w:after="0"/>
        <w:rPr>
          <w:sz w:val="20"/>
          <w:szCs w:val="20"/>
          <w:color w:val="auto"/>
        </w:rPr>
      </w:pPr>
      <w:r>
        <w:rPr>
          <w:rFonts w:ascii="Arial" w:cs="Arial" w:eastAsia="Arial" w:hAnsi="Arial"/>
          <w:sz w:val="19"/>
          <w:szCs w:val="19"/>
          <w:b w:val="1"/>
          <w:bCs w:val="1"/>
          <w:i w:val="1"/>
          <w:iCs w:val="1"/>
          <w:color w:val="auto"/>
        </w:rPr>
        <w:t>Anti-takeover provisions in our organizational documents could delay a change in management and limit our share price.</w:t>
      </w:r>
    </w:p>
    <w:p>
      <w:pPr>
        <w:spacing w:after="0" w:line="108" w:lineRule="exact"/>
        <w:rPr>
          <w:sz w:val="20"/>
          <w:szCs w:val="20"/>
          <w:color w:val="auto"/>
        </w:rPr>
      </w:pPr>
    </w:p>
    <w:p>
      <w:pPr>
        <w:jc w:val="both"/>
        <w:ind w:right="120" w:firstLine="433"/>
        <w:spacing w:after="0" w:line="230" w:lineRule="auto"/>
        <w:rPr>
          <w:sz w:val="20"/>
          <w:szCs w:val="20"/>
          <w:color w:val="auto"/>
        </w:rPr>
      </w:pPr>
      <w:r>
        <w:rPr>
          <w:rFonts w:ascii="Arial" w:cs="Arial" w:eastAsia="Arial" w:hAnsi="Arial"/>
          <w:sz w:val="19"/>
          <w:szCs w:val="19"/>
          <w:color w:val="auto"/>
        </w:rPr>
        <w:t>Provisions of our certificate of incorporation and bylaws could make it more difficult for a third party to acquire control of us even if such a change in control would increase the value of our common stock and prevent attempts by our stockholders to replace or remove our current board of directors or management.</w:t>
      </w:r>
    </w:p>
    <w:p>
      <w:pPr>
        <w:spacing w:after="0" w:line="183" w:lineRule="exact"/>
        <w:rPr>
          <w:sz w:val="20"/>
          <w:szCs w:val="20"/>
          <w:color w:val="auto"/>
        </w:rPr>
      </w:pPr>
    </w:p>
    <w:p>
      <w:pPr>
        <w:ind w:right="60" w:firstLine="433"/>
        <w:spacing w:after="0" w:line="234" w:lineRule="auto"/>
        <w:rPr>
          <w:sz w:val="20"/>
          <w:szCs w:val="20"/>
          <w:color w:val="auto"/>
        </w:rPr>
      </w:pPr>
      <w:r>
        <w:rPr>
          <w:rFonts w:ascii="Arial" w:cs="Arial" w:eastAsia="Arial" w:hAnsi="Arial"/>
          <w:sz w:val="19"/>
          <w:szCs w:val="19"/>
          <w:color w:val="auto"/>
        </w:rPr>
        <w:t>We have a number of anti-takeover devices that could hinder takeover attempts and could reduce the market value of our common stock or prevent sale at a premium. Our anti-takeover provisions:</w:t>
      </w:r>
    </w:p>
    <w:p>
      <w:pPr>
        <w:spacing w:after="0" w:line="81" w:lineRule="exact"/>
        <w:rPr>
          <w:sz w:val="20"/>
          <w:szCs w:val="20"/>
          <w:color w:val="auto"/>
        </w:rPr>
      </w:pPr>
    </w:p>
    <w:p>
      <w:pPr>
        <w:ind w:left="1720" w:right="840" w:hanging="425"/>
        <w:spacing w:after="0" w:line="234" w:lineRule="auto"/>
        <w:tabs>
          <w:tab w:leader="none" w:pos="1720" w:val="left"/>
        </w:tabs>
        <w:numPr>
          <w:ilvl w:val="0"/>
          <w:numId w:val="38"/>
        </w:numPr>
        <w:rPr>
          <w:rFonts w:ascii="Arial" w:cs="Arial" w:eastAsia="Arial" w:hAnsi="Arial"/>
          <w:sz w:val="19"/>
          <w:szCs w:val="19"/>
          <w:color w:val="auto"/>
        </w:rPr>
      </w:pPr>
      <w:r>
        <w:rPr>
          <w:rFonts w:ascii="Arial" w:cs="Arial" w:eastAsia="Arial" w:hAnsi="Arial"/>
          <w:sz w:val="19"/>
          <w:szCs w:val="19"/>
          <w:color w:val="auto"/>
        </w:rPr>
        <w:t>permit the board of directors to establish the number of directors and fill any vacancies and newly created directorships;</w:t>
      </w:r>
    </w:p>
    <w:p>
      <w:pPr>
        <w:spacing w:after="0" w:line="283" w:lineRule="exact"/>
        <w:rPr>
          <w:rFonts w:ascii="Arial" w:cs="Arial" w:eastAsia="Arial" w:hAnsi="Arial"/>
          <w:sz w:val="19"/>
          <w:szCs w:val="19"/>
          <w:color w:val="auto"/>
        </w:rPr>
      </w:pPr>
    </w:p>
    <w:p>
      <w:pPr>
        <w:ind w:left="1720" w:hanging="425"/>
        <w:spacing w:after="0" w:line="234" w:lineRule="auto"/>
        <w:tabs>
          <w:tab w:leader="none" w:pos="1720" w:val="left"/>
        </w:tabs>
        <w:numPr>
          <w:ilvl w:val="0"/>
          <w:numId w:val="38"/>
        </w:numPr>
        <w:rPr>
          <w:rFonts w:ascii="Arial" w:cs="Arial" w:eastAsia="Arial" w:hAnsi="Arial"/>
          <w:sz w:val="19"/>
          <w:szCs w:val="19"/>
          <w:color w:val="auto"/>
        </w:rPr>
      </w:pPr>
      <w:r>
        <w:rPr>
          <w:rFonts w:ascii="Arial" w:cs="Arial" w:eastAsia="Arial" w:hAnsi="Arial"/>
          <w:sz w:val="19"/>
          <w:szCs w:val="19"/>
          <w:color w:val="auto"/>
        </w:rPr>
        <w:t>provide that our board of directors is classified into three classes with staggered, three-year terms and that directors may only be removed for cause;</w:t>
      </w:r>
    </w:p>
    <w:p>
      <w:pPr>
        <w:spacing w:after="0" w:line="283" w:lineRule="exact"/>
        <w:rPr>
          <w:rFonts w:ascii="Arial" w:cs="Arial" w:eastAsia="Arial" w:hAnsi="Arial"/>
          <w:sz w:val="19"/>
          <w:szCs w:val="19"/>
          <w:color w:val="auto"/>
        </w:rPr>
      </w:pPr>
    </w:p>
    <w:p>
      <w:pPr>
        <w:ind w:left="1720" w:right="120" w:hanging="425"/>
        <w:spacing w:after="0" w:line="230" w:lineRule="auto"/>
        <w:tabs>
          <w:tab w:leader="none" w:pos="1720" w:val="left"/>
        </w:tabs>
        <w:numPr>
          <w:ilvl w:val="0"/>
          <w:numId w:val="38"/>
        </w:numPr>
        <w:rPr>
          <w:rFonts w:ascii="Arial" w:cs="Arial" w:eastAsia="Arial" w:hAnsi="Arial"/>
          <w:sz w:val="19"/>
          <w:szCs w:val="19"/>
          <w:color w:val="auto"/>
        </w:rPr>
      </w:pPr>
      <w:r>
        <w:rPr>
          <w:rFonts w:ascii="Arial" w:cs="Arial" w:eastAsia="Arial" w:hAnsi="Arial"/>
          <w:sz w:val="19"/>
          <w:szCs w:val="19"/>
          <w:color w:val="auto"/>
        </w:rPr>
        <w:t>include blank-check preferred stock, the preference, rights and other terms of which may be set by the board of directors and could delay or prevent a transaction or a change in control that might involve a premium price for our common stock or otherwise benefit our stockholders;</w:t>
      </w:r>
    </w:p>
    <w:p>
      <w:pPr>
        <w:spacing w:after="0" w:line="284" w:lineRule="exact"/>
        <w:rPr>
          <w:rFonts w:ascii="Arial" w:cs="Arial" w:eastAsia="Arial" w:hAnsi="Arial"/>
          <w:sz w:val="19"/>
          <w:szCs w:val="19"/>
          <w:color w:val="auto"/>
        </w:rPr>
      </w:pPr>
    </w:p>
    <w:p>
      <w:pPr>
        <w:ind w:left="1720" w:hanging="425"/>
        <w:spacing w:after="0"/>
        <w:tabs>
          <w:tab w:leader="none" w:pos="1720" w:val="left"/>
        </w:tabs>
        <w:numPr>
          <w:ilvl w:val="0"/>
          <w:numId w:val="38"/>
        </w:numPr>
        <w:rPr>
          <w:rFonts w:ascii="Arial" w:cs="Arial" w:eastAsia="Arial" w:hAnsi="Arial"/>
          <w:sz w:val="19"/>
          <w:szCs w:val="19"/>
          <w:color w:val="auto"/>
        </w:rPr>
      </w:pPr>
      <w:r>
        <w:rPr>
          <w:rFonts w:ascii="Arial" w:cs="Arial" w:eastAsia="Arial" w:hAnsi="Arial"/>
          <w:sz w:val="19"/>
          <w:szCs w:val="19"/>
          <w:color w:val="auto"/>
        </w:rPr>
        <w:t>eliminate the ability of our stockholders to call special meetings of stockholders;</w:t>
      </w:r>
    </w:p>
    <w:p>
      <w:pPr>
        <w:spacing w:after="0" w:line="301" w:lineRule="exact"/>
        <w:rPr>
          <w:rFonts w:ascii="Arial" w:cs="Arial" w:eastAsia="Arial" w:hAnsi="Arial"/>
          <w:sz w:val="19"/>
          <w:szCs w:val="19"/>
          <w:color w:val="auto"/>
        </w:rPr>
      </w:pPr>
    </w:p>
    <w:p>
      <w:pPr>
        <w:ind w:left="1720" w:right="40" w:hanging="425"/>
        <w:spacing w:after="0" w:line="234" w:lineRule="auto"/>
        <w:tabs>
          <w:tab w:leader="none" w:pos="1720" w:val="left"/>
        </w:tabs>
        <w:numPr>
          <w:ilvl w:val="0"/>
          <w:numId w:val="38"/>
        </w:numPr>
        <w:rPr>
          <w:rFonts w:ascii="Arial" w:cs="Arial" w:eastAsia="Arial" w:hAnsi="Arial"/>
          <w:sz w:val="19"/>
          <w:szCs w:val="19"/>
          <w:color w:val="auto"/>
        </w:rPr>
      </w:pPr>
      <w:r>
        <w:rPr>
          <w:rFonts w:ascii="Arial" w:cs="Arial" w:eastAsia="Arial" w:hAnsi="Arial"/>
          <w:sz w:val="19"/>
          <w:szCs w:val="19"/>
          <w:color w:val="auto"/>
        </w:rPr>
        <w:t>specify that special meetings of our stockholders can be called only by our board of directors, or a board committee authorized with the power to call such meetings;</w:t>
      </w:r>
    </w:p>
    <w:p>
      <w:pPr>
        <w:spacing w:after="0" w:line="283" w:lineRule="exact"/>
        <w:rPr>
          <w:rFonts w:ascii="Arial" w:cs="Arial" w:eastAsia="Arial" w:hAnsi="Arial"/>
          <w:sz w:val="19"/>
          <w:szCs w:val="19"/>
          <w:color w:val="auto"/>
        </w:rPr>
      </w:pPr>
    </w:p>
    <w:p>
      <w:pPr>
        <w:ind w:left="1720" w:hanging="425"/>
        <w:spacing w:after="0" w:line="234" w:lineRule="auto"/>
        <w:tabs>
          <w:tab w:leader="none" w:pos="1720" w:val="left"/>
        </w:tabs>
        <w:numPr>
          <w:ilvl w:val="0"/>
          <w:numId w:val="38"/>
        </w:numPr>
        <w:rPr>
          <w:rFonts w:ascii="Arial" w:cs="Arial" w:eastAsia="Arial" w:hAnsi="Arial"/>
          <w:sz w:val="19"/>
          <w:szCs w:val="19"/>
          <w:color w:val="auto"/>
        </w:rPr>
      </w:pPr>
      <w:r>
        <w:rPr>
          <w:rFonts w:ascii="Arial" w:cs="Arial" w:eastAsia="Arial" w:hAnsi="Arial"/>
          <w:sz w:val="19"/>
          <w:szCs w:val="19"/>
          <w:color w:val="auto"/>
        </w:rPr>
        <w:t>prohibit stockholder action by written consent, which has the effect of requiring all stockholder actions to be taken at a meeting of our stockholders;</w:t>
      </w:r>
    </w:p>
    <w:p>
      <w:pPr>
        <w:spacing w:after="0" w:line="283" w:lineRule="exact"/>
        <w:rPr>
          <w:rFonts w:ascii="Arial" w:cs="Arial" w:eastAsia="Arial" w:hAnsi="Arial"/>
          <w:sz w:val="19"/>
          <w:szCs w:val="19"/>
          <w:color w:val="auto"/>
        </w:rPr>
      </w:pPr>
    </w:p>
    <w:p>
      <w:pPr>
        <w:ind w:left="1720" w:right="400" w:hanging="425"/>
        <w:spacing w:after="0" w:line="234" w:lineRule="auto"/>
        <w:tabs>
          <w:tab w:leader="none" w:pos="1720" w:val="left"/>
        </w:tabs>
        <w:numPr>
          <w:ilvl w:val="0"/>
          <w:numId w:val="38"/>
        </w:numPr>
        <w:rPr>
          <w:rFonts w:ascii="Arial" w:cs="Arial" w:eastAsia="Arial" w:hAnsi="Arial"/>
          <w:sz w:val="19"/>
          <w:szCs w:val="19"/>
          <w:color w:val="auto"/>
        </w:rPr>
      </w:pPr>
      <w:r>
        <w:rPr>
          <w:rFonts w:ascii="Arial" w:cs="Arial" w:eastAsia="Arial" w:hAnsi="Arial"/>
          <w:sz w:val="19"/>
          <w:szCs w:val="19"/>
          <w:color w:val="auto"/>
        </w:rPr>
        <w:t>provide that vacancies on our board of directors may be filled only by a majority of directors then in office, even though less than a quorum;</w:t>
      </w:r>
    </w:p>
    <w:p>
      <w:pPr>
        <w:spacing w:after="0" w:line="283" w:lineRule="exact"/>
        <w:rPr>
          <w:rFonts w:ascii="Arial" w:cs="Arial" w:eastAsia="Arial" w:hAnsi="Arial"/>
          <w:sz w:val="19"/>
          <w:szCs w:val="19"/>
          <w:color w:val="auto"/>
        </w:rPr>
      </w:pPr>
    </w:p>
    <w:p>
      <w:pPr>
        <w:ind w:left="1720" w:hanging="425"/>
        <w:spacing w:after="0"/>
        <w:tabs>
          <w:tab w:leader="none" w:pos="1720" w:val="left"/>
        </w:tabs>
        <w:numPr>
          <w:ilvl w:val="0"/>
          <w:numId w:val="38"/>
        </w:numPr>
        <w:rPr>
          <w:rFonts w:ascii="Arial" w:cs="Arial" w:eastAsia="Arial" w:hAnsi="Arial"/>
          <w:sz w:val="19"/>
          <w:szCs w:val="19"/>
          <w:color w:val="auto"/>
        </w:rPr>
      </w:pPr>
      <w:r>
        <w:rPr>
          <w:rFonts w:ascii="Arial" w:cs="Arial" w:eastAsia="Arial" w:hAnsi="Arial"/>
          <w:sz w:val="19"/>
          <w:szCs w:val="19"/>
          <w:color w:val="auto"/>
        </w:rPr>
        <w:t>prohibit cumulative voting in the election of directors; and</w:t>
      </w:r>
    </w:p>
    <w:p>
      <w:pPr>
        <w:spacing w:after="0" w:line="199" w:lineRule="exact"/>
        <w:rPr>
          <w:rFonts w:ascii="Arial" w:cs="Arial" w:eastAsia="Arial" w:hAnsi="Arial"/>
          <w:sz w:val="19"/>
          <w:szCs w:val="19"/>
          <w:color w:val="auto"/>
        </w:rPr>
      </w:pPr>
    </w:p>
    <w:p>
      <w:pPr>
        <w:ind w:left="1720" w:hanging="425"/>
        <w:spacing w:after="0" w:line="234" w:lineRule="auto"/>
        <w:tabs>
          <w:tab w:leader="none" w:pos="1720" w:val="left"/>
        </w:tabs>
        <w:numPr>
          <w:ilvl w:val="0"/>
          <w:numId w:val="38"/>
        </w:numPr>
        <w:rPr>
          <w:rFonts w:ascii="Arial" w:cs="Arial" w:eastAsia="Arial" w:hAnsi="Arial"/>
          <w:sz w:val="19"/>
          <w:szCs w:val="19"/>
          <w:color w:val="auto"/>
        </w:rPr>
      </w:pPr>
      <w:r>
        <w:rPr>
          <w:rFonts w:ascii="Arial" w:cs="Arial" w:eastAsia="Arial" w:hAnsi="Arial"/>
          <w:sz w:val="19"/>
          <w:szCs w:val="19"/>
          <w:color w:val="auto"/>
        </w:rPr>
        <w:t>establish advance notice requirements for nominations for election to our board of directors or for proposing matters that can be acted upon by stockholders at annual stockholders’ meetings.</w:t>
      </w:r>
    </w:p>
    <w:p>
      <w:pPr>
        <w:spacing w:after="0" w:line="385" w:lineRule="exact"/>
        <w:rPr>
          <w:sz w:val="20"/>
          <w:szCs w:val="20"/>
          <w:color w:val="auto"/>
        </w:rPr>
      </w:pPr>
    </w:p>
    <w:p>
      <w:pPr>
        <w:ind w:right="320" w:firstLine="433"/>
        <w:spacing w:after="0" w:line="230" w:lineRule="auto"/>
        <w:rPr>
          <w:sz w:val="20"/>
          <w:szCs w:val="20"/>
          <w:color w:val="auto"/>
        </w:rPr>
      </w:pPr>
      <w:r>
        <w:rPr>
          <w:rFonts w:ascii="Arial" w:cs="Arial" w:eastAsia="Arial" w:hAnsi="Arial"/>
          <w:sz w:val="19"/>
          <w:szCs w:val="19"/>
          <w:color w:val="auto"/>
        </w:rPr>
        <w:t>In addition, as a Delaware corporation, we are subject to Section 203 of the Delaware General Corporation Law (DGCL). These provisions may prohibit large stockholders, in particular those owning 15% or more of our outstanding voting stock, from merging or combining with us for a period of time.</w:t>
      </w:r>
    </w:p>
    <w:p>
      <w:pPr>
        <w:spacing w:after="0" w:line="263" w:lineRule="exact"/>
        <w:rPr>
          <w:sz w:val="20"/>
          <w:szCs w:val="20"/>
          <w:color w:val="auto"/>
        </w:rPr>
      </w:pPr>
    </w:p>
    <w:p>
      <w:pPr>
        <w:ind w:right="320"/>
        <w:spacing w:after="0" w:line="238" w:lineRule="auto"/>
        <w:rPr>
          <w:sz w:val="20"/>
          <w:szCs w:val="20"/>
          <w:color w:val="auto"/>
        </w:rPr>
      </w:pPr>
      <w:r>
        <w:rPr>
          <w:rFonts w:ascii="Arial" w:cs="Arial" w:eastAsia="Arial" w:hAnsi="Arial"/>
          <w:sz w:val="19"/>
          <w:szCs w:val="19"/>
          <w:b w:val="1"/>
          <w:bCs w:val="1"/>
          <w:i w:val="1"/>
          <w:iCs w:val="1"/>
          <w:color w:val="auto"/>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82" w:lineRule="exact"/>
        <w:rPr>
          <w:sz w:val="20"/>
          <w:szCs w:val="20"/>
          <w:color w:val="auto"/>
        </w:rPr>
      </w:pPr>
    </w:p>
    <w:p>
      <w:pPr>
        <w:ind w:right="80" w:firstLine="433"/>
        <w:spacing w:after="0" w:line="234" w:lineRule="auto"/>
        <w:rPr>
          <w:sz w:val="20"/>
          <w:szCs w:val="20"/>
          <w:color w:val="auto"/>
        </w:rPr>
      </w:pPr>
      <w:r>
        <w:rPr>
          <w:rFonts w:ascii="Arial" w:cs="Arial" w:eastAsia="Arial" w:hAnsi="Arial"/>
          <w:sz w:val="19"/>
          <w:szCs w:val="19"/>
          <w:color w:val="auto"/>
        </w:rPr>
        <w:t>Our certificate of incorporation provides that the Court of Chancery of the State of Delaware is the exclusive forum for the following civil actions:</w:t>
      </w:r>
    </w:p>
    <w:p>
      <w:pPr>
        <w:spacing w:after="0" w:line="81" w:lineRule="exact"/>
        <w:rPr>
          <w:sz w:val="20"/>
          <w:szCs w:val="20"/>
          <w:color w:val="auto"/>
        </w:rPr>
      </w:pPr>
    </w:p>
    <w:p>
      <w:pPr>
        <w:ind w:left="1720" w:hanging="425"/>
        <w:spacing w:after="0"/>
        <w:tabs>
          <w:tab w:leader="none" w:pos="1720" w:val="left"/>
        </w:tabs>
        <w:numPr>
          <w:ilvl w:val="0"/>
          <w:numId w:val="39"/>
        </w:numPr>
        <w:rPr>
          <w:rFonts w:ascii="Arial" w:cs="Arial" w:eastAsia="Arial" w:hAnsi="Arial"/>
          <w:sz w:val="19"/>
          <w:szCs w:val="19"/>
          <w:color w:val="auto"/>
        </w:rPr>
      </w:pPr>
      <w:r>
        <w:rPr>
          <w:rFonts w:ascii="Arial" w:cs="Arial" w:eastAsia="Arial" w:hAnsi="Arial"/>
          <w:sz w:val="19"/>
          <w:szCs w:val="19"/>
          <w:color w:val="auto"/>
        </w:rPr>
        <w:t>any derivative action or proceeding brought on our behalf;</w:t>
      </w:r>
    </w:p>
    <w:p>
      <w:pPr>
        <w:spacing w:after="0" w:line="98" w:lineRule="exact"/>
        <w:rPr>
          <w:rFonts w:ascii="Arial" w:cs="Arial" w:eastAsia="Arial" w:hAnsi="Arial"/>
          <w:sz w:val="19"/>
          <w:szCs w:val="19"/>
          <w:color w:val="auto"/>
        </w:rPr>
      </w:pPr>
    </w:p>
    <w:p>
      <w:pPr>
        <w:ind w:left="1720" w:right="240" w:hanging="425"/>
        <w:spacing w:after="0" w:line="234" w:lineRule="auto"/>
        <w:tabs>
          <w:tab w:leader="none" w:pos="1720" w:val="left"/>
        </w:tabs>
        <w:numPr>
          <w:ilvl w:val="0"/>
          <w:numId w:val="39"/>
        </w:numPr>
        <w:rPr>
          <w:rFonts w:ascii="Arial" w:cs="Arial" w:eastAsia="Arial" w:hAnsi="Arial"/>
          <w:sz w:val="19"/>
          <w:szCs w:val="19"/>
          <w:color w:val="auto"/>
        </w:rPr>
      </w:pPr>
      <w:r>
        <w:rPr>
          <w:rFonts w:ascii="Arial" w:cs="Arial" w:eastAsia="Arial" w:hAnsi="Arial"/>
          <w:sz w:val="19"/>
          <w:szCs w:val="19"/>
          <w:color w:val="auto"/>
        </w:rPr>
        <w:t>any action asserting a claim of breach of a fiduciary duty by any of our directors, officers, employees or agents or our stockholders;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53" w:name="page54"/>
    <w:bookmarkEnd w:id="53"/>
    <w:p>
      <w:pPr>
        <w:ind w:left="1720" w:right="480" w:hanging="425"/>
        <w:spacing w:after="0" w:line="255" w:lineRule="auto"/>
        <w:tabs>
          <w:tab w:leader="none" w:pos="1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DGCL or our certificate of incorporation or bylaws or as to which the DGCL confers jurisdiction on the Court of Chancery of the State of Delaware; or</w:t>
      </w:r>
    </w:p>
    <w:p>
      <w:pPr>
        <w:spacing w:after="0" w:line="67" w:lineRule="exact"/>
        <w:rPr>
          <w:rFonts w:ascii="Arial" w:cs="Arial" w:eastAsia="Arial" w:hAnsi="Arial"/>
          <w:sz w:val="18"/>
          <w:szCs w:val="18"/>
          <w:color w:val="auto"/>
        </w:rPr>
      </w:pPr>
    </w:p>
    <w:p>
      <w:pPr>
        <w:ind w:left="1720" w:hanging="425"/>
        <w:spacing w:after="0"/>
        <w:tabs>
          <w:tab w:leader="none" w:pos="17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any action asserting a claim governed by the internal affairs doctrine.</w:t>
      </w:r>
    </w:p>
    <w:p>
      <w:pPr>
        <w:spacing w:after="0" w:line="200" w:lineRule="exact"/>
        <w:rPr>
          <w:sz w:val="20"/>
          <w:szCs w:val="20"/>
          <w:color w:val="auto"/>
        </w:rPr>
      </w:pPr>
    </w:p>
    <w:p>
      <w:pPr>
        <w:ind w:right="260" w:firstLine="433"/>
        <w:spacing w:after="0"/>
        <w:rPr>
          <w:sz w:val="20"/>
          <w:szCs w:val="20"/>
          <w:color w:val="auto"/>
        </w:rPr>
      </w:pPr>
      <w:r>
        <w:rPr>
          <w:rFonts w:ascii="Arial" w:cs="Arial" w:eastAsia="Arial" w:hAnsi="Arial"/>
          <w:sz w:val="18"/>
          <w:szCs w:val="18"/>
          <w:color w:val="auto"/>
        </w:rPr>
        <w:t>This choice of forum provision may limit a stockholder’s ability to bring a claim in a judicial forum that the stockholder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have no current plans to declare dividends.</w:t>
      </w:r>
    </w:p>
    <w:p>
      <w:pPr>
        <w:spacing w:after="0" w:line="108" w:lineRule="exact"/>
        <w:rPr>
          <w:sz w:val="20"/>
          <w:szCs w:val="20"/>
          <w:color w:val="auto"/>
        </w:rPr>
      </w:pPr>
    </w:p>
    <w:p>
      <w:pPr>
        <w:ind w:right="140" w:firstLine="433"/>
        <w:spacing w:after="0" w:line="226" w:lineRule="auto"/>
        <w:rPr>
          <w:sz w:val="20"/>
          <w:szCs w:val="20"/>
          <w:color w:val="auto"/>
        </w:rPr>
      </w:pPr>
      <w:r>
        <w:rPr>
          <w:rFonts w:ascii="Arial" w:cs="Arial" w:eastAsia="Arial" w:hAnsi="Arial"/>
          <w:sz w:val="19"/>
          <w:szCs w:val="19"/>
          <w:color w:val="auto"/>
        </w:rPr>
        <w:t>We do not currently pay a dividend and have no current plans to declare any cash dividends to holders of our common stock. Any determination to pay dividends in the future will be at the discretion of our board of directors and will depend upon results of operations, financial condition, any contractual restrictions, our indebtedness,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cash dividends should not purchase our common stock.</w:t>
      </w:r>
    </w:p>
    <w:p>
      <w:pPr>
        <w:spacing w:after="0" w:line="265" w:lineRule="exact"/>
        <w:rPr>
          <w:sz w:val="20"/>
          <w:szCs w:val="20"/>
          <w:color w:val="auto"/>
        </w:rPr>
      </w:pPr>
    </w:p>
    <w:p>
      <w:pPr>
        <w:ind w:right="320"/>
        <w:spacing w:after="0" w:line="253" w:lineRule="auto"/>
        <w:rPr>
          <w:sz w:val="20"/>
          <w:szCs w:val="20"/>
          <w:color w:val="auto"/>
        </w:rPr>
      </w:pPr>
      <w:r>
        <w:rPr>
          <w:rFonts w:ascii="Arial" w:cs="Arial" w:eastAsia="Arial" w:hAnsi="Arial"/>
          <w:sz w:val="19"/>
          <w:szCs w:val="19"/>
          <w:b w:val="1"/>
          <w:bCs w:val="1"/>
          <w:i w:val="1"/>
          <w:iCs w:val="1"/>
          <w:color w:val="auto"/>
        </w:rPr>
        <w:t>If securities or industry analysts do not publish research or publish inaccurate or unfavorable research about our business, our stock price and trading volume could decline.</w:t>
      </w:r>
    </w:p>
    <w:p>
      <w:pPr>
        <w:spacing w:after="0" w:line="68" w:lineRule="exact"/>
        <w:rPr>
          <w:sz w:val="20"/>
          <w:szCs w:val="20"/>
          <w:color w:val="auto"/>
        </w:rPr>
      </w:pPr>
    </w:p>
    <w:p>
      <w:pPr>
        <w:ind w:right="20" w:firstLine="433"/>
        <w:spacing w:after="0" w:line="241"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an analyst who covers us downgrades our common stock or publishes inaccurate or unfavorable research about our business, our stock price would likely decline. If one or more of these analysts ceases coverage of us or fails to publish reports on us regularly, demand for our common stock could decrease, which could cause our stock price and trading volume to decline.</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1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None.</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218" w:lineRule="exact"/>
        <w:rPr>
          <w:sz w:val="20"/>
          <w:szCs w:val="20"/>
          <w:color w:val="auto"/>
        </w:rPr>
      </w:pPr>
    </w:p>
    <w:p>
      <w:pPr>
        <w:ind w:firstLine="735"/>
        <w:spacing w:after="0" w:line="236" w:lineRule="auto"/>
        <w:rPr>
          <w:sz w:val="20"/>
          <w:szCs w:val="20"/>
          <w:color w:val="auto"/>
        </w:rPr>
      </w:pPr>
      <w:r>
        <w:rPr>
          <w:rFonts w:ascii="Arial" w:cs="Arial" w:eastAsia="Arial" w:hAnsi="Arial"/>
          <w:sz w:val="17"/>
          <w:szCs w:val="17"/>
          <w:color w:val="auto"/>
        </w:rPr>
        <w:t>Our headquarters are located in Centreville, Virginia. As of December 31, 2021, we leased 199 commercial facilities (including our headquarters) with an aggregate of approximately 2.68 million square feet of space across 36 U.S. states and 14 countries used in connection with the various services rendered to our customers. Additionally, we operate at several customer-accredited Sensitive Compartmented Information Facilities, which are highly specialized, secure facilities used to perform classified work for the United States intelligence community. We also have employees working at customer sites throughout the U.S. and in other countries. We believe our facilities are adequate for our current and presently foreseeable needs.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218" w:lineRule="exact"/>
        <w:rPr>
          <w:sz w:val="20"/>
          <w:szCs w:val="20"/>
          <w:color w:val="auto"/>
        </w:rPr>
      </w:pPr>
    </w:p>
    <w:p>
      <w:pPr>
        <w:jc w:val="both"/>
        <w:ind w:right="140" w:firstLine="541"/>
        <w:spacing w:after="0" w:line="238" w:lineRule="auto"/>
        <w:rPr>
          <w:sz w:val="20"/>
          <w:szCs w:val="20"/>
          <w:color w:val="auto"/>
        </w:rPr>
      </w:pPr>
      <w:r>
        <w:rPr>
          <w:rFonts w:ascii="Arial" w:cs="Arial" w:eastAsia="Arial" w:hAnsi="Arial"/>
          <w:sz w:val="17"/>
          <w:szCs w:val="17"/>
          <w:color w:val="auto"/>
        </w:rPr>
        <w:t>Our performance under our contracts and our compliance with the terms of those contracts and applicable laws and regulations are subject to continuous audit, review and investigation by our customers, including the U.S. federal government. In addition, we are from time to time involved in legal proceedings and investigations arising in the ordinary course of business, including those relating 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54" w:name="page55"/>
    <w:bookmarkEnd w:id="54"/>
    <w:p>
      <w:pPr>
        <w:spacing w:after="0" w:line="237" w:lineRule="auto"/>
        <w:rPr>
          <w:sz w:val="20"/>
          <w:szCs w:val="20"/>
          <w:color w:val="auto"/>
        </w:rPr>
      </w:pPr>
      <w:r>
        <w:rPr>
          <w:rFonts w:ascii="Arial" w:cs="Arial" w:eastAsia="Arial" w:hAnsi="Arial"/>
          <w:sz w:val="17"/>
          <w:szCs w:val="17"/>
          <w:color w:val="auto"/>
        </w:rPr>
        <w:t>employment matters, relationships with clients and contractors, intellectual property disputes, environmental matters and other business matters. Although the outcome of any such matter is inherently uncertain and may be materially adverse, based on current information, except as noted below, we believe there are no pending lawsuits or claims that may have a material adverse effect on our business, financial condition or results of operations.</w:t>
      </w:r>
    </w:p>
    <w:p>
      <w:pPr>
        <w:spacing w:after="0" w:line="191" w:lineRule="exact"/>
        <w:rPr>
          <w:sz w:val="20"/>
          <w:szCs w:val="20"/>
          <w:color w:val="auto"/>
        </w:rPr>
      </w:pPr>
    </w:p>
    <w:p>
      <w:pPr>
        <w:ind w:firstLine="541"/>
        <w:spacing w:after="0" w:line="235" w:lineRule="auto"/>
        <w:rPr>
          <w:sz w:val="20"/>
          <w:szCs w:val="20"/>
          <w:color w:val="auto"/>
        </w:rPr>
      </w:pPr>
      <w:r>
        <w:rPr>
          <w:rFonts w:ascii="Arial" w:cs="Arial" w:eastAsia="Arial" w:hAnsi="Arial"/>
          <w:sz w:val="17"/>
          <w:szCs w:val="17"/>
          <w:color w:val="auto"/>
        </w:rPr>
        <w:t>In September 2015, a former Parsons employee filed an action in the United States District Court for the Northern District of Alabama against us as a qui tam relator on behalf of the United States (the “Relator”) alleging violation of the False Claims Act. The plaintiff alleges that, as a result of these actions, the United States paid in excess of $1 million per month between February and September 2006 that it should have paid to another contractor, plus $2.9 million to acquire vehicles for the contractor defendant to perform its security services. The lawsuit sought (i) that we cease and desist from violating the False Claims Act, (ii) monetary damages equal to three times the amount of damages that the United States has sustained because of our alleged violations, plus a civil penalty of not less than $5,500 and not more than $11,000 for each alleged violation of the False Claims Act, (iii) monetary damages equal to the maximum amount allowed pursuant to §3730(d) of the False Claims Act, and (iv) Relator’s costs for this action, including recovery of attorneys’ fees and costs incurred in the lawsuit. The United States government did not intervene in this matter as it is allowed to do so under the statute. The parties are currently engaged in discovery.</w:t>
      </w:r>
    </w:p>
    <w:p>
      <w:pPr>
        <w:spacing w:after="0" w:line="90" w:lineRule="exact"/>
        <w:rPr>
          <w:sz w:val="20"/>
          <w:szCs w:val="20"/>
          <w:color w:val="auto"/>
        </w:rPr>
      </w:pPr>
    </w:p>
    <w:p>
      <w:pPr>
        <w:ind w:left="740"/>
        <w:spacing w:after="0"/>
        <w:rPr>
          <w:sz w:val="20"/>
          <w:szCs w:val="20"/>
          <w:color w:val="auto"/>
        </w:rPr>
      </w:pPr>
      <w:r>
        <w:rPr>
          <w:rFonts w:ascii="Arial" w:cs="Arial" w:eastAsia="Arial" w:hAnsi="Arial"/>
          <w:sz w:val="16"/>
          <w:szCs w:val="16"/>
          <w:color w:val="auto"/>
        </w:rPr>
        <w:t>At this time, the Company is unable to determine the probability of the outcome of the litigation or determine a potential range of loss, if any.</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1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55" w:name="page56"/>
    <w:bookmarkEnd w:id="55"/>
    <w:p>
      <w:pPr>
        <w:jc w:val="center"/>
        <w:spacing w:after="0"/>
        <w:rPr>
          <w:sz w:val="20"/>
          <w:szCs w:val="20"/>
          <w:color w:val="auto"/>
        </w:rPr>
      </w:pPr>
      <w:r>
        <w:rPr>
          <w:rFonts w:ascii="Arial" w:cs="Arial" w:eastAsia="Arial" w:hAnsi="Arial"/>
          <w:sz w:val="17"/>
          <w:szCs w:val="17"/>
          <w:b w:val="1"/>
          <w:bCs w:val="1"/>
          <w:color w:val="auto"/>
        </w:rPr>
        <w:t>PART II</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218" w:lineRule="exact"/>
        <w:rPr>
          <w:sz w:val="20"/>
          <w:szCs w:val="20"/>
          <w:color w:val="auto"/>
        </w:rPr>
      </w:pPr>
    </w:p>
    <w:p>
      <w:pPr>
        <w:ind w:right="220" w:firstLine="735"/>
        <w:spacing w:after="0" w:line="238" w:lineRule="auto"/>
        <w:rPr>
          <w:sz w:val="20"/>
          <w:szCs w:val="20"/>
          <w:color w:val="auto"/>
        </w:rPr>
      </w:pPr>
      <w:r>
        <w:rPr>
          <w:rFonts w:ascii="Arial" w:cs="Arial" w:eastAsia="Arial" w:hAnsi="Arial"/>
          <w:sz w:val="17"/>
          <w:szCs w:val="17"/>
          <w:color w:val="auto"/>
        </w:rPr>
        <w:t>On May 8, 2019, the Company consummated its initial public offering (“IPO”) whereby the Company sold 18,518,500 shares of common stock for $27.00 per share. The underwriters exercised their share option on May 14, 2019 to purchase an additional 2,777,775 shares at the share price of $25.515 which was the IPO share price of $27.00 less the underwriting discount of $1.485 per share.</w:t>
      </w:r>
    </w:p>
    <w:p>
      <w:pPr>
        <w:spacing w:after="0" w:line="192" w:lineRule="exact"/>
        <w:rPr>
          <w:sz w:val="20"/>
          <w:szCs w:val="20"/>
          <w:color w:val="auto"/>
        </w:rPr>
      </w:pPr>
    </w:p>
    <w:p>
      <w:pPr>
        <w:ind w:right="440" w:firstLine="735"/>
        <w:spacing w:after="0" w:line="242" w:lineRule="auto"/>
        <w:rPr>
          <w:sz w:val="20"/>
          <w:szCs w:val="20"/>
          <w:color w:val="auto"/>
        </w:rPr>
      </w:pPr>
      <w:r>
        <w:rPr>
          <w:rFonts w:ascii="Arial" w:cs="Arial" w:eastAsia="Arial" w:hAnsi="Arial"/>
          <w:sz w:val="17"/>
          <w:szCs w:val="17"/>
          <w:color w:val="auto"/>
        </w:rPr>
        <w:t>Our common stock is listed on the NYSE under the ticker symbol “PSN”. The following table presents the ranges of high and low sales prices of our common stock quoted on the NYSE for each quarter since the IPO on May 8, 2019.</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580" w:type="dxa"/>
            <w:vAlign w:val="bottom"/>
          </w:tcPr>
          <w:p>
            <w:pPr>
              <w:jc w:val="right"/>
              <w:ind w:right="1016"/>
              <w:spacing w:after="0"/>
              <w:rPr>
                <w:sz w:val="20"/>
                <w:szCs w:val="20"/>
                <w:color w:val="auto"/>
              </w:rPr>
            </w:pPr>
            <w:r>
              <w:rPr>
                <w:rFonts w:ascii="Arial" w:cs="Arial" w:eastAsia="Arial" w:hAnsi="Arial"/>
                <w:sz w:val="17"/>
                <w:szCs w:val="17"/>
                <w:color w:val="auto"/>
              </w:rPr>
              <w:t>Low Sale Price</w:t>
            </w:r>
          </w:p>
        </w:tc>
        <w:tc>
          <w:tcPr>
            <w:tcW w:w="740" w:type="dxa"/>
            <w:vAlign w:val="bottom"/>
          </w:tcPr>
          <w:p>
            <w:pPr>
              <w:spacing w:after="0"/>
              <w:rPr>
                <w:sz w:val="16"/>
                <w:szCs w:val="16"/>
                <w:color w:val="auto"/>
              </w:rPr>
            </w:pPr>
          </w:p>
        </w:tc>
        <w:tc>
          <w:tcPr>
            <w:tcW w:w="2380" w:type="dxa"/>
            <w:vAlign w:val="bottom"/>
          </w:tcPr>
          <w:p>
            <w:pPr>
              <w:jc w:val="right"/>
              <w:ind w:right="796"/>
              <w:spacing w:after="0"/>
              <w:rPr>
                <w:sz w:val="20"/>
                <w:szCs w:val="20"/>
                <w:color w:val="auto"/>
              </w:rPr>
            </w:pPr>
            <w:r>
              <w:rPr>
                <w:rFonts w:ascii="Arial" w:cs="Arial" w:eastAsia="Arial" w:hAnsi="Arial"/>
                <w:sz w:val="17"/>
                <w:szCs w:val="17"/>
                <w:color w:val="auto"/>
              </w:rPr>
              <w:t>High Sale Price</w:t>
            </w:r>
          </w:p>
        </w:tc>
      </w:tr>
      <w:tr>
        <w:trPr>
          <w:trHeight w:val="203"/>
        </w:trPr>
        <w:tc>
          <w:tcPr>
            <w:tcW w:w="3160" w:type="dxa"/>
            <w:vAlign w:val="bottom"/>
            <w:shd w:val="clear" w:color="auto" w:fill="CFF0FC"/>
          </w:tcPr>
          <w:p>
            <w:pPr>
              <w:spacing w:after="0"/>
              <w:rPr>
                <w:sz w:val="20"/>
                <w:szCs w:val="20"/>
                <w:color w:val="auto"/>
              </w:rPr>
            </w:pPr>
            <w:r>
              <w:rPr>
                <w:rFonts w:ascii="Arial" w:cs="Arial" w:eastAsia="Arial" w:hAnsi="Arial"/>
                <w:sz w:val="17"/>
                <w:szCs w:val="17"/>
                <w:color w:val="auto"/>
              </w:rPr>
              <w:t>Fiscal 2019:</w:t>
            </w:r>
          </w:p>
        </w:tc>
        <w:tc>
          <w:tcPr>
            <w:tcW w:w="2380" w:type="dxa"/>
            <w:vAlign w:val="bottom"/>
            <w:shd w:val="clear" w:color="auto" w:fill="CFF0FC"/>
          </w:tcPr>
          <w:p>
            <w:pPr>
              <w:spacing w:after="0"/>
              <w:rPr>
                <w:sz w:val="17"/>
                <w:szCs w:val="17"/>
                <w:color w:val="auto"/>
              </w:rPr>
            </w:pPr>
          </w:p>
        </w:tc>
        <w:tc>
          <w:tcPr>
            <w:tcW w:w="25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380" w:type="dxa"/>
            <w:vAlign w:val="bottom"/>
            <w:shd w:val="clear" w:color="auto" w:fill="CFF0FC"/>
          </w:tcPr>
          <w:p>
            <w:pPr>
              <w:spacing w:after="0"/>
              <w:rPr>
                <w:sz w:val="17"/>
                <w:szCs w:val="17"/>
                <w:color w:val="auto"/>
              </w:rPr>
            </w:pPr>
          </w:p>
        </w:tc>
      </w:tr>
      <w:tr>
        <w:trPr>
          <w:trHeight w:val="203"/>
        </w:trPr>
        <w:tc>
          <w:tcPr>
            <w:tcW w:w="3160" w:type="dxa"/>
            <w:vAlign w:val="bottom"/>
          </w:tcPr>
          <w:p>
            <w:pPr>
              <w:spacing w:after="0"/>
              <w:rPr>
                <w:sz w:val="20"/>
                <w:szCs w:val="20"/>
                <w:color w:val="auto"/>
              </w:rPr>
            </w:pPr>
            <w:r>
              <w:rPr>
                <w:rFonts w:ascii="Arial" w:cs="Arial" w:eastAsia="Arial" w:hAnsi="Arial"/>
                <w:sz w:val="17"/>
                <w:szCs w:val="17"/>
                <w:color w:val="auto"/>
              </w:rPr>
              <w:t>Second Quarter</w:t>
            </w:r>
          </w:p>
        </w:tc>
        <w:tc>
          <w:tcPr>
            <w:tcW w:w="238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2580" w:type="dxa"/>
            <w:vAlign w:val="bottom"/>
          </w:tcPr>
          <w:p>
            <w:pPr>
              <w:jc w:val="right"/>
              <w:ind w:right="236"/>
              <w:spacing w:after="0"/>
              <w:rPr>
                <w:sz w:val="20"/>
                <w:szCs w:val="20"/>
                <w:color w:val="auto"/>
              </w:rPr>
            </w:pPr>
            <w:r>
              <w:rPr>
                <w:rFonts w:ascii="Arial" w:cs="Arial" w:eastAsia="Arial" w:hAnsi="Arial"/>
                <w:sz w:val="17"/>
                <w:szCs w:val="17"/>
                <w:color w:val="auto"/>
              </w:rPr>
              <w:t>29.03</w:t>
            </w:r>
          </w:p>
        </w:tc>
        <w:tc>
          <w:tcPr>
            <w:tcW w:w="74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2380" w:type="dxa"/>
            <w:vAlign w:val="bottom"/>
          </w:tcPr>
          <w:p>
            <w:pPr>
              <w:jc w:val="right"/>
              <w:ind w:right="16"/>
              <w:spacing w:after="0"/>
              <w:rPr>
                <w:sz w:val="20"/>
                <w:szCs w:val="20"/>
                <w:color w:val="auto"/>
              </w:rPr>
            </w:pPr>
            <w:r>
              <w:rPr>
                <w:rFonts w:ascii="Arial" w:cs="Arial" w:eastAsia="Arial" w:hAnsi="Arial"/>
                <w:sz w:val="17"/>
                <w:szCs w:val="17"/>
                <w:color w:val="auto"/>
              </w:rPr>
              <w:t>38.33</w:t>
            </w:r>
          </w:p>
        </w:tc>
      </w:tr>
      <w:tr>
        <w:trPr>
          <w:trHeight w:val="203"/>
        </w:trPr>
        <w:tc>
          <w:tcPr>
            <w:tcW w:w="3160" w:type="dxa"/>
            <w:vAlign w:val="bottom"/>
            <w:shd w:val="clear" w:color="auto" w:fill="CFF0FC"/>
          </w:tcPr>
          <w:p>
            <w:pPr>
              <w:spacing w:after="0"/>
              <w:rPr>
                <w:sz w:val="20"/>
                <w:szCs w:val="20"/>
                <w:color w:val="auto"/>
              </w:rPr>
            </w:pPr>
            <w:r>
              <w:rPr>
                <w:rFonts w:ascii="Arial" w:cs="Arial" w:eastAsia="Arial" w:hAnsi="Arial"/>
                <w:sz w:val="17"/>
                <w:szCs w:val="17"/>
                <w:color w:val="auto"/>
              </w:rPr>
              <w:t>Third Quarter</w:t>
            </w:r>
          </w:p>
        </w:tc>
        <w:tc>
          <w:tcPr>
            <w:tcW w:w="2380" w:type="dxa"/>
            <w:vAlign w:val="bottom"/>
            <w:shd w:val="clear" w:color="auto" w:fill="CFF0FC"/>
          </w:tcPr>
          <w:p>
            <w:pPr>
              <w:jc w:val="right"/>
              <w:ind w:right="256"/>
              <w:spacing w:after="0"/>
              <w:rPr>
                <w:sz w:val="20"/>
                <w:szCs w:val="20"/>
                <w:color w:val="auto"/>
              </w:rPr>
            </w:pPr>
            <w:r>
              <w:rPr>
                <w:rFonts w:ascii="Arial" w:cs="Arial" w:eastAsia="Arial" w:hAnsi="Arial"/>
                <w:sz w:val="17"/>
                <w:szCs w:val="17"/>
                <w:color w:val="auto"/>
              </w:rPr>
              <w:t>$</w:t>
            </w:r>
          </w:p>
        </w:tc>
        <w:tc>
          <w:tcPr>
            <w:tcW w:w="2580" w:type="dxa"/>
            <w:vAlign w:val="bottom"/>
            <w:shd w:val="clear" w:color="auto" w:fill="CFF0FC"/>
          </w:tcPr>
          <w:p>
            <w:pPr>
              <w:jc w:val="right"/>
              <w:ind w:right="236"/>
              <w:spacing w:after="0"/>
              <w:rPr>
                <w:sz w:val="20"/>
                <w:szCs w:val="20"/>
                <w:color w:val="auto"/>
              </w:rPr>
            </w:pPr>
            <w:r>
              <w:rPr>
                <w:rFonts w:ascii="Arial" w:cs="Arial" w:eastAsia="Arial" w:hAnsi="Arial"/>
                <w:sz w:val="17"/>
                <w:szCs w:val="17"/>
                <w:color w:val="auto"/>
              </w:rPr>
              <w:t>32.37</w:t>
            </w:r>
          </w:p>
        </w:tc>
        <w:tc>
          <w:tcPr>
            <w:tcW w:w="740" w:type="dxa"/>
            <w:vAlign w:val="bottom"/>
            <w:shd w:val="clear" w:color="auto" w:fill="CFF0FC"/>
          </w:tcPr>
          <w:p>
            <w:pPr>
              <w:jc w:val="right"/>
              <w:ind w:right="256"/>
              <w:spacing w:after="0"/>
              <w:rPr>
                <w:sz w:val="20"/>
                <w:szCs w:val="20"/>
                <w:color w:val="auto"/>
              </w:rPr>
            </w:pPr>
            <w:r>
              <w:rPr>
                <w:rFonts w:ascii="Arial" w:cs="Arial" w:eastAsia="Arial" w:hAnsi="Arial"/>
                <w:sz w:val="17"/>
                <w:szCs w:val="17"/>
                <w:color w:val="auto"/>
              </w:rPr>
              <w:t>$</w:t>
            </w:r>
          </w:p>
        </w:tc>
        <w:tc>
          <w:tcPr>
            <w:tcW w:w="2380" w:type="dxa"/>
            <w:vAlign w:val="bottom"/>
            <w:shd w:val="clear" w:color="auto" w:fill="CFF0FC"/>
          </w:tcPr>
          <w:p>
            <w:pPr>
              <w:jc w:val="right"/>
              <w:ind w:right="16"/>
              <w:spacing w:after="0"/>
              <w:rPr>
                <w:sz w:val="20"/>
                <w:szCs w:val="20"/>
                <w:color w:val="auto"/>
              </w:rPr>
            </w:pPr>
            <w:r>
              <w:rPr>
                <w:rFonts w:ascii="Arial" w:cs="Arial" w:eastAsia="Arial" w:hAnsi="Arial"/>
                <w:sz w:val="17"/>
                <w:szCs w:val="17"/>
                <w:color w:val="auto"/>
              </w:rPr>
              <w:t>38.82</w:t>
            </w:r>
          </w:p>
        </w:tc>
      </w:tr>
      <w:tr>
        <w:trPr>
          <w:trHeight w:val="203"/>
        </w:trPr>
        <w:tc>
          <w:tcPr>
            <w:tcW w:w="3160" w:type="dxa"/>
            <w:vAlign w:val="bottom"/>
          </w:tcPr>
          <w:p>
            <w:pPr>
              <w:spacing w:after="0"/>
              <w:rPr>
                <w:sz w:val="20"/>
                <w:szCs w:val="20"/>
                <w:color w:val="auto"/>
              </w:rPr>
            </w:pPr>
            <w:r>
              <w:rPr>
                <w:rFonts w:ascii="Arial" w:cs="Arial" w:eastAsia="Arial" w:hAnsi="Arial"/>
                <w:sz w:val="17"/>
                <w:szCs w:val="17"/>
                <w:color w:val="auto"/>
              </w:rPr>
              <w:t>Fourth Quarter</w:t>
            </w:r>
          </w:p>
        </w:tc>
        <w:tc>
          <w:tcPr>
            <w:tcW w:w="238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2580" w:type="dxa"/>
            <w:vAlign w:val="bottom"/>
          </w:tcPr>
          <w:p>
            <w:pPr>
              <w:jc w:val="right"/>
              <w:ind w:right="236"/>
              <w:spacing w:after="0"/>
              <w:rPr>
                <w:sz w:val="20"/>
                <w:szCs w:val="20"/>
                <w:color w:val="auto"/>
              </w:rPr>
            </w:pPr>
            <w:r>
              <w:rPr>
                <w:rFonts w:ascii="Arial" w:cs="Arial" w:eastAsia="Arial" w:hAnsi="Arial"/>
                <w:sz w:val="17"/>
                <w:szCs w:val="17"/>
                <w:color w:val="auto"/>
              </w:rPr>
              <w:t>31.69</w:t>
            </w:r>
          </w:p>
        </w:tc>
        <w:tc>
          <w:tcPr>
            <w:tcW w:w="74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2380" w:type="dxa"/>
            <w:vAlign w:val="bottom"/>
          </w:tcPr>
          <w:p>
            <w:pPr>
              <w:jc w:val="right"/>
              <w:ind w:right="16"/>
              <w:spacing w:after="0"/>
              <w:rPr>
                <w:sz w:val="20"/>
                <w:szCs w:val="20"/>
                <w:color w:val="auto"/>
              </w:rPr>
            </w:pPr>
            <w:r>
              <w:rPr>
                <w:rFonts w:ascii="Arial" w:cs="Arial" w:eastAsia="Arial" w:hAnsi="Arial"/>
                <w:sz w:val="17"/>
                <w:szCs w:val="17"/>
                <w:color w:val="auto"/>
              </w:rPr>
              <w:t>42.65</w:t>
            </w:r>
          </w:p>
        </w:tc>
      </w:tr>
      <w:tr>
        <w:trPr>
          <w:trHeight w:val="203"/>
        </w:trPr>
        <w:tc>
          <w:tcPr>
            <w:tcW w:w="3160" w:type="dxa"/>
            <w:vAlign w:val="bottom"/>
            <w:shd w:val="clear" w:color="auto" w:fill="CFF0FC"/>
          </w:tcPr>
          <w:p>
            <w:pPr>
              <w:spacing w:after="0"/>
              <w:rPr>
                <w:sz w:val="20"/>
                <w:szCs w:val="20"/>
                <w:color w:val="auto"/>
              </w:rPr>
            </w:pPr>
            <w:r>
              <w:rPr>
                <w:rFonts w:ascii="Arial" w:cs="Arial" w:eastAsia="Arial" w:hAnsi="Arial"/>
                <w:sz w:val="17"/>
                <w:szCs w:val="17"/>
                <w:color w:val="auto"/>
              </w:rPr>
              <w:t>Fiscal 2020:</w:t>
            </w:r>
          </w:p>
        </w:tc>
        <w:tc>
          <w:tcPr>
            <w:tcW w:w="2380" w:type="dxa"/>
            <w:vAlign w:val="bottom"/>
            <w:shd w:val="clear" w:color="auto" w:fill="CFF0FC"/>
          </w:tcPr>
          <w:p>
            <w:pPr>
              <w:spacing w:after="0"/>
              <w:rPr>
                <w:sz w:val="17"/>
                <w:szCs w:val="17"/>
                <w:color w:val="auto"/>
              </w:rPr>
            </w:pPr>
          </w:p>
        </w:tc>
        <w:tc>
          <w:tcPr>
            <w:tcW w:w="25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380" w:type="dxa"/>
            <w:vAlign w:val="bottom"/>
            <w:shd w:val="clear" w:color="auto" w:fill="CFF0FC"/>
          </w:tcPr>
          <w:p>
            <w:pPr>
              <w:spacing w:after="0"/>
              <w:rPr>
                <w:sz w:val="17"/>
                <w:szCs w:val="17"/>
                <w:color w:val="auto"/>
              </w:rPr>
            </w:pPr>
          </w:p>
        </w:tc>
      </w:tr>
      <w:tr>
        <w:trPr>
          <w:trHeight w:val="203"/>
        </w:trPr>
        <w:tc>
          <w:tcPr>
            <w:tcW w:w="3160" w:type="dxa"/>
            <w:vAlign w:val="bottom"/>
          </w:tcPr>
          <w:p>
            <w:pPr>
              <w:spacing w:after="0"/>
              <w:rPr>
                <w:sz w:val="20"/>
                <w:szCs w:val="20"/>
                <w:color w:val="auto"/>
              </w:rPr>
            </w:pPr>
            <w:r>
              <w:rPr>
                <w:rFonts w:ascii="Arial" w:cs="Arial" w:eastAsia="Arial" w:hAnsi="Arial"/>
                <w:sz w:val="17"/>
                <w:szCs w:val="17"/>
                <w:color w:val="auto"/>
              </w:rPr>
              <w:t>First Quarter</w:t>
            </w:r>
          </w:p>
        </w:tc>
        <w:tc>
          <w:tcPr>
            <w:tcW w:w="238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2580" w:type="dxa"/>
            <w:vAlign w:val="bottom"/>
          </w:tcPr>
          <w:p>
            <w:pPr>
              <w:jc w:val="right"/>
              <w:ind w:right="236"/>
              <w:spacing w:after="0"/>
              <w:rPr>
                <w:sz w:val="20"/>
                <w:szCs w:val="20"/>
                <w:color w:val="auto"/>
              </w:rPr>
            </w:pPr>
            <w:r>
              <w:rPr>
                <w:rFonts w:ascii="Arial" w:cs="Arial" w:eastAsia="Arial" w:hAnsi="Arial"/>
                <w:sz w:val="17"/>
                <w:szCs w:val="17"/>
                <w:color w:val="auto"/>
              </w:rPr>
              <w:t>24.67</w:t>
            </w:r>
          </w:p>
        </w:tc>
        <w:tc>
          <w:tcPr>
            <w:tcW w:w="74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2380" w:type="dxa"/>
            <w:vAlign w:val="bottom"/>
          </w:tcPr>
          <w:p>
            <w:pPr>
              <w:jc w:val="right"/>
              <w:ind w:right="16"/>
              <w:spacing w:after="0"/>
              <w:rPr>
                <w:sz w:val="20"/>
                <w:szCs w:val="20"/>
                <w:color w:val="auto"/>
              </w:rPr>
            </w:pPr>
            <w:r>
              <w:rPr>
                <w:rFonts w:ascii="Arial" w:cs="Arial" w:eastAsia="Arial" w:hAnsi="Arial"/>
                <w:sz w:val="17"/>
                <w:szCs w:val="17"/>
                <w:color w:val="auto"/>
              </w:rPr>
              <w:t>45.40</w:t>
            </w:r>
          </w:p>
        </w:tc>
      </w:tr>
      <w:tr>
        <w:trPr>
          <w:trHeight w:val="203"/>
        </w:trPr>
        <w:tc>
          <w:tcPr>
            <w:tcW w:w="3160" w:type="dxa"/>
            <w:vAlign w:val="bottom"/>
            <w:shd w:val="clear" w:color="auto" w:fill="CFF0FC"/>
          </w:tcPr>
          <w:p>
            <w:pPr>
              <w:spacing w:after="0"/>
              <w:rPr>
                <w:sz w:val="20"/>
                <w:szCs w:val="20"/>
                <w:color w:val="auto"/>
              </w:rPr>
            </w:pPr>
            <w:r>
              <w:rPr>
                <w:rFonts w:ascii="Arial" w:cs="Arial" w:eastAsia="Arial" w:hAnsi="Arial"/>
                <w:sz w:val="17"/>
                <w:szCs w:val="17"/>
                <w:color w:val="auto"/>
              </w:rPr>
              <w:t>Second Quarter</w:t>
            </w:r>
          </w:p>
        </w:tc>
        <w:tc>
          <w:tcPr>
            <w:tcW w:w="2380" w:type="dxa"/>
            <w:vAlign w:val="bottom"/>
            <w:shd w:val="clear" w:color="auto" w:fill="CFF0FC"/>
          </w:tcPr>
          <w:p>
            <w:pPr>
              <w:jc w:val="right"/>
              <w:ind w:right="256"/>
              <w:spacing w:after="0"/>
              <w:rPr>
                <w:sz w:val="20"/>
                <w:szCs w:val="20"/>
                <w:color w:val="auto"/>
              </w:rPr>
            </w:pPr>
            <w:r>
              <w:rPr>
                <w:rFonts w:ascii="Arial" w:cs="Arial" w:eastAsia="Arial" w:hAnsi="Arial"/>
                <w:sz w:val="17"/>
                <w:szCs w:val="17"/>
                <w:color w:val="auto"/>
              </w:rPr>
              <w:t>$</w:t>
            </w:r>
          </w:p>
        </w:tc>
        <w:tc>
          <w:tcPr>
            <w:tcW w:w="2580" w:type="dxa"/>
            <w:vAlign w:val="bottom"/>
            <w:shd w:val="clear" w:color="auto" w:fill="CFF0FC"/>
          </w:tcPr>
          <w:p>
            <w:pPr>
              <w:jc w:val="right"/>
              <w:ind w:right="236"/>
              <w:spacing w:after="0"/>
              <w:rPr>
                <w:sz w:val="20"/>
                <w:szCs w:val="20"/>
                <w:color w:val="auto"/>
              </w:rPr>
            </w:pPr>
            <w:r>
              <w:rPr>
                <w:rFonts w:ascii="Arial" w:cs="Arial" w:eastAsia="Arial" w:hAnsi="Arial"/>
                <w:sz w:val="17"/>
                <w:szCs w:val="17"/>
                <w:color w:val="auto"/>
              </w:rPr>
              <w:t>29.16</w:t>
            </w:r>
          </w:p>
        </w:tc>
        <w:tc>
          <w:tcPr>
            <w:tcW w:w="740" w:type="dxa"/>
            <w:vAlign w:val="bottom"/>
            <w:shd w:val="clear" w:color="auto" w:fill="CFF0FC"/>
          </w:tcPr>
          <w:p>
            <w:pPr>
              <w:jc w:val="right"/>
              <w:ind w:right="256"/>
              <w:spacing w:after="0"/>
              <w:rPr>
                <w:sz w:val="20"/>
                <w:szCs w:val="20"/>
                <w:color w:val="auto"/>
              </w:rPr>
            </w:pPr>
            <w:r>
              <w:rPr>
                <w:rFonts w:ascii="Arial" w:cs="Arial" w:eastAsia="Arial" w:hAnsi="Arial"/>
                <w:sz w:val="17"/>
                <w:szCs w:val="17"/>
                <w:color w:val="auto"/>
              </w:rPr>
              <w:t>$</w:t>
            </w:r>
          </w:p>
        </w:tc>
        <w:tc>
          <w:tcPr>
            <w:tcW w:w="2380" w:type="dxa"/>
            <w:vAlign w:val="bottom"/>
            <w:shd w:val="clear" w:color="auto" w:fill="CFF0FC"/>
          </w:tcPr>
          <w:p>
            <w:pPr>
              <w:jc w:val="right"/>
              <w:ind w:right="16"/>
              <w:spacing w:after="0"/>
              <w:rPr>
                <w:sz w:val="20"/>
                <w:szCs w:val="20"/>
                <w:color w:val="auto"/>
              </w:rPr>
            </w:pPr>
            <w:r>
              <w:rPr>
                <w:rFonts w:ascii="Arial" w:cs="Arial" w:eastAsia="Arial" w:hAnsi="Arial"/>
                <w:sz w:val="17"/>
                <w:szCs w:val="17"/>
                <w:color w:val="auto"/>
              </w:rPr>
              <w:t>43.37</w:t>
            </w:r>
          </w:p>
        </w:tc>
      </w:tr>
      <w:tr>
        <w:trPr>
          <w:trHeight w:val="203"/>
        </w:trPr>
        <w:tc>
          <w:tcPr>
            <w:tcW w:w="3160" w:type="dxa"/>
            <w:vAlign w:val="bottom"/>
          </w:tcPr>
          <w:p>
            <w:pPr>
              <w:spacing w:after="0"/>
              <w:rPr>
                <w:sz w:val="20"/>
                <w:szCs w:val="20"/>
                <w:color w:val="auto"/>
              </w:rPr>
            </w:pPr>
            <w:r>
              <w:rPr>
                <w:rFonts w:ascii="Arial" w:cs="Arial" w:eastAsia="Arial" w:hAnsi="Arial"/>
                <w:sz w:val="17"/>
                <w:szCs w:val="17"/>
                <w:color w:val="auto"/>
              </w:rPr>
              <w:t>Third Quarter</w:t>
            </w:r>
          </w:p>
        </w:tc>
        <w:tc>
          <w:tcPr>
            <w:tcW w:w="238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2580" w:type="dxa"/>
            <w:vAlign w:val="bottom"/>
          </w:tcPr>
          <w:p>
            <w:pPr>
              <w:jc w:val="right"/>
              <w:ind w:right="236"/>
              <w:spacing w:after="0"/>
              <w:rPr>
                <w:sz w:val="20"/>
                <w:szCs w:val="20"/>
                <w:color w:val="auto"/>
              </w:rPr>
            </w:pPr>
            <w:r>
              <w:rPr>
                <w:rFonts w:ascii="Arial" w:cs="Arial" w:eastAsia="Arial" w:hAnsi="Arial"/>
                <w:sz w:val="17"/>
                <w:szCs w:val="17"/>
                <w:color w:val="auto"/>
              </w:rPr>
              <w:t>31.69</w:t>
            </w:r>
          </w:p>
        </w:tc>
        <w:tc>
          <w:tcPr>
            <w:tcW w:w="74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2380" w:type="dxa"/>
            <w:vAlign w:val="bottom"/>
          </w:tcPr>
          <w:p>
            <w:pPr>
              <w:jc w:val="right"/>
              <w:ind w:right="16"/>
              <w:spacing w:after="0"/>
              <w:rPr>
                <w:sz w:val="20"/>
                <w:szCs w:val="20"/>
                <w:color w:val="auto"/>
              </w:rPr>
            </w:pPr>
            <w:r>
              <w:rPr>
                <w:rFonts w:ascii="Arial" w:cs="Arial" w:eastAsia="Arial" w:hAnsi="Arial"/>
                <w:sz w:val="17"/>
                <w:szCs w:val="17"/>
                <w:color w:val="auto"/>
              </w:rPr>
              <w:t>37.17</w:t>
            </w:r>
          </w:p>
        </w:tc>
      </w:tr>
      <w:tr>
        <w:trPr>
          <w:trHeight w:val="203"/>
        </w:trPr>
        <w:tc>
          <w:tcPr>
            <w:tcW w:w="3160" w:type="dxa"/>
            <w:vAlign w:val="bottom"/>
            <w:shd w:val="clear" w:color="auto" w:fill="CFF0FC"/>
          </w:tcPr>
          <w:p>
            <w:pPr>
              <w:spacing w:after="0"/>
              <w:rPr>
                <w:sz w:val="20"/>
                <w:szCs w:val="20"/>
                <w:color w:val="auto"/>
              </w:rPr>
            </w:pPr>
            <w:r>
              <w:rPr>
                <w:rFonts w:ascii="Arial" w:cs="Arial" w:eastAsia="Arial" w:hAnsi="Arial"/>
                <w:sz w:val="17"/>
                <w:szCs w:val="17"/>
                <w:color w:val="auto"/>
              </w:rPr>
              <w:t>Fourth Quarter</w:t>
            </w:r>
          </w:p>
        </w:tc>
        <w:tc>
          <w:tcPr>
            <w:tcW w:w="2380" w:type="dxa"/>
            <w:vAlign w:val="bottom"/>
            <w:shd w:val="clear" w:color="auto" w:fill="CFF0FC"/>
          </w:tcPr>
          <w:p>
            <w:pPr>
              <w:jc w:val="right"/>
              <w:ind w:right="256"/>
              <w:spacing w:after="0"/>
              <w:rPr>
                <w:sz w:val="20"/>
                <w:szCs w:val="20"/>
                <w:color w:val="auto"/>
              </w:rPr>
            </w:pPr>
            <w:r>
              <w:rPr>
                <w:rFonts w:ascii="Arial" w:cs="Arial" w:eastAsia="Arial" w:hAnsi="Arial"/>
                <w:sz w:val="17"/>
                <w:szCs w:val="17"/>
                <w:color w:val="auto"/>
              </w:rPr>
              <w:t>$</w:t>
            </w:r>
          </w:p>
        </w:tc>
        <w:tc>
          <w:tcPr>
            <w:tcW w:w="2580" w:type="dxa"/>
            <w:vAlign w:val="bottom"/>
            <w:shd w:val="clear" w:color="auto" w:fill="CFF0FC"/>
          </w:tcPr>
          <w:p>
            <w:pPr>
              <w:jc w:val="right"/>
              <w:ind w:right="236"/>
              <w:spacing w:after="0"/>
              <w:rPr>
                <w:sz w:val="20"/>
                <w:szCs w:val="20"/>
                <w:color w:val="auto"/>
              </w:rPr>
            </w:pPr>
            <w:r>
              <w:rPr>
                <w:rFonts w:ascii="Arial" w:cs="Arial" w:eastAsia="Arial" w:hAnsi="Arial"/>
                <w:sz w:val="17"/>
                <w:szCs w:val="17"/>
                <w:color w:val="auto"/>
              </w:rPr>
              <w:t>30.08</w:t>
            </w:r>
          </w:p>
        </w:tc>
        <w:tc>
          <w:tcPr>
            <w:tcW w:w="740" w:type="dxa"/>
            <w:vAlign w:val="bottom"/>
            <w:shd w:val="clear" w:color="auto" w:fill="CFF0FC"/>
          </w:tcPr>
          <w:p>
            <w:pPr>
              <w:jc w:val="right"/>
              <w:ind w:right="256"/>
              <w:spacing w:after="0"/>
              <w:rPr>
                <w:sz w:val="20"/>
                <w:szCs w:val="20"/>
                <w:color w:val="auto"/>
              </w:rPr>
            </w:pPr>
            <w:r>
              <w:rPr>
                <w:rFonts w:ascii="Arial" w:cs="Arial" w:eastAsia="Arial" w:hAnsi="Arial"/>
                <w:sz w:val="17"/>
                <w:szCs w:val="17"/>
                <w:color w:val="auto"/>
              </w:rPr>
              <w:t>$</w:t>
            </w:r>
          </w:p>
        </w:tc>
        <w:tc>
          <w:tcPr>
            <w:tcW w:w="2380" w:type="dxa"/>
            <w:vAlign w:val="bottom"/>
            <w:shd w:val="clear" w:color="auto" w:fill="CFF0FC"/>
          </w:tcPr>
          <w:p>
            <w:pPr>
              <w:jc w:val="right"/>
              <w:ind w:right="16"/>
              <w:spacing w:after="0"/>
              <w:rPr>
                <w:sz w:val="20"/>
                <w:szCs w:val="20"/>
                <w:color w:val="auto"/>
              </w:rPr>
            </w:pPr>
            <w:r>
              <w:rPr>
                <w:rFonts w:ascii="Arial" w:cs="Arial" w:eastAsia="Arial" w:hAnsi="Arial"/>
                <w:sz w:val="17"/>
                <w:szCs w:val="17"/>
                <w:color w:val="auto"/>
              </w:rPr>
              <w:t>37.14</w:t>
            </w:r>
          </w:p>
        </w:tc>
      </w:tr>
      <w:tr>
        <w:trPr>
          <w:trHeight w:val="203"/>
        </w:trPr>
        <w:tc>
          <w:tcPr>
            <w:tcW w:w="3160" w:type="dxa"/>
            <w:vAlign w:val="bottom"/>
          </w:tcPr>
          <w:p>
            <w:pPr>
              <w:spacing w:after="0"/>
              <w:rPr>
                <w:sz w:val="20"/>
                <w:szCs w:val="20"/>
                <w:color w:val="auto"/>
              </w:rPr>
            </w:pPr>
            <w:r>
              <w:rPr>
                <w:rFonts w:ascii="Arial" w:cs="Arial" w:eastAsia="Arial" w:hAnsi="Arial"/>
                <w:sz w:val="17"/>
                <w:szCs w:val="17"/>
                <w:color w:val="auto"/>
              </w:rPr>
              <w:t>Fiscal 2021:</w:t>
            </w:r>
          </w:p>
        </w:tc>
        <w:tc>
          <w:tcPr>
            <w:tcW w:w="23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3"/>
        </w:trPr>
        <w:tc>
          <w:tcPr>
            <w:tcW w:w="3160" w:type="dxa"/>
            <w:vAlign w:val="bottom"/>
            <w:shd w:val="clear" w:color="auto" w:fill="CFF0FC"/>
          </w:tcPr>
          <w:p>
            <w:pPr>
              <w:spacing w:after="0"/>
              <w:rPr>
                <w:sz w:val="20"/>
                <w:szCs w:val="20"/>
                <w:color w:val="auto"/>
              </w:rPr>
            </w:pPr>
            <w:r>
              <w:rPr>
                <w:rFonts w:ascii="Arial" w:cs="Arial" w:eastAsia="Arial" w:hAnsi="Arial"/>
                <w:sz w:val="17"/>
                <w:szCs w:val="17"/>
                <w:color w:val="auto"/>
              </w:rPr>
              <w:t>First Quarter</w:t>
            </w:r>
          </w:p>
        </w:tc>
        <w:tc>
          <w:tcPr>
            <w:tcW w:w="2380" w:type="dxa"/>
            <w:vAlign w:val="bottom"/>
            <w:shd w:val="clear" w:color="auto" w:fill="CFF0FC"/>
          </w:tcPr>
          <w:p>
            <w:pPr>
              <w:jc w:val="right"/>
              <w:ind w:right="256"/>
              <w:spacing w:after="0"/>
              <w:rPr>
                <w:sz w:val="20"/>
                <w:szCs w:val="20"/>
                <w:color w:val="auto"/>
              </w:rPr>
            </w:pPr>
            <w:r>
              <w:rPr>
                <w:rFonts w:ascii="Arial" w:cs="Arial" w:eastAsia="Arial" w:hAnsi="Arial"/>
                <w:sz w:val="17"/>
                <w:szCs w:val="17"/>
                <w:color w:val="auto"/>
              </w:rPr>
              <w:t>$</w:t>
            </w:r>
          </w:p>
        </w:tc>
        <w:tc>
          <w:tcPr>
            <w:tcW w:w="2580" w:type="dxa"/>
            <w:vAlign w:val="bottom"/>
            <w:shd w:val="clear" w:color="auto" w:fill="CFF0FC"/>
          </w:tcPr>
          <w:p>
            <w:pPr>
              <w:jc w:val="right"/>
              <w:ind w:right="236"/>
              <w:spacing w:after="0"/>
              <w:rPr>
                <w:sz w:val="20"/>
                <w:szCs w:val="20"/>
                <w:color w:val="auto"/>
              </w:rPr>
            </w:pPr>
            <w:r>
              <w:rPr>
                <w:rFonts w:ascii="Arial" w:cs="Arial" w:eastAsia="Arial" w:hAnsi="Arial"/>
                <w:sz w:val="17"/>
                <w:szCs w:val="17"/>
                <w:color w:val="auto"/>
              </w:rPr>
              <w:t>34.44</w:t>
            </w:r>
          </w:p>
        </w:tc>
        <w:tc>
          <w:tcPr>
            <w:tcW w:w="740" w:type="dxa"/>
            <w:vAlign w:val="bottom"/>
            <w:shd w:val="clear" w:color="auto" w:fill="CFF0FC"/>
          </w:tcPr>
          <w:p>
            <w:pPr>
              <w:jc w:val="right"/>
              <w:ind w:right="256"/>
              <w:spacing w:after="0"/>
              <w:rPr>
                <w:sz w:val="20"/>
                <w:szCs w:val="20"/>
                <w:color w:val="auto"/>
              </w:rPr>
            </w:pPr>
            <w:r>
              <w:rPr>
                <w:rFonts w:ascii="Arial" w:cs="Arial" w:eastAsia="Arial" w:hAnsi="Arial"/>
                <w:sz w:val="17"/>
                <w:szCs w:val="17"/>
                <w:color w:val="auto"/>
              </w:rPr>
              <w:t>$</w:t>
            </w:r>
          </w:p>
        </w:tc>
        <w:tc>
          <w:tcPr>
            <w:tcW w:w="2380" w:type="dxa"/>
            <w:vAlign w:val="bottom"/>
            <w:shd w:val="clear" w:color="auto" w:fill="CFF0FC"/>
          </w:tcPr>
          <w:p>
            <w:pPr>
              <w:jc w:val="right"/>
              <w:ind w:right="16"/>
              <w:spacing w:after="0"/>
              <w:rPr>
                <w:sz w:val="20"/>
                <w:szCs w:val="20"/>
                <w:color w:val="auto"/>
              </w:rPr>
            </w:pPr>
            <w:r>
              <w:rPr>
                <w:rFonts w:ascii="Arial" w:cs="Arial" w:eastAsia="Arial" w:hAnsi="Arial"/>
                <w:sz w:val="17"/>
                <w:szCs w:val="17"/>
                <w:color w:val="auto"/>
              </w:rPr>
              <w:t>41.00</w:t>
            </w:r>
          </w:p>
        </w:tc>
      </w:tr>
      <w:tr>
        <w:trPr>
          <w:trHeight w:val="203"/>
        </w:trPr>
        <w:tc>
          <w:tcPr>
            <w:tcW w:w="3160" w:type="dxa"/>
            <w:vAlign w:val="bottom"/>
          </w:tcPr>
          <w:p>
            <w:pPr>
              <w:spacing w:after="0"/>
              <w:rPr>
                <w:sz w:val="20"/>
                <w:szCs w:val="20"/>
                <w:color w:val="auto"/>
              </w:rPr>
            </w:pPr>
            <w:r>
              <w:rPr>
                <w:rFonts w:ascii="Arial" w:cs="Arial" w:eastAsia="Arial" w:hAnsi="Arial"/>
                <w:sz w:val="17"/>
                <w:szCs w:val="17"/>
                <w:color w:val="auto"/>
              </w:rPr>
              <w:t>Second Quarter</w:t>
            </w:r>
          </w:p>
        </w:tc>
        <w:tc>
          <w:tcPr>
            <w:tcW w:w="238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2580" w:type="dxa"/>
            <w:vAlign w:val="bottom"/>
          </w:tcPr>
          <w:p>
            <w:pPr>
              <w:jc w:val="right"/>
              <w:ind w:right="236"/>
              <w:spacing w:after="0"/>
              <w:rPr>
                <w:sz w:val="20"/>
                <w:szCs w:val="20"/>
                <w:color w:val="auto"/>
              </w:rPr>
            </w:pPr>
            <w:r>
              <w:rPr>
                <w:rFonts w:ascii="Arial" w:cs="Arial" w:eastAsia="Arial" w:hAnsi="Arial"/>
                <w:sz w:val="17"/>
                <w:szCs w:val="17"/>
                <w:color w:val="auto"/>
              </w:rPr>
              <w:t>38.43</w:t>
            </w:r>
          </w:p>
        </w:tc>
        <w:tc>
          <w:tcPr>
            <w:tcW w:w="74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2380" w:type="dxa"/>
            <w:vAlign w:val="bottom"/>
          </w:tcPr>
          <w:p>
            <w:pPr>
              <w:jc w:val="right"/>
              <w:ind w:right="16"/>
              <w:spacing w:after="0"/>
              <w:rPr>
                <w:sz w:val="20"/>
                <w:szCs w:val="20"/>
                <w:color w:val="auto"/>
              </w:rPr>
            </w:pPr>
            <w:r>
              <w:rPr>
                <w:rFonts w:ascii="Arial" w:cs="Arial" w:eastAsia="Arial" w:hAnsi="Arial"/>
                <w:sz w:val="17"/>
                <w:szCs w:val="17"/>
                <w:color w:val="auto"/>
              </w:rPr>
              <w:t>45.01</w:t>
            </w:r>
          </w:p>
        </w:tc>
      </w:tr>
      <w:tr>
        <w:trPr>
          <w:trHeight w:val="203"/>
        </w:trPr>
        <w:tc>
          <w:tcPr>
            <w:tcW w:w="3160" w:type="dxa"/>
            <w:vAlign w:val="bottom"/>
            <w:shd w:val="clear" w:color="auto" w:fill="CFF0FC"/>
          </w:tcPr>
          <w:p>
            <w:pPr>
              <w:spacing w:after="0"/>
              <w:rPr>
                <w:sz w:val="20"/>
                <w:szCs w:val="20"/>
                <w:color w:val="auto"/>
              </w:rPr>
            </w:pPr>
            <w:r>
              <w:rPr>
                <w:rFonts w:ascii="Arial" w:cs="Arial" w:eastAsia="Arial" w:hAnsi="Arial"/>
                <w:sz w:val="17"/>
                <w:szCs w:val="17"/>
                <w:color w:val="auto"/>
              </w:rPr>
              <w:t>Third Quarter</w:t>
            </w:r>
          </w:p>
        </w:tc>
        <w:tc>
          <w:tcPr>
            <w:tcW w:w="2380" w:type="dxa"/>
            <w:vAlign w:val="bottom"/>
            <w:shd w:val="clear" w:color="auto" w:fill="CFF0FC"/>
          </w:tcPr>
          <w:p>
            <w:pPr>
              <w:jc w:val="right"/>
              <w:ind w:right="256"/>
              <w:spacing w:after="0"/>
              <w:rPr>
                <w:sz w:val="20"/>
                <w:szCs w:val="20"/>
                <w:color w:val="auto"/>
              </w:rPr>
            </w:pPr>
            <w:r>
              <w:rPr>
                <w:rFonts w:ascii="Arial" w:cs="Arial" w:eastAsia="Arial" w:hAnsi="Arial"/>
                <w:sz w:val="17"/>
                <w:szCs w:val="17"/>
                <w:color w:val="auto"/>
              </w:rPr>
              <w:t>$</w:t>
            </w:r>
          </w:p>
        </w:tc>
        <w:tc>
          <w:tcPr>
            <w:tcW w:w="2580" w:type="dxa"/>
            <w:vAlign w:val="bottom"/>
            <w:shd w:val="clear" w:color="auto" w:fill="CFF0FC"/>
          </w:tcPr>
          <w:p>
            <w:pPr>
              <w:jc w:val="right"/>
              <w:ind w:right="236"/>
              <w:spacing w:after="0"/>
              <w:rPr>
                <w:sz w:val="20"/>
                <w:szCs w:val="20"/>
                <w:color w:val="auto"/>
              </w:rPr>
            </w:pPr>
            <w:r>
              <w:rPr>
                <w:rFonts w:ascii="Arial" w:cs="Arial" w:eastAsia="Arial" w:hAnsi="Arial"/>
                <w:sz w:val="17"/>
                <w:szCs w:val="17"/>
                <w:color w:val="auto"/>
              </w:rPr>
              <w:t>30.86</w:t>
            </w:r>
          </w:p>
        </w:tc>
        <w:tc>
          <w:tcPr>
            <w:tcW w:w="740" w:type="dxa"/>
            <w:vAlign w:val="bottom"/>
            <w:shd w:val="clear" w:color="auto" w:fill="CFF0FC"/>
          </w:tcPr>
          <w:p>
            <w:pPr>
              <w:jc w:val="right"/>
              <w:ind w:right="256"/>
              <w:spacing w:after="0"/>
              <w:rPr>
                <w:sz w:val="20"/>
                <w:szCs w:val="20"/>
                <w:color w:val="auto"/>
              </w:rPr>
            </w:pPr>
            <w:r>
              <w:rPr>
                <w:rFonts w:ascii="Arial" w:cs="Arial" w:eastAsia="Arial" w:hAnsi="Arial"/>
                <w:sz w:val="17"/>
                <w:szCs w:val="17"/>
                <w:color w:val="auto"/>
              </w:rPr>
              <w:t>$</w:t>
            </w:r>
          </w:p>
        </w:tc>
        <w:tc>
          <w:tcPr>
            <w:tcW w:w="2380" w:type="dxa"/>
            <w:vAlign w:val="bottom"/>
            <w:shd w:val="clear" w:color="auto" w:fill="CFF0FC"/>
          </w:tcPr>
          <w:p>
            <w:pPr>
              <w:jc w:val="right"/>
              <w:ind w:right="16"/>
              <w:spacing w:after="0"/>
              <w:rPr>
                <w:sz w:val="20"/>
                <w:szCs w:val="20"/>
                <w:color w:val="auto"/>
              </w:rPr>
            </w:pPr>
            <w:r>
              <w:rPr>
                <w:rFonts w:ascii="Arial" w:cs="Arial" w:eastAsia="Arial" w:hAnsi="Arial"/>
                <w:sz w:val="17"/>
                <w:szCs w:val="17"/>
                <w:color w:val="auto"/>
              </w:rPr>
              <w:t>40.74</w:t>
            </w:r>
          </w:p>
        </w:tc>
      </w:tr>
      <w:tr>
        <w:trPr>
          <w:trHeight w:val="215"/>
        </w:trPr>
        <w:tc>
          <w:tcPr>
            <w:tcW w:w="3160" w:type="dxa"/>
            <w:vAlign w:val="bottom"/>
          </w:tcPr>
          <w:p>
            <w:pPr>
              <w:spacing w:after="0"/>
              <w:rPr>
                <w:sz w:val="20"/>
                <w:szCs w:val="20"/>
                <w:color w:val="auto"/>
              </w:rPr>
            </w:pPr>
            <w:r>
              <w:rPr>
                <w:rFonts w:ascii="Arial" w:cs="Arial" w:eastAsia="Arial" w:hAnsi="Arial"/>
                <w:sz w:val="17"/>
                <w:szCs w:val="17"/>
                <w:color w:val="auto"/>
              </w:rPr>
              <w:t>Fourth Quarter</w:t>
            </w:r>
          </w:p>
        </w:tc>
        <w:tc>
          <w:tcPr>
            <w:tcW w:w="238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2580" w:type="dxa"/>
            <w:vAlign w:val="bottom"/>
          </w:tcPr>
          <w:p>
            <w:pPr>
              <w:jc w:val="right"/>
              <w:ind w:right="236"/>
              <w:spacing w:after="0"/>
              <w:rPr>
                <w:sz w:val="20"/>
                <w:szCs w:val="20"/>
                <w:color w:val="auto"/>
              </w:rPr>
            </w:pPr>
            <w:r>
              <w:rPr>
                <w:rFonts w:ascii="Arial" w:cs="Arial" w:eastAsia="Arial" w:hAnsi="Arial"/>
                <w:sz w:val="17"/>
                <w:szCs w:val="17"/>
                <w:color w:val="auto"/>
              </w:rPr>
              <w:t>30.55</w:t>
            </w:r>
          </w:p>
        </w:tc>
        <w:tc>
          <w:tcPr>
            <w:tcW w:w="74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2380" w:type="dxa"/>
            <w:vAlign w:val="bottom"/>
          </w:tcPr>
          <w:p>
            <w:pPr>
              <w:jc w:val="right"/>
              <w:ind w:right="16"/>
              <w:spacing w:after="0"/>
              <w:rPr>
                <w:sz w:val="20"/>
                <w:szCs w:val="20"/>
                <w:color w:val="auto"/>
              </w:rPr>
            </w:pPr>
            <w:r>
              <w:rPr>
                <w:rFonts w:ascii="Arial" w:cs="Arial" w:eastAsia="Arial" w:hAnsi="Arial"/>
                <w:sz w:val="17"/>
                <w:szCs w:val="17"/>
                <w:color w:val="auto"/>
              </w:rPr>
              <w:t>37.38</w:t>
            </w:r>
          </w:p>
        </w:tc>
      </w:tr>
    </w:tbl>
    <w:p>
      <w:pPr>
        <w:spacing w:after="0" w:line="190" w:lineRule="exact"/>
        <w:rPr>
          <w:sz w:val="20"/>
          <w:szCs w:val="20"/>
          <w:color w:val="auto"/>
        </w:rPr>
      </w:pPr>
    </w:p>
    <w:p>
      <w:pPr>
        <w:ind w:right="120" w:firstLine="735"/>
        <w:spacing w:after="0" w:line="235" w:lineRule="auto"/>
        <w:rPr>
          <w:sz w:val="20"/>
          <w:szCs w:val="20"/>
          <w:color w:val="auto"/>
        </w:rPr>
      </w:pPr>
      <w:r>
        <w:rPr>
          <w:rFonts w:ascii="Arial" w:cs="Arial" w:eastAsia="Arial" w:hAnsi="Arial"/>
          <w:sz w:val="17"/>
          <w:szCs w:val="17"/>
          <w:color w:val="auto"/>
        </w:rPr>
        <w:t>During the years ended December 31, 2021 and 2020, the Company did not declare any dividends. On April 3, 2019, the board of directors of the Company declared a cash dividend to the Company’s sole existing shareholder at that time, the ESOP, in the amount of $2.00 per share, or $52.1 million in the aggregate (the “IPO Dividend”). The IPO Dividend was paid on May 10, 2019. On April 15, 2019, the board of directors of the Company declared a common stock dividend in a ratio of two shares of common stock for every one share of common stock then held by the Company’s shareholder (the “Stock Dividend”). The record date of the Stock Dividend was May 7, 2019, the day immediately prior to the consummation of the Company’s IPO on May 8, 2019, and the payment date of the Stock Dividend was May 8, 2019. Purchasers of the Company’s common stock in the Company’s public offering were not entitled to receive any portion of the Stock Dividend.</w:t>
      </w:r>
    </w:p>
    <w:p>
      <w:pPr>
        <w:spacing w:after="0" w:line="194" w:lineRule="exact"/>
        <w:rPr>
          <w:sz w:val="20"/>
          <w:szCs w:val="20"/>
          <w:color w:val="auto"/>
        </w:rPr>
      </w:pPr>
    </w:p>
    <w:p>
      <w:pPr>
        <w:ind w:right="20" w:firstLine="735"/>
        <w:spacing w:after="0" w:line="237" w:lineRule="auto"/>
        <w:rPr>
          <w:sz w:val="20"/>
          <w:szCs w:val="20"/>
          <w:color w:val="auto"/>
        </w:rPr>
      </w:pPr>
      <w:r>
        <w:rPr>
          <w:rFonts w:ascii="Arial" w:cs="Arial" w:eastAsia="Arial" w:hAnsi="Arial"/>
          <w:sz w:val="17"/>
          <w:szCs w:val="17"/>
          <w:color w:val="auto"/>
        </w:rPr>
        <w:t>Other than the IPO Dividend and the Stock Dividend discussed above, we currently do not intend to declare or pay any cash dividends in the foreseeable future. Any further determination to pay dividends on our capital stock will be at the discretion of our board of directors, subject to applicable laws, and will depend on our financial condition, results of operations, capital requirements, restrictions under our Senior Notes issued in a private placement in 2014, or the Convertible Senior Notes, and Credit Agreement, and other factors that our board of directors considers relevant.</w:t>
      </w:r>
    </w:p>
    <w:p>
      <w:pPr>
        <w:spacing w:after="0" w:line="19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According to the records of our transfer agent, there were four shareholders of record as of February 12,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color w:val="auto"/>
        </w:rPr>
        <w:t>Performance Graph</w:t>
      </w:r>
    </w:p>
    <w:p>
      <w:pPr>
        <w:spacing w:after="0" w:line="218" w:lineRule="exact"/>
        <w:rPr>
          <w:sz w:val="20"/>
          <w:szCs w:val="20"/>
          <w:color w:val="auto"/>
        </w:rPr>
      </w:pPr>
    </w:p>
    <w:p>
      <w:pPr>
        <w:ind w:firstLine="735"/>
        <w:spacing w:after="0" w:line="236" w:lineRule="auto"/>
        <w:rPr>
          <w:sz w:val="20"/>
          <w:szCs w:val="20"/>
          <w:color w:val="auto"/>
        </w:rPr>
      </w:pPr>
      <w:r>
        <w:rPr>
          <w:rFonts w:ascii="Arial" w:cs="Arial" w:eastAsia="Arial" w:hAnsi="Arial"/>
          <w:sz w:val="17"/>
          <w:szCs w:val="17"/>
          <w:color w:val="auto"/>
        </w:rPr>
        <w:t>The following graph compares the cumulative total return, from the IPO date through December 31, 2021, to shareholders of Parsons Corporation common stock relative to the cumulative total returns of the Russell 2000 Index and the Standard and Poor’s IT Consulting &amp; Other Services Index. The graph assumes that the value of the initial investment in our common stock and each of the two indexes was $100 on May 8, 2019, and tracks it through December 31, 2021 (including reinvestment of dividends). The stock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5015230" cy="41700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015230" cy="417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480" w:type="dxa"/>
        <w:tblCellMar>
          <w:top w:w="0" w:type="dxa"/>
          <w:left w:w="0" w:type="dxa"/>
          <w:bottom w:w="0" w:type="dxa"/>
          <w:right w:w="0" w:type="dxa"/>
        </w:tblCellMar>
      </w:tblPr>
      <w:tr>
        <w:trPr>
          <w:trHeight w:val="177"/>
        </w:trPr>
        <w:tc>
          <w:tcPr>
            <w:tcW w:w="4720" w:type="dxa"/>
            <w:vAlign w:val="bottom"/>
            <w:tcBorders>
              <w:top w:val="single" w:sz="8" w:color="auto"/>
              <w:bottom w:val="single" w:sz="8" w:color="auto"/>
            </w:tcBorders>
          </w:tcPr>
          <w:p>
            <w:pPr>
              <w:spacing w:after="0"/>
              <w:rPr>
                <w:sz w:val="15"/>
                <w:szCs w:val="15"/>
                <w:color w:val="auto"/>
              </w:rPr>
            </w:pPr>
          </w:p>
        </w:tc>
        <w:tc>
          <w:tcPr>
            <w:tcW w:w="24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5/8/19</w:t>
            </w:r>
          </w:p>
        </w:tc>
        <w:tc>
          <w:tcPr>
            <w:tcW w:w="11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12/19</w:t>
            </w:r>
          </w:p>
        </w:tc>
        <w:tc>
          <w:tcPr>
            <w:tcW w:w="11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12/20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12/21</w:t>
            </w:r>
          </w:p>
        </w:tc>
      </w:tr>
      <w:tr>
        <w:trPr>
          <w:trHeight w:val="412"/>
        </w:trPr>
        <w:tc>
          <w:tcPr>
            <w:tcW w:w="4720" w:type="dxa"/>
            <w:vAlign w:val="bottom"/>
          </w:tcPr>
          <w:p>
            <w:pPr>
              <w:spacing w:after="0"/>
              <w:rPr>
                <w:sz w:val="20"/>
                <w:szCs w:val="20"/>
                <w:color w:val="auto"/>
              </w:rPr>
            </w:pPr>
            <w:r>
              <w:rPr>
                <w:rFonts w:ascii="Arial" w:cs="Arial" w:eastAsia="Arial" w:hAnsi="Arial"/>
                <w:sz w:val="14"/>
                <w:szCs w:val="14"/>
                <w:b w:val="1"/>
                <w:bCs w:val="1"/>
                <w:color w:val="auto"/>
              </w:rPr>
              <w:t>Parsons Corp.</w:t>
            </w:r>
          </w:p>
        </w:tc>
        <w:tc>
          <w:tcPr>
            <w:tcW w:w="2480" w:type="dxa"/>
            <w:vAlign w:val="bottom"/>
          </w:tcPr>
          <w:p>
            <w:pPr>
              <w:jc w:val="right"/>
              <w:ind w:right="312"/>
              <w:spacing w:after="0"/>
              <w:rPr>
                <w:sz w:val="20"/>
                <w:szCs w:val="20"/>
                <w:color w:val="auto"/>
              </w:rPr>
            </w:pPr>
            <w:r>
              <w:rPr>
                <w:rFonts w:ascii="Arial" w:cs="Arial" w:eastAsia="Arial" w:hAnsi="Arial"/>
                <w:sz w:val="14"/>
                <w:szCs w:val="14"/>
                <w:b w:val="1"/>
                <w:bCs w:val="1"/>
                <w:color w:val="auto"/>
              </w:rPr>
              <w:t>100.00</w:t>
            </w:r>
          </w:p>
        </w:tc>
        <w:tc>
          <w:tcPr>
            <w:tcW w:w="1140" w:type="dxa"/>
            <w:vAlign w:val="bottom"/>
          </w:tcPr>
          <w:p>
            <w:pPr>
              <w:jc w:val="right"/>
              <w:ind w:right="292"/>
              <w:spacing w:after="0"/>
              <w:rPr>
                <w:sz w:val="20"/>
                <w:szCs w:val="20"/>
                <w:color w:val="auto"/>
              </w:rPr>
            </w:pPr>
            <w:r>
              <w:rPr>
                <w:rFonts w:ascii="Arial" w:cs="Arial" w:eastAsia="Arial" w:hAnsi="Arial"/>
                <w:sz w:val="14"/>
                <w:szCs w:val="14"/>
                <w:b w:val="1"/>
                <w:bCs w:val="1"/>
                <w:color w:val="auto"/>
              </w:rPr>
              <w:t>137.28</w:t>
            </w:r>
          </w:p>
        </w:tc>
        <w:tc>
          <w:tcPr>
            <w:tcW w:w="1160" w:type="dxa"/>
            <w:vAlign w:val="bottom"/>
          </w:tcPr>
          <w:p>
            <w:pPr>
              <w:jc w:val="right"/>
              <w:ind w:right="292"/>
              <w:spacing w:after="0"/>
              <w:rPr>
                <w:sz w:val="20"/>
                <w:szCs w:val="20"/>
                <w:color w:val="auto"/>
              </w:rPr>
            </w:pPr>
            <w:r>
              <w:rPr>
                <w:rFonts w:ascii="Arial" w:cs="Arial" w:eastAsia="Arial" w:hAnsi="Arial"/>
                <w:sz w:val="14"/>
                <w:szCs w:val="14"/>
                <w:b w:val="1"/>
                <w:bCs w:val="1"/>
                <w:color w:val="auto"/>
              </w:rPr>
              <w:t>121.08</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111.91</w:t>
            </w:r>
          </w:p>
        </w:tc>
      </w:tr>
      <w:tr>
        <w:trPr>
          <w:trHeight w:val="177"/>
        </w:trPr>
        <w:tc>
          <w:tcPr>
            <w:tcW w:w="4720" w:type="dxa"/>
            <w:vAlign w:val="bottom"/>
          </w:tcPr>
          <w:p>
            <w:pPr>
              <w:spacing w:after="0"/>
              <w:rPr>
                <w:sz w:val="20"/>
                <w:szCs w:val="20"/>
                <w:color w:val="auto"/>
              </w:rPr>
            </w:pPr>
            <w:r>
              <w:rPr>
                <w:rFonts w:ascii="Arial" w:cs="Arial" w:eastAsia="Arial" w:hAnsi="Arial"/>
                <w:sz w:val="14"/>
                <w:szCs w:val="14"/>
                <w:b w:val="1"/>
                <w:bCs w:val="1"/>
                <w:color w:val="auto"/>
              </w:rPr>
              <w:t>Russell 2000</w:t>
            </w:r>
          </w:p>
        </w:tc>
        <w:tc>
          <w:tcPr>
            <w:tcW w:w="2480" w:type="dxa"/>
            <w:vAlign w:val="bottom"/>
          </w:tcPr>
          <w:p>
            <w:pPr>
              <w:jc w:val="right"/>
              <w:ind w:right="312"/>
              <w:spacing w:after="0"/>
              <w:rPr>
                <w:sz w:val="20"/>
                <w:szCs w:val="20"/>
                <w:color w:val="auto"/>
              </w:rPr>
            </w:pPr>
            <w:r>
              <w:rPr>
                <w:rFonts w:ascii="Arial" w:cs="Arial" w:eastAsia="Arial" w:hAnsi="Arial"/>
                <w:sz w:val="14"/>
                <w:szCs w:val="14"/>
                <w:b w:val="1"/>
                <w:bCs w:val="1"/>
                <w:color w:val="auto"/>
              </w:rPr>
              <w:t>100.00</w:t>
            </w:r>
          </w:p>
        </w:tc>
        <w:tc>
          <w:tcPr>
            <w:tcW w:w="1140" w:type="dxa"/>
            <w:vAlign w:val="bottom"/>
          </w:tcPr>
          <w:p>
            <w:pPr>
              <w:jc w:val="right"/>
              <w:ind w:right="292"/>
              <w:spacing w:after="0"/>
              <w:rPr>
                <w:sz w:val="20"/>
                <w:szCs w:val="20"/>
                <w:color w:val="auto"/>
              </w:rPr>
            </w:pPr>
            <w:r>
              <w:rPr>
                <w:rFonts w:ascii="Arial" w:cs="Arial" w:eastAsia="Arial" w:hAnsi="Arial"/>
                <w:sz w:val="14"/>
                <w:szCs w:val="14"/>
                <w:b w:val="1"/>
                <w:bCs w:val="1"/>
                <w:color w:val="auto"/>
              </w:rPr>
              <w:t>105.95</w:t>
            </w:r>
          </w:p>
        </w:tc>
        <w:tc>
          <w:tcPr>
            <w:tcW w:w="1160" w:type="dxa"/>
            <w:vAlign w:val="bottom"/>
          </w:tcPr>
          <w:p>
            <w:pPr>
              <w:jc w:val="right"/>
              <w:ind w:right="292"/>
              <w:spacing w:after="0"/>
              <w:rPr>
                <w:sz w:val="20"/>
                <w:szCs w:val="20"/>
                <w:color w:val="auto"/>
              </w:rPr>
            </w:pPr>
            <w:r>
              <w:rPr>
                <w:rFonts w:ascii="Arial" w:cs="Arial" w:eastAsia="Arial" w:hAnsi="Arial"/>
                <w:sz w:val="14"/>
                <w:szCs w:val="14"/>
                <w:b w:val="1"/>
                <w:bCs w:val="1"/>
                <w:color w:val="auto"/>
              </w:rPr>
              <w:t>127.10</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145.93</w:t>
            </w:r>
          </w:p>
        </w:tc>
      </w:tr>
      <w:tr>
        <w:trPr>
          <w:trHeight w:val="178"/>
        </w:trPr>
        <w:tc>
          <w:tcPr>
            <w:tcW w:w="4720" w:type="dxa"/>
            <w:vAlign w:val="bottom"/>
          </w:tcPr>
          <w:p>
            <w:pPr>
              <w:spacing w:after="0"/>
              <w:rPr>
                <w:sz w:val="20"/>
                <w:szCs w:val="20"/>
                <w:color w:val="auto"/>
              </w:rPr>
            </w:pPr>
            <w:r>
              <w:rPr>
                <w:rFonts w:ascii="Arial" w:cs="Arial" w:eastAsia="Arial" w:hAnsi="Arial"/>
                <w:sz w:val="14"/>
                <w:szCs w:val="14"/>
                <w:b w:val="1"/>
                <w:bCs w:val="1"/>
                <w:color w:val="auto"/>
              </w:rPr>
              <w:t>S&amp;P 1500 IT Consulting &amp; Other Services Index</w:t>
            </w:r>
          </w:p>
        </w:tc>
        <w:tc>
          <w:tcPr>
            <w:tcW w:w="2480" w:type="dxa"/>
            <w:vAlign w:val="bottom"/>
          </w:tcPr>
          <w:p>
            <w:pPr>
              <w:jc w:val="right"/>
              <w:ind w:right="312"/>
              <w:spacing w:after="0"/>
              <w:rPr>
                <w:sz w:val="20"/>
                <w:szCs w:val="20"/>
                <w:color w:val="auto"/>
              </w:rPr>
            </w:pPr>
            <w:r>
              <w:rPr>
                <w:rFonts w:ascii="Arial" w:cs="Arial" w:eastAsia="Arial" w:hAnsi="Arial"/>
                <w:sz w:val="14"/>
                <w:szCs w:val="14"/>
                <w:b w:val="1"/>
                <w:bCs w:val="1"/>
                <w:color w:val="auto"/>
              </w:rPr>
              <w:t>100.00</w:t>
            </w:r>
          </w:p>
        </w:tc>
        <w:tc>
          <w:tcPr>
            <w:tcW w:w="1140" w:type="dxa"/>
            <w:vAlign w:val="bottom"/>
          </w:tcPr>
          <w:p>
            <w:pPr>
              <w:jc w:val="right"/>
              <w:ind w:right="292"/>
              <w:spacing w:after="0"/>
              <w:rPr>
                <w:sz w:val="20"/>
                <w:szCs w:val="20"/>
                <w:color w:val="auto"/>
              </w:rPr>
            </w:pPr>
            <w:r>
              <w:rPr>
                <w:rFonts w:ascii="Arial" w:cs="Arial" w:eastAsia="Arial" w:hAnsi="Arial"/>
                <w:sz w:val="14"/>
                <w:szCs w:val="14"/>
                <w:b w:val="1"/>
                <w:bCs w:val="1"/>
                <w:color w:val="auto"/>
              </w:rPr>
              <w:t>100.60</w:t>
            </w:r>
          </w:p>
        </w:tc>
        <w:tc>
          <w:tcPr>
            <w:tcW w:w="1160" w:type="dxa"/>
            <w:vAlign w:val="bottom"/>
          </w:tcPr>
          <w:p>
            <w:pPr>
              <w:jc w:val="right"/>
              <w:ind w:right="292"/>
              <w:spacing w:after="0"/>
              <w:rPr>
                <w:sz w:val="20"/>
                <w:szCs w:val="20"/>
                <w:color w:val="auto"/>
              </w:rPr>
            </w:pPr>
            <w:r>
              <w:rPr>
                <w:rFonts w:ascii="Arial" w:cs="Arial" w:eastAsia="Arial" w:hAnsi="Arial"/>
                <w:sz w:val="14"/>
                <w:szCs w:val="14"/>
                <w:b w:val="1"/>
                <w:bCs w:val="1"/>
                <w:color w:val="auto"/>
              </w:rPr>
              <w:t>115.58</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164.20</w:t>
            </w: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80"/>
          </w:cols>
          <w:pgMar w:left="320" w:top="524" w:right="399" w:bottom="1440" w:gutter="0" w:footer="0" w:header="0"/>
        </w:sectPr>
      </w:pPr>
    </w:p>
    <w:bookmarkStart w:id="57" w:name="page58"/>
    <w:bookmarkEnd w:id="57"/>
    <w:p>
      <w:pPr>
        <w:ind w:left="440"/>
        <w:spacing w:after="0"/>
        <w:rPr>
          <w:sz w:val="20"/>
          <w:szCs w:val="20"/>
          <w:color w:val="auto"/>
        </w:rPr>
      </w:pPr>
      <w:r>
        <w:rPr>
          <w:rFonts w:ascii="Arial" w:cs="Arial" w:eastAsia="Arial" w:hAnsi="Arial"/>
          <w:sz w:val="17"/>
          <w:szCs w:val="17"/>
          <w:color w:val="auto"/>
        </w:rPr>
        <w:t>The information required by this item with respect to our equity compensation plans is incorporated by reference to our 2021 Proxy Statement.</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43" w:lineRule="exact"/>
        <w:rPr>
          <w:sz w:val="20"/>
          <w:szCs w:val="20"/>
          <w:color w:val="auto"/>
        </w:rPr>
      </w:pPr>
    </w:p>
    <w:p>
      <w:pPr>
        <w:ind w:firstLine="329"/>
        <w:spacing w:after="0" w:line="236" w:lineRule="auto"/>
        <w:rPr>
          <w:sz w:val="20"/>
          <w:szCs w:val="20"/>
          <w:color w:val="auto"/>
        </w:rPr>
      </w:pPr>
      <w:r>
        <w:rPr>
          <w:rFonts w:ascii="Arial" w:cs="Arial" w:eastAsia="Arial" w:hAnsi="Arial"/>
          <w:sz w:val="17"/>
          <w:szCs w:val="17"/>
          <w:color w:val="auto"/>
        </w:rPr>
        <w:t>On August 9, 2021, the Company’s Board of Directors authorized the Company to acquire a number of shares of Common Stock having an aggregate market value of not greater than $100,000,000 from time to time, commencing on August 12, 2021. Repurchased shares of common stock are retired and included in “Repurchases of common stock” in cash flows from financing activities in the Consolidated Statements of Cash Flows. The Company repurchased 245,000 shares at an average price of $35.51 during the quarter ended September 30, 2021. The Company repurchased 373,533 shares at an average price of $34.81 during the quarter ended December 31, 2021. As of December 31, 2021, the Company has $78.3 million remaining under the stock repurchase program.</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[Reserved]</w:t>
      </w: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40"/>
          </w:cols>
          <w:pgMar w:left="320" w:top="570" w:right="43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00" w:lineRule="exact"/>
        <w:rPr>
          <w:sz w:val="20"/>
          <w:szCs w:val="20"/>
          <w:color w:val="auto"/>
        </w:rPr>
      </w:pPr>
    </w:p>
    <w:p>
      <w:pPr>
        <w:ind w:right="80" w:firstLine="735"/>
        <w:spacing w:after="0" w:line="249" w:lineRule="auto"/>
        <w:rPr>
          <w:sz w:val="20"/>
          <w:szCs w:val="20"/>
          <w:color w:val="auto"/>
        </w:rPr>
      </w:pPr>
      <w:r>
        <w:rPr>
          <w:rFonts w:ascii="Arial" w:cs="Arial" w:eastAsia="Arial" w:hAnsi="Arial"/>
          <w:sz w:val="17"/>
          <w:szCs w:val="17"/>
          <w:i w:val="1"/>
          <w:iCs w:val="1"/>
          <w:color w:val="auto"/>
        </w:rPr>
        <w:t>The following discussion and analysis is intended to help investors understand our business, financial condition, results of operations, liquidity and capital resources. You should read this discussion together with our consolidated financial statements and related notes thereto included elsewhere in this Annual Report on Form 10-K.</w:t>
      </w:r>
    </w:p>
    <w:p>
      <w:pPr>
        <w:spacing w:after="0" w:line="165" w:lineRule="exact"/>
        <w:rPr>
          <w:sz w:val="20"/>
          <w:szCs w:val="20"/>
          <w:color w:val="auto"/>
        </w:rPr>
      </w:pPr>
    </w:p>
    <w:p>
      <w:pPr>
        <w:ind w:right="300" w:firstLine="735"/>
        <w:spacing w:after="0" w:line="243" w:lineRule="auto"/>
        <w:rPr>
          <w:sz w:val="20"/>
          <w:szCs w:val="20"/>
          <w:color w:val="auto"/>
        </w:rPr>
      </w:pPr>
      <w:r>
        <w:rPr>
          <w:rFonts w:ascii="Arial" w:cs="Arial" w:eastAsia="Arial" w:hAnsi="Arial"/>
          <w:sz w:val="17"/>
          <w:szCs w:val="17"/>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“Risk Factors” and “Special Note Regarding Forward-Looking Statements.” Actual results may differ materially from those contained in any forward-looking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 Pandemic</w:t>
      </w:r>
    </w:p>
    <w:p>
      <w:pPr>
        <w:spacing w:after="0" w:line="116" w:lineRule="exact"/>
        <w:rPr>
          <w:sz w:val="20"/>
          <w:szCs w:val="20"/>
          <w:color w:val="auto"/>
        </w:rPr>
      </w:pPr>
    </w:p>
    <w:p>
      <w:pPr>
        <w:ind w:firstLine="842"/>
        <w:spacing w:after="0" w:line="237" w:lineRule="auto"/>
        <w:rPr>
          <w:sz w:val="20"/>
          <w:szCs w:val="20"/>
          <w:color w:val="auto"/>
        </w:rPr>
      </w:pPr>
      <w:r>
        <w:rPr>
          <w:rFonts w:ascii="Arial" w:cs="Arial" w:eastAsia="Arial" w:hAnsi="Arial"/>
          <w:sz w:val="17"/>
          <w:szCs w:val="17"/>
          <w:color w:val="auto"/>
        </w:rPr>
        <w:t>In response to the COVID-19 pandemic, the Company has taken certain actions to continue to execute under our contracts with customers and allow our people to work safely. A substantial majority of our workforce transitioned to work-from-home status during the latter part of the quarter ended March 31, 2020, and these practices remain in effect as of the date of this filing. To date, we have experienced no material disruption in our work as a consequence of these changes in our work practices.</w:t>
      </w:r>
    </w:p>
    <w:p>
      <w:pPr>
        <w:spacing w:after="0" w:line="90" w:lineRule="exact"/>
        <w:rPr>
          <w:sz w:val="20"/>
          <w:szCs w:val="20"/>
          <w:color w:val="auto"/>
        </w:rPr>
      </w:pPr>
    </w:p>
    <w:p>
      <w:pPr>
        <w:ind w:right="160" w:firstLine="842"/>
        <w:spacing w:after="0" w:line="237" w:lineRule="auto"/>
        <w:rPr>
          <w:sz w:val="20"/>
          <w:szCs w:val="20"/>
          <w:color w:val="auto"/>
        </w:rPr>
      </w:pPr>
      <w:r>
        <w:rPr>
          <w:rFonts w:ascii="Arial" w:cs="Arial" w:eastAsia="Arial" w:hAnsi="Arial"/>
          <w:sz w:val="17"/>
          <w:szCs w:val="17"/>
          <w:color w:val="auto"/>
        </w:rPr>
        <w:t>The Company has experienced an impact in the volume of work in both the Federal Solutions and Critical Infrastructure segments where customers have restricted access to certain project sites. We have not seen any substantive cancellations of previously awarded contracts. In the Federal Solutions segment, we have had some existing contracts extended. We continue to see several potential contract awards pushed out to a future date.</w:t>
      </w:r>
    </w:p>
    <w:p>
      <w:pPr>
        <w:spacing w:after="0" w:line="90" w:lineRule="exact"/>
        <w:rPr>
          <w:sz w:val="20"/>
          <w:szCs w:val="20"/>
          <w:color w:val="auto"/>
        </w:rPr>
      </w:pPr>
    </w:p>
    <w:p>
      <w:pPr>
        <w:ind w:right="60" w:firstLine="842"/>
        <w:spacing w:after="0" w:line="238" w:lineRule="auto"/>
        <w:rPr>
          <w:sz w:val="20"/>
          <w:szCs w:val="20"/>
          <w:color w:val="auto"/>
        </w:rPr>
      </w:pPr>
      <w:r>
        <w:rPr>
          <w:rFonts w:ascii="Arial" w:cs="Arial" w:eastAsia="Arial" w:hAnsi="Arial"/>
          <w:sz w:val="17"/>
          <w:szCs w:val="17"/>
          <w:color w:val="auto"/>
        </w:rPr>
        <w:t>The Company received limited benefits associated with the CARES Act related to its work on certain US national security projects; however, the curtailment of work under these projects and the CARES Act benefits did not have a material impact on our financial condition or results of operations. The reimbursement period for Section 3610 of the CARES Act expired September 30, 2021.</w:t>
      </w:r>
    </w:p>
    <w:p>
      <w:pPr>
        <w:spacing w:after="0" w:line="90" w:lineRule="exact"/>
        <w:rPr>
          <w:sz w:val="20"/>
          <w:szCs w:val="20"/>
          <w:color w:val="auto"/>
        </w:rPr>
      </w:pPr>
    </w:p>
    <w:p>
      <w:pPr>
        <w:ind w:right="280" w:firstLine="842"/>
        <w:spacing w:after="0" w:line="242" w:lineRule="auto"/>
        <w:rPr>
          <w:sz w:val="20"/>
          <w:szCs w:val="20"/>
          <w:color w:val="auto"/>
        </w:rPr>
      </w:pPr>
      <w:r>
        <w:rPr>
          <w:rFonts w:ascii="Arial" w:cs="Arial" w:eastAsia="Arial" w:hAnsi="Arial"/>
          <w:sz w:val="17"/>
          <w:szCs w:val="17"/>
          <w:color w:val="auto"/>
        </w:rPr>
        <w:t>The Company has provided additional disclosure around liquidity and capital resources which can be found in the “Liquidity and Capital Resources” section in Management’s Discussion and Analysis of Financial Condition and Results of Operations in this Form 10-K.</w:t>
      </w:r>
    </w:p>
    <w:p>
      <w:pPr>
        <w:spacing w:after="0" w:line="88" w:lineRule="exact"/>
        <w:rPr>
          <w:sz w:val="20"/>
          <w:szCs w:val="20"/>
          <w:color w:val="auto"/>
        </w:rPr>
      </w:pPr>
    </w:p>
    <w:p>
      <w:pPr>
        <w:ind w:right="320" w:firstLine="842"/>
        <w:spacing w:after="0" w:line="242" w:lineRule="auto"/>
        <w:rPr>
          <w:sz w:val="20"/>
          <w:szCs w:val="20"/>
          <w:color w:val="auto"/>
        </w:rPr>
      </w:pPr>
      <w:r>
        <w:rPr>
          <w:rFonts w:ascii="Arial" w:cs="Arial" w:eastAsia="Arial" w:hAnsi="Arial"/>
          <w:sz w:val="17"/>
          <w:szCs w:val="17"/>
          <w:color w:val="auto"/>
        </w:rPr>
        <w:t>The Company anticipates substantially all of the Company’s subcontractors and material suppliers will be able to fulfill their contractual obligations and we do not expect a material impact from non-performance.</w:t>
      </w:r>
    </w:p>
    <w:p>
      <w:pPr>
        <w:spacing w:after="0" w:line="88" w:lineRule="exact"/>
        <w:rPr>
          <w:sz w:val="20"/>
          <w:szCs w:val="20"/>
          <w:color w:val="auto"/>
        </w:rPr>
      </w:pPr>
    </w:p>
    <w:p>
      <w:pPr>
        <w:ind w:right="40" w:firstLine="842"/>
        <w:spacing w:after="0" w:line="242" w:lineRule="auto"/>
        <w:rPr>
          <w:sz w:val="20"/>
          <w:szCs w:val="20"/>
          <w:color w:val="auto"/>
        </w:rPr>
      </w:pPr>
      <w:r>
        <w:rPr>
          <w:rFonts w:ascii="Arial" w:cs="Arial" w:eastAsia="Arial" w:hAnsi="Arial"/>
          <w:sz w:val="17"/>
          <w:szCs w:val="17"/>
          <w:color w:val="auto"/>
        </w:rPr>
        <w:t>The ultimate impact from the COVID-19 pandemic is difficult to predict. While many uncertainties exist, we currently anticipate no material change in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321" w:right="37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226060</wp:posOffset>
            </wp:positionV>
            <wp:extent cx="5015230" cy="28174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5015230" cy="2817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Overview</w:t>
      </w:r>
    </w:p>
    <w:p>
      <w:pPr>
        <w:spacing w:after="0" w:line="218" w:lineRule="exact"/>
        <w:rPr>
          <w:sz w:val="20"/>
          <w:szCs w:val="20"/>
          <w:color w:val="auto"/>
        </w:rPr>
      </w:pPr>
    </w:p>
    <w:p>
      <w:pPr>
        <w:ind w:right="60" w:firstLine="735"/>
        <w:spacing w:after="0" w:line="236" w:lineRule="auto"/>
        <w:rPr>
          <w:sz w:val="20"/>
          <w:szCs w:val="20"/>
          <w:color w:val="auto"/>
        </w:rPr>
      </w:pPr>
      <w:r>
        <w:rPr>
          <w:rFonts w:ascii="Arial" w:cs="Arial" w:eastAsia="Arial" w:hAnsi="Arial"/>
          <w:sz w:val="17"/>
          <w:szCs w:val="17"/>
          <w:color w:val="auto"/>
        </w:rPr>
        <w:t>We are a leading provider of the integrated solutions and services required in today’s complex security environment and a world of digital transformation. We deliver innovative technology-driven solutions to customers worldwide. We have developed significant expertise and differentiated capabilities in key areas of cybersecurity, intelligence, missile defense, C5ISR, space, transportation, water/wastewater and environmental remediation. By combining our talented team of professionals and advanced technology, we solve complex technical challenges to enable a safer, smarter, more secure and more connected world.</w:t>
      </w:r>
    </w:p>
    <w:p>
      <w:pPr>
        <w:spacing w:after="0" w:line="193" w:lineRule="exact"/>
        <w:rPr>
          <w:sz w:val="20"/>
          <w:szCs w:val="20"/>
          <w:color w:val="auto"/>
        </w:rPr>
      </w:pPr>
    </w:p>
    <w:p>
      <w:pPr>
        <w:ind w:firstLine="735"/>
        <w:spacing w:after="0" w:line="238" w:lineRule="auto"/>
        <w:rPr>
          <w:sz w:val="20"/>
          <w:szCs w:val="20"/>
          <w:color w:val="auto"/>
        </w:rPr>
      </w:pPr>
      <w:r>
        <w:rPr>
          <w:rFonts w:ascii="Arial" w:cs="Arial" w:eastAsia="Arial" w:hAnsi="Arial"/>
          <w:sz w:val="17"/>
          <w:szCs w:val="17"/>
          <w:color w:val="auto"/>
        </w:rPr>
        <w:t>We operate in two reporting segments, Federal Solutions and Critical Infrastructure. Our Federal Solutions business provides advanced technical solutions to the U.S. government. Our Critical Infrastructure business provides integrated engineering and management services for complex physical and digital infrastructure to state and local governments and large companies.</w:t>
      </w:r>
    </w:p>
    <w:p>
      <w:pPr>
        <w:spacing w:after="0" w:line="192" w:lineRule="exact"/>
        <w:rPr>
          <w:sz w:val="20"/>
          <w:szCs w:val="20"/>
          <w:color w:val="auto"/>
        </w:rPr>
      </w:pPr>
    </w:p>
    <w:p>
      <w:pPr>
        <w:ind w:firstLine="735"/>
        <w:spacing w:after="0" w:line="236" w:lineRule="auto"/>
        <w:rPr>
          <w:sz w:val="20"/>
          <w:szCs w:val="20"/>
          <w:color w:val="auto"/>
        </w:rPr>
      </w:pPr>
      <w:r>
        <w:rPr>
          <w:rFonts w:ascii="Arial" w:cs="Arial" w:eastAsia="Arial" w:hAnsi="Arial"/>
          <w:sz w:val="17"/>
          <w:szCs w:val="17"/>
          <w:color w:val="auto"/>
        </w:rPr>
        <w:t>Our employees provide services pursuant to contracts that we are awarded by the customer and specific task orders relating to such contracts. These contracts are often multi-year, which provides us backlog and visibility on our revenues for future periods. Many of our contracts and task orders are subject to renewal and rebidding at the end of their term, and some are subject to the exercise of contract options and issuance of task orders by the applicable government entity. In addition to focusing on increasing our revenues through increased contract awards and backlog, we focus our financial performance on margin expansion and cash flow.</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jc w:val="center"/>
        <w:spacing w:after="0"/>
        <w:rPr>
          <w:sz w:val="20"/>
          <w:szCs w:val="20"/>
          <w:color w:val="auto"/>
        </w:rPr>
      </w:pPr>
      <w:r>
        <w:rPr>
          <w:rFonts w:ascii="Arial" w:cs="Arial" w:eastAsia="Arial" w:hAnsi="Arial"/>
          <w:sz w:val="17"/>
          <w:szCs w:val="17"/>
          <w:b w:val="1"/>
          <w:bCs w:val="1"/>
          <w:color w:val="auto"/>
        </w:rPr>
        <w:t>Key Metrics</w:t>
      </w:r>
    </w:p>
    <w:p>
      <w:pPr>
        <w:spacing w:after="0" w:line="218" w:lineRule="exact"/>
        <w:rPr>
          <w:sz w:val="20"/>
          <w:szCs w:val="20"/>
          <w:color w:val="auto"/>
        </w:rPr>
      </w:pPr>
    </w:p>
    <w:p>
      <w:pPr>
        <w:ind w:right="480" w:firstLine="735"/>
        <w:spacing w:after="0" w:line="242" w:lineRule="auto"/>
        <w:rPr>
          <w:sz w:val="20"/>
          <w:szCs w:val="20"/>
          <w:color w:val="auto"/>
        </w:rPr>
      </w:pPr>
      <w:r>
        <w:rPr>
          <w:rFonts w:ascii="Arial" w:cs="Arial" w:eastAsia="Arial" w:hAnsi="Arial"/>
          <w:sz w:val="17"/>
          <w:szCs w:val="17"/>
          <w:color w:val="auto"/>
        </w:rPr>
        <w:t>We manage and assess the performance of our business by evaluating a variety of metrics. The following table sets forth selected key metrics (in thousands, except Book-to-Bill):</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5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Fiscal Year Ended</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6540" w:type="dxa"/>
            <w:vAlign w:val="bottom"/>
            <w:tcBorders>
              <w:bottom w:val="single" w:sz="8" w:color="CFF0FC"/>
            </w:tcBorders>
          </w:tcPr>
          <w:p>
            <w:pPr>
              <w:spacing w:after="0"/>
              <w:rPr>
                <w:sz w:val="13"/>
                <w:szCs w:val="13"/>
                <w:color w:val="auto"/>
              </w:rPr>
            </w:pPr>
          </w:p>
        </w:tc>
        <w:tc>
          <w:tcPr>
            <w:tcW w:w="136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b w:val="1"/>
                <w:bCs w:val="1"/>
                <w:color w:val="auto"/>
                <w:w w:val="99"/>
              </w:rPr>
              <w:t>December 31, 2021</w:t>
            </w:r>
          </w:p>
        </w:tc>
        <w:tc>
          <w:tcPr>
            <w:tcW w:w="260" w:type="dxa"/>
            <w:vAlign w:val="bottom"/>
            <w:tcBorders>
              <w:bottom w:val="single" w:sz="8" w:color="CFF0FC"/>
            </w:tcBorders>
          </w:tcPr>
          <w:p>
            <w:pPr>
              <w:spacing w:after="0"/>
              <w:rPr>
                <w:sz w:val="13"/>
                <w:szCs w:val="13"/>
                <w:color w:val="auto"/>
              </w:rPr>
            </w:pPr>
          </w:p>
        </w:tc>
        <w:tc>
          <w:tcPr>
            <w:tcW w:w="1360" w:type="dxa"/>
            <w:vAlign w:val="bottom"/>
            <w:tcBorders>
              <w:bottom w:val="single" w:sz="8" w:color="auto"/>
            </w:tcBorders>
            <w:gridSpan w:val="2"/>
          </w:tcPr>
          <w:p>
            <w:pPr>
              <w:jc w:val="center"/>
              <w:spacing w:after="0" w:line="157" w:lineRule="exact"/>
              <w:rPr>
                <w:sz w:val="20"/>
                <w:szCs w:val="20"/>
                <w:color w:val="auto"/>
              </w:rPr>
            </w:pPr>
            <w:r>
              <w:rPr>
                <w:rFonts w:ascii="Arial" w:cs="Arial" w:eastAsia="Arial" w:hAnsi="Arial"/>
                <w:sz w:val="14"/>
                <w:szCs w:val="14"/>
                <w:b w:val="1"/>
                <w:bCs w:val="1"/>
                <w:color w:val="auto"/>
                <w:w w:val="96"/>
              </w:rPr>
              <w:t>December 31, 2020</w:t>
            </w:r>
          </w:p>
        </w:tc>
        <w:tc>
          <w:tcPr>
            <w:tcW w:w="260" w:type="dxa"/>
            <w:vAlign w:val="bottom"/>
            <w:tcBorders>
              <w:bottom w:val="single" w:sz="8" w:color="CFF0FC"/>
            </w:tcBorders>
          </w:tcPr>
          <w:p>
            <w:pPr>
              <w:spacing w:after="0"/>
              <w:rPr>
                <w:sz w:val="13"/>
                <w:szCs w:val="13"/>
                <w:color w:val="auto"/>
              </w:rPr>
            </w:pPr>
          </w:p>
        </w:tc>
        <w:tc>
          <w:tcPr>
            <w:tcW w:w="136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b w:val="1"/>
                <w:bCs w:val="1"/>
                <w:color w:val="auto"/>
                <w:w w:val="99"/>
              </w:rPr>
              <w:t>December 31, 2019</w:t>
            </w:r>
          </w:p>
        </w:tc>
        <w:tc>
          <w:tcPr>
            <w:tcW w:w="100" w:type="dxa"/>
            <w:vAlign w:val="bottom"/>
            <w:tcBorders>
              <w:bottom w:val="single" w:sz="8" w:color="CFF0FC"/>
            </w:tcBorders>
          </w:tcPr>
          <w:p>
            <w:pPr>
              <w:spacing w:after="0"/>
              <w:rPr>
                <w:sz w:val="13"/>
                <w:szCs w:val="13"/>
                <w:color w:val="auto"/>
              </w:rPr>
            </w:pPr>
          </w:p>
        </w:tc>
      </w:tr>
      <w:tr>
        <w:trPr>
          <w:trHeight w:val="196"/>
        </w:trPr>
        <w:tc>
          <w:tcPr>
            <w:tcW w:w="6540" w:type="dxa"/>
            <w:vAlign w:val="bottom"/>
            <w:shd w:val="clear" w:color="auto" w:fill="CFF0FC"/>
          </w:tcPr>
          <w:p>
            <w:pPr>
              <w:spacing w:after="0"/>
              <w:rPr>
                <w:sz w:val="20"/>
                <w:szCs w:val="20"/>
                <w:color w:val="auto"/>
              </w:rPr>
            </w:pPr>
            <w:r>
              <w:rPr>
                <w:rFonts w:ascii="Arial" w:cs="Arial" w:eastAsia="Arial" w:hAnsi="Arial"/>
                <w:sz w:val="17"/>
                <w:szCs w:val="17"/>
                <w:color w:val="auto"/>
              </w:rPr>
              <w:t>Awards</w:t>
            </w:r>
          </w:p>
        </w:tc>
        <w:tc>
          <w:tcPr>
            <w:tcW w:w="340" w:type="dxa"/>
            <w:vAlign w:val="bottom"/>
            <w:shd w:val="clear" w:color="auto" w:fill="CFF0FC"/>
          </w:tcPr>
          <w:p>
            <w:pPr>
              <w:jc w:val="right"/>
              <w:ind w:right="161"/>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4,565,792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4,195,646</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61"/>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4,237,101</w:t>
            </w: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spacing w:after="0"/>
              <w:rPr>
                <w:sz w:val="20"/>
                <w:szCs w:val="20"/>
                <w:color w:val="auto"/>
              </w:rPr>
            </w:pPr>
            <w:r>
              <w:rPr>
                <w:rFonts w:ascii="Arial" w:cs="Arial" w:eastAsia="Arial" w:hAnsi="Arial"/>
                <w:sz w:val="17"/>
                <w:szCs w:val="17"/>
                <w:color w:val="auto"/>
              </w:rPr>
              <w:t>Backlog (1)</w:t>
            </w:r>
          </w:p>
        </w:tc>
        <w:tc>
          <w:tcPr>
            <w:tcW w:w="340" w:type="dxa"/>
            <w:vAlign w:val="bottom"/>
          </w:tcPr>
          <w:p>
            <w:pPr>
              <w:jc w:val="right"/>
              <w:ind w:right="161"/>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8,346,937</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8,093,258</w:t>
            </w:r>
          </w:p>
        </w:tc>
        <w:tc>
          <w:tcPr>
            <w:tcW w:w="26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8,031,085</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spacing w:after="0"/>
              <w:rPr>
                <w:sz w:val="20"/>
                <w:szCs w:val="20"/>
                <w:color w:val="auto"/>
              </w:rPr>
            </w:pPr>
            <w:r>
              <w:rPr>
                <w:rFonts w:ascii="Arial" w:cs="Arial" w:eastAsia="Arial" w:hAnsi="Arial"/>
                <w:sz w:val="17"/>
                <w:szCs w:val="17"/>
                <w:color w:val="auto"/>
              </w:rPr>
              <w:t>Book-to-Bill</w:t>
            </w: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FF0FC"/>
          </w:tcPr>
          <w:p>
            <w:pPr>
              <w:spacing w:after="0"/>
              <w:rPr>
                <w:sz w:val="17"/>
                <w:szCs w:val="17"/>
                <w:color w:val="auto"/>
              </w:rPr>
            </w:pPr>
          </w:p>
        </w:tc>
      </w:tr>
    </w:tbl>
    <w:p>
      <w:pPr>
        <w:spacing w:after="0" w:line="37" w:lineRule="exact"/>
        <w:rPr>
          <w:sz w:val="20"/>
          <w:szCs w:val="20"/>
          <w:color w:val="auto"/>
        </w:rPr>
      </w:pPr>
    </w:p>
    <w:p>
      <w:pPr>
        <w:ind w:left="740" w:right="100" w:hanging="739"/>
        <w:spacing w:after="0" w:line="238" w:lineRule="auto"/>
        <w:tabs>
          <w:tab w:leader="none" w:pos="7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Difference between our backlog of $8.3 billion and our remaining unsatisfied performance obligations, or RUPO, of $5.8 billion, each as of December 31, 2021, is due to (i) unissued task orders and unexercised option years, to the extent their issuance or exercise is probable, as well as (ii) contract awards, to the extent we believe contract execution and funding is probable.</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Awards</w:t>
      </w:r>
    </w:p>
    <w:p>
      <w:pPr>
        <w:spacing w:after="0" w:line="116" w:lineRule="exact"/>
        <w:rPr>
          <w:sz w:val="20"/>
          <w:szCs w:val="20"/>
          <w:color w:val="auto"/>
        </w:rPr>
      </w:pPr>
    </w:p>
    <w:p>
      <w:pPr>
        <w:jc w:val="both"/>
        <w:ind w:right="80" w:firstLine="735"/>
        <w:spacing w:after="0" w:line="238" w:lineRule="auto"/>
        <w:rPr>
          <w:sz w:val="20"/>
          <w:szCs w:val="20"/>
          <w:color w:val="auto"/>
        </w:rPr>
      </w:pPr>
      <w:r>
        <w:rPr>
          <w:rFonts w:ascii="Arial" w:cs="Arial" w:eastAsia="Arial" w:hAnsi="Arial"/>
          <w:sz w:val="17"/>
          <w:szCs w:val="17"/>
          <w:color w:val="auto"/>
        </w:rPr>
        <w:t>Awards generally represent the amount of revenue expected to be earned in the future from funded and unfunded contract awards received during the period. Contract awards include both new and re-compete contracts and task orders. Given that new contract awards generate growth, we closely track our new awards each year.</w:t>
      </w:r>
    </w:p>
    <w:p>
      <w:pPr>
        <w:spacing w:after="0" w:line="90"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following table summarizes the total value of new awards for the periods presented below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5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Fiscal Year Ended</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6540" w:type="dxa"/>
            <w:vAlign w:val="bottom"/>
            <w:tcBorders>
              <w:bottom w:val="single" w:sz="8" w:color="CFF0FC"/>
            </w:tcBorders>
          </w:tcPr>
          <w:p>
            <w:pPr>
              <w:spacing w:after="0"/>
              <w:rPr>
                <w:sz w:val="13"/>
                <w:szCs w:val="13"/>
                <w:color w:val="auto"/>
              </w:rPr>
            </w:pPr>
          </w:p>
        </w:tc>
        <w:tc>
          <w:tcPr>
            <w:tcW w:w="136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b w:val="1"/>
                <w:bCs w:val="1"/>
                <w:color w:val="auto"/>
                <w:w w:val="99"/>
              </w:rPr>
              <w:t>December 31, 2021</w:t>
            </w:r>
          </w:p>
        </w:tc>
        <w:tc>
          <w:tcPr>
            <w:tcW w:w="260" w:type="dxa"/>
            <w:vAlign w:val="bottom"/>
            <w:tcBorders>
              <w:bottom w:val="single" w:sz="8" w:color="CFF0FC"/>
            </w:tcBorders>
          </w:tcPr>
          <w:p>
            <w:pPr>
              <w:spacing w:after="0"/>
              <w:rPr>
                <w:sz w:val="13"/>
                <w:szCs w:val="13"/>
                <w:color w:val="auto"/>
              </w:rPr>
            </w:pPr>
          </w:p>
        </w:tc>
        <w:tc>
          <w:tcPr>
            <w:tcW w:w="1360" w:type="dxa"/>
            <w:vAlign w:val="bottom"/>
            <w:tcBorders>
              <w:bottom w:val="single" w:sz="8" w:color="auto"/>
            </w:tcBorders>
            <w:gridSpan w:val="2"/>
          </w:tcPr>
          <w:p>
            <w:pPr>
              <w:jc w:val="center"/>
              <w:spacing w:after="0" w:line="157" w:lineRule="exact"/>
              <w:rPr>
                <w:sz w:val="20"/>
                <w:szCs w:val="20"/>
                <w:color w:val="auto"/>
              </w:rPr>
            </w:pPr>
            <w:r>
              <w:rPr>
                <w:rFonts w:ascii="Arial" w:cs="Arial" w:eastAsia="Arial" w:hAnsi="Arial"/>
                <w:sz w:val="14"/>
                <w:szCs w:val="14"/>
                <w:b w:val="1"/>
                <w:bCs w:val="1"/>
                <w:color w:val="auto"/>
                <w:w w:val="96"/>
              </w:rPr>
              <w:t>December 31, 2020</w:t>
            </w:r>
          </w:p>
        </w:tc>
        <w:tc>
          <w:tcPr>
            <w:tcW w:w="260" w:type="dxa"/>
            <w:vAlign w:val="bottom"/>
            <w:tcBorders>
              <w:bottom w:val="single" w:sz="8" w:color="CFF0FC"/>
            </w:tcBorders>
          </w:tcPr>
          <w:p>
            <w:pPr>
              <w:spacing w:after="0"/>
              <w:rPr>
                <w:sz w:val="13"/>
                <w:szCs w:val="13"/>
                <w:color w:val="auto"/>
              </w:rPr>
            </w:pPr>
          </w:p>
        </w:tc>
        <w:tc>
          <w:tcPr>
            <w:tcW w:w="136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b w:val="1"/>
                <w:bCs w:val="1"/>
                <w:color w:val="auto"/>
                <w:w w:val="99"/>
              </w:rPr>
              <w:t>December 31, 2019</w:t>
            </w:r>
          </w:p>
        </w:tc>
        <w:tc>
          <w:tcPr>
            <w:tcW w:w="100" w:type="dxa"/>
            <w:vAlign w:val="bottom"/>
            <w:tcBorders>
              <w:bottom w:val="single" w:sz="8" w:color="CFF0FC"/>
            </w:tcBorders>
          </w:tcPr>
          <w:p>
            <w:pPr>
              <w:spacing w:after="0"/>
              <w:rPr>
                <w:sz w:val="13"/>
                <w:szCs w:val="13"/>
                <w:color w:val="auto"/>
              </w:rPr>
            </w:pPr>
          </w:p>
        </w:tc>
      </w:tr>
      <w:tr>
        <w:trPr>
          <w:trHeight w:val="196"/>
        </w:trPr>
        <w:tc>
          <w:tcPr>
            <w:tcW w:w="6540" w:type="dxa"/>
            <w:vAlign w:val="bottom"/>
            <w:shd w:val="clear" w:color="auto" w:fill="CFF0FC"/>
          </w:tcPr>
          <w:p>
            <w:pPr>
              <w:spacing w:after="0"/>
              <w:rPr>
                <w:sz w:val="20"/>
                <w:szCs w:val="20"/>
                <w:color w:val="auto"/>
              </w:rPr>
            </w:pPr>
            <w:r>
              <w:rPr>
                <w:rFonts w:ascii="Arial" w:cs="Arial" w:eastAsia="Arial" w:hAnsi="Arial"/>
                <w:sz w:val="17"/>
                <w:szCs w:val="17"/>
                <w:color w:val="auto"/>
              </w:rPr>
              <w:t>Federal Solutions</w:t>
            </w:r>
          </w:p>
        </w:tc>
        <w:tc>
          <w:tcPr>
            <w:tcW w:w="340" w:type="dxa"/>
            <w:vAlign w:val="bottom"/>
            <w:shd w:val="clear" w:color="auto" w:fill="CFF0FC"/>
          </w:tcPr>
          <w:p>
            <w:pPr>
              <w:jc w:val="right"/>
              <w:ind w:right="161"/>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2,458,528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2,175,221</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61"/>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2,514,545</w:t>
            </w: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Critical Infrastructure</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2,107,264</w:t>
            </w:r>
          </w:p>
        </w:tc>
        <w:tc>
          <w:tcPr>
            <w:tcW w:w="2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2,020,425</w:t>
            </w:r>
          </w:p>
        </w:tc>
        <w:tc>
          <w:tcPr>
            <w:tcW w:w="26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1,722,556</w:t>
            </w:r>
          </w:p>
        </w:tc>
        <w:tc>
          <w:tcPr>
            <w:tcW w:w="100" w:type="dxa"/>
            <w:vAlign w:val="bottom"/>
            <w:tcBorders>
              <w:bottom w:val="single" w:sz="8" w:color="CFF0FC"/>
            </w:tcBorders>
          </w:tcPr>
          <w:p>
            <w:pPr>
              <w:spacing w:after="0"/>
              <w:rPr>
                <w:sz w:val="17"/>
                <w:szCs w:val="17"/>
                <w:color w:val="auto"/>
              </w:rPr>
            </w:pPr>
          </w:p>
        </w:tc>
      </w:tr>
      <w:tr>
        <w:trPr>
          <w:trHeight w:val="196"/>
        </w:trPr>
        <w:tc>
          <w:tcPr>
            <w:tcW w:w="6540" w:type="dxa"/>
            <w:vAlign w:val="bottom"/>
            <w:shd w:val="clear" w:color="auto" w:fill="CFF0FC"/>
          </w:tcPr>
          <w:p>
            <w:pPr>
              <w:spacing w:after="0"/>
              <w:rPr>
                <w:sz w:val="20"/>
                <w:szCs w:val="20"/>
                <w:color w:val="auto"/>
              </w:rPr>
            </w:pPr>
            <w:r>
              <w:rPr>
                <w:rFonts w:ascii="Arial" w:cs="Arial" w:eastAsia="Arial" w:hAnsi="Arial"/>
                <w:sz w:val="17"/>
                <w:szCs w:val="17"/>
                <w:color w:val="auto"/>
              </w:rPr>
              <w:t>Total Awards</w:t>
            </w:r>
          </w:p>
        </w:tc>
        <w:tc>
          <w:tcPr>
            <w:tcW w:w="340" w:type="dxa"/>
            <w:vAlign w:val="bottom"/>
            <w:shd w:val="clear" w:color="auto" w:fill="CFF0FC"/>
          </w:tcPr>
          <w:p>
            <w:pPr>
              <w:jc w:val="right"/>
              <w:ind w:right="161"/>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4,565,792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4,195,646</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61"/>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4,237,101</w:t>
            </w:r>
          </w:p>
        </w:tc>
        <w:tc>
          <w:tcPr>
            <w:tcW w:w="100" w:type="dxa"/>
            <w:vAlign w:val="bottom"/>
            <w:shd w:val="clear" w:color="auto" w:fill="CFF0FC"/>
          </w:tcPr>
          <w:p>
            <w:pPr>
              <w:spacing w:after="0"/>
              <w:rPr>
                <w:sz w:val="17"/>
                <w:szCs w:val="17"/>
                <w:color w:val="auto"/>
              </w:rPr>
            </w:pPr>
          </w:p>
        </w:tc>
      </w:tr>
      <w:tr>
        <w:trPr>
          <w:trHeight w:val="20"/>
        </w:trPr>
        <w:tc>
          <w:tcPr>
            <w:tcW w:w="65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80" w:firstLine="735"/>
        <w:spacing w:after="0" w:line="237" w:lineRule="auto"/>
        <w:rPr>
          <w:sz w:val="20"/>
          <w:szCs w:val="20"/>
          <w:color w:val="auto"/>
        </w:rPr>
      </w:pPr>
      <w:r>
        <w:rPr>
          <w:rFonts w:ascii="Arial" w:cs="Arial" w:eastAsia="Arial" w:hAnsi="Arial"/>
          <w:sz w:val="17"/>
          <w:szCs w:val="17"/>
          <w:color w:val="auto"/>
        </w:rPr>
        <w:t>The change in new awards from year to year is primarily due to ordinary course fluctuations in our business. The volume of contract awards can fluctuate in any given period due to win rate and the timing and size of the awards issued by our customers. In Federals Solutions, large awards in 2021 and 2019 were the primary driver of changes in awards between 2021, 2020 and 2019. Awards in Critical infrastructure were lower in 2019 due to potential awards being pushed out to 2020.</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Backlog</w:t>
      </w:r>
    </w:p>
    <w:p>
      <w:pPr>
        <w:spacing w:after="0" w:line="11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We define backlog to include the following two components:</w:t>
      </w:r>
    </w:p>
    <w:p>
      <w:pPr>
        <w:spacing w:after="0" w:line="96" w:lineRule="exact"/>
        <w:rPr>
          <w:sz w:val="20"/>
          <w:szCs w:val="20"/>
          <w:color w:val="auto"/>
        </w:rPr>
      </w:pPr>
    </w:p>
    <w:p>
      <w:pPr>
        <w:ind w:left="1020" w:right="100" w:hanging="296"/>
        <w:spacing w:after="0" w:line="242" w:lineRule="auto"/>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Funded—Funded backlog represents the revenue value of orders for services under existing contracts for which funding is appropriated or otherwise authorized less revenue previously recognized on these contracts.</w:t>
      </w:r>
    </w:p>
    <w:p>
      <w:pPr>
        <w:spacing w:after="0" w:line="87" w:lineRule="exact"/>
        <w:rPr>
          <w:rFonts w:ascii="Arial" w:cs="Arial" w:eastAsia="Arial" w:hAnsi="Arial"/>
          <w:sz w:val="17"/>
          <w:szCs w:val="17"/>
          <w:color w:val="auto"/>
        </w:rPr>
      </w:pPr>
    </w:p>
    <w:p>
      <w:pPr>
        <w:ind w:left="1020" w:right="340" w:hanging="296"/>
        <w:spacing w:after="0" w:line="242" w:lineRule="auto"/>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Unfunded—Unfunded backlog represents the revenue value of orders for services under existing contracts for which funding has not been appropriated or otherwise authorized less revenue previously recognized on these contracts.</w:t>
      </w:r>
    </w:p>
    <w:p>
      <w:pPr>
        <w:spacing w:after="0" w:line="189" w:lineRule="exact"/>
        <w:rPr>
          <w:sz w:val="20"/>
          <w:szCs w:val="20"/>
          <w:color w:val="auto"/>
        </w:rPr>
      </w:pPr>
    </w:p>
    <w:p>
      <w:pPr>
        <w:ind w:right="240" w:firstLine="735"/>
        <w:spacing w:after="0" w:line="242" w:lineRule="auto"/>
        <w:rPr>
          <w:sz w:val="20"/>
          <w:szCs w:val="20"/>
          <w:color w:val="auto"/>
        </w:rPr>
      </w:pPr>
      <w:r>
        <w:rPr>
          <w:rFonts w:ascii="Arial" w:cs="Arial" w:eastAsia="Arial" w:hAnsi="Arial"/>
          <w:sz w:val="17"/>
          <w:szCs w:val="17"/>
          <w:color w:val="auto"/>
        </w:rPr>
        <w:t>Backlog includes (i) unissued task orders and unexercised option years, to the extent their issuance or exercise is probable, as well as (ii) contract awards, to the extent we believe contract execution and funding is probable.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626" w:right="339" w:bottom="1440" w:gutter="0" w:footer="0" w:header="0"/>
        </w:sectPr>
      </w:pPr>
    </w:p>
    <w:bookmarkStart w:id="61" w:name="page62"/>
    <w:bookmarkEnd w:id="61"/>
    <w:p>
      <w:pPr>
        <w:ind w:left="740"/>
        <w:spacing w:after="0"/>
        <w:rPr>
          <w:sz w:val="20"/>
          <w:szCs w:val="20"/>
          <w:color w:val="auto"/>
        </w:rPr>
      </w:pPr>
      <w:r>
        <w:rPr>
          <w:rFonts w:ascii="Arial" w:cs="Arial" w:eastAsia="Arial" w:hAnsi="Arial"/>
          <w:sz w:val="17"/>
          <w:szCs w:val="17"/>
          <w:color w:val="auto"/>
        </w:rPr>
        <w:t>The following table summarizes the value of our backlog at the respective dates presented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5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w w:val="97"/>
              </w:rPr>
              <w:t>As of</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6540" w:type="dxa"/>
            <w:vAlign w:val="bottom"/>
          </w:tcPr>
          <w:p>
            <w:pPr>
              <w:spacing w:after="0"/>
              <w:rPr>
                <w:sz w:val="13"/>
                <w:szCs w:val="13"/>
                <w:color w:val="auto"/>
              </w:rPr>
            </w:pPr>
          </w:p>
        </w:tc>
        <w:tc>
          <w:tcPr>
            <w:tcW w:w="1360" w:type="dxa"/>
            <w:vAlign w:val="bottom"/>
            <w:gridSpan w:val="2"/>
          </w:tcPr>
          <w:p>
            <w:pPr>
              <w:jc w:val="right"/>
              <w:spacing w:after="0" w:line="157" w:lineRule="exact"/>
              <w:rPr>
                <w:sz w:val="20"/>
                <w:szCs w:val="20"/>
                <w:color w:val="auto"/>
              </w:rPr>
            </w:pPr>
            <w:r>
              <w:rPr>
                <w:rFonts w:ascii="Arial" w:cs="Arial" w:eastAsia="Arial" w:hAnsi="Arial"/>
                <w:sz w:val="14"/>
                <w:szCs w:val="14"/>
                <w:b w:val="1"/>
                <w:bCs w:val="1"/>
                <w:color w:val="auto"/>
                <w:w w:val="99"/>
              </w:rPr>
              <w:t>December 31, 2021</w:t>
            </w:r>
          </w:p>
        </w:tc>
        <w:tc>
          <w:tcPr>
            <w:tcW w:w="260" w:type="dxa"/>
            <w:vAlign w:val="bottom"/>
          </w:tcPr>
          <w:p>
            <w:pPr>
              <w:spacing w:after="0"/>
              <w:rPr>
                <w:sz w:val="13"/>
                <w:szCs w:val="13"/>
                <w:color w:val="auto"/>
              </w:rPr>
            </w:pPr>
          </w:p>
        </w:tc>
        <w:tc>
          <w:tcPr>
            <w:tcW w:w="1620" w:type="dxa"/>
            <w:vAlign w:val="bottom"/>
            <w:gridSpan w:val="3"/>
          </w:tcPr>
          <w:p>
            <w:pPr>
              <w:jc w:val="center"/>
              <w:ind w:right="280"/>
              <w:spacing w:after="0" w:line="157" w:lineRule="exact"/>
              <w:rPr>
                <w:sz w:val="20"/>
                <w:szCs w:val="20"/>
                <w:color w:val="auto"/>
              </w:rPr>
            </w:pPr>
            <w:r>
              <w:rPr>
                <w:rFonts w:ascii="Arial" w:cs="Arial" w:eastAsia="Arial" w:hAnsi="Arial"/>
                <w:sz w:val="14"/>
                <w:szCs w:val="14"/>
                <w:b w:val="1"/>
                <w:bCs w:val="1"/>
                <w:color w:val="auto"/>
                <w:w w:val="96"/>
              </w:rPr>
              <w:t>December 31, 2020</w:t>
            </w:r>
          </w:p>
        </w:tc>
        <w:tc>
          <w:tcPr>
            <w:tcW w:w="1460" w:type="dxa"/>
            <w:vAlign w:val="bottom"/>
            <w:gridSpan w:val="3"/>
          </w:tcPr>
          <w:p>
            <w:pPr>
              <w:ind w:left="60"/>
              <w:spacing w:after="0" w:line="157" w:lineRule="exact"/>
              <w:rPr>
                <w:sz w:val="20"/>
                <w:szCs w:val="20"/>
                <w:color w:val="auto"/>
              </w:rPr>
            </w:pPr>
            <w:r>
              <w:rPr>
                <w:rFonts w:ascii="Arial" w:cs="Arial" w:eastAsia="Arial" w:hAnsi="Arial"/>
                <w:sz w:val="14"/>
                <w:szCs w:val="14"/>
                <w:b w:val="1"/>
                <w:bCs w:val="1"/>
                <w:color w:val="auto"/>
              </w:rPr>
              <w:t>December 31, 2019</w:t>
            </w:r>
          </w:p>
        </w:tc>
      </w:tr>
      <w:tr>
        <w:trPr>
          <w:trHeight w:val="196"/>
        </w:trPr>
        <w:tc>
          <w:tcPr>
            <w:tcW w:w="6540" w:type="dxa"/>
            <w:vAlign w:val="bottom"/>
          </w:tcPr>
          <w:p>
            <w:pPr>
              <w:spacing w:after="0"/>
              <w:rPr>
                <w:sz w:val="20"/>
                <w:szCs w:val="20"/>
                <w:color w:val="auto"/>
              </w:rPr>
            </w:pPr>
            <w:r>
              <w:rPr>
                <w:rFonts w:ascii="Arial" w:cs="Arial" w:eastAsia="Arial" w:hAnsi="Arial"/>
                <w:sz w:val="17"/>
                <w:szCs w:val="17"/>
                <w:color w:val="auto"/>
              </w:rPr>
              <w:t>Federal Solutions:</w:t>
            </w:r>
          </w:p>
        </w:tc>
        <w:tc>
          <w:tcPr>
            <w:tcW w:w="3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Funded</w:t>
            </w:r>
          </w:p>
        </w:tc>
        <w:tc>
          <w:tcPr>
            <w:tcW w:w="340" w:type="dxa"/>
            <w:vAlign w:val="bottom"/>
            <w:shd w:val="clear" w:color="auto" w:fill="CFF0FC"/>
          </w:tcPr>
          <w:p>
            <w:pPr>
              <w:jc w:val="right"/>
              <w:ind w:right="161"/>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1,414,985</w:t>
            </w:r>
          </w:p>
        </w:tc>
        <w:tc>
          <w:tcPr>
            <w:tcW w:w="560" w:type="dxa"/>
            <w:vAlign w:val="bottom"/>
            <w:gridSpan w:val="2"/>
            <w:shd w:val="clear" w:color="auto" w:fill="CFF0FC"/>
          </w:tcPr>
          <w:p>
            <w:pPr>
              <w:jc w:val="right"/>
              <w:ind w:right="152"/>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1,176,049</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61"/>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1,153,041</w:t>
            </w: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Unfunded</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3,906,678</w:t>
            </w:r>
          </w:p>
        </w:tc>
        <w:tc>
          <w:tcPr>
            <w:tcW w:w="2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4,009,156</w:t>
            </w:r>
          </w:p>
        </w:tc>
        <w:tc>
          <w:tcPr>
            <w:tcW w:w="26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3,882,289</w:t>
            </w:r>
          </w:p>
        </w:tc>
        <w:tc>
          <w:tcPr>
            <w:tcW w:w="100" w:type="dxa"/>
            <w:vAlign w:val="bottom"/>
            <w:tcBorders>
              <w:bottom w:val="single" w:sz="8" w:color="CFF0FC"/>
            </w:tcBorders>
          </w:tcPr>
          <w:p>
            <w:pPr>
              <w:spacing w:after="0"/>
              <w:rPr>
                <w:sz w:val="17"/>
                <w:szCs w:val="17"/>
                <w:color w:val="auto"/>
              </w:rPr>
            </w:pPr>
          </w:p>
        </w:tc>
      </w:tr>
      <w:tr>
        <w:trPr>
          <w:trHeight w:val="196"/>
        </w:trPr>
        <w:tc>
          <w:tcPr>
            <w:tcW w:w="6540" w:type="dxa"/>
            <w:vAlign w:val="bottom"/>
            <w:shd w:val="clear" w:color="auto" w:fill="CFF0FC"/>
          </w:tcPr>
          <w:p>
            <w:pPr>
              <w:spacing w:after="0"/>
              <w:rPr>
                <w:sz w:val="20"/>
                <w:szCs w:val="20"/>
                <w:color w:val="auto"/>
              </w:rPr>
            </w:pPr>
            <w:r>
              <w:rPr>
                <w:rFonts w:ascii="Arial" w:cs="Arial" w:eastAsia="Arial" w:hAnsi="Arial"/>
                <w:sz w:val="17"/>
                <w:szCs w:val="17"/>
                <w:color w:val="auto"/>
              </w:rPr>
              <w:t>Total Federal Solutions</w:t>
            </w:r>
          </w:p>
        </w:tc>
        <w:tc>
          <w:tcPr>
            <w:tcW w:w="3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5,321,663</w:t>
            </w:r>
          </w:p>
        </w:tc>
        <w:tc>
          <w:tcPr>
            <w:tcW w:w="2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5,185,205</w:t>
            </w:r>
          </w:p>
        </w:tc>
        <w:tc>
          <w:tcPr>
            <w:tcW w:w="26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5,035,330</w:t>
            </w:r>
          </w:p>
        </w:tc>
        <w:tc>
          <w:tcPr>
            <w:tcW w:w="100" w:type="dxa"/>
            <w:vAlign w:val="bottom"/>
            <w:shd w:val="clear" w:color="auto" w:fill="CFF0FC"/>
          </w:tcPr>
          <w:p>
            <w:pPr>
              <w:spacing w:after="0"/>
              <w:rPr>
                <w:sz w:val="17"/>
                <w:szCs w:val="17"/>
                <w:color w:val="auto"/>
              </w:rPr>
            </w:pPr>
          </w:p>
        </w:tc>
      </w:tr>
      <w:tr>
        <w:trPr>
          <w:trHeight w:val="196"/>
        </w:trPr>
        <w:tc>
          <w:tcPr>
            <w:tcW w:w="6540" w:type="dxa"/>
            <w:vAlign w:val="bottom"/>
          </w:tcPr>
          <w:p>
            <w:pPr>
              <w:spacing w:after="0"/>
              <w:rPr>
                <w:sz w:val="20"/>
                <w:szCs w:val="20"/>
                <w:color w:val="auto"/>
              </w:rPr>
            </w:pPr>
            <w:r>
              <w:rPr>
                <w:rFonts w:ascii="Arial" w:cs="Arial" w:eastAsia="Arial" w:hAnsi="Arial"/>
                <w:sz w:val="17"/>
                <w:szCs w:val="17"/>
                <w:color w:val="auto"/>
              </w:rPr>
              <w:t>Critical Infrastructure:</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Funded</w:t>
            </w: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2,957,968</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2,830,318</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2,954,955</w:t>
            </w: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Unfunded</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67,306</w:t>
            </w:r>
          </w:p>
        </w:tc>
        <w:tc>
          <w:tcPr>
            <w:tcW w:w="2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77,735</w:t>
            </w:r>
          </w:p>
        </w:tc>
        <w:tc>
          <w:tcPr>
            <w:tcW w:w="26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40,800</w:t>
            </w:r>
          </w:p>
        </w:tc>
        <w:tc>
          <w:tcPr>
            <w:tcW w:w="100" w:type="dxa"/>
            <w:vAlign w:val="bottom"/>
            <w:tcBorders>
              <w:bottom w:val="single" w:sz="8" w:color="CFF0FC"/>
            </w:tcBorders>
          </w:tcPr>
          <w:p>
            <w:pPr>
              <w:spacing w:after="0"/>
              <w:rPr>
                <w:sz w:val="17"/>
                <w:szCs w:val="17"/>
                <w:color w:val="auto"/>
              </w:rPr>
            </w:pPr>
          </w:p>
        </w:tc>
      </w:tr>
      <w:tr>
        <w:trPr>
          <w:trHeight w:val="196"/>
        </w:trPr>
        <w:tc>
          <w:tcPr>
            <w:tcW w:w="6540" w:type="dxa"/>
            <w:vAlign w:val="bottom"/>
            <w:shd w:val="clear" w:color="auto" w:fill="CFF0FC"/>
          </w:tcPr>
          <w:p>
            <w:pPr>
              <w:spacing w:after="0"/>
              <w:rPr>
                <w:sz w:val="20"/>
                <w:szCs w:val="20"/>
                <w:color w:val="auto"/>
              </w:rPr>
            </w:pPr>
            <w:r>
              <w:rPr>
                <w:rFonts w:ascii="Arial" w:cs="Arial" w:eastAsia="Arial" w:hAnsi="Arial"/>
                <w:sz w:val="17"/>
                <w:szCs w:val="17"/>
                <w:color w:val="auto"/>
              </w:rPr>
              <w:t>Total Critical Infrastructure</w:t>
            </w:r>
          </w:p>
        </w:tc>
        <w:tc>
          <w:tcPr>
            <w:tcW w:w="3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3,025,274</w:t>
            </w:r>
          </w:p>
        </w:tc>
        <w:tc>
          <w:tcPr>
            <w:tcW w:w="2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2,908,053</w:t>
            </w:r>
          </w:p>
        </w:tc>
        <w:tc>
          <w:tcPr>
            <w:tcW w:w="26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2,995,755</w:t>
            </w:r>
          </w:p>
        </w:tc>
        <w:tc>
          <w:tcPr>
            <w:tcW w:w="100" w:type="dxa"/>
            <w:vAlign w:val="bottom"/>
            <w:shd w:val="clear" w:color="auto" w:fill="CFF0FC"/>
          </w:tcPr>
          <w:p>
            <w:pPr>
              <w:spacing w:after="0"/>
              <w:rPr>
                <w:sz w:val="17"/>
                <w:szCs w:val="17"/>
                <w:color w:val="auto"/>
              </w:rPr>
            </w:pPr>
          </w:p>
        </w:tc>
      </w:tr>
      <w:tr>
        <w:trPr>
          <w:trHeight w:val="196"/>
        </w:trPr>
        <w:tc>
          <w:tcPr>
            <w:tcW w:w="6540" w:type="dxa"/>
            <w:vAlign w:val="bottom"/>
          </w:tcPr>
          <w:p>
            <w:pPr>
              <w:spacing w:after="0"/>
              <w:rPr>
                <w:sz w:val="20"/>
                <w:szCs w:val="20"/>
                <w:color w:val="auto"/>
              </w:rPr>
            </w:pPr>
            <w:r>
              <w:rPr>
                <w:rFonts w:ascii="Arial" w:cs="Arial" w:eastAsia="Arial" w:hAnsi="Arial"/>
                <w:sz w:val="17"/>
                <w:szCs w:val="17"/>
                <w:color w:val="auto"/>
              </w:rPr>
              <w:t>Total Backlog (1)</w:t>
            </w:r>
          </w:p>
        </w:tc>
        <w:tc>
          <w:tcPr>
            <w:tcW w:w="340" w:type="dxa"/>
            <w:vAlign w:val="bottom"/>
          </w:tcPr>
          <w:p>
            <w:pPr>
              <w:jc w:val="right"/>
              <w:ind w:right="161"/>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8,346,937</w:t>
            </w:r>
          </w:p>
        </w:tc>
        <w:tc>
          <w:tcPr>
            <w:tcW w:w="560" w:type="dxa"/>
            <w:vAlign w:val="bottom"/>
            <w:gridSpan w:val="2"/>
          </w:tcPr>
          <w:p>
            <w:pPr>
              <w:jc w:val="right"/>
              <w:ind w:right="152"/>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8,093,258</w:t>
            </w:r>
          </w:p>
        </w:tc>
        <w:tc>
          <w:tcPr>
            <w:tcW w:w="26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8,031,085</w:t>
            </w:r>
          </w:p>
        </w:tc>
        <w:tc>
          <w:tcPr>
            <w:tcW w:w="100" w:type="dxa"/>
            <w:vAlign w:val="bottom"/>
          </w:tcPr>
          <w:p>
            <w:pPr>
              <w:spacing w:after="0"/>
              <w:rPr>
                <w:sz w:val="17"/>
                <w:szCs w:val="17"/>
                <w:color w:val="auto"/>
              </w:rPr>
            </w:pPr>
          </w:p>
        </w:tc>
      </w:tr>
      <w:tr>
        <w:trPr>
          <w:trHeight w:val="20"/>
        </w:trPr>
        <w:tc>
          <w:tcPr>
            <w:tcW w:w="6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 w:lineRule="exact"/>
        <w:rPr>
          <w:sz w:val="20"/>
          <w:szCs w:val="20"/>
          <w:color w:val="auto"/>
        </w:rPr>
      </w:pPr>
    </w:p>
    <w:p>
      <w:pPr>
        <w:ind w:left="740" w:right="320" w:hanging="739"/>
        <w:spacing w:after="0" w:line="238" w:lineRule="auto"/>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Difference between our backlog of $8.3 billion and our RUPO of $5.8 billion, each as of December 31, 2021, is due to (i) unissued task orders and unexercised option years, to the extent their issuance or exercise is probable, as well as (ii) contract awards, to the extent we believe contract execution and funding is probable.</w:t>
      </w:r>
    </w:p>
    <w:p>
      <w:pPr>
        <w:spacing w:after="0" w:line="192" w:lineRule="exact"/>
        <w:rPr>
          <w:sz w:val="20"/>
          <w:szCs w:val="20"/>
          <w:color w:val="auto"/>
        </w:rPr>
      </w:pPr>
    </w:p>
    <w:p>
      <w:pPr>
        <w:ind w:right="100" w:firstLine="735"/>
        <w:spacing w:after="0" w:line="236" w:lineRule="auto"/>
        <w:rPr>
          <w:sz w:val="20"/>
          <w:szCs w:val="20"/>
          <w:color w:val="auto"/>
        </w:rPr>
      </w:pPr>
      <w:r>
        <w:rPr>
          <w:rFonts w:ascii="Arial" w:cs="Arial" w:eastAsia="Arial" w:hAnsi="Arial"/>
          <w:sz w:val="17"/>
          <w:szCs w:val="17"/>
          <w:color w:val="auto"/>
        </w:rPr>
        <w:t>Our backlog includes orders under contracts that in some cases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 of the work to be performed under the contracts may remain unfunded unless and until the U.S. Congress makes subsequent appropriations and the procuring agency allocates funding to the contract.</w:t>
      </w:r>
    </w:p>
    <w:p>
      <w:pPr>
        <w:spacing w:after="0" w:line="193" w:lineRule="exact"/>
        <w:rPr>
          <w:sz w:val="20"/>
          <w:szCs w:val="20"/>
          <w:color w:val="auto"/>
        </w:rPr>
      </w:pPr>
    </w:p>
    <w:p>
      <w:pPr>
        <w:ind w:right="120" w:firstLine="735"/>
        <w:spacing w:after="0" w:line="236" w:lineRule="auto"/>
        <w:rPr>
          <w:sz w:val="20"/>
          <w:szCs w:val="20"/>
          <w:color w:val="auto"/>
        </w:rPr>
      </w:pPr>
      <w:r>
        <w:rPr>
          <w:rFonts w:ascii="Arial" w:cs="Arial" w:eastAsia="Arial" w:hAnsi="Arial"/>
          <w:sz w:val="17"/>
          <w:szCs w:val="17"/>
          <w:color w:val="auto"/>
        </w:rPr>
        <w:t>We expect to recognize $2.9 billion of our funded backlog at December 31, 2021 as revenues in the following twelve months. However, our U.S. federal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 See “Risk Factors—Risks Relating to Our Business—We may not realize the full value of our backlog, which may result in lower than expected revenue.”</w:t>
      </w:r>
    </w:p>
    <w:p>
      <w:pPr>
        <w:spacing w:after="0" w:line="193" w:lineRule="exact"/>
        <w:rPr>
          <w:sz w:val="20"/>
          <w:szCs w:val="20"/>
          <w:color w:val="auto"/>
        </w:rPr>
      </w:pPr>
    </w:p>
    <w:p>
      <w:pPr>
        <w:ind w:right="120" w:firstLine="735"/>
        <w:spacing w:after="0" w:line="236" w:lineRule="auto"/>
        <w:rPr>
          <w:sz w:val="20"/>
          <w:szCs w:val="20"/>
          <w:color w:val="auto"/>
        </w:rPr>
      </w:pPr>
      <w:r>
        <w:rPr>
          <w:rFonts w:ascii="Arial" w:cs="Arial" w:eastAsia="Arial" w:hAnsi="Arial"/>
          <w:sz w:val="17"/>
          <w:szCs w:val="17"/>
          <w:color w:val="auto"/>
        </w:rPr>
        <w:t>The changes in backlog in our Federal Solutions segment between 2020 and 2021 included contributions of $0.1 billion from business acquisitions. The change in backlog in our Critical Infrastructure segment between 2020 and 2021 was primarily from ordinary course fluctuations in our business and the impacts related to awards discussed above. The changes in backlog in our Federal Solutions segment between 2019 and 2020 included contributions of $0.2 billion from business acquisitions. Backlog in our Critical Infrastructure segment, in 2019, was impacted primarily by a number of potential awards being pushed out to 2020. Our backlog will fluctuate in any given period based on the volume of awards issued and the rate of revenue generated from our existing contracts.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i w:val="1"/>
          <w:iCs w:val="1"/>
          <w:color w:val="auto"/>
        </w:rPr>
        <w:t>Book-to-Bill</w:t>
      </w:r>
    </w:p>
    <w:p>
      <w:pPr>
        <w:spacing w:after="0" w:line="116" w:lineRule="exact"/>
        <w:rPr>
          <w:sz w:val="20"/>
          <w:szCs w:val="20"/>
          <w:color w:val="auto"/>
        </w:rPr>
      </w:pPr>
    </w:p>
    <w:p>
      <w:pPr>
        <w:ind w:right="20" w:firstLine="735"/>
        <w:spacing w:after="0" w:line="236" w:lineRule="auto"/>
        <w:rPr>
          <w:sz w:val="20"/>
          <w:szCs w:val="20"/>
          <w:color w:val="auto"/>
        </w:rPr>
      </w:pPr>
      <w:r>
        <w:rPr>
          <w:rFonts w:ascii="Arial" w:cs="Arial" w:eastAsia="Arial" w:hAnsi="Arial"/>
          <w:sz w:val="17"/>
          <w:szCs w:val="17"/>
          <w:color w:val="auto"/>
        </w:rPr>
        <w:t>Book-to-bill is the ratio of total awards to total revenue recorded in the same period. Our management believes our book-to-bill ratio is a useful indicator of our potential future revenue growth in that it measures the rate at which we are generating new awards compared to the Company’s current revenue. To drive future revenue growth, our goal is for the level of awards in a given period to exceed the revenue booked. A book-to-bill ratio greater than 1.0 indicates that awards generated in a given period exceeded the revenue recognized in the same period, while a book-to-bill ratio of less than 1.0 indicates that awards generated in such period were less than the revenue recognized in such period. The following table sets forth the book-to-bill ratio for the periods presented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56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Fiscal Year Ended</w:t>
            </w: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8"/>
        </w:trPr>
        <w:tc>
          <w:tcPr>
            <w:tcW w:w="6560" w:type="dxa"/>
            <w:vAlign w:val="bottom"/>
          </w:tcPr>
          <w:p>
            <w:pPr>
              <w:spacing w:after="0"/>
              <w:rPr>
                <w:sz w:val="18"/>
                <w:szCs w:val="18"/>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2021</w:t>
            </w: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December 31, 2020</w:t>
            </w: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2019</w:t>
            </w:r>
          </w:p>
        </w:tc>
      </w:tr>
      <w:tr>
        <w:trPr>
          <w:trHeight w:val="196"/>
        </w:trPr>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Federal Solutions</w:t>
            </w:r>
          </w:p>
        </w:tc>
        <w:tc>
          <w:tcPr>
            <w:tcW w:w="1360" w:type="dxa"/>
            <w:vAlign w:val="bottom"/>
            <w:tcBorders>
              <w:top w:val="single" w:sz="8" w:color="auto"/>
            </w:tcBorders>
            <w:shd w:val="clear" w:color="auto" w:fill="CFF0FC"/>
          </w:tcPr>
          <w:p>
            <w:pPr>
              <w:jc w:val="right"/>
              <w:ind w:right="440"/>
              <w:spacing w:after="0"/>
              <w:rPr>
                <w:sz w:val="20"/>
                <w:szCs w:val="20"/>
                <w:color w:val="auto"/>
              </w:rPr>
            </w:pPr>
            <w:r>
              <w:rPr>
                <w:rFonts w:ascii="Arial" w:cs="Arial" w:eastAsia="Arial" w:hAnsi="Arial"/>
                <w:sz w:val="17"/>
                <w:szCs w:val="17"/>
                <w:color w:val="auto"/>
              </w:rPr>
              <w:t>1.3</w:t>
            </w:r>
          </w:p>
        </w:tc>
        <w:tc>
          <w:tcPr>
            <w:tcW w:w="260" w:type="dxa"/>
            <w:vAlign w:val="bottom"/>
            <w:tcBorders>
              <w:top w:val="single" w:sz="8" w:color="CFF0FC"/>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ind w:right="442"/>
              <w:spacing w:after="0"/>
              <w:rPr>
                <w:sz w:val="20"/>
                <w:szCs w:val="20"/>
                <w:color w:val="auto"/>
              </w:rPr>
            </w:pPr>
            <w:r>
              <w:rPr>
                <w:rFonts w:ascii="Arial" w:cs="Arial" w:eastAsia="Arial" w:hAnsi="Arial"/>
                <w:sz w:val="17"/>
                <w:szCs w:val="17"/>
                <w:color w:val="auto"/>
              </w:rPr>
              <w:t>1.1</w:t>
            </w:r>
          </w:p>
        </w:tc>
        <w:tc>
          <w:tcPr>
            <w:tcW w:w="240" w:type="dxa"/>
            <w:vAlign w:val="bottom"/>
            <w:tcBorders>
              <w:top w:val="single" w:sz="8" w:color="CFF0FC"/>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ind w:right="440"/>
              <w:spacing w:after="0"/>
              <w:rPr>
                <w:sz w:val="20"/>
                <w:szCs w:val="20"/>
                <w:color w:val="auto"/>
              </w:rPr>
            </w:pPr>
            <w:r>
              <w:rPr>
                <w:rFonts w:ascii="Arial" w:cs="Arial" w:eastAsia="Arial" w:hAnsi="Arial"/>
                <w:sz w:val="17"/>
                <w:szCs w:val="17"/>
                <w:color w:val="auto"/>
              </w:rPr>
              <w:t>1.3</w:t>
            </w: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6560" w:type="dxa"/>
            <w:vAlign w:val="bottom"/>
          </w:tcPr>
          <w:p>
            <w:pPr>
              <w:spacing w:after="0"/>
              <w:rPr>
                <w:sz w:val="20"/>
                <w:szCs w:val="20"/>
                <w:color w:val="auto"/>
              </w:rPr>
            </w:pPr>
            <w:r>
              <w:rPr>
                <w:rFonts w:ascii="Arial" w:cs="Arial" w:eastAsia="Arial" w:hAnsi="Arial"/>
                <w:sz w:val="17"/>
                <w:szCs w:val="17"/>
                <w:color w:val="auto"/>
              </w:rPr>
              <w:t>Critical Infrastructure</w:t>
            </w:r>
          </w:p>
        </w:tc>
        <w:tc>
          <w:tcPr>
            <w:tcW w:w="1360" w:type="dxa"/>
            <w:vAlign w:val="bottom"/>
          </w:tcPr>
          <w:p>
            <w:pPr>
              <w:jc w:val="right"/>
              <w:ind w:right="440"/>
              <w:spacing w:after="0"/>
              <w:rPr>
                <w:sz w:val="20"/>
                <w:szCs w:val="20"/>
                <w:color w:val="auto"/>
              </w:rPr>
            </w:pPr>
            <w:r>
              <w:rPr>
                <w:rFonts w:ascii="Arial" w:cs="Arial" w:eastAsia="Arial" w:hAnsi="Arial"/>
                <w:sz w:val="17"/>
                <w:szCs w:val="17"/>
                <w:color w:val="auto"/>
              </w:rPr>
              <w:t>1.2</w:t>
            </w:r>
          </w:p>
        </w:tc>
        <w:tc>
          <w:tcPr>
            <w:tcW w:w="260" w:type="dxa"/>
            <w:vAlign w:val="bottom"/>
          </w:tcPr>
          <w:p>
            <w:pPr>
              <w:spacing w:after="0"/>
              <w:rPr>
                <w:sz w:val="17"/>
                <w:szCs w:val="17"/>
                <w:color w:val="auto"/>
              </w:rPr>
            </w:pPr>
          </w:p>
        </w:tc>
        <w:tc>
          <w:tcPr>
            <w:tcW w:w="1360" w:type="dxa"/>
            <w:vAlign w:val="bottom"/>
          </w:tcPr>
          <w:p>
            <w:pPr>
              <w:jc w:val="right"/>
              <w:ind w:right="442"/>
              <w:spacing w:after="0"/>
              <w:rPr>
                <w:sz w:val="20"/>
                <w:szCs w:val="20"/>
                <w:color w:val="auto"/>
              </w:rPr>
            </w:pPr>
            <w:r>
              <w:rPr>
                <w:rFonts w:ascii="Arial" w:cs="Arial" w:eastAsia="Arial" w:hAnsi="Arial"/>
                <w:sz w:val="17"/>
                <w:szCs w:val="17"/>
                <w:color w:val="auto"/>
              </w:rPr>
              <w:t>1.0</w:t>
            </w:r>
          </w:p>
        </w:tc>
        <w:tc>
          <w:tcPr>
            <w:tcW w:w="240" w:type="dxa"/>
            <w:vAlign w:val="bottom"/>
          </w:tcPr>
          <w:p>
            <w:pPr>
              <w:spacing w:after="0"/>
              <w:rPr>
                <w:sz w:val="17"/>
                <w:szCs w:val="17"/>
                <w:color w:val="auto"/>
              </w:rPr>
            </w:pPr>
          </w:p>
        </w:tc>
        <w:tc>
          <w:tcPr>
            <w:tcW w:w="1360" w:type="dxa"/>
            <w:vAlign w:val="bottom"/>
          </w:tcPr>
          <w:p>
            <w:pPr>
              <w:jc w:val="right"/>
              <w:ind w:right="440"/>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7"/>
                <w:szCs w:val="17"/>
                <w:color w:val="auto"/>
              </w:rPr>
            </w:pPr>
          </w:p>
        </w:tc>
      </w:tr>
      <w:tr>
        <w:trPr>
          <w:trHeight w:val="203"/>
        </w:trPr>
        <w:tc>
          <w:tcPr>
            <w:tcW w:w="6560" w:type="dxa"/>
            <w:vAlign w:val="bottom"/>
            <w:shd w:val="clear" w:color="auto" w:fill="CFF0FC"/>
          </w:tcPr>
          <w:p>
            <w:pPr>
              <w:spacing w:after="0"/>
              <w:rPr>
                <w:sz w:val="20"/>
                <w:szCs w:val="20"/>
                <w:color w:val="auto"/>
              </w:rPr>
            </w:pPr>
            <w:r>
              <w:rPr>
                <w:rFonts w:ascii="Arial" w:cs="Arial" w:eastAsia="Arial" w:hAnsi="Arial"/>
                <w:sz w:val="17"/>
                <w:szCs w:val="17"/>
                <w:color w:val="auto"/>
              </w:rPr>
              <w:t>Overall</w:t>
            </w:r>
          </w:p>
        </w:tc>
        <w:tc>
          <w:tcPr>
            <w:tcW w:w="1360" w:type="dxa"/>
            <w:vAlign w:val="bottom"/>
            <w:shd w:val="clear" w:color="auto" w:fill="CFF0FC"/>
          </w:tcPr>
          <w:p>
            <w:pPr>
              <w:jc w:val="right"/>
              <w:ind w:right="440"/>
              <w:spacing w:after="0"/>
              <w:rPr>
                <w:sz w:val="20"/>
                <w:szCs w:val="20"/>
                <w:color w:val="auto"/>
              </w:rPr>
            </w:pPr>
            <w:r>
              <w:rPr>
                <w:rFonts w:ascii="Arial" w:cs="Arial" w:eastAsia="Arial" w:hAnsi="Arial"/>
                <w:sz w:val="17"/>
                <w:szCs w:val="17"/>
                <w:color w:val="auto"/>
              </w:rPr>
              <w:t>1.2</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442"/>
              <w:spacing w:after="0"/>
              <w:rPr>
                <w:sz w:val="20"/>
                <w:szCs w:val="20"/>
                <w:color w:val="auto"/>
              </w:rPr>
            </w:pPr>
            <w:r>
              <w:rPr>
                <w:rFonts w:ascii="Arial" w:cs="Arial" w:eastAsia="Arial" w:hAnsi="Arial"/>
                <w:sz w:val="17"/>
                <w:szCs w:val="17"/>
                <w:color w:val="auto"/>
              </w:rPr>
              <w:t>1.1</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440"/>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FF0FC"/>
          </w:tcPr>
          <w:p>
            <w:pPr>
              <w:spacing w:after="0"/>
              <w:rPr>
                <w:sz w:val="17"/>
                <w:szCs w:val="17"/>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Factors and Trends Affecting Our Results of Operations</w:t>
      </w:r>
    </w:p>
    <w:p>
      <w:pPr>
        <w:spacing w:after="0" w:line="218" w:lineRule="exact"/>
        <w:rPr>
          <w:sz w:val="20"/>
          <w:szCs w:val="20"/>
          <w:color w:val="auto"/>
        </w:rPr>
      </w:pPr>
    </w:p>
    <w:p>
      <w:pPr>
        <w:ind w:right="100" w:firstLine="735"/>
        <w:spacing w:after="0" w:line="260" w:lineRule="auto"/>
        <w:rPr>
          <w:sz w:val="20"/>
          <w:szCs w:val="20"/>
          <w:color w:val="auto"/>
        </w:rPr>
      </w:pPr>
      <w:r>
        <w:rPr>
          <w:rFonts w:ascii="Arial" w:cs="Arial" w:eastAsia="Arial" w:hAnsi="Arial"/>
          <w:sz w:val="16"/>
          <w:szCs w:val="16"/>
          <w:color w:val="auto"/>
        </w:rPr>
        <w:t>We believe that the financial performance of our business and our future success are dependent upon many factors, including those highlighted in this section. Our operating performance will depend upon many variables, including the success of our growth strategies and the timing and size of investments and expenditures that we choose to undertake, as well as market growth and other factors that are not within our control.</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Spending</w:t>
      </w:r>
    </w:p>
    <w:p>
      <w:pPr>
        <w:spacing w:after="0" w:line="116" w:lineRule="exact"/>
        <w:rPr>
          <w:sz w:val="20"/>
          <w:szCs w:val="20"/>
          <w:color w:val="auto"/>
        </w:rPr>
      </w:pPr>
    </w:p>
    <w:p>
      <w:pPr>
        <w:ind w:firstLine="735"/>
        <w:spacing w:after="0" w:line="235" w:lineRule="auto"/>
        <w:rPr>
          <w:sz w:val="20"/>
          <w:szCs w:val="20"/>
          <w:color w:val="auto"/>
        </w:rPr>
      </w:pPr>
      <w:r>
        <w:rPr>
          <w:rFonts w:ascii="Arial" w:cs="Arial" w:eastAsia="Arial" w:hAnsi="Arial"/>
          <w:sz w:val="17"/>
          <w:szCs w:val="17"/>
          <w:color w:val="auto"/>
        </w:rPr>
        <w:t>Changes in the relative mix of government spending and areas of spending growth, with shifts in priorities on homeland security, intelligence, defense-related programs, infrastructure and urbanization, and continued increased spending on technology and innovation, including cybersecurity, artificial intelligence, connected communities and physical infrastructure, could impact our business and results of operations. Cost-cutting and efficiency initiatives, current and future budget restrictions, spending cuts and other efforts to reduce government spending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deploy our staff to customer locations or facilities as a result of such disruptions.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 Budget Uncertainty</w:t>
      </w:r>
    </w:p>
    <w:p>
      <w:pPr>
        <w:spacing w:after="0" w:line="116" w:lineRule="exact"/>
        <w:rPr>
          <w:sz w:val="20"/>
          <w:szCs w:val="20"/>
          <w:color w:val="auto"/>
        </w:rPr>
      </w:pPr>
    </w:p>
    <w:p>
      <w:pPr>
        <w:ind w:right="20" w:firstLine="735"/>
        <w:spacing w:after="0" w:line="235" w:lineRule="auto"/>
        <w:rPr>
          <w:sz w:val="20"/>
          <w:szCs w:val="20"/>
          <w:color w:val="auto"/>
        </w:rPr>
      </w:pPr>
      <w:r>
        <w:rPr>
          <w:rFonts w:ascii="Arial" w:cs="Arial" w:eastAsia="Arial" w:hAnsi="Arial"/>
          <w:sz w:val="17"/>
          <w:szCs w:val="17"/>
          <w:color w:val="auto"/>
        </w:rPr>
        <w:t>There is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delays, or cancellations of funding for, services that we are contracted to provide to the U.S. government as a result of any of these impacts or related initiatives, legislation or otherwise could have a material adverse effect on our business and results of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626"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i w:val="1"/>
          <w:iCs w:val="1"/>
          <w:color w:val="auto"/>
        </w:rPr>
        <w:t>Regulations</w:t>
      </w:r>
    </w:p>
    <w:p>
      <w:pPr>
        <w:spacing w:after="0" w:line="116" w:lineRule="exact"/>
        <w:rPr>
          <w:sz w:val="20"/>
          <w:szCs w:val="20"/>
          <w:color w:val="auto"/>
        </w:rPr>
      </w:pPr>
    </w:p>
    <w:p>
      <w:pPr>
        <w:ind w:firstLine="735"/>
        <w:spacing w:after="0" w:line="236" w:lineRule="auto"/>
        <w:rPr>
          <w:sz w:val="20"/>
          <w:szCs w:val="20"/>
          <w:color w:val="auto"/>
        </w:rPr>
      </w:pPr>
      <w:r>
        <w:rPr>
          <w:rFonts w:ascii="Arial" w:cs="Arial" w:eastAsia="Arial" w:hAnsi="Arial"/>
          <w:sz w:val="17"/>
          <w:szCs w:val="17"/>
          <w:color w:val="auto"/>
        </w:rPr>
        <w:t>Increased audit, review, investigation and general scrutiny by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U.S. Department of Defense and the U.S. intelligence community, including those related to cybersecurity, could impact our ability to perform in the markets we serve.</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Competitive Markets</w:t>
      </w:r>
    </w:p>
    <w:p>
      <w:pPr>
        <w:spacing w:after="0" w:line="116" w:lineRule="exact"/>
        <w:rPr>
          <w:sz w:val="20"/>
          <w:szCs w:val="20"/>
          <w:color w:val="auto"/>
        </w:rPr>
      </w:pPr>
    </w:p>
    <w:p>
      <w:pPr>
        <w:ind w:right="160" w:firstLine="735"/>
        <w:spacing w:after="0" w:line="235" w:lineRule="auto"/>
        <w:rPr>
          <w:sz w:val="20"/>
          <w:szCs w:val="20"/>
          <w:color w:val="auto"/>
        </w:rPr>
      </w:pPr>
      <w:r>
        <w:rPr>
          <w:rFonts w:ascii="Arial" w:cs="Arial" w:eastAsia="Arial" w:hAnsi="Arial"/>
          <w:sz w:val="17"/>
          <w:szCs w:val="17"/>
          <w:color w:val="auto"/>
        </w:rPr>
        <w:t>The industries we operate in consist of a large number of enterprises ranging from small, niche-oriented companies to multi-billion-dollar corporations that serve many government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We believe that we are well positioned to take advantage of the markets in which we operate because of our proven track record, long-term customer relationships, technology innovation, scalable and agile business offerings and world class talent. Our ability to effectively deliver on project engagements and successfully assist our customers affects our ability to win new contracts and drives our financial performance.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Acquired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BlackHorse Solutions, Inc.</w:t>
      </w:r>
    </w:p>
    <w:p>
      <w:pPr>
        <w:spacing w:after="0" w:line="114" w:lineRule="exact"/>
        <w:rPr>
          <w:sz w:val="20"/>
          <w:szCs w:val="20"/>
          <w:color w:val="auto"/>
        </w:rPr>
      </w:pPr>
    </w:p>
    <w:p>
      <w:pPr>
        <w:ind w:right="20" w:firstLine="743"/>
        <w:spacing w:after="0" w:line="260" w:lineRule="auto"/>
        <w:rPr>
          <w:sz w:val="20"/>
          <w:szCs w:val="20"/>
          <w:color w:val="auto"/>
        </w:rPr>
      </w:pPr>
      <w:r>
        <w:rPr>
          <w:rFonts w:ascii="Arial" w:cs="Arial" w:eastAsia="Arial" w:hAnsi="Arial"/>
          <w:sz w:val="16"/>
          <w:szCs w:val="16"/>
          <w:color w:val="auto"/>
        </w:rPr>
        <w:t>On July 6, 2021, the Company acquired BlackHorse for $205.0 million. BlackHorse expands Parsons’ capabilities and products in next-generation military, intelligence, and space operations, specifically in cyber electronic warfare and information dominance. The acquisition was entirely funded by cash on-hand. The financial results of BlackHorse have been included in our consolidated results of operations from July 6, 2021 onward.</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Echo Ridge LLC</w:t>
      </w:r>
    </w:p>
    <w:p>
      <w:pPr>
        <w:spacing w:after="0" w:line="114" w:lineRule="exact"/>
        <w:rPr>
          <w:sz w:val="20"/>
          <w:szCs w:val="20"/>
          <w:color w:val="auto"/>
        </w:rPr>
      </w:pPr>
    </w:p>
    <w:p>
      <w:pPr>
        <w:ind w:right="40" w:firstLine="743"/>
        <w:spacing w:after="0" w:line="237" w:lineRule="auto"/>
        <w:rPr>
          <w:sz w:val="20"/>
          <w:szCs w:val="20"/>
          <w:color w:val="auto"/>
        </w:rPr>
      </w:pPr>
      <w:r>
        <w:rPr>
          <w:rFonts w:ascii="Arial" w:cs="Arial" w:eastAsia="Arial" w:hAnsi="Arial"/>
          <w:sz w:val="17"/>
          <w:szCs w:val="17"/>
          <w:color w:val="auto"/>
        </w:rPr>
        <w:t>On July 30, 2021, the Company acquired Echo Ridge for $9.0 million. Echo Ridge adds position, navigation, and timing devices; modeling, simulation, test, and measurement tools; and deployable software defined radio products and signal processing services to Parsons’ space portfolio. The acquisition was entirely funded by cash on-hand. The financial results of Echo Ridge have been included in our consolidated results of operations from July 30, 2021 onward.</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Braxton Science &amp; Technology Group, LLC</w:t>
      </w:r>
    </w:p>
    <w:p>
      <w:pPr>
        <w:spacing w:after="0" w:line="114" w:lineRule="exact"/>
        <w:rPr>
          <w:sz w:val="20"/>
          <w:szCs w:val="20"/>
          <w:color w:val="auto"/>
        </w:rPr>
      </w:pPr>
    </w:p>
    <w:p>
      <w:pPr>
        <w:ind w:right="80" w:firstLine="735"/>
        <w:spacing w:after="0" w:line="259" w:lineRule="auto"/>
        <w:rPr>
          <w:sz w:val="20"/>
          <w:szCs w:val="20"/>
          <w:color w:val="auto"/>
        </w:rPr>
      </w:pPr>
      <w:r>
        <w:rPr>
          <w:rFonts w:ascii="Arial" w:cs="Arial" w:eastAsia="Arial" w:hAnsi="Arial"/>
          <w:sz w:val="16"/>
          <w:szCs w:val="16"/>
          <w:color w:val="auto"/>
        </w:rPr>
        <w:t>On November 19, 2020, we acquired Braxton for $310.9 million. Braxton operates at the forefront of satellite operations, ground system automation, flight dynamics, and spacecraft and antenna simulation for the U.S. Department of Defense and Intelligence Community. The acquisition was funded by cash on-hand. The financial results of Braxton have been included in our consolidated results of operations from November 19, 2020</w:t>
      </w:r>
    </w:p>
    <w:p>
      <w:pPr>
        <w:spacing w:after="0"/>
        <w:rPr>
          <w:sz w:val="20"/>
          <w:szCs w:val="20"/>
          <w:color w:val="auto"/>
        </w:rPr>
      </w:pPr>
      <w:r>
        <w:rPr>
          <w:rFonts w:ascii="Arial" w:cs="Arial" w:eastAsia="Arial" w:hAnsi="Arial"/>
          <w:sz w:val="17"/>
          <w:szCs w:val="17"/>
          <w:color w:val="auto"/>
        </w:rPr>
        <w:t>onward.</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QRC Technologies</w:t>
      </w:r>
    </w:p>
    <w:p>
      <w:pPr>
        <w:spacing w:after="0" w:line="114" w:lineRule="exact"/>
        <w:rPr>
          <w:sz w:val="20"/>
          <w:szCs w:val="20"/>
          <w:color w:val="auto"/>
        </w:rPr>
      </w:pPr>
    </w:p>
    <w:p>
      <w:pPr>
        <w:ind w:right="20" w:firstLine="735"/>
        <w:spacing w:after="0" w:line="242" w:lineRule="auto"/>
        <w:rPr>
          <w:sz w:val="20"/>
          <w:szCs w:val="20"/>
          <w:color w:val="auto"/>
        </w:rPr>
      </w:pPr>
      <w:r>
        <w:rPr>
          <w:rFonts w:ascii="Arial" w:cs="Arial" w:eastAsia="Arial" w:hAnsi="Arial"/>
          <w:sz w:val="17"/>
          <w:szCs w:val="17"/>
          <w:color w:val="auto"/>
        </w:rPr>
        <w:t>On July 31, 2019, we acquired QRC Technologies for $214.1 million. QRC Technologies provides design and development of open-architecture radio-frequency products. The acquisition was funded by cash on-hand and borrowings under our Revolving Credit Facility. The financial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results of QRC Technologies have been included in our consolidated results of operations from July 31, 2019 onward.</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626" w:right="359" w:bottom="1440" w:gutter="0" w:footer="0" w:header="0"/>
        </w:sectPr>
      </w:pPr>
    </w:p>
    <w:bookmarkStart w:id="64" w:name="page65"/>
    <w:bookmarkEnd w:id="64"/>
    <w:p>
      <w:pPr>
        <w:spacing w:after="0"/>
        <w:rPr>
          <w:sz w:val="20"/>
          <w:szCs w:val="20"/>
          <w:color w:val="auto"/>
        </w:rPr>
      </w:pPr>
      <w:r>
        <w:rPr>
          <w:rFonts w:ascii="Arial" w:cs="Arial" w:eastAsia="Arial" w:hAnsi="Arial"/>
          <w:sz w:val="17"/>
          <w:szCs w:val="17"/>
          <w:i w:val="1"/>
          <w:iCs w:val="1"/>
          <w:color w:val="auto"/>
        </w:rPr>
        <w:t>OGSystems</w:t>
      </w:r>
    </w:p>
    <w:p>
      <w:pPr>
        <w:spacing w:after="0" w:line="114" w:lineRule="exact"/>
        <w:rPr>
          <w:sz w:val="20"/>
          <w:szCs w:val="20"/>
          <w:color w:val="auto"/>
        </w:rPr>
      </w:pPr>
    </w:p>
    <w:p>
      <w:pPr>
        <w:jc w:val="both"/>
        <w:ind w:right="80" w:firstLine="735"/>
        <w:spacing w:after="0" w:line="260" w:lineRule="auto"/>
        <w:rPr>
          <w:sz w:val="20"/>
          <w:szCs w:val="20"/>
          <w:color w:val="auto"/>
        </w:rPr>
      </w:pPr>
      <w:r>
        <w:rPr>
          <w:rFonts w:ascii="Arial" w:cs="Arial" w:eastAsia="Arial" w:hAnsi="Arial"/>
          <w:sz w:val="16"/>
          <w:szCs w:val="16"/>
          <w:color w:val="auto"/>
        </w:rPr>
        <w:t>On January 7, 2019, we acquired OGSystems for $292.4 million. OGSystems provides geospatial intelligence, big data analytics and threat mitigation for defense and intelligence customers. The acquisition was funded by cash on-hand and borrowings under our Term Loan and Revolving Credit Facility. The financial results of OGSystems have been included in our consolidated results of operations from January 7, 2019 onward.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Seasonality</w:t>
      </w:r>
    </w:p>
    <w:p>
      <w:pPr>
        <w:spacing w:after="0" w:line="218" w:lineRule="exact"/>
        <w:rPr>
          <w:sz w:val="20"/>
          <w:szCs w:val="20"/>
          <w:color w:val="auto"/>
        </w:rPr>
      </w:pPr>
    </w:p>
    <w:p>
      <w:pPr>
        <w:ind w:firstLine="433"/>
        <w:spacing w:after="0" w:line="235" w:lineRule="auto"/>
        <w:rPr>
          <w:sz w:val="20"/>
          <w:szCs w:val="20"/>
          <w:color w:val="auto"/>
        </w:rPr>
      </w:pPr>
      <w:r>
        <w:rPr>
          <w:rFonts w:ascii="Arial" w:cs="Arial" w:eastAsia="Arial" w:hAnsi="Arial"/>
          <w:sz w:val="17"/>
          <w:szCs w:val="17"/>
          <w:color w:val="auto"/>
        </w:rPr>
        <w:t>Our results may be affected by variances as a result of weather conditions and contract award seasonality impacts that we experience across our businesses. The latter issue is typically driven by the U.S. federal government fiscal year-end, September 30. While not certain, it is not uncommon for U.S. government agencies to award task orders or complete other contract actions in the weeks before the end of the U.S. federal government fiscal year in order to avoid the loss of unexpended U.S. federal government fiscal year funds. In addition, we have also historically experienced higher bid and proposal costs in the months leading up to the U.S. federal government fiscal year-end as we pursue new contract opportunities expected to be awarded early in the following U.S. federal government fiscal year as a result of funding appropriated for that U.S. federal government fiscal year.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Taxes</w:t>
      </w:r>
    </w:p>
    <w:p>
      <w:pPr>
        <w:spacing w:after="0" w:line="116" w:lineRule="exact"/>
        <w:rPr>
          <w:sz w:val="20"/>
          <w:szCs w:val="20"/>
          <w:color w:val="auto"/>
        </w:rPr>
      </w:pPr>
    </w:p>
    <w:p>
      <w:pPr>
        <w:ind w:right="20" w:firstLine="785"/>
        <w:spacing w:after="0" w:line="236" w:lineRule="auto"/>
        <w:rPr>
          <w:sz w:val="20"/>
          <w:szCs w:val="20"/>
          <w:color w:val="auto"/>
        </w:rPr>
      </w:pPr>
      <w:r>
        <w:rPr>
          <w:rFonts w:ascii="Arial" w:cs="Arial" w:eastAsia="Arial" w:hAnsi="Arial"/>
          <w:sz w:val="17"/>
          <w:szCs w:val="17"/>
          <w:color w:val="auto"/>
        </w:rPr>
        <w:t>Historically, we had elected to be taxed under the provisions of Subchapter “S” of the Internal Revenue Code for federal tax purposes. As a result, our income had not been subject to U.S. federal income taxes or state income taxes in those states where the “S” Corporation status was recognized. No provision or liability for federal or state income tax had been provided in our consolidated financial statements, prior to the IPO on May 8, 2019, except for those states where the “S” Corporation status was not recognized or where states imposed a tax on “S” Corporations. The provision for income tax in the historical periods prior to the IPO consists of these state taxes and from certain foreign jurisdictions where we are subject to tax.</w:t>
      </w:r>
    </w:p>
    <w:p>
      <w:pPr>
        <w:spacing w:after="0" w:line="191" w:lineRule="exact"/>
        <w:rPr>
          <w:sz w:val="20"/>
          <w:szCs w:val="20"/>
          <w:color w:val="auto"/>
        </w:rPr>
      </w:pPr>
    </w:p>
    <w:p>
      <w:pPr>
        <w:jc w:val="both"/>
        <w:ind w:firstLine="785"/>
        <w:spacing w:after="0" w:line="237" w:lineRule="auto"/>
        <w:rPr>
          <w:sz w:val="20"/>
          <w:szCs w:val="20"/>
          <w:color w:val="auto"/>
        </w:rPr>
      </w:pPr>
      <w:r>
        <w:rPr>
          <w:rFonts w:ascii="Arial" w:cs="Arial" w:eastAsia="Arial" w:hAnsi="Arial"/>
          <w:sz w:val="17"/>
          <w:szCs w:val="17"/>
          <w:color w:val="auto"/>
        </w:rPr>
        <w:t>In connection with the IPO, our “S” Corporation status terminated, and we are now treated as a “C” Corporation under Subchapter C of the Internal Revenue Code. The revocation of our “S” Corporation election had a material impact on our results of operations, financial condition and cash flows. The effective tax rate has increased, and net income has decreased as compared to our “S” Corporation tax years, since we are now subject to both U.S. federal and state corporate income taxes on our earnings.</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Results of Operations</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16" w:lineRule="exact"/>
        <w:rPr>
          <w:sz w:val="20"/>
          <w:szCs w:val="20"/>
          <w:color w:val="auto"/>
        </w:rPr>
      </w:pPr>
    </w:p>
    <w:p>
      <w:pPr>
        <w:ind w:right="260" w:firstLine="735"/>
        <w:spacing w:after="0" w:line="238" w:lineRule="auto"/>
        <w:rPr>
          <w:sz w:val="20"/>
          <w:szCs w:val="20"/>
          <w:color w:val="auto"/>
        </w:rPr>
      </w:pPr>
      <w:r>
        <w:rPr>
          <w:rFonts w:ascii="Arial" w:cs="Arial" w:eastAsia="Arial" w:hAnsi="Arial"/>
          <w:sz w:val="17"/>
          <w:szCs w:val="17"/>
          <w:color w:val="auto"/>
        </w:rPr>
        <w:t>Our revenue consists of both services provided by our employees and pass-through fees from subcontractors and other direct costs. Our Federal Solutions segment derives revenue primarily from the U.S. federal government and our Critical Infrastructure segment derives revenue primarily from government and commercial customers.</w:t>
      </w:r>
    </w:p>
    <w:p>
      <w:pPr>
        <w:spacing w:after="0" w:line="192"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We enter into the following types of contracts with our customers:</w:t>
      </w:r>
    </w:p>
    <w:p>
      <w:pPr>
        <w:spacing w:after="0" w:line="198" w:lineRule="exact"/>
        <w:rPr>
          <w:sz w:val="20"/>
          <w:szCs w:val="20"/>
          <w:color w:val="auto"/>
        </w:rPr>
      </w:pPr>
    </w:p>
    <w:p>
      <w:pPr>
        <w:ind w:left="1600" w:right="200" w:hanging="432"/>
        <w:spacing w:after="0" w:line="237" w:lineRule="auto"/>
        <w:tabs>
          <w:tab w:leader="none" w:pos="1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Under cost-plus contracts, we are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628" w:right="379" w:bottom="1440" w:gutter="0" w:footer="0" w:header="0"/>
        </w:sectPr>
      </w:pPr>
    </w:p>
    <w:bookmarkStart w:id="65" w:name="page66"/>
    <w:bookmarkEnd w:id="65"/>
    <w:p>
      <w:pPr>
        <w:ind w:left="1600" w:hanging="432"/>
        <w:spacing w:after="0" w:line="238" w:lineRule="auto"/>
        <w:tabs>
          <w:tab w:leader="none" w:pos="16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Under time-and-materials contracts, hourly billing rates are negotiated and charged to clients based on the actual time spent on a project. In addition, clients reimburse actual out-of-pocket costs for other direct costs and expenses that are incurred in connection with the performance under the contract.</w:t>
      </w:r>
    </w:p>
    <w:p>
      <w:pPr>
        <w:spacing w:after="0" w:line="191" w:lineRule="exact"/>
        <w:rPr>
          <w:rFonts w:ascii="Arial" w:cs="Arial" w:eastAsia="Arial" w:hAnsi="Arial"/>
          <w:sz w:val="17"/>
          <w:szCs w:val="17"/>
          <w:color w:val="auto"/>
        </w:rPr>
      </w:pPr>
    </w:p>
    <w:p>
      <w:pPr>
        <w:ind w:left="1600" w:hanging="432"/>
        <w:spacing w:after="0"/>
        <w:tabs>
          <w:tab w:leader="none" w:pos="16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Under fixed-price contracts, clients pay an agreed fixed-amount negotiated in advance for a specified scope of work.</w:t>
      </w:r>
    </w:p>
    <w:p>
      <w:pPr>
        <w:spacing w:after="0" w:line="109" w:lineRule="exact"/>
        <w:rPr>
          <w:sz w:val="20"/>
          <w:szCs w:val="20"/>
          <w:color w:val="auto"/>
        </w:rPr>
      </w:pPr>
    </w:p>
    <w:p>
      <w:pPr>
        <w:ind w:right="160" w:firstLine="743"/>
        <w:spacing w:after="0" w:line="238" w:lineRule="auto"/>
        <w:rPr>
          <w:sz w:val="20"/>
          <w:szCs w:val="20"/>
          <w:color w:val="auto"/>
        </w:rPr>
      </w:pPr>
      <w:r>
        <w:rPr>
          <w:rFonts w:ascii="Arial" w:cs="Arial" w:eastAsia="Arial" w:hAnsi="Arial"/>
          <w:sz w:val="17"/>
          <w:szCs w:val="17"/>
          <w:color w:val="auto"/>
        </w:rPr>
        <w:t>Refer to “Management’s Discussion and Analysis of Financial Condition and Results of Operations—Critical Accounting Policies and Estimates” and “Note 2—</w:t>
      </w:r>
      <w:r>
        <w:rPr>
          <w:rFonts w:ascii="Arial" w:cs="Arial" w:eastAsia="Arial" w:hAnsi="Arial"/>
          <w:sz w:val="17"/>
          <w:szCs w:val="17"/>
          <w:i w:val="1"/>
          <w:iCs w:val="1"/>
          <w:color w:val="auto"/>
        </w:rPr>
        <w:t>Summary of Significant Accounting Polices</w:t>
      </w:r>
      <w:r>
        <w:rPr>
          <w:rFonts w:ascii="Arial" w:cs="Arial" w:eastAsia="Arial" w:hAnsi="Arial"/>
          <w:sz w:val="17"/>
          <w:szCs w:val="17"/>
          <w:color w:val="auto"/>
        </w:rPr>
        <w:t>” in the notes to our consolidated financial statements included elsewhere in this Annual Report on Form 10-K for a description of our policies on revenue recognition applicable to each type of contract.</w:t>
      </w:r>
    </w:p>
    <w:p>
      <w:pPr>
        <w:spacing w:after="0" w:line="90"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table below presents the percentage of total revenue for each type of contract.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54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Fiscal Year Ended</w:t>
            </w: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8"/>
        </w:trPr>
        <w:tc>
          <w:tcPr>
            <w:tcW w:w="654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December 31, 2021</w:t>
            </w: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December 31, 2020</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December 31, 2019</w:t>
            </w:r>
          </w:p>
        </w:tc>
      </w:tr>
      <w:tr>
        <w:trPr>
          <w:trHeight w:val="196"/>
        </w:trPr>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Fixed-price</w:t>
            </w:r>
          </w:p>
        </w:tc>
        <w:tc>
          <w:tcPr>
            <w:tcW w:w="13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7"/>
                <w:szCs w:val="17"/>
                <w:color w:val="auto"/>
                <w:w w:val="99"/>
              </w:rPr>
              <w:t>26%</w:t>
            </w:r>
          </w:p>
        </w:tc>
        <w:tc>
          <w:tcPr>
            <w:tcW w:w="260" w:type="dxa"/>
            <w:vAlign w:val="bottom"/>
            <w:tcBorders>
              <w:top w:val="single" w:sz="8" w:color="CFF0FC"/>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7"/>
                <w:szCs w:val="17"/>
                <w:color w:val="auto"/>
                <w:w w:val="99"/>
              </w:rPr>
              <w:t>32%</w:t>
            </w:r>
          </w:p>
        </w:tc>
        <w:tc>
          <w:tcPr>
            <w:tcW w:w="260" w:type="dxa"/>
            <w:vAlign w:val="bottom"/>
            <w:tcBorders>
              <w:top w:val="single" w:sz="8" w:color="CFF0FC"/>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7"/>
                <w:szCs w:val="17"/>
                <w:color w:val="auto"/>
                <w:w w:val="99"/>
              </w:rPr>
              <w:t>30%</w:t>
            </w: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6540" w:type="dxa"/>
            <w:vAlign w:val="bottom"/>
          </w:tcPr>
          <w:p>
            <w:pPr>
              <w:spacing w:after="0"/>
              <w:rPr>
                <w:sz w:val="20"/>
                <w:szCs w:val="20"/>
                <w:color w:val="auto"/>
              </w:rPr>
            </w:pPr>
            <w:r>
              <w:rPr>
                <w:rFonts w:ascii="Arial" w:cs="Arial" w:eastAsia="Arial" w:hAnsi="Arial"/>
                <w:sz w:val="17"/>
                <w:szCs w:val="17"/>
                <w:color w:val="auto"/>
              </w:rPr>
              <w:t>Time-and-materials</w:t>
            </w:r>
          </w:p>
        </w:tc>
        <w:tc>
          <w:tcPr>
            <w:tcW w:w="1360" w:type="dxa"/>
            <w:vAlign w:val="bottom"/>
          </w:tcPr>
          <w:p>
            <w:pPr>
              <w:jc w:val="center"/>
              <w:spacing w:after="0"/>
              <w:rPr>
                <w:sz w:val="20"/>
                <w:szCs w:val="20"/>
                <w:color w:val="auto"/>
              </w:rPr>
            </w:pPr>
            <w:r>
              <w:rPr>
                <w:rFonts w:ascii="Arial" w:cs="Arial" w:eastAsia="Arial" w:hAnsi="Arial"/>
                <w:sz w:val="17"/>
                <w:szCs w:val="17"/>
                <w:color w:val="auto"/>
                <w:w w:val="99"/>
              </w:rPr>
              <w:t>28%</w:t>
            </w:r>
          </w:p>
        </w:tc>
        <w:tc>
          <w:tcPr>
            <w:tcW w:w="2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99"/>
              </w:rPr>
              <w:t>26%</w:t>
            </w:r>
          </w:p>
        </w:tc>
        <w:tc>
          <w:tcPr>
            <w:tcW w:w="2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99"/>
              </w:rPr>
              <w:t>27%</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spacing w:after="0"/>
              <w:rPr>
                <w:sz w:val="20"/>
                <w:szCs w:val="20"/>
                <w:color w:val="auto"/>
              </w:rPr>
            </w:pPr>
            <w:r>
              <w:rPr>
                <w:rFonts w:ascii="Arial" w:cs="Arial" w:eastAsia="Arial" w:hAnsi="Arial"/>
                <w:sz w:val="17"/>
                <w:szCs w:val="17"/>
                <w:color w:val="auto"/>
              </w:rPr>
              <w:t>Cost-plus</w:t>
            </w:r>
          </w:p>
        </w:tc>
        <w:tc>
          <w:tcPr>
            <w:tcW w:w="13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9"/>
              </w:rPr>
              <w:t>46%</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9"/>
              </w:rPr>
              <w:t>42%</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9"/>
              </w:rPr>
              <w:t>43%</w:t>
            </w:r>
          </w:p>
        </w:tc>
        <w:tc>
          <w:tcPr>
            <w:tcW w:w="100" w:type="dxa"/>
            <w:vAlign w:val="bottom"/>
            <w:shd w:val="clear" w:color="auto" w:fill="CFF0FC"/>
          </w:tcPr>
          <w:p>
            <w:pPr>
              <w:spacing w:after="0"/>
              <w:rPr>
                <w:sz w:val="17"/>
                <w:szCs w:val="17"/>
                <w:color w:val="auto"/>
              </w:rPr>
            </w:pPr>
          </w:p>
        </w:tc>
      </w:tr>
    </w:tbl>
    <w:p>
      <w:pPr>
        <w:spacing w:after="0" w:line="200" w:lineRule="exact"/>
        <w:rPr>
          <w:sz w:val="20"/>
          <w:szCs w:val="20"/>
          <w:color w:val="auto"/>
        </w:rPr>
      </w:pPr>
    </w:p>
    <w:p>
      <w:pPr>
        <w:spacing w:after="0" w:line="205" w:lineRule="exact"/>
        <w:rPr>
          <w:sz w:val="20"/>
          <w:szCs w:val="20"/>
          <w:color w:val="auto"/>
        </w:rPr>
      </w:pPr>
    </w:p>
    <w:p>
      <w:pPr>
        <w:ind w:right="20" w:firstLine="735"/>
        <w:spacing w:after="0" w:line="235" w:lineRule="auto"/>
        <w:rPr>
          <w:sz w:val="20"/>
          <w:szCs w:val="20"/>
          <w:color w:val="auto"/>
        </w:rPr>
      </w:pPr>
      <w:r>
        <w:rPr>
          <w:rFonts w:ascii="Arial" w:cs="Arial" w:eastAsia="Arial" w:hAnsi="Arial"/>
          <w:sz w:val="17"/>
          <w:szCs w:val="17"/>
          <w:color w:val="auto"/>
        </w:rPr>
        <w:t>The amount of risk and potential reward varies under each type of contract. Under cost-plus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direct contract costs and expenses at cost. We assume financial risk on time-and-materials contracts because our labor costs may exceed the negotiated billing rates. Profit margins on well-managed time-and-materials contracts tend to be higher than profit margins on cost-plus contracts as long as we are able to staff those contracts with people who have an appropriate skill set. Under fixed-price contracts, we are required to deliver the objectives under the contract for a pre-determined price. Compared to time-and-materials and cost-plus contracts, fixed-price contracts generally offer higher profit margin opportunities because we receive the full benefit of any cost savings, but they also generally involve greater financial risk because we bear the risk of any cost overruns. In the aggregate, the contract type mix in our revenue for any given period will affect that period’s profitability. Over time, we have experienced a relatively stable contract mix.</w:t>
      </w:r>
    </w:p>
    <w:p>
      <w:pPr>
        <w:spacing w:after="0" w:line="190" w:lineRule="exact"/>
        <w:rPr>
          <w:sz w:val="20"/>
          <w:szCs w:val="20"/>
          <w:color w:val="auto"/>
        </w:rPr>
      </w:pPr>
    </w:p>
    <w:p>
      <w:pPr>
        <w:jc w:val="both"/>
        <w:ind w:right="360" w:firstLine="735"/>
        <w:spacing w:after="0" w:line="238" w:lineRule="auto"/>
        <w:rPr>
          <w:sz w:val="20"/>
          <w:szCs w:val="20"/>
          <w:color w:val="auto"/>
        </w:rPr>
      </w:pPr>
      <w:r>
        <w:rPr>
          <w:rFonts w:ascii="Arial" w:cs="Arial" w:eastAsia="Arial" w:hAnsi="Arial"/>
          <w:sz w:val="17"/>
          <w:szCs w:val="17"/>
          <w:color w:val="auto"/>
        </w:rPr>
        <w:t>Our recognition of profit on long-term contracts requires the use of assumptions related to transaction price and total cost of completion. Estimates are continually evaluated as work progresses and are revised when necessary. When a change in estimated cost or transaction price is determined to have an impact on contract profit, we record a positive or negative adjustment to revenue.</w:t>
      </w:r>
    </w:p>
    <w:p>
      <w:pPr>
        <w:spacing w:after="0" w:line="192" w:lineRule="exact"/>
        <w:rPr>
          <w:sz w:val="20"/>
          <w:szCs w:val="20"/>
          <w:color w:val="auto"/>
        </w:rPr>
      </w:pPr>
    </w:p>
    <w:p>
      <w:pPr>
        <w:ind w:left="740"/>
        <w:spacing w:after="0"/>
        <w:rPr>
          <w:sz w:val="20"/>
          <w:szCs w:val="20"/>
          <w:color w:val="auto"/>
        </w:rPr>
      </w:pPr>
      <w:r>
        <w:rPr>
          <w:rFonts w:ascii="Arial" w:cs="Arial" w:eastAsia="Arial" w:hAnsi="Arial"/>
          <w:sz w:val="17"/>
          <w:szCs w:val="17"/>
          <w:color w:val="auto"/>
        </w:rPr>
        <w:t>In 2021, 2020 and 2019, no single contract accounted for more than 5% of our revenue.</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Joint Ventures</w:t>
      </w:r>
    </w:p>
    <w:p>
      <w:pPr>
        <w:spacing w:after="0" w:line="116" w:lineRule="exact"/>
        <w:rPr>
          <w:sz w:val="20"/>
          <w:szCs w:val="20"/>
          <w:color w:val="auto"/>
        </w:rPr>
      </w:pPr>
    </w:p>
    <w:p>
      <w:pPr>
        <w:ind w:right="140" w:firstLine="735"/>
        <w:spacing w:after="0" w:line="256" w:lineRule="auto"/>
        <w:rPr>
          <w:sz w:val="20"/>
          <w:szCs w:val="20"/>
          <w:color w:val="auto"/>
        </w:rPr>
      </w:pPr>
      <w:r>
        <w:rPr>
          <w:rFonts w:ascii="Arial" w:cs="Arial" w:eastAsia="Arial" w:hAnsi="Arial"/>
          <w:sz w:val="16"/>
          <w:szCs w:val="16"/>
          <w:color w:val="auto"/>
        </w:rPr>
        <w:t>We conduct a portion of our business through joint ventures or similar partnership arrangements. For the joint ventures we control, we consolidate all the revenues and expenses in our consolidated statements of income (including revenues and expenses attributable to noncontrolling interests). For the joint ventures we do not control, we recognize equity in earnings of unconsolidated joint ventures. Our revenues included $204.7 million in 2021, $172.2 million in 2020, and $157.3 million in 2019 related to services we provided to our unconsolidated joint ventures.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i w:val="1"/>
          <w:iCs w:val="1"/>
          <w:color w:val="auto"/>
        </w:rPr>
        <w:t>Operating costs and expenses</w:t>
      </w:r>
    </w:p>
    <w:p>
      <w:pPr>
        <w:spacing w:after="0" w:line="116" w:lineRule="exact"/>
        <w:rPr>
          <w:sz w:val="20"/>
          <w:szCs w:val="20"/>
          <w:color w:val="auto"/>
        </w:rPr>
      </w:pPr>
    </w:p>
    <w:p>
      <w:pPr>
        <w:ind w:right="40" w:firstLine="743"/>
        <w:spacing w:after="0" w:line="235" w:lineRule="auto"/>
        <w:rPr>
          <w:sz w:val="20"/>
          <w:szCs w:val="20"/>
          <w:color w:val="auto"/>
        </w:rPr>
      </w:pPr>
      <w:r>
        <w:rPr>
          <w:rFonts w:ascii="Arial" w:cs="Arial" w:eastAsia="Arial" w:hAnsi="Arial"/>
          <w:sz w:val="17"/>
          <w:szCs w:val="17"/>
          <w:color w:val="auto"/>
        </w:rPr>
        <w:t>Operating costs and expenses primarily include direct costs of contracts and selling, general and administrative expenses. Costs associated with compensation-related expenses for our people and facilities, which includes ESOP contribution expenses, are the most significant component of our operating expenses. In 2021, 2020 and 2019, we made annual contributions to the ESOP in the amount of 8% of the participants’ cash compensation for the applicable year. Total ESOP contribution expense was $54.9 million for 2021, $55.3 million for 2020, and $53.6 million for fiscal 2019, and is recorded in “Direct cost of contracts” and “Selling, general and administrative expenses.” We expect operating expenses to increase due to our anticipated growth. However, on a forward-looking basis, we generally expect these costs to decline as a percentage of our total revenue as we realize the benefits of scale.</w:t>
      </w:r>
    </w:p>
    <w:p>
      <w:pPr>
        <w:spacing w:after="0" w:line="93" w:lineRule="exact"/>
        <w:rPr>
          <w:sz w:val="20"/>
          <w:szCs w:val="20"/>
          <w:color w:val="auto"/>
        </w:rPr>
      </w:pPr>
    </w:p>
    <w:p>
      <w:pPr>
        <w:ind w:right="40" w:firstLine="743"/>
        <w:spacing w:after="0" w:line="242" w:lineRule="auto"/>
        <w:rPr>
          <w:sz w:val="20"/>
          <w:szCs w:val="20"/>
          <w:color w:val="auto"/>
        </w:rPr>
      </w:pPr>
      <w:r>
        <w:rPr>
          <w:rFonts w:ascii="Arial" w:cs="Arial" w:eastAsia="Arial" w:hAnsi="Arial"/>
          <w:sz w:val="17"/>
          <w:szCs w:val="17"/>
          <w:color w:val="auto"/>
        </w:rPr>
        <w:t>Direct costs of contracts consist of direct labor and associated fringe benefits, indirect overhead, subcontractor and materials (“pass-through costs”), travel expenses and other expenses incurred to perform on contracts.</w:t>
      </w:r>
    </w:p>
    <w:p>
      <w:pPr>
        <w:spacing w:after="0" w:line="88" w:lineRule="exact"/>
        <w:rPr>
          <w:sz w:val="20"/>
          <w:szCs w:val="20"/>
          <w:color w:val="auto"/>
        </w:rPr>
      </w:pPr>
    </w:p>
    <w:p>
      <w:pPr>
        <w:ind w:firstLine="743"/>
        <w:spacing w:after="0" w:line="242" w:lineRule="auto"/>
        <w:rPr>
          <w:sz w:val="20"/>
          <w:szCs w:val="20"/>
          <w:color w:val="auto"/>
        </w:rPr>
      </w:pPr>
      <w:r>
        <w:rPr>
          <w:rFonts w:ascii="Arial" w:cs="Arial" w:eastAsia="Arial" w:hAnsi="Arial"/>
          <w:sz w:val="17"/>
          <w:szCs w:val="17"/>
          <w:color w:val="auto"/>
        </w:rPr>
        <w:t>Selling, general and administrative expenses (“SG&amp;A”) include salaries and wages and fringe benefits of our employees not performing work directly for customers, facility costs and other costs related to these indirect functions.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and expenses</w:t>
      </w:r>
    </w:p>
    <w:p>
      <w:pPr>
        <w:spacing w:after="0" w:line="11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Other income and expenses primarily consist of interest income, interest expense, and other income, net.</w:t>
      </w:r>
    </w:p>
    <w:p>
      <w:pPr>
        <w:spacing w:after="0" w:line="198" w:lineRule="exact"/>
        <w:rPr>
          <w:sz w:val="20"/>
          <w:szCs w:val="20"/>
          <w:color w:val="auto"/>
        </w:rPr>
      </w:pPr>
    </w:p>
    <w:p>
      <w:pPr>
        <w:ind w:left="740"/>
        <w:spacing w:after="0"/>
        <w:rPr>
          <w:sz w:val="20"/>
          <w:szCs w:val="20"/>
          <w:color w:val="auto"/>
        </w:rPr>
      </w:pPr>
      <w:r>
        <w:rPr>
          <w:rFonts w:ascii="Arial" w:cs="Arial" w:eastAsia="Arial" w:hAnsi="Arial"/>
          <w:sz w:val="17"/>
          <w:szCs w:val="17"/>
          <w:color w:val="auto"/>
        </w:rPr>
        <w:t>Interest income primarily consists of interest earned on U.S. government money market funds.</w:t>
      </w:r>
    </w:p>
    <w:p>
      <w:pPr>
        <w:spacing w:after="0" w:line="198" w:lineRule="exact"/>
        <w:rPr>
          <w:sz w:val="20"/>
          <w:szCs w:val="20"/>
          <w:color w:val="auto"/>
        </w:rPr>
      </w:pPr>
    </w:p>
    <w:p>
      <w:pPr>
        <w:ind w:left="740"/>
        <w:spacing w:after="0"/>
        <w:rPr>
          <w:sz w:val="20"/>
          <w:szCs w:val="20"/>
          <w:color w:val="auto"/>
        </w:rPr>
      </w:pPr>
      <w:r>
        <w:rPr>
          <w:rFonts w:ascii="Arial" w:cs="Arial" w:eastAsia="Arial" w:hAnsi="Arial"/>
          <w:sz w:val="17"/>
          <w:szCs w:val="17"/>
          <w:color w:val="auto"/>
        </w:rPr>
        <w:t>Interest expense consists of interest expense incurred under our Senior Notes, Convertible Senior Notes, and Credit Agreement.</w:t>
      </w:r>
    </w:p>
    <w:p>
      <w:pPr>
        <w:spacing w:after="0" w:line="198" w:lineRule="exact"/>
        <w:rPr>
          <w:sz w:val="20"/>
          <w:szCs w:val="20"/>
          <w:color w:val="auto"/>
        </w:rPr>
      </w:pPr>
    </w:p>
    <w:p>
      <w:pPr>
        <w:ind w:right="80" w:firstLine="735"/>
        <w:spacing w:after="0" w:line="242" w:lineRule="auto"/>
        <w:rPr>
          <w:sz w:val="20"/>
          <w:szCs w:val="20"/>
          <w:color w:val="auto"/>
        </w:rPr>
      </w:pPr>
      <w:r>
        <w:rPr>
          <w:rFonts w:ascii="Arial" w:cs="Arial" w:eastAsia="Arial" w:hAnsi="Arial"/>
          <w:sz w:val="17"/>
          <w:szCs w:val="17"/>
          <w:color w:val="auto"/>
        </w:rPr>
        <w:t>Other income, net primarily consists of gain or loss on sale of assets, sublease income and transaction gain or loss related to movements in foreign currency exchange rates.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626"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i w:val="1"/>
          <w:iCs w:val="1"/>
          <w:color w:val="auto"/>
        </w:rPr>
        <w:t>Year ended December 31, 2021 compared to year ended December 31, 2020</w:t>
      </w:r>
    </w:p>
    <w:p>
      <w:pPr>
        <w:spacing w:after="0" w:line="11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following table sets forth our results of operations for fiscal 2021 and fiscal 2020 as a percentage of revenue.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Fiscal Year Ended</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820" w:type="dxa"/>
            <w:vAlign w:val="bottom"/>
            <w:tcBorders>
              <w:bottom w:val="single" w:sz="8" w:color="CFF0FC"/>
            </w:tcBorders>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440" w:type="dxa"/>
            <w:vAlign w:val="bottom"/>
            <w:tcBorders>
              <w:bottom w:val="single" w:sz="8" w:color="auto"/>
            </w:tcBorders>
            <w:gridSpan w:val="3"/>
          </w:tcPr>
          <w:p>
            <w:pPr>
              <w:jc w:val="right"/>
              <w:spacing w:after="0" w:line="157" w:lineRule="exact"/>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CFF0FC"/>
            </w:tcBorders>
          </w:tcPr>
          <w:p>
            <w:pPr>
              <w:spacing w:after="0"/>
              <w:rPr>
                <w:sz w:val="13"/>
                <w:szCs w:val="13"/>
                <w:color w:val="auto"/>
              </w:rPr>
            </w:pPr>
          </w:p>
        </w:tc>
        <w:tc>
          <w:tcPr>
            <w:tcW w:w="1580" w:type="dxa"/>
            <w:vAlign w:val="bottom"/>
            <w:tcBorders>
              <w:bottom w:val="single" w:sz="8" w:color="auto"/>
            </w:tcBorders>
            <w:gridSpan w:val="4"/>
          </w:tcPr>
          <w:p>
            <w:pPr>
              <w:ind w:left="180"/>
              <w:spacing w:after="0" w:line="157" w:lineRule="exact"/>
              <w:rPr>
                <w:sz w:val="20"/>
                <w:szCs w:val="20"/>
                <w:color w:val="auto"/>
              </w:rPr>
            </w:pPr>
            <w:r>
              <w:rPr>
                <w:rFonts w:ascii="Arial" w:cs="Arial" w:eastAsia="Arial" w:hAnsi="Arial"/>
                <w:sz w:val="14"/>
                <w:szCs w:val="14"/>
                <w:b w:val="1"/>
                <w:bCs w:val="1"/>
                <w:color w:val="auto"/>
              </w:rPr>
              <w:t>December 31, 2020</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100" w:type="dxa"/>
            <w:vAlign w:val="bottom"/>
            <w:gridSpan w:val="4"/>
            <w:shd w:val="clear" w:color="auto" w:fill="CFF0FC"/>
          </w:tcPr>
          <w:p>
            <w:pPr>
              <w:jc w:val="right"/>
              <w:ind w:right="260"/>
              <w:spacing w:after="0"/>
              <w:rPr>
                <w:sz w:val="20"/>
                <w:szCs w:val="20"/>
                <w:color w:val="auto"/>
              </w:rPr>
            </w:pPr>
            <w:r>
              <w:rPr>
                <w:rFonts w:ascii="Arial" w:cs="Arial" w:eastAsia="Arial" w:hAnsi="Arial"/>
                <w:sz w:val="17"/>
                <w:szCs w:val="17"/>
                <w:color w:val="auto"/>
              </w:rPr>
              <w:t>100.0%</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3"/>
        </w:trPr>
        <w:tc>
          <w:tcPr>
            <w:tcW w:w="5820" w:type="dxa"/>
            <w:vAlign w:val="bottom"/>
          </w:tcPr>
          <w:p>
            <w:pPr>
              <w:spacing w:after="0"/>
              <w:rPr>
                <w:sz w:val="20"/>
                <w:szCs w:val="20"/>
                <w:color w:val="auto"/>
              </w:rPr>
            </w:pPr>
            <w:r>
              <w:rPr>
                <w:rFonts w:ascii="Arial" w:cs="Arial" w:eastAsia="Arial" w:hAnsi="Arial"/>
                <w:sz w:val="17"/>
                <w:szCs w:val="17"/>
                <w:color w:val="auto"/>
              </w:rPr>
              <w:t>Direct costs of contracts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gridSpan w:val="4"/>
          </w:tcPr>
          <w:p>
            <w:pPr>
              <w:jc w:val="right"/>
              <w:ind w:right="260"/>
              <w:spacing w:after="0"/>
              <w:rPr>
                <w:sz w:val="20"/>
                <w:szCs w:val="20"/>
                <w:color w:val="auto"/>
              </w:rPr>
            </w:pPr>
            <w:r>
              <w:rPr>
                <w:rFonts w:ascii="Arial" w:cs="Arial" w:eastAsia="Arial" w:hAnsi="Arial"/>
                <w:sz w:val="17"/>
                <w:szCs w:val="17"/>
                <w:color w:val="auto"/>
              </w:rPr>
              <w:t>76.7%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77.6%</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spacing w:after="0"/>
              <w:rPr>
                <w:sz w:val="20"/>
                <w:szCs w:val="20"/>
                <w:color w:val="auto"/>
              </w:rPr>
            </w:pPr>
            <w:r>
              <w:rPr>
                <w:rFonts w:ascii="Arial" w:cs="Arial" w:eastAsia="Arial" w:hAnsi="Arial"/>
                <w:sz w:val="17"/>
                <w:szCs w:val="17"/>
                <w:color w:val="auto"/>
              </w:rPr>
              <w:t>Equity in earnings of unconsolidated joint ventures</w:t>
            </w: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100" w:type="dxa"/>
            <w:vAlign w:val="bottom"/>
            <w:gridSpan w:val="4"/>
            <w:shd w:val="clear" w:color="auto" w:fill="CFF0FC"/>
          </w:tcPr>
          <w:p>
            <w:pPr>
              <w:jc w:val="right"/>
              <w:ind w:right="260"/>
              <w:spacing w:after="0"/>
              <w:rPr>
                <w:sz w:val="20"/>
                <w:szCs w:val="20"/>
                <w:color w:val="auto"/>
              </w:rPr>
            </w:pPr>
            <w:r>
              <w:rPr>
                <w:rFonts w:ascii="Arial" w:cs="Arial" w:eastAsia="Arial" w:hAnsi="Arial"/>
                <w:sz w:val="17"/>
                <w:szCs w:val="17"/>
                <w:color w:val="auto"/>
              </w:rPr>
              <w:t>1.0%</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03"/>
        </w:trPr>
        <w:tc>
          <w:tcPr>
            <w:tcW w:w="582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gridSpan w:val="4"/>
          </w:tcPr>
          <w:p>
            <w:pPr>
              <w:jc w:val="right"/>
              <w:ind w:right="260"/>
              <w:spacing w:after="0"/>
              <w:rPr>
                <w:sz w:val="20"/>
                <w:szCs w:val="20"/>
                <w:color w:val="auto"/>
              </w:rPr>
            </w:pPr>
            <w:r>
              <w:rPr>
                <w:rFonts w:ascii="Arial" w:cs="Arial" w:eastAsia="Arial" w:hAnsi="Arial"/>
                <w:sz w:val="17"/>
                <w:szCs w:val="17"/>
                <w:color w:val="auto"/>
              </w:rPr>
              <w:t>20.7%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Operating income</w:t>
            </w: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100" w:type="dxa"/>
            <w:vAlign w:val="bottom"/>
            <w:gridSpan w:val="4"/>
            <w:shd w:val="clear" w:color="auto" w:fill="CFF0FC"/>
          </w:tcPr>
          <w:p>
            <w:pPr>
              <w:jc w:val="right"/>
              <w:ind w:right="260"/>
              <w:spacing w:after="0"/>
              <w:rPr>
                <w:sz w:val="20"/>
                <w:szCs w:val="20"/>
                <w:color w:val="auto"/>
              </w:rPr>
            </w:pPr>
            <w:r>
              <w:rPr>
                <w:rFonts w:ascii="Arial" w:cs="Arial" w:eastAsia="Arial" w:hAnsi="Arial"/>
                <w:sz w:val="17"/>
                <w:szCs w:val="17"/>
                <w:color w:val="auto"/>
              </w:rPr>
              <w:t>3.6%</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tcPr>
          <w:p>
            <w:pPr>
              <w:spacing w:after="0"/>
              <w:rPr>
                <w:sz w:val="20"/>
                <w:szCs w:val="20"/>
                <w:color w:val="auto"/>
              </w:rPr>
            </w:pPr>
            <w:r>
              <w:rPr>
                <w:rFonts w:ascii="Arial" w:cs="Arial" w:eastAsia="Arial" w:hAnsi="Arial"/>
                <w:sz w:val="17"/>
                <w:szCs w:val="17"/>
                <w:color w:val="auto"/>
              </w:rPr>
              <w:t>Interest income</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gridSpan w:val="4"/>
          </w:tcPr>
          <w:p>
            <w:pPr>
              <w:jc w:val="right"/>
              <w:ind w:right="260"/>
              <w:spacing w:after="0"/>
              <w:rPr>
                <w:sz w:val="20"/>
                <w:szCs w:val="20"/>
                <w:color w:val="auto"/>
              </w:rPr>
            </w:pPr>
            <w:r>
              <w:rPr>
                <w:rFonts w:ascii="Arial" w:cs="Arial" w:eastAsia="Arial" w:hAnsi="Arial"/>
                <w:sz w:val="17"/>
                <w:szCs w:val="17"/>
                <w:color w:val="auto"/>
              </w:rPr>
              <w:t>0.0%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spacing w:after="0"/>
              <w:rPr>
                <w:sz w:val="20"/>
                <w:szCs w:val="20"/>
                <w:color w:val="auto"/>
              </w:rPr>
            </w:pPr>
            <w:r>
              <w:rPr>
                <w:rFonts w:ascii="Arial" w:cs="Arial" w:eastAsia="Arial" w:hAnsi="Arial"/>
                <w:sz w:val="17"/>
                <w:szCs w:val="17"/>
                <w:color w:val="auto"/>
              </w:rPr>
              <w:t>Interest expense</w:t>
            </w: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100" w:type="dxa"/>
            <w:vAlign w:val="bottom"/>
            <w:gridSpan w:val="4"/>
            <w:shd w:val="clear" w:color="auto" w:fill="CFF0FC"/>
          </w:tcPr>
          <w:p>
            <w:pPr>
              <w:jc w:val="right"/>
              <w:ind w:right="200"/>
              <w:spacing w:after="0"/>
              <w:rPr>
                <w:sz w:val="20"/>
                <w:szCs w:val="20"/>
                <w:color w:val="auto"/>
              </w:rPr>
            </w:pPr>
            <w:r>
              <w:rPr>
                <w:rFonts w:ascii="Arial" w:cs="Arial" w:eastAsia="Arial" w:hAnsi="Arial"/>
                <w:sz w:val="17"/>
                <w:szCs w:val="17"/>
                <w:color w:val="auto"/>
              </w:rPr>
              <w:t>(0.5)%</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03"/>
        </w:trPr>
        <w:tc>
          <w:tcPr>
            <w:tcW w:w="5820" w:type="dxa"/>
            <w:vAlign w:val="bottom"/>
          </w:tcPr>
          <w:p>
            <w:pPr>
              <w:spacing w:after="0"/>
              <w:rPr>
                <w:sz w:val="20"/>
                <w:szCs w:val="20"/>
                <w:color w:val="auto"/>
              </w:rPr>
            </w:pPr>
            <w:r>
              <w:rPr>
                <w:rFonts w:ascii="Arial" w:cs="Arial" w:eastAsia="Arial" w:hAnsi="Arial"/>
                <w:sz w:val="17"/>
                <w:szCs w:val="17"/>
                <w:color w:val="auto"/>
              </w:rPr>
              <w:t>Other income, net</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7"/>
                <w:szCs w:val="17"/>
                <w:color w:val="auto"/>
              </w:rPr>
              <w:t>(0.1)%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other income benefit (expense)</w:t>
            </w: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100" w:type="dxa"/>
            <w:vAlign w:val="bottom"/>
            <w:gridSpan w:val="4"/>
            <w:shd w:val="clear" w:color="auto" w:fill="CFF0FC"/>
          </w:tcPr>
          <w:p>
            <w:pPr>
              <w:jc w:val="right"/>
              <w:ind w:right="200"/>
              <w:spacing w:after="0"/>
              <w:rPr>
                <w:sz w:val="20"/>
                <w:szCs w:val="20"/>
                <w:color w:val="auto"/>
              </w:rPr>
            </w:pPr>
            <w:r>
              <w:rPr>
                <w:rFonts w:ascii="Arial" w:cs="Arial" w:eastAsia="Arial" w:hAnsi="Arial"/>
                <w:sz w:val="17"/>
                <w:szCs w:val="17"/>
                <w:color w:val="auto"/>
              </w:rPr>
              <w:t>(0.5)%</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tcPr>
          <w:p>
            <w:pPr>
              <w:ind w:left="240"/>
              <w:spacing w:after="0"/>
              <w:rPr>
                <w:sz w:val="20"/>
                <w:szCs w:val="20"/>
                <w:color w:val="auto"/>
              </w:rPr>
            </w:pPr>
            <w:r>
              <w:rPr>
                <w:rFonts w:ascii="Arial" w:cs="Arial" w:eastAsia="Arial" w:hAnsi="Arial"/>
                <w:sz w:val="17"/>
                <w:szCs w:val="17"/>
                <w:color w:val="auto"/>
              </w:rPr>
              <w:t>Income before income tax expense</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gridSpan w:val="4"/>
          </w:tcPr>
          <w:p>
            <w:pPr>
              <w:jc w:val="right"/>
              <w:ind w:right="260"/>
              <w:spacing w:after="0"/>
              <w:rPr>
                <w:sz w:val="20"/>
                <w:szCs w:val="20"/>
                <w:color w:val="auto"/>
              </w:rPr>
            </w:pPr>
            <w:r>
              <w:rPr>
                <w:rFonts w:ascii="Arial" w:cs="Arial" w:eastAsia="Arial" w:hAnsi="Arial"/>
                <w:sz w:val="17"/>
                <w:szCs w:val="17"/>
                <w:color w:val="auto"/>
              </w:rPr>
              <w:t>3.1%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spacing w:after="0"/>
              <w:rPr>
                <w:sz w:val="20"/>
                <w:szCs w:val="20"/>
                <w:color w:val="auto"/>
              </w:rPr>
            </w:pPr>
            <w:r>
              <w:rPr>
                <w:rFonts w:ascii="Arial" w:cs="Arial" w:eastAsia="Arial" w:hAnsi="Arial"/>
                <w:sz w:val="17"/>
                <w:szCs w:val="17"/>
                <w:color w:val="auto"/>
              </w:rPr>
              <w:t>Income tax benefit (expense)</w:t>
            </w: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100" w:type="dxa"/>
            <w:vAlign w:val="bottom"/>
            <w:gridSpan w:val="4"/>
            <w:shd w:val="clear" w:color="auto" w:fill="CFF0FC"/>
          </w:tcPr>
          <w:p>
            <w:pPr>
              <w:jc w:val="right"/>
              <w:ind w:right="200"/>
              <w:spacing w:after="0"/>
              <w:rPr>
                <w:sz w:val="20"/>
                <w:szCs w:val="20"/>
                <w:color w:val="auto"/>
              </w:rPr>
            </w:pPr>
            <w:r>
              <w:rPr>
                <w:rFonts w:ascii="Arial" w:cs="Arial" w:eastAsia="Arial" w:hAnsi="Arial"/>
                <w:sz w:val="17"/>
                <w:szCs w:val="17"/>
                <w:color w:val="auto"/>
              </w:rPr>
              <w:t>(0.6)%</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tcPr>
          <w:p>
            <w:pPr>
              <w:ind w:left="240"/>
              <w:spacing w:after="0"/>
              <w:rPr>
                <w:sz w:val="20"/>
                <w:szCs w:val="20"/>
                <w:color w:val="auto"/>
              </w:rPr>
            </w:pPr>
            <w:r>
              <w:rPr>
                <w:rFonts w:ascii="Arial" w:cs="Arial" w:eastAsia="Arial" w:hAnsi="Arial"/>
                <w:sz w:val="17"/>
                <w:szCs w:val="17"/>
                <w:color w:val="auto"/>
              </w:rPr>
              <w:t>Net income including noncontrolling interests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gridSpan w:val="4"/>
          </w:tcPr>
          <w:p>
            <w:pPr>
              <w:jc w:val="right"/>
              <w:ind w:right="260"/>
              <w:spacing w:after="0"/>
              <w:rPr>
                <w:sz w:val="20"/>
                <w:szCs w:val="20"/>
                <w:color w:val="auto"/>
              </w:rPr>
            </w:pPr>
            <w:r>
              <w:rPr>
                <w:rFonts w:ascii="Arial" w:cs="Arial" w:eastAsia="Arial" w:hAnsi="Arial"/>
                <w:sz w:val="17"/>
                <w:szCs w:val="17"/>
                <w:color w:val="auto"/>
              </w:rPr>
              <w:t>2.4%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spacing w:after="0"/>
              <w:rPr>
                <w:sz w:val="20"/>
                <w:szCs w:val="20"/>
                <w:color w:val="auto"/>
              </w:rPr>
            </w:pPr>
            <w:r>
              <w:rPr>
                <w:rFonts w:ascii="Arial" w:cs="Arial" w:eastAsia="Arial" w:hAnsi="Arial"/>
                <w:sz w:val="17"/>
                <w:szCs w:val="17"/>
                <w:color w:val="auto"/>
              </w:rPr>
              <w:t>Net income attributable to noncontrolling interests</w:t>
            </w: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100" w:type="dxa"/>
            <w:vAlign w:val="bottom"/>
            <w:gridSpan w:val="4"/>
            <w:shd w:val="clear" w:color="auto" w:fill="CFF0FC"/>
          </w:tcPr>
          <w:p>
            <w:pPr>
              <w:jc w:val="right"/>
              <w:ind w:right="200"/>
              <w:spacing w:after="0"/>
              <w:rPr>
                <w:sz w:val="20"/>
                <w:szCs w:val="20"/>
                <w:color w:val="auto"/>
              </w:rPr>
            </w:pPr>
            <w:r>
              <w:rPr>
                <w:rFonts w:ascii="Arial" w:cs="Arial" w:eastAsia="Arial" w:hAnsi="Arial"/>
                <w:sz w:val="17"/>
                <w:szCs w:val="17"/>
                <w:color w:val="auto"/>
              </w:rPr>
              <w:t>(0.7)%</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tcPr>
          <w:p>
            <w:pPr>
              <w:ind w:left="240"/>
              <w:spacing w:after="0"/>
              <w:rPr>
                <w:sz w:val="20"/>
                <w:szCs w:val="20"/>
                <w:color w:val="auto"/>
              </w:rPr>
            </w:pPr>
            <w:r>
              <w:rPr>
                <w:rFonts w:ascii="Arial" w:cs="Arial" w:eastAsia="Arial" w:hAnsi="Arial"/>
                <w:sz w:val="17"/>
                <w:szCs w:val="17"/>
                <w:color w:val="auto"/>
              </w:rPr>
              <w:t>Net income attributable to Parsons Corporation</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gridSpan w:val="4"/>
          </w:tcPr>
          <w:p>
            <w:pPr>
              <w:jc w:val="right"/>
              <w:ind w:right="260"/>
              <w:spacing w:after="0"/>
              <w:rPr>
                <w:sz w:val="20"/>
                <w:szCs w:val="20"/>
                <w:color w:val="auto"/>
              </w:rPr>
            </w:pPr>
            <w:r>
              <w:rPr>
                <w:rFonts w:ascii="Arial" w:cs="Arial" w:eastAsia="Arial" w:hAnsi="Arial"/>
                <w:sz w:val="17"/>
                <w:szCs w:val="17"/>
                <w:color w:val="auto"/>
              </w:rPr>
              <w:t>1.8%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7"/>
                <w:szCs w:val="17"/>
                <w:i w:val="1"/>
                <w:iCs w:val="1"/>
                <w:color w:val="auto"/>
              </w:rPr>
              <w:t>Revenue</w:t>
            </w: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8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5820" w:type="dxa"/>
            <w:vAlign w:val="bottom"/>
          </w:tcPr>
          <w:p>
            <w:pPr>
              <w:spacing w:after="0"/>
              <w:rPr>
                <w:sz w:val="24"/>
                <w:szCs w:val="24"/>
                <w:color w:val="auto"/>
              </w:rPr>
            </w:pPr>
          </w:p>
        </w:tc>
        <w:tc>
          <w:tcPr>
            <w:tcW w:w="252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Variance</w:t>
            </w:r>
          </w:p>
        </w:tc>
        <w:tc>
          <w:tcPr>
            <w:tcW w:w="8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820" w:type="dxa"/>
            <w:vAlign w:val="bottom"/>
          </w:tcPr>
          <w:p>
            <w:pPr>
              <w:spacing w:after="0"/>
              <w:rPr>
                <w:sz w:val="12"/>
                <w:szCs w:val="12"/>
                <w:color w:val="auto"/>
              </w:rPr>
            </w:pPr>
          </w:p>
        </w:tc>
        <w:tc>
          <w:tcPr>
            <w:tcW w:w="1360" w:type="dxa"/>
            <w:vAlign w:val="bottom"/>
            <w:gridSpan w:val="2"/>
          </w:tcPr>
          <w:p>
            <w:pPr>
              <w:ind w:left="120"/>
              <w:spacing w:after="0" w:line="146" w:lineRule="exact"/>
              <w:rPr>
                <w:sz w:val="20"/>
                <w:szCs w:val="20"/>
                <w:color w:val="auto"/>
              </w:rPr>
            </w:pPr>
            <w:r>
              <w:rPr>
                <w:rFonts w:ascii="Arial" w:cs="Arial" w:eastAsia="Arial" w:hAnsi="Arial"/>
                <w:sz w:val="14"/>
                <w:szCs w:val="14"/>
                <w:b w:val="1"/>
                <w:bCs w:val="1"/>
                <w:color w:val="auto"/>
              </w:rPr>
              <w:t>December 31,</w:t>
            </w:r>
          </w:p>
        </w:tc>
        <w:tc>
          <w:tcPr>
            <w:tcW w:w="1160" w:type="dxa"/>
            <w:vAlign w:val="bottom"/>
            <w:gridSpan w:val="2"/>
          </w:tcPr>
          <w:p>
            <w:pPr>
              <w:ind w:left="140"/>
              <w:spacing w:after="0" w:line="146"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gridSpan w:val="2"/>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Dollar</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   3,660,771</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   3,918,946</w:t>
            </w:r>
          </w:p>
        </w:tc>
        <w:tc>
          <w:tcPr>
            <w:tcW w:w="540" w:type="dxa"/>
            <w:vAlign w:val="bottom"/>
            <w:gridSpan w:val="2"/>
            <w:shd w:val="clear" w:color="auto" w:fill="CFF0FC"/>
          </w:tcPr>
          <w:p>
            <w:pPr>
              <w:jc w:val="right"/>
              <w:ind w:right="152"/>
              <w:spacing w:after="0"/>
              <w:rPr>
                <w:sz w:val="20"/>
                <w:szCs w:val="20"/>
                <w:color w:val="auto"/>
              </w:rPr>
            </w:pPr>
            <w:r>
              <w:rPr>
                <w:rFonts w:ascii="Arial" w:cs="Arial" w:eastAsia="Arial" w:hAnsi="Arial"/>
                <w:sz w:val="17"/>
                <w:szCs w:val="17"/>
                <w:color w:val="auto"/>
              </w:rPr>
              <w:t>$</w:t>
            </w:r>
          </w:p>
        </w:tc>
        <w:tc>
          <w:tcPr>
            <w:tcW w:w="1060" w:type="dxa"/>
            <w:vAlign w:val="bottom"/>
            <w:gridSpan w:val="4"/>
            <w:shd w:val="clear" w:color="auto" w:fill="CFF0FC"/>
          </w:tcPr>
          <w:p>
            <w:pPr>
              <w:jc w:val="right"/>
              <w:ind w:right="180"/>
              <w:spacing w:after="0"/>
              <w:rPr>
                <w:sz w:val="20"/>
                <w:szCs w:val="20"/>
                <w:color w:val="auto"/>
              </w:rPr>
            </w:pPr>
            <w:r>
              <w:rPr>
                <w:rFonts w:ascii="Arial" w:cs="Arial" w:eastAsia="Arial" w:hAnsi="Arial"/>
                <w:sz w:val="17"/>
                <w:szCs w:val="17"/>
                <w:color w:val="auto"/>
              </w:rPr>
              <w:t>(258,175)</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bl>
    <w:p>
      <w:pPr>
        <w:spacing w:after="0" w:line="101" w:lineRule="exact"/>
        <w:rPr>
          <w:sz w:val="20"/>
          <w:szCs w:val="20"/>
          <w:color w:val="auto"/>
        </w:rPr>
      </w:pPr>
    </w:p>
    <w:p>
      <w:pPr>
        <w:jc w:val="both"/>
        <w:ind w:right="60" w:firstLine="743"/>
        <w:spacing w:after="0" w:line="238" w:lineRule="auto"/>
        <w:rPr>
          <w:sz w:val="20"/>
          <w:szCs w:val="20"/>
          <w:color w:val="auto"/>
        </w:rPr>
      </w:pPr>
      <w:r>
        <w:rPr>
          <w:rFonts w:ascii="Arial" w:cs="Arial" w:eastAsia="Arial" w:hAnsi="Arial"/>
          <w:sz w:val="17"/>
          <w:szCs w:val="17"/>
          <w:color w:val="auto"/>
        </w:rPr>
        <w:t>Revenue for the year ended December 31, 2021 compared to the prior year decreased $258.2 million. This decrease was primarily due to a decrease in revenue in our Critical Infrastructure segment of $234.3 million and a decrease in our Federal Solutions segment of $23.8 million. See “— Segment Results” below for further discussion.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 costs of contracts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627"/>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6"/>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12"/>
                <w:szCs w:val="12"/>
                <w:color w:val="auto"/>
              </w:rPr>
            </w:pPr>
          </w:p>
        </w:tc>
        <w:tc>
          <w:tcPr>
            <w:tcW w:w="1040" w:type="dxa"/>
            <w:vAlign w:val="bottom"/>
          </w:tcPr>
          <w:p>
            <w:pPr>
              <w:jc w:val="center"/>
              <w:ind w:right="47"/>
              <w:spacing w:after="0" w:line="146" w:lineRule="exact"/>
              <w:rPr>
                <w:sz w:val="20"/>
                <w:szCs w:val="20"/>
                <w:color w:val="auto"/>
              </w:rPr>
            </w:pPr>
            <w:r>
              <w:rPr>
                <w:rFonts w:ascii="Arial" w:cs="Arial" w:eastAsia="Arial" w:hAnsi="Arial"/>
                <w:sz w:val="14"/>
                <w:szCs w:val="14"/>
                <w:b w:val="1"/>
                <w:bCs w:val="1"/>
                <w:color w:val="auto"/>
                <w:w w:val="96"/>
              </w:rPr>
              <w:t>December 31,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4"/>
        </w:trPr>
        <w:tc>
          <w:tcPr>
            <w:tcW w:w="58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6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Dollar</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160" w:type="dxa"/>
            <w:vAlign w:val="bottom"/>
            <w:tcBorders>
              <w:bottom w:val="single" w:sz="8" w:color="CFF0FC"/>
            </w:tcBorders>
          </w:tcPr>
          <w:p>
            <w:pPr>
              <w:spacing w:after="0"/>
              <w:rPr>
                <w:sz w:val="14"/>
                <w:szCs w:val="14"/>
                <w:color w:val="auto"/>
              </w:rPr>
            </w:pPr>
          </w:p>
        </w:tc>
      </w:tr>
      <w:tr>
        <w:trPr>
          <w:trHeight w:val="196"/>
        </w:trPr>
        <w:tc>
          <w:tcPr>
            <w:tcW w:w="5820" w:type="dxa"/>
            <w:vAlign w:val="bottom"/>
            <w:shd w:val="clear" w:color="auto" w:fill="CFF0FC"/>
          </w:tcPr>
          <w:p>
            <w:pPr>
              <w:spacing w:after="0"/>
              <w:rPr>
                <w:sz w:val="20"/>
                <w:szCs w:val="20"/>
                <w:color w:val="auto"/>
              </w:rPr>
            </w:pPr>
            <w:r>
              <w:rPr>
                <w:rFonts w:ascii="Arial" w:cs="Arial" w:eastAsia="Arial" w:hAnsi="Arial"/>
                <w:sz w:val="17"/>
                <w:szCs w:val="17"/>
                <w:color w:val="auto"/>
              </w:rPr>
              <w:t>Direct cost of contracts</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2,807,950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3,042,087</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(234,137)</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-7.7%</w:t>
            </w:r>
          </w:p>
        </w:tc>
      </w:tr>
    </w:tbl>
    <w:p>
      <w:pPr>
        <w:spacing w:after="0" w:line="101" w:lineRule="exact"/>
        <w:rPr>
          <w:sz w:val="20"/>
          <w:szCs w:val="20"/>
          <w:color w:val="auto"/>
        </w:rPr>
      </w:pPr>
    </w:p>
    <w:p>
      <w:pPr>
        <w:ind w:firstLine="743"/>
        <w:spacing w:after="0" w:line="238" w:lineRule="auto"/>
        <w:rPr>
          <w:sz w:val="20"/>
          <w:szCs w:val="20"/>
          <w:color w:val="auto"/>
        </w:rPr>
      </w:pPr>
      <w:r>
        <w:rPr>
          <w:rFonts w:ascii="Arial" w:cs="Arial" w:eastAsia="Arial" w:hAnsi="Arial"/>
          <w:sz w:val="17"/>
          <w:szCs w:val="17"/>
          <w:color w:val="auto"/>
        </w:rPr>
        <w:t>Direct cost of contracts decreased in 2021 primarily due to a decrease of $197.0 million in our Critical Infrastructure segment and a decrease of $37.1 million in our Federal Solutions segment. The decrease was primarily attributable to a decrease in business volume on contracts with significant pass-through costs and a decrease in business volume from project completions and transitions.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in earnings of unconsolidated joint ventures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667"/>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6"/>
        </w:trPr>
        <w:tc>
          <w:tcPr>
            <w:tcW w:w="5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48"/>
              <w:spacing w:after="0" w:line="146" w:lineRule="exact"/>
              <w:rPr>
                <w:sz w:val="20"/>
                <w:szCs w:val="20"/>
                <w:color w:val="auto"/>
              </w:rPr>
            </w:pPr>
            <w:r>
              <w:rPr>
                <w:rFonts w:ascii="Arial" w:cs="Arial" w:eastAsia="Arial" w:hAnsi="Arial"/>
                <w:sz w:val="14"/>
                <w:szCs w:val="14"/>
                <w:b w:val="1"/>
                <w:bCs w:val="1"/>
                <w:color w:val="auto"/>
                <w:w w:val="96"/>
              </w:rPr>
              <w:t>December 31,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67"/>
              <w:spacing w:after="0" w:line="146" w:lineRule="exact"/>
              <w:rPr>
                <w:sz w:val="20"/>
                <w:szCs w:val="20"/>
                <w:color w:val="auto"/>
              </w:rPr>
            </w:pPr>
            <w:r>
              <w:rPr>
                <w:rFonts w:ascii="Arial" w:cs="Arial" w:eastAsia="Arial" w:hAnsi="Arial"/>
                <w:sz w:val="14"/>
                <w:szCs w:val="14"/>
                <w:b w:val="1"/>
                <w:bCs w:val="1"/>
                <w:color w:val="auto"/>
                <w:w w:val="96"/>
              </w:rPr>
              <w:t>December 31,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4"/>
        </w:trPr>
        <w:tc>
          <w:tcPr>
            <w:tcW w:w="57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6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27"/>
              <w:spacing w:after="0"/>
              <w:rPr>
                <w:sz w:val="20"/>
                <w:szCs w:val="20"/>
                <w:color w:val="auto"/>
              </w:rPr>
            </w:pPr>
            <w:r>
              <w:rPr>
                <w:rFonts w:ascii="Arial" w:cs="Arial" w:eastAsia="Arial" w:hAnsi="Arial"/>
                <w:sz w:val="14"/>
                <w:szCs w:val="14"/>
                <w:b w:val="1"/>
                <w:bCs w:val="1"/>
                <w:color w:val="auto"/>
              </w:rPr>
              <w:t>Dollar</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160" w:type="dxa"/>
            <w:vAlign w:val="bottom"/>
            <w:tcBorders>
              <w:bottom w:val="single" w:sz="8" w:color="CFF0FC"/>
            </w:tcBorders>
          </w:tcPr>
          <w:p>
            <w:pPr>
              <w:spacing w:after="0"/>
              <w:rPr>
                <w:sz w:val="14"/>
                <w:szCs w:val="14"/>
                <w:color w:val="auto"/>
              </w:rPr>
            </w:pPr>
          </w:p>
        </w:tc>
      </w:tr>
      <w:tr>
        <w:trPr>
          <w:trHeight w:val="196"/>
        </w:trPr>
        <w:tc>
          <w:tcPr>
            <w:tcW w:w="5740" w:type="dxa"/>
            <w:vAlign w:val="bottom"/>
            <w:shd w:val="clear" w:color="auto" w:fill="CFF0FC"/>
          </w:tcPr>
          <w:p>
            <w:pPr>
              <w:spacing w:after="0"/>
              <w:rPr>
                <w:sz w:val="20"/>
                <w:szCs w:val="20"/>
                <w:color w:val="auto"/>
              </w:rPr>
            </w:pPr>
            <w:r>
              <w:rPr>
                <w:rFonts w:ascii="Arial" w:cs="Arial" w:eastAsia="Arial" w:hAnsi="Arial"/>
                <w:sz w:val="17"/>
                <w:szCs w:val="17"/>
                <w:color w:val="auto"/>
              </w:rPr>
              <w:t>Equity in earnings of unconsolidated joint ventures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36,862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30,059</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6,803</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22.6%</w:t>
            </w:r>
          </w:p>
        </w:tc>
      </w:tr>
    </w:tbl>
    <w:p>
      <w:pPr>
        <w:spacing w:after="0" w:line="101" w:lineRule="exact"/>
        <w:rPr>
          <w:sz w:val="20"/>
          <w:szCs w:val="20"/>
          <w:color w:val="auto"/>
        </w:rPr>
      </w:pPr>
    </w:p>
    <w:p>
      <w:pPr>
        <w:jc w:val="both"/>
        <w:ind w:right="160" w:firstLine="743"/>
        <w:spacing w:after="0" w:line="238" w:lineRule="auto"/>
        <w:rPr>
          <w:sz w:val="20"/>
          <w:szCs w:val="20"/>
          <w:color w:val="auto"/>
        </w:rPr>
      </w:pPr>
      <w:r>
        <w:rPr>
          <w:rFonts w:ascii="Arial" w:cs="Arial" w:eastAsia="Arial" w:hAnsi="Arial"/>
          <w:sz w:val="17"/>
          <w:szCs w:val="17"/>
          <w:color w:val="auto"/>
        </w:rPr>
        <w:t>Equity in earnings of unconsolidated joint ventures increased in fiscal 2021 primarily due to $7.5 million from newly started joint ventures in 2021. The remaining fluctuation was due to decreases associated with the timing of the completion of joint ventures and other small changes across multiple joint ventures as part of ordinary course timing fluctuations in our business. In addition, there were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color w:val="auto"/>
        </w:rPr>
        <w:t>offsetting write-downs of $15.6 million and $15.5 million in 2021 and 2020, respectively, on a project in the Critical Infrastructure segment.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627"/>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6"/>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12"/>
                <w:szCs w:val="12"/>
                <w:color w:val="auto"/>
              </w:rPr>
            </w:pPr>
          </w:p>
        </w:tc>
        <w:tc>
          <w:tcPr>
            <w:tcW w:w="1040" w:type="dxa"/>
            <w:vAlign w:val="bottom"/>
          </w:tcPr>
          <w:p>
            <w:pPr>
              <w:jc w:val="center"/>
              <w:ind w:right="47"/>
              <w:spacing w:after="0" w:line="146" w:lineRule="exact"/>
              <w:rPr>
                <w:sz w:val="20"/>
                <w:szCs w:val="20"/>
                <w:color w:val="auto"/>
              </w:rPr>
            </w:pPr>
            <w:r>
              <w:rPr>
                <w:rFonts w:ascii="Arial" w:cs="Arial" w:eastAsia="Arial" w:hAnsi="Arial"/>
                <w:sz w:val="14"/>
                <w:szCs w:val="14"/>
                <w:b w:val="1"/>
                <w:bCs w:val="1"/>
                <w:color w:val="auto"/>
                <w:w w:val="96"/>
              </w:rPr>
              <w:t>December 31,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4"/>
        </w:trPr>
        <w:tc>
          <w:tcPr>
            <w:tcW w:w="58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6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27"/>
              <w:spacing w:after="0"/>
              <w:rPr>
                <w:sz w:val="20"/>
                <w:szCs w:val="20"/>
                <w:color w:val="auto"/>
              </w:rPr>
            </w:pPr>
            <w:r>
              <w:rPr>
                <w:rFonts w:ascii="Arial" w:cs="Arial" w:eastAsia="Arial" w:hAnsi="Arial"/>
                <w:sz w:val="14"/>
                <w:szCs w:val="14"/>
                <w:b w:val="1"/>
                <w:bCs w:val="1"/>
                <w:color w:val="auto"/>
              </w:rPr>
              <w:t>Dollar</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160" w:type="dxa"/>
            <w:vAlign w:val="bottom"/>
            <w:tcBorders>
              <w:bottom w:val="single" w:sz="8" w:color="CFF0FC"/>
            </w:tcBorders>
          </w:tcPr>
          <w:p>
            <w:pPr>
              <w:spacing w:after="0"/>
              <w:rPr>
                <w:sz w:val="14"/>
                <w:szCs w:val="14"/>
                <w:color w:val="auto"/>
              </w:rPr>
            </w:pPr>
          </w:p>
        </w:tc>
      </w:tr>
      <w:tr>
        <w:trPr>
          <w:trHeight w:val="196"/>
        </w:trPr>
        <w:tc>
          <w:tcPr>
            <w:tcW w:w="5820" w:type="dxa"/>
            <w:vAlign w:val="bottom"/>
            <w:shd w:val="clear" w:color="auto" w:fill="CFF0FC"/>
          </w:tcPr>
          <w:p>
            <w:pPr>
              <w:spacing w:after="0"/>
              <w:rPr>
                <w:sz w:val="20"/>
                <w:szCs w:val="20"/>
                <w:color w:val="auto"/>
              </w:rPr>
            </w:pPr>
            <w:r>
              <w:rPr>
                <w:rFonts w:ascii="Arial" w:cs="Arial" w:eastAsia="Arial" w:hAnsi="Arial"/>
                <w:sz w:val="17"/>
                <w:szCs w:val="17"/>
                <w:color w:val="auto"/>
              </w:rPr>
              <w:t>Selling, general and administrative expenses</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757,237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729,103</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28,134</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3.9%</w:t>
            </w:r>
          </w:p>
        </w:tc>
      </w:tr>
    </w:tbl>
    <w:p>
      <w:pPr>
        <w:spacing w:after="0" w:line="101" w:lineRule="exact"/>
        <w:rPr>
          <w:sz w:val="20"/>
          <w:szCs w:val="20"/>
          <w:color w:val="auto"/>
        </w:rPr>
      </w:pPr>
    </w:p>
    <w:p>
      <w:pPr>
        <w:ind w:right="340" w:firstLine="743"/>
        <w:spacing w:after="0" w:line="242" w:lineRule="auto"/>
        <w:rPr>
          <w:sz w:val="20"/>
          <w:szCs w:val="20"/>
          <w:color w:val="auto"/>
        </w:rPr>
      </w:pPr>
      <w:r>
        <w:rPr>
          <w:rFonts w:ascii="Arial" w:cs="Arial" w:eastAsia="Arial" w:hAnsi="Arial"/>
          <w:sz w:val="17"/>
          <w:szCs w:val="17"/>
          <w:color w:val="auto"/>
        </w:rPr>
        <w:t>SG&amp;A expenses for the years ended December 31, 2021 and December 31, 2020 include $19.6 million and $9.8 million, respectively, of compensation cost associated with equity-based awards.</w:t>
      </w:r>
    </w:p>
    <w:p>
      <w:pPr>
        <w:spacing w:after="0" w:line="88" w:lineRule="exact"/>
        <w:rPr>
          <w:sz w:val="20"/>
          <w:szCs w:val="20"/>
          <w:color w:val="auto"/>
        </w:rPr>
      </w:pPr>
    </w:p>
    <w:p>
      <w:pPr>
        <w:ind w:right="20" w:firstLine="743"/>
        <w:spacing w:after="0" w:line="236" w:lineRule="auto"/>
        <w:rPr>
          <w:sz w:val="20"/>
          <w:szCs w:val="20"/>
          <w:color w:val="auto"/>
        </w:rPr>
      </w:pPr>
      <w:r>
        <w:rPr>
          <w:rFonts w:ascii="Arial" w:cs="Arial" w:eastAsia="Arial" w:hAnsi="Arial"/>
          <w:sz w:val="17"/>
          <w:szCs w:val="17"/>
          <w:color w:val="auto"/>
        </w:rPr>
        <w:t>Equity awards issued prior to the Company’s IPO were settled in cash and were remeasured to an updated fair value at each reporting period until the award was settled. Compensation cost was trued-up at each reporting period for changes in fair value pro-rated for the portion of the requisite service period rendered. Subsequent to the IPO, the share price of the Company’s common stock is based on quoted prices on the New York Stock Exchange. The plans in which these awards were granted have been frozen and the Company does not currently intend to grant any further cash settled equity-based awards.</w:t>
      </w:r>
    </w:p>
    <w:p>
      <w:pPr>
        <w:spacing w:after="0" w:line="91" w:lineRule="exact"/>
        <w:rPr>
          <w:sz w:val="20"/>
          <w:szCs w:val="20"/>
          <w:color w:val="auto"/>
        </w:rPr>
      </w:pPr>
    </w:p>
    <w:p>
      <w:pPr>
        <w:ind w:right="260" w:firstLine="743"/>
        <w:spacing w:after="0" w:line="242" w:lineRule="auto"/>
        <w:rPr>
          <w:sz w:val="20"/>
          <w:szCs w:val="20"/>
          <w:color w:val="auto"/>
        </w:rPr>
      </w:pPr>
      <w:r>
        <w:rPr>
          <w:rFonts w:ascii="Arial" w:cs="Arial" w:eastAsia="Arial" w:hAnsi="Arial"/>
          <w:sz w:val="17"/>
          <w:szCs w:val="17"/>
          <w:color w:val="auto"/>
        </w:rPr>
        <w:t>Excluding the compensation costs discussed above, SG&amp;A for the years ended December 31, 2021 and December 31, 2020 was $737.6 million and $719.3 million, respectively.</w:t>
      </w:r>
    </w:p>
    <w:p>
      <w:pPr>
        <w:spacing w:after="0" w:line="88" w:lineRule="exact"/>
        <w:rPr>
          <w:sz w:val="20"/>
          <w:szCs w:val="20"/>
          <w:color w:val="auto"/>
        </w:rPr>
      </w:pPr>
    </w:p>
    <w:p>
      <w:pPr>
        <w:ind w:right="40" w:firstLine="743"/>
        <w:spacing w:after="0" w:line="238" w:lineRule="auto"/>
        <w:rPr>
          <w:sz w:val="20"/>
          <w:szCs w:val="20"/>
          <w:color w:val="auto"/>
        </w:rPr>
      </w:pPr>
      <w:r>
        <w:rPr>
          <w:rFonts w:ascii="Arial" w:cs="Arial" w:eastAsia="Arial" w:hAnsi="Arial"/>
          <w:sz w:val="17"/>
          <w:szCs w:val="17"/>
          <w:color w:val="auto"/>
        </w:rPr>
        <w:t>The increase in SG&amp;A of $18.3 million, exclusive of equity compensation cost, was primarily due to additional expenses of $25.4 million associated with business acquisitions and $15.3 million intangible asset amortization. These increases were partially offset by $8.7 million reduction in transaction-related costs, $11.9 million reduction in incentive costs, and $1.8 million in other costs.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Total other (expense) income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rPr>
              <w:t>Fiscal Year Ended</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8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tcBorders>
              <w:bottom w:val="single" w:sz="8" w:color="auto"/>
            </w:tcBorders>
            <w:gridSpan w:val="2"/>
          </w:tcPr>
          <w:p>
            <w:pPr>
              <w:jc w:val="right"/>
              <w:ind w:right="19"/>
              <w:spacing w:after="0" w:line="157" w:lineRule="exact"/>
              <w:rPr>
                <w:sz w:val="20"/>
                <w:szCs w:val="20"/>
                <w:color w:val="auto"/>
              </w:rPr>
            </w:pPr>
            <w:r>
              <w:rPr>
                <w:rFonts w:ascii="Arial" w:cs="Arial" w:eastAsia="Arial" w:hAnsi="Arial"/>
                <w:sz w:val="14"/>
                <w:szCs w:val="14"/>
                <w:b w:val="1"/>
                <w:bCs w:val="1"/>
                <w:color w:val="auto"/>
                <w:w w:val="99"/>
              </w:rPr>
              <w:t>December 31, 2021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Dollar</w:t>
            </w:r>
          </w:p>
        </w:tc>
        <w:tc>
          <w:tcPr>
            <w:tcW w:w="5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80" w:type="dxa"/>
            <w:vAlign w:val="bottom"/>
          </w:tcPr>
          <w:p>
            <w:pPr>
              <w:ind w:left="240"/>
              <w:spacing w:after="0"/>
              <w:rPr>
                <w:sz w:val="20"/>
                <w:szCs w:val="20"/>
                <w:color w:val="auto"/>
              </w:rPr>
            </w:pPr>
            <w:r>
              <w:rPr>
                <w:rFonts w:ascii="Arial" w:cs="Arial" w:eastAsia="Arial" w:hAnsi="Arial"/>
                <w:sz w:val="17"/>
                <w:szCs w:val="17"/>
                <w:color w:val="auto"/>
              </w:rPr>
              <w:t>Interest income</w:t>
            </w:r>
          </w:p>
        </w:tc>
        <w:tc>
          <w:tcPr>
            <w:tcW w:w="1600" w:type="dxa"/>
            <w:vAlign w:val="bottom"/>
            <w:gridSpan w:val="2"/>
          </w:tcPr>
          <w:p>
            <w:pPr>
              <w:jc w:val="right"/>
              <w:ind w:right="292"/>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396</w:t>
            </w:r>
          </w:p>
        </w:tc>
        <w:tc>
          <w:tcPr>
            <w:tcW w:w="140" w:type="dxa"/>
            <w:vAlign w:val="bottom"/>
          </w:tcPr>
          <w:p>
            <w:pPr>
              <w:spacing w:after="0"/>
              <w:rPr>
                <w:sz w:val="17"/>
                <w:szCs w:val="17"/>
                <w:color w:val="auto"/>
              </w:rPr>
            </w:pPr>
          </w:p>
        </w:tc>
        <w:tc>
          <w:tcPr>
            <w:tcW w:w="720" w:type="dxa"/>
            <w:vAlign w:val="bottom"/>
            <w:gridSpan w:val="2"/>
          </w:tcPr>
          <w:p>
            <w:pPr>
              <w:jc w:val="right"/>
              <w:ind w:right="452"/>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787</w:t>
            </w:r>
          </w:p>
        </w:tc>
        <w:tc>
          <w:tcPr>
            <w:tcW w:w="160" w:type="dxa"/>
            <w:vAlign w:val="bottom"/>
          </w:tcPr>
          <w:p>
            <w:pPr>
              <w:spacing w:after="0"/>
              <w:rPr>
                <w:sz w:val="17"/>
                <w:szCs w:val="17"/>
                <w:color w:val="auto"/>
              </w:rPr>
            </w:pPr>
          </w:p>
        </w:tc>
        <w:tc>
          <w:tcPr>
            <w:tcW w:w="980" w:type="dxa"/>
            <w:vAlign w:val="bottom"/>
            <w:gridSpan w:val="2"/>
          </w:tcPr>
          <w:p>
            <w:pPr>
              <w:jc w:val="right"/>
              <w:ind w:right="712"/>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(391)</w:t>
            </w:r>
          </w:p>
        </w:tc>
        <w:tc>
          <w:tcPr>
            <w:tcW w:w="28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(49.7)%</w:t>
            </w:r>
          </w:p>
        </w:tc>
        <w:tc>
          <w:tcPr>
            <w:tcW w:w="0" w:type="dxa"/>
            <w:vAlign w:val="bottom"/>
          </w:tcPr>
          <w:p>
            <w:pPr>
              <w:spacing w:after="0"/>
              <w:rPr>
                <w:sz w:val="1"/>
                <w:szCs w:val="1"/>
                <w:color w:val="auto"/>
              </w:rPr>
            </w:pPr>
          </w:p>
        </w:tc>
      </w:tr>
      <w:tr>
        <w:trPr>
          <w:trHeight w:val="203"/>
        </w:trPr>
        <w:tc>
          <w:tcPr>
            <w:tcW w:w="3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Interest expense</w:t>
            </w:r>
          </w:p>
        </w:tc>
        <w:tc>
          <w:tcPr>
            <w:tcW w:w="1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(17,697)</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(20,956)</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3,259</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203"/>
        </w:trPr>
        <w:tc>
          <w:tcPr>
            <w:tcW w:w="3580" w:type="dxa"/>
            <w:vAlign w:val="bottom"/>
          </w:tcPr>
          <w:p>
            <w:pPr>
              <w:ind w:left="240"/>
              <w:spacing w:after="0"/>
              <w:rPr>
                <w:sz w:val="20"/>
                <w:szCs w:val="20"/>
                <w:color w:val="auto"/>
              </w:rPr>
            </w:pPr>
            <w:r>
              <w:rPr>
                <w:rFonts w:ascii="Arial" w:cs="Arial" w:eastAsia="Arial" w:hAnsi="Arial"/>
                <w:sz w:val="17"/>
                <w:szCs w:val="17"/>
                <w:color w:val="auto"/>
              </w:rPr>
              <w:t>Other income (expense), net</w:t>
            </w: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(2,557)</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3,767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(6,324)</w:t>
            </w:r>
          </w:p>
        </w:tc>
        <w:tc>
          <w:tcPr>
            <w:tcW w:w="28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(167.9)%</w:t>
            </w:r>
          </w:p>
        </w:tc>
        <w:tc>
          <w:tcPr>
            <w:tcW w:w="0" w:type="dxa"/>
            <w:vAlign w:val="bottom"/>
          </w:tcPr>
          <w:p>
            <w:pPr>
              <w:spacing w:after="0"/>
              <w:rPr>
                <w:sz w:val="1"/>
                <w:szCs w:val="1"/>
                <w:color w:val="auto"/>
              </w:rPr>
            </w:pPr>
          </w:p>
        </w:tc>
      </w:tr>
      <w:tr>
        <w:trPr>
          <w:trHeight w:val="20"/>
        </w:trPr>
        <w:tc>
          <w:tcPr>
            <w:tcW w:w="358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other income (expense)</w:t>
            </w:r>
          </w:p>
        </w:tc>
        <w:tc>
          <w:tcPr>
            <w:tcW w:w="1600" w:type="dxa"/>
            <w:vAlign w:val="bottom"/>
            <w:gridSpan w:val="2"/>
            <w:shd w:val="clear" w:color="auto" w:fill="CFF0FC"/>
          </w:tcPr>
          <w:p>
            <w:pPr>
              <w:jc w:val="right"/>
              <w:ind w:right="292"/>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(19,858)</w:t>
            </w:r>
          </w:p>
        </w:tc>
        <w:tc>
          <w:tcPr>
            <w:tcW w:w="720" w:type="dxa"/>
            <w:vAlign w:val="bottom"/>
            <w:gridSpan w:val="2"/>
            <w:shd w:val="clear" w:color="auto" w:fill="CFF0FC"/>
          </w:tcPr>
          <w:p>
            <w:pPr>
              <w:jc w:val="right"/>
              <w:ind w:right="452"/>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(16,402)</w:t>
            </w:r>
          </w:p>
        </w:tc>
        <w:tc>
          <w:tcPr>
            <w:tcW w:w="980" w:type="dxa"/>
            <w:vAlign w:val="bottom"/>
            <w:gridSpan w:val="2"/>
            <w:shd w:val="clear" w:color="auto" w:fill="CFF0FC"/>
          </w:tcPr>
          <w:p>
            <w:pPr>
              <w:jc w:val="right"/>
              <w:ind w:right="712"/>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(3,456)</w:t>
            </w:r>
          </w:p>
        </w:tc>
        <w:tc>
          <w:tcPr>
            <w:tcW w:w="2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right="80" w:firstLine="743"/>
        <w:spacing w:after="0" w:line="236" w:lineRule="auto"/>
        <w:rPr>
          <w:sz w:val="20"/>
          <w:szCs w:val="20"/>
          <w:color w:val="auto"/>
        </w:rPr>
      </w:pPr>
      <w:r>
        <w:rPr>
          <w:rFonts w:ascii="Arial" w:cs="Arial" w:eastAsia="Arial" w:hAnsi="Arial"/>
          <w:sz w:val="17"/>
          <w:szCs w:val="17"/>
          <w:color w:val="auto"/>
        </w:rPr>
        <w:t>Interest expense decreased in 2021 primarily due to early adoption of ASU 2020-06 in the first quarter of 2021, resulting in no interest expense related to amortization of the debt discount during 2021 compared to $3.8 million in 2020. Refer to “Note 2 – Summary of Significant Accounting Policies” and “Note 12 – Debt and Credit Facilities” in the notes to our consolidated financial statements included elsewhere in this Annual Report on Form 10-K. The amounts in other income (expense), net, are primarily related to transaction gains and losses on foreign currency transactions and sublease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expense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4"/>
        </w:trPr>
        <w:tc>
          <w:tcPr>
            <w:tcW w:w="5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627"/>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6"/>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12"/>
                <w:szCs w:val="12"/>
                <w:color w:val="auto"/>
              </w:rPr>
            </w:pPr>
          </w:p>
        </w:tc>
        <w:tc>
          <w:tcPr>
            <w:tcW w:w="1040" w:type="dxa"/>
            <w:vAlign w:val="bottom"/>
          </w:tcPr>
          <w:p>
            <w:pPr>
              <w:jc w:val="center"/>
              <w:ind w:right="47"/>
              <w:spacing w:after="0" w:line="146" w:lineRule="exact"/>
              <w:rPr>
                <w:sz w:val="20"/>
                <w:szCs w:val="20"/>
                <w:color w:val="auto"/>
              </w:rPr>
            </w:pPr>
            <w:r>
              <w:rPr>
                <w:rFonts w:ascii="Arial" w:cs="Arial" w:eastAsia="Arial" w:hAnsi="Arial"/>
                <w:sz w:val="14"/>
                <w:szCs w:val="14"/>
                <w:b w:val="1"/>
                <w:bCs w:val="1"/>
                <w:color w:val="auto"/>
                <w:w w:val="96"/>
              </w:rPr>
              <w:t>December 31,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4"/>
        </w:trPr>
        <w:tc>
          <w:tcPr>
            <w:tcW w:w="58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6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Dollar</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160" w:type="dxa"/>
            <w:vAlign w:val="bottom"/>
            <w:tcBorders>
              <w:bottom w:val="single" w:sz="8" w:color="CFF0FC"/>
            </w:tcBorders>
          </w:tcPr>
          <w:p>
            <w:pPr>
              <w:spacing w:after="0"/>
              <w:rPr>
                <w:sz w:val="14"/>
                <w:szCs w:val="14"/>
                <w:color w:val="auto"/>
              </w:rPr>
            </w:pPr>
          </w:p>
        </w:tc>
      </w:tr>
      <w:tr>
        <w:trPr>
          <w:trHeight w:val="196"/>
        </w:trPr>
        <w:tc>
          <w:tcPr>
            <w:tcW w:w="5820" w:type="dxa"/>
            <w:vAlign w:val="bottom"/>
            <w:shd w:val="clear" w:color="auto" w:fill="CFF0FC"/>
          </w:tcPr>
          <w:p>
            <w:pPr>
              <w:spacing w:after="0"/>
              <w:rPr>
                <w:sz w:val="20"/>
                <w:szCs w:val="20"/>
                <w:color w:val="auto"/>
              </w:rPr>
            </w:pPr>
            <w:r>
              <w:rPr>
                <w:rFonts w:ascii="Arial" w:cs="Arial" w:eastAsia="Arial" w:hAnsi="Arial"/>
                <w:sz w:val="17"/>
                <w:szCs w:val="17"/>
                <w:color w:val="auto"/>
              </w:rPr>
              <w:t>Income tax expense (benefit)</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23,636</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42,492</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(18,856)</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44.4%</w:t>
            </w:r>
          </w:p>
        </w:tc>
      </w:tr>
    </w:tbl>
    <w:p>
      <w:pPr>
        <w:spacing w:after="0" w:line="202" w:lineRule="exact"/>
        <w:rPr>
          <w:sz w:val="20"/>
          <w:szCs w:val="20"/>
          <w:color w:val="auto"/>
        </w:rPr>
      </w:pPr>
    </w:p>
    <w:p>
      <w:pPr>
        <w:ind w:right="80" w:firstLine="735"/>
        <w:spacing w:after="0" w:line="238" w:lineRule="auto"/>
        <w:rPr>
          <w:sz w:val="20"/>
          <w:szCs w:val="20"/>
          <w:color w:val="auto"/>
        </w:rPr>
      </w:pPr>
      <w:r>
        <w:rPr>
          <w:rFonts w:ascii="Arial" w:cs="Arial" w:eastAsia="Arial" w:hAnsi="Arial"/>
          <w:sz w:val="17"/>
          <w:szCs w:val="17"/>
          <w:color w:val="auto"/>
        </w:rPr>
        <w:t>Income tax expense decreased in fiscal 2021 primarily due to an increase in untaxed income attributable to noncontrolling interests, release of a valuation allowance on foreign tax credits, a change in jurisdictional earnings, and a release of uncertain tax positions, partially offset by a write down of a foreign tax receivable and an increase in executive compensation subject to IRC Section 162(m) limitations.</w:t>
      </w:r>
    </w:p>
    <w:p>
      <w:pPr>
        <w:spacing w:after="0" w:line="192" w:lineRule="exact"/>
        <w:rPr>
          <w:sz w:val="20"/>
          <w:szCs w:val="20"/>
          <w:color w:val="auto"/>
        </w:rPr>
      </w:pPr>
    </w:p>
    <w:p>
      <w:pPr>
        <w:ind w:right="20" w:firstLine="735"/>
        <w:spacing w:after="0" w:line="235" w:lineRule="auto"/>
        <w:rPr>
          <w:sz w:val="20"/>
          <w:szCs w:val="20"/>
          <w:color w:val="auto"/>
        </w:rPr>
      </w:pPr>
      <w:r>
        <w:rPr>
          <w:rFonts w:ascii="Arial" w:cs="Arial" w:eastAsia="Arial" w:hAnsi="Arial"/>
          <w:sz w:val="17"/>
          <w:szCs w:val="17"/>
          <w:color w:val="auto"/>
        </w:rPr>
        <w:t>Our effective tax rate was 21.0% and 26.3% for the years ended December 31, 2021 and 2020, respectively. The difference between the statutory U.S. federal income tax rate of 21% and the effective tax rate for the year ended December 31, 2021 primarily relates to state income taxes and a recorded valuation allowance on foreign tax credit carryovers, a write down of a foreign tax receivable and an increase in executive compensation subject to IRC Section 162(m) limitations, offset by benefits related to income attributable to noncontrolling interest, release of uncertain tax positions, and federal research tax credits. For the year ended December 31, 2020, the difference primarily relates to state income taxes and a recorded valuation allowance on foreign tax credits, partially offset by benefits related to income attributable to noncontrolling interest and federal research tax credits.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 ended December 31, 2020 compared to year ended December 31, 2019</w:t>
      </w:r>
    </w:p>
    <w:p>
      <w:pPr>
        <w:spacing w:after="0" w:line="11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following table sets forth our results of operations for fiscal 2020 and fiscal 2019 as a percentage of revenue.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Fiscal Year Ended</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Borders>
              <w:bottom w:val="single" w:sz="8" w:color="auto"/>
            </w:tcBorders>
            <w:gridSpan w:val="3"/>
          </w:tcPr>
          <w:p>
            <w:pPr>
              <w:jc w:val="right"/>
              <w:spacing w:after="0" w:line="157" w:lineRule="exact"/>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580" w:type="dxa"/>
            <w:vAlign w:val="bottom"/>
            <w:tcBorders>
              <w:bottom w:val="single" w:sz="8" w:color="auto"/>
            </w:tcBorders>
            <w:gridSpan w:val="4"/>
          </w:tcPr>
          <w:p>
            <w:pPr>
              <w:ind w:left="180"/>
              <w:spacing w:after="0" w:line="157" w:lineRule="exact"/>
              <w:rPr>
                <w:sz w:val="20"/>
                <w:szCs w:val="20"/>
                <w:color w:val="auto"/>
              </w:rPr>
            </w:pPr>
            <w:r>
              <w:rPr>
                <w:rFonts w:ascii="Arial" w:cs="Arial" w:eastAsia="Arial" w:hAnsi="Arial"/>
                <w:sz w:val="14"/>
                <w:szCs w:val="14"/>
                <w:b w:val="1"/>
                <w:bCs w:val="1"/>
                <w:color w:val="auto"/>
              </w:rPr>
              <w:t>December 31, 2019</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20" w:type="dxa"/>
            <w:vAlign w:val="bottom"/>
          </w:tcPr>
          <w:p>
            <w:pPr>
              <w:spacing w:after="0"/>
              <w:rPr>
                <w:sz w:val="20"/>
                <w:szCs w:val="20"/>
                <w:color w:val="auto"/>
              </w:rPr>
            </w:pPr>
            <w:r>
              <w:rPr>
                <w:rFonts w:ascii="Arial" w:cs="Arial" w:eastAsia="Arial" w:hAnsi="Arial"/>
                <w:sz w:val="17"/>
                <w:szCs w:val="17"/>
                <w:color w:val="auto"/>
              </w:rPr>
              <w:t>Revenues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gridSpan w:val="4"/>
          </w:tcPr>
          <w:p>
            <w:pPr>
              <w:jc w:val="right"/>
              <w:ind w:right="260"/>
              <w:spacing w:after="0"/>
              <w:rPr>
                <w:sz w:val="20"/>
                <w:szCs w:val="20"/>
                <w:color w:val="auto"/>
              </w:rPr>
            </w:pPr>
            <w:r>
              <w:rPr>
                <w:rFonts w:ascii="Arial" w:cs="Arial" w:eastAsia="Arial" w:hAnsi="Arial"/>
                <w:sz w:val="17"/>
                <w:szCs w:val="17"/>
                <w:color w:val="auto"/>
              </w:rPr>
              <w:t>100.0%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spacing w:after="0"/>
              <w:rPr>
                <w:sz w:val="20"/>
                <w:szCs w:val="20"/>
                <w:color w:val="auto"/>
              </w:rPr>
            </w:pPr>
            <w:r>
              <w:rPr>
                <w:rFonts w:ascii="Arial" w:cs="Arial" w:eastAsia="Arial" w:hAnsi="Arial"/>
                <w:sz w:val="17"/>
                <w:szCs w:val="17"/>
                <w:color w:val="auto"/>
              </w:rPr>
              <w:t>Direct costs of contracts</w:t>
            </w: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100" w:type="dxa"/>
            <w:vAlign w:val="bottom"/>
            <w:gridSpan w:val="4"/>
            <w:shd w:val="clear" w:color="auto" w:fill="CFF0FC"/>
          </w:tcPr>
          <w:p>
            <w:pPr>
              <w:jc w:val="right"/>
              <w:ind w:right="260"/>
              <w:spacing w:after="0"/>
              <w:rPr>
                <w:sz w:val="20"/>
                <w:szCs w:val="20"/>
                <w:color w:val="auto"/>
              </w:rPr>
            </w:pPr>
            <w:r>
              <w:rPr>
                <w:rFonts w:ascii="Arial" w:cs="Arial" w:eastAsia="Arial" w:hAnsi="Arial"/>
                <w:sz w:val="17"/>
                <w:szCs w:val="17"/>
                <w:color w:val="auto"/>
              </w:rPr>
              <w:t>77.6%</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79.0%</w:t>
            </w:r>
          </w:p>
        </w:tc>
        <w:tc>
          <w:tcPr>
            <w:tcW w:w="0" w:type="dxa"/>
            <w:vAlign w:val="bottom"/>
          </w:tcPr>
          <w:p>
            <w:pPr>
              <w:spacing w:after="0"/>
              <w:rPr>
                <w:sz w:val="1"/>
                <w:szCs w:val="1"/>
                <w:color w:val="auto"/>
              </w:rPr>
            </w:pPr>
          </w:p>
        </w:tc>
      </w:tr>
      <w:tr>
        <w:trPr>
          <w:trHeight w:val="203"/>
        </w:trPr>
        <w:tc>
          <w:tcPr>
            <w:tcW w:w="5820" w:type="dxa"/>
            <w:vAlign w:val="bottom"/>
          </w:tcPr>
          <w:p>
            <w:pPr>
              <w:spacing w:after="0"/>
              <w:rPr>
                <w:sz w:val="20"/>
                <w:szCs w:val="20"/>
                <w:color w:val="auto"/>
              </w:rPr>
            </w:pPr>
            <w:r>
              <w:rPr>
                <w:rFonts w:ascii="Arial" w:cs="Arial" w:eastAsia="Arial" w:hAnsi="Arial"/>
                <w:sz w:val="17"/>
                <w:szCs w:val="17"/>
                <w:color w:val="auto"/>
              </w:rPr>
              <w:t>Equity in earnings of unconsolidated joint ventures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gridSpan w:val="4"/>
          </w:tcPr>
          <w:p>
            <w:pPr>
              <w:jc w:val="right"/>
              <w:ind w:right="260"/>
              <w:spacing w:after="0"/>
              <w:rPr>
                <w:sz w:val="20"/>
                <w:szCs w:val="20"/>
                <w:color w:val="auto"/>
              </w:rPr>
            </w:pPr>
            <w:r>
              <w:rPr>
                <w:rFonts w:ascii="Arial" w:cs="Arial" w:eastAsia="Arial" w:hAnsi="Arial"/>
                <w:sz w:val="17"/>
                <w:szCs w:val="17"/>
                <w:color w:val="auto"/>
              </w:rPr>
              <w:t>0.8%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spacing w:after="0"/>
              <w:rPr>
                <w:sz w:val="20"/>
                <w:szCs w:val="20"/>
                <w:color w:val="auto"/>
              </w:rPr>
            </w:pPr>
            <w:r>
              <w:rPr>
                <w:rFonts w:ascii="Arial" w:cs="Arial" w:eastAsia="Arial" w:hAnsi="Arial"/>
                <w:sz w:val="17"/>
                <w:szCs w:val="17"/>
                <w:color w:val="auto"/>
              </w:rPr>
              <w:t>Selling, general and administrative expenses</w:t>
            </w: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100" w:type="dxa"/>
            <w:vAlign w:val="bottom"/>
            <w:gridSpan w:val="4"/>
            <w:shd w:val="clear" w:color="auto" w:fill="CFF0FC"/>
          </w:tcPr>
          <w:p>
            <w:pPr>
              <w:jc w:val="right"/>
              <w:ind w:right="260"/>
              <w:spacing w:after="0"/>
              <w:rPr>
                <w:sz w:val="20"/>
                <w:szCs w:val="20"/>
                <w:color w:val="auto"/>
              </w:rPr>
            </w:pPr>
            <w:r>
              <w:rPr>
                <w:rFonts w:ascii="Arial" w:cs="Arial" w:eastAsia="Arial" w:hAnsi="Arial"/>
                <w:sz w:val="17"/>
                <w:szCs w:val="17"/>
                <w:color w:val="auto"/>
              </w:rPr>
              <w:t>18.6%</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tcPr>
          <w:p>
            <w:pPr>
              <w:ind w:left="240"/>
              <w:spacing w:after="0"/>
              <w:rPr>
                <w:sz w:val="20"/>
                <w:szCs w:val="20"/>
                <w:color w:val="auto"/>
              </w:rPr>
            </w:pPr>
            <w:r>
              <w:rPr>
                <w:rFonts w:ascii="Arial" w:cs="Arial" w:eastAsia="Arial" w:hAnsi="Arial"/>
                <w:sz w:val="17"/>
                <w:szCs w:val="17"/>
                <w:color w:val="auto"/>
              </w:rPr>
              <w:t>Operating income</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gridSpan w:val="4"/>
          </w:tcPr>
          <w:p>
            <w:pPr>
              <w:jc w:val="right"/>
              <w:ind w:right="260"/>
              <w:spacing w:after="0"/>
              <w:rPr>
                <w:sz w:val="20"/>
                <w:szCs w:val="20"/>
                <w:color w:val="auto"/>
              </w:rPr>
            </w:pPr>
            <w:r>
              <w:rPr>
                <w:rFonts w:ascii="Arial" w:cs="Arial" w:eastAsia="Arial" w:hAnsi="Arial"/>
                <w:sz w:val="17"/>
                <w:szCs w:val="17"/>
                <w:color w:val="auto"/>
              </w:rPr>
              <w:t>4.5%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shd w:val="clear" w:color="auto" w:fill="CFF0FC"/>
          </w:tcPr>
          <w:p>
            <w:pPr>
              <w:spacing w:after="0"/>
              <w:rPr>
                <w:sz w:val="20"/>
                <w:szCs w:val="20"/>
                <w:color w:val="auto"/>
              </w:rPr>
            </w:pPr>
            <w:r>
              <w:rPr>
                <w:rFonts w:ascii="Arial" w:cs="Arial" w:eastAsia="Arial" w:hAnsi="Arial"/>
                <w:sz w:val="17"/>
                <w:szCs w:val="17"/>
                <w:color w:val="auto"/>
              </w:rPr>
              <w:t>Interest income</w:t>
            </w: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100" w:type="dxa"/>
            <w:vAlign w:val="bottom"/>
            <w:gridSpan w:val="4"/>
            <w:shd w:val="clear" w:color="auto" w:fill="CFF0FC"/>
          </w:tcPr>
          <w:p>
            <w:pPr>
              <w:jc w:val="right"/>
              <w:ind w:right="260"/>
              <w:spacing w:after="0"/>
              <w:rPr>
                <w:sz w:val="20"/>
                <w:szCs w:val="20"/>
                <w:color w:val="auto"/>
              </w:rPr>
            </w:pPr>
            <w:r>
              <w:rPr>
                <w:rFonts w:ascii="Arial" w:cs="Arial" w:eastAsia="Arial" w:hAnsi="Arial"/>
                <w:sz w:val="17"/>
                <w:szCs w:val="17"/>
                <w:color w:val="auto"/>
              </w:rPr>
              <w:t>0.0%</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03"/>
        </w:trPr>
        <w:tc>
          <w:tcPr>
            <w:tcW w:w="5820" w:type="dxa"/>
            <w:vAlign w:val="bottom"/>
          </w:tcPr>
          <w:p>
            <w:pPr>
              <w:spacing w:after="0"/>
              <w:rPr>
                <w:sz w:val="20"/>
                <w:szCs w:val="20"/>
                <w:color w:val="auto"/>
              </w:rPr>
            </w:pPr>
            <w:r>
              <w:rPr>
                <w:rFonts w:ascii="Arial" w:cs="Arial" w:eastAsia="Arial" w:hAnsi="Arial"/>
                <w:sz w:val="17"/>
                <w:szCs w:val="17"/>
                <w:color w:val="auto"/>
              </w:rPr>
              <w:t>Interest expense</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7"/>
                <w:szCs w:val="17"/>
                <w:color w:val="auto"/>
              </w:rPr>
              <w:t>(0.5)%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spacing w:after="0"/>
              <w:rPr>
                <w:sz w:val="20"/>
                <w:szCs w:val="20"/>
                <w:color w:val="auto"/>
              </w:rPr>
            </w:pPr>
            <w:r>
              <w:rPr>
                <w:rFonts w:ascii="Arial" w:cs="Arial" w:eastAsia="Arial" w:hAnsi="Arial"/>
                <w:sz w:val="17"/>
                <w:szCs w:val="17"/>
                <w:color w:val="auto"/>
              </w:rPr>
              <w:t>Other income, net</w:t>
            </w: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100" w:type="dxa"/>
            <w:vAlign w:val="bottom"/>
            <w:gridSpan w:val="4"/>
            <w:shd w:val="clear" w:color="auto" w:fill="CFF0FC"/>
          </w:tcPr>
          <w:p>
            <w:pPr>
              <w:jc w:val="right"/>
              <w:ind w:right="260"/>
              <w:spacing w:after="0"/>
              <w:rPr>
                <w:sz w:val="20"/>
                <w:szCs w:val="20"/>
                <w:color w:val="auto"/>
              </w:rPr>
            </w:pPr>
            <w:r>
              <w:rPr>
                <w:rFonts w:ascii="Arial" w:cs="Arial" w:eastAsia="Arial" w:hAnsi="Arial"/>
                <w:sz w:val="17"/>
                <w:szCs w:val="17"/>
                <w:color w:val="auto"/>
              </w:rPr>
              <w:t>0.1%</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tcPr>
          <w:p>
            <w:pPr>
              <w:ind w:left="240"/>
              <w:spacing w:after="0"/>
              <w:rPr>
                <w:sz w:val="20"/>
                <w:szCs w:val="20"/>
                <w:color w:val="auto"/>
              </w:rPr>
            </w:pPr>
            <w:r>
              <w:rPr>
                <w:rFonts w:ascii="Arial" w:cs="Arial" w:eastAsia="Arial" w:hAnsi="Arial"/>
                <w:sz w:val="17"/>
                <w:szCs w:val="17"/>
                <w:color w:val="auto"/>
              </w:rPr>
              <w:t>Total other income benefit (expense)</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7"/>
                <w:szCs w:val="17"/>
                <w:color w:val="auto"/>
              </w:rPr>
              <w:t>(0.4)%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Income before income tax expense</w:t>
            </w: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100" w:type="dxa"/>
            <w:vAlign w:val="bottom"/>
            <w:gridSpan w:val="4"/>
            <w:shd w:val="clear" w:color="auto" w:fill="CFF0FC"/>
          </w:tcPr>
          <w:p>
            <w:pPr>
              <w:jc w:val="right"/>
              <w:ind w:right="260"/>
              <w:spacing w:after="0"/>
              <w:rPr>
                <w:sz w:val="20"/>
                <w:szCs w:val="20"/>
                <w:color w:val="auto"/>
              </w:rPr>
            </w:pPr>
            <w:r>
              <w:rPr>
                <w:rFonts w:ascii="Arial" w:cs="Arial" w:eastAsia="Arial" w:hAnsi="Arial"/>
                <w:sz w:val="17"/>
                <w:szCs w:val="17"/>
                <w:color w:val="auto"/>
              </w:rPr>
              <w:t>4.1%</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3"/>
        </w:trPr>
        <w:tc>
          <w:tcPr>
            <w:tcW w:w="5820" w:type="dxa"/>
            <w:vAlign w:val="bottom"/>
          </w:tcPr>
          <w:p>
            <w:pPr>
              <w:spacing w:after="0"/>
              <w:rPr>
                <w:sz w:val="20"/>
                <w:szCs w:val="20"/>
                <w:color w:val="auto"/>
              </w:rPr>
            </w:pPr>
            <w:r>
              <w:rPr>
                <w:rFonts w:ascii="Arial" w:cs="Arial" w:eastAsia="Arial" w:hAnsi="Arial"/>
                <w:sz w:val="17"/>
                <w:szCs w:val="17"/>
                <w:color w:val="auto"/>
              </w:rPr>
              <w:t>Income tax benefit (expense)</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7"/>
                <w:szCs w:val="17"/>
                <w:color w:val="auto"/>
              </w:rPr>
              <w:t>(1.1)%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Net income including noncontrolling interests</w:t>
            </w: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100" w:type="dxa"/>
            <w:vAlign w:val="bottom"/>
            <w:gridSpan w:val="4"/>
            <w:shd w:val="clear" w:color="auto" w:fill="CFF0FC"/>
          </w:tcPr>
          <w:p>
            <w:pPr>
              <w:jc w:val="right"/>
              <w:ind w:right="260"/>
              <w:spacing w:after="0"/>
              <w:rPr>
                <w:sz w:val="20"/>
                <w:szCs w:val="20"/>
                <w:color w:val="auto"/>
              </w:rPr>
            </w:pPr>
            <w:r>
              <w:rPr>
                <w:rFonts w:ascii="Arial" w:cs="Arial" w:eastAsia="Arial" w:hAnsi="Arial"/>
                <w:sz w:val="17"/>
                <w:szCs w:val="17"/>
                <w:color w:val="auto"/>
              </w:rPr>
              <w:t>3.0%</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3"/>
        </w:trPr>
        <w:tc>
          <w:tcPr>
            <w:tcW w:w="5820" w:type="dxa"/>
            <w:vAlign w:val="bottom"/>
          </w:tcPr>
          <w:p>
            <w:pPr>
              <w:spacing w:after="0"/>
              <w:rPr>
                <w:sz w:val="20"/>
                <w:szCs w:val="20"/>
                <w:color w:val="auto"/>
              </w:rPr>
            </w:pPr>
            <w:r>
              <w:rPr>
                <w:rFonts w:ascii="Arial" w:cs="Arial" w:eastAsia="Arial" w:hAnsi="Arial"/>
                <w:sz w:val="17"/>
                <w:szCs w:val="17"/>
                <w:color w:val="auto"/>
              </w:rPr>
              <w:t>Net income attributable to noncontrolling interests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7"/>
                <w:szCs w:val="17"/>
                <w:color w:val="auto"/>
              </w:rPr>
              <w:t>(0.5)%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Net income attributable to Parsons Corporation</w:t>
            </w: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100" w:type="dxa"/>
            <w:vAlign w:val="bottom"/>
            <w:gridSpan w:val="4"/>
            <w:shd w:val="clear" w:color="auto" w:fill="CFF0FC"/>
          </w:tcPr>
          <w:p>
            <w:pPr>
              <w:jc w:val="right"/>
              <w:ind w:right="260"/>
              <w:spacing w:after="0"/>
              <w:rPr>
                <w:sz w:val="20"/>
                <w:szCs w:val="20"/>
                <w:color w:val="auto"/>
              </w:rPr>
            </w:pPr>
            <w:r>
              <w:rPr>
                <w:rFonts w:ascii="Arial" w:cs="Arial" w:eastAsia="Arial" w:hAnsi="Arial"/>
                <w:sz w:val="17"/>
                <w:szCs w:val="17"/>
                <w:color w:val="auto"/>
              </w:rPr>
              <w:t>2.5%</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i w:val="1"/>
                <w:iCs w:val="1"/>
                <w:color w:val="auto"/>
              </w:rPr>
              <w:t>Revenue</w:t>
            </w:r>
          </w:p>
        </w:tc>
        <w:tc>
          <w:tcPr>
            <w:tcW w:w="1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3"/>
        </w:trPr>
        <w:tc>
          <w:tcPr>
            <w:tcW w:w="58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5820" w:type="dxa"/>
            <w:vAlign w:val="bottom"/>
          </w:tcPr>
          <w:p>
            <w:pPr>
              <w:spacing w:after="0"/>
              <w:rPr>
                <w:sz w:val="24"/>
                <w:szCs w:val="24"/>
                <w:color w:val="auto"/>
              </w:rPr>
            </w:pPr>
          </w:p>
        </w:tc>
        <w:tc>
          <w:tcPr>
            <w:tcW w:w="252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Variance</w:t>
            </w:r>
          </w:p>
        </w:tc>
        <w:tc>
          <w:tcPr>
            <w:tcW w:w="8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820" w:type="dxa"/>
            <w:vAlign w:val="bottom"/>
          </w:tcPr>
          <w:p>
            <w:pPr>
              <w:spacing w:after="0"/>
              <w:rPr>
                <w:sz w:val="12"/>
                <w:szCs w:val="12"/>
                <w:color w:val="auto"/>
              </w:rPr>
            </w:pPr>
          </w:p>
        </w:tc>
        <w:tc>
          <w:tcPr>
            <w:tcW w:w="1360" w:type="dxa"/>
            <w:vAlign w:val="bottom"/>
            <w:gridSpan w:val="2"/>
          </w:tcPr>
          <w:p>
            <w:pPr>
              <w:ind w:left="120"/>
              <w:spacing w:after="0" w:line="146" w:lineRule="exact"/>
              <w:rPr>
                <w:sz w:val="20"/>
                <w:szCs w:val="20"/>
                <w:color w:val="auto"/>
              </w:rPr>
            </w:pPr>
            <w:r>
              <w:rPr>
                <w:rFonts w:ascii="Arial" w:cs="Arial" w:eastAsia="Arial" w:hAnsi="Arial"/>
                <w:sz w:val="14"/>
                <w:szCs w:val="14"/>
                <w:b w:val="1"/>
                <w:bCs w:val="1"/>
                <w:color w:val="auto"/>
              </w:rPr>
              <w:t>December 31,</w:t>
            </w:r>
          </w:p>
        </w:tc>
        <w:tc>
          <w:tcPr>
            <w:tcW w:w="1160" w:type="dxa"/>
            <w:vAlign w:val="bottom"/>
            <w:gridSpan w:val="2"/>
          </w:tcPr>
          <w:p>
            <w:pPr>
              <w:ind w:left="140"/>
              <w:spacing w:after="0" w:line="146"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gridSpan w:val="2"/>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Dollar</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   3,918,946</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   3,954,812</w:t>
            </w:r>
          </w:p>
        </w:tc>
        <w:tc>
          <w:tcPr>
            <w:tcW w:w="540" w:type="dxa"/>
            <w:vAlign w:val="bottom"/>
            <w:gridSpan w:val="2"/>
            <w:shd w:val="clear" w:color="auto" w:fill="CFF0FC"/>
          </w:tcPr>
          <w:p>
            <w:pPr>
              <w:jc w:val="right"/>
              <w:ind w:right="152"/>
              <w:spacing w:after="0"/>
              <w:rPr>
                <w:sz w:val="20"/>
                <w:szCs w:val="20"/>
                <w:color w:val="auto"/>
              </w:rPr>
            </w:pPr>
            <w:r>
              <w:rPr>
                <w:rFonts w:ascii="Arial" w:cs="Arial" w:eastAsia="Arial" w:hAnsi="Arial"/>
                <w:sz w:val="17"/>
                <w:szCs w:val="17"/>
                <w:color w:val="auto"/>
              </w:rPr>
              <w:t>$</w:t>
            </w:r>
          </w:p>
        </w:tc>
        <w:tc>
          <w:tcPr>
            <w:tcW w:w="1060" w:type="dxa"/>
            <w:vAlign w:val="bottom"/>
            <w:gridSpan w:val="4"/>
            <w:shd w:val="clear" w:color="auto" w:fill="CFF0FC"/>
          </w:tcPr>
          <w:p>
            <w:pPr>
              <w:jc w:val="right"/>
              <w:ind w:right="180"/>
              <w:spacing w:after="0"/>
              <w:rPr>
                <w:sz w:val="20"/>
                <w:szCs w:val="20"/>
                <w:color w:val="auto"/>
              </w:rPr>
            </w:pPr>
            <w:r>
              <w:rPr>
                <w:rFonts w:ascii="Arial" w:cs="Arial" w:eastAsia="Arial" w:hAnsi="Arial"/>
                <w:sz w:val="17"/>
                <w:szCs w:val="17"/>
                <w:color w:val="auto"/>
              </w:rPr>
              <w:t>(35,866)</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right="160" w:firstLine="743"/>
        <w:spacing w:after="0" w:line="238" w:lineRule="auto"/>
        <w:rPr>
          <w:sz w:val="20"/>
          <w:szCs w:val="20"/>
          <w:color w:val="auto"/>
        </w:rPr>
      </w:pPr>
      <w:r>
        <w:rPr>
          <w:rFonts w:ascii="Arial" w:cs="Arial" w:eastAsia="Arial" w:hAnsi="Arial"/>
          <w:sz w:val="17"/>
          <w:szCs w:val="17"/>
          <w:color w:val="auto"/>
        </w:rPr>
        <w:t>Revenue for the year ended December 31, 2020 compared to the prior year decreased $35.9 million. This decrease was primarily due to a decrease in revenue in our Critical Infrastructure segment of $59.9 million partially offset by an increase in our Federal Solutions segment of $24.0 million. See “—Segment Results” below for further discussion.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381"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i w:val="1"/>
          <w:iCs w:val="1"/>
          <w:color w:val="auto"/>
        </w:rPr>
        <w:t>Direct costs of contracts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627"/>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6"/>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12"/>
                <w:szCs w:val="12"/>
                <w:color w:val="auto"/>
              </w:rPr>
            </w:pPr>
          </w:p>
        </w:tc>
        <w:tc>
          <w:tcPr>
            <w:tcW w:w="1040" w:type="dxa"/>
            <w:vAlign w:val="bottom"/>
          </w:tcPr>
          <w:p>
            <w:pPr>
              <w:jc w:val="center"/>
              <w:ind w:right="47"/>
              <w:spacing w:after="0" w:line="146" w:lineRule="exact"/>
              <w:rPr>
                <w:sz w:val="20"/>
                <w:szCs w:val="20"/>
                <w:color w:val="auto"/>
              </w:rPr>
            </w:pPr>
            <w:r>
              <w:rPr>
                <w:rFonts w:ascii="Arial" w:cs="Arial" w:eastAsia="Arial" w:hAnsi="Arial"/>
                <w:sz w:val="14"/>
                <w:szCs w:val="14"/>
                <w:b w:val="1"/>
                <w:bCs w:val="1"/>
                <w:color w:val="auto"/>
                <w:w w:val="96"/>
              </w:rPr>
              <w:t>December 31,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4"/>
        </w:trPr>
        <w:tc>
          <w:tcPr>
            <w:tcW w:w="58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6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Dollar</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160" w:type="dxa"/>
            <w:vAlign w:val="bottom"/>
            <w:tcBorders>
              <w:bottom w:val="single" w:sz="8" w:color="CFF0FC"/>
            </w:tcBorders>
          </w:tcPr>
          <w:p>
            <w:pPr>
              <w:spacing w:after="0"/>
              <w:rPr>
                <w:sz w:val="14"/>
                <w:szCs w:val="14"/>
                <w:color w:val="auto"/>
              </w:rPr>
            </w:pPr>
          </w:p>
        </w:tc>
      </w:tr>
      <w:tr>
        <w:trPr>
          <w:trHeight w:val="196"/>
        </w:trPr>
        <w:tc>
          <w:tcPr>
            <w:tcW w:w="5820" w:type="dxa"/>
            <w:vAlign w:val="bottom"/>
            <w:shd w:val="clear" w:color="auto" w:fill="CFF0FC"/>
          </w:tcPr>
          <w:p>
            <w:pPr>
              <w:spacing w:after="0"/>
              <w:rPr>
                <w:sz w:val="20"/>
                <w:szCs w:val="20"/>
                <w:color w:val="auto"/>
              </w:rPr>
            </w:pPr>
            <w:r>
              <w:rPr>
                <w:rFonts w:ascii="Arial" w:cs="Arial" w:eastAsia="Arial" w:hAnsi="Arial"/>
                <w:sz w:val="17"/>
                <w:szCs w:val="17"/>
                <w:color w:val="auto"/>
              </w:rPr>
              <w:t>Direct cost of contracts</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3,042,087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3,123,062</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(80,975)</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-2.6%</w:t>
            </w:r>
          </w:p>
        </w:tc>
      </w:tr>
    </w:tbl>
    <w:p>
      <w:pPr>
        <w:spacing w:after="0" w:line="101" w:lineRule="exact"/>
        <w:rPr>
          <w:sz w:val="20"/>
          <w:szCs w:val="20"/>
          <w:color w:val="auto"/>
        </w:rPr>
      </w:pPr>
    </w:p>
    <w:p>
      <w:pPr>
        <w:ind w:right="180" w:firstLine="743"/>
        <w:spacing w:after="0" w:line="242" w:lineRule="auto"/>
        <w:rPr>
          <w:sz w:val="20"/>
          <w:szCs w:val="20"/>
          <w:color w:val="auto"/>
        </w:rPr>
      </w:pPr>
      <w:r>
        <w:rPr>
          <w:rFonts w:ascii="Arial" w:cs="Arial" w:eastAsia="Arial" w:hAnsi="Arial"/>
          <w:sz w:val="17"/>
          <w:szCs w:val="17"/>
          <w:color w:val="auto"/>
        </w:rPr>
        <w:t>Direct cost of contracts decreased in 2020 primarily due to a decrease of $86.4 million in our Critical Infrastructure segment. The decrease was primarily attributable to a decrease in business volume on contracts with significant pass-through costs and cost reductions.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in earnings of unconsolidated joint ventures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667"/>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6"/>
        </w:trPr>
        <w:tc>
          <w:tcPr>
            <w:tcW w:w="5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48"/>
              <w:spacing w:after="0" w:line="146" w:lineRule="exact"/>
              <w:rPr>
                <w:sz w:val="20"/>
                <w:szCs w:val="20"/>
                <w:color w:val="auto"/>
              </w:rPr>
            </w:pPr>
            <w:r>
              <w:rPr>
                <w:rFonts w:ascii="Arial" w:cs="Arial" w:eastAsia="Arial" w:hAnsi="Arial"/>
                <w:sz w:val="14"/>
                <w:szCs w:val="14"/>
                <w:b w:val="1"/>
                <w:bCs w:val="1"/>
                <w:color w:val="auto"/>
                <w:w w:val="96"/>
              </w:rPr>
              <w:t>December 31,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67"/>
              <w:spacing w:after="0" w:line="146" w:lineRule="exact"/>
              <w:rPr>
                <w:sz w:val="20"/>
                <w:szCs w:val="20"/>
                <w:color w:val="auto"/>
              </w:rPr>
            </w:pPr>
            <w:r>
              <w:rPr>
                <w:rFonts w:ascii="Arial" w:cs="Arial" w:eastAsia="Arial" w:hAnsi="Arial"/>
                <w:sz w:val="14"/>
                <w:szCs w:val="14"/>
                <w:b w:val="1"/>
                <w:bCs w:val="1"/>
                <w:color w:val="auto"/>
                <w:w w:val="96"/>
              </w:rPr>
              <w:t>December 31,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4"/>
        </w:trPr>
        <w:tc>
          <w:tcPr>
            <w:tcW w:w="57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6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Dollar</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160" w:type="dxa"/>
            <w:vAlign w:val="bottom"/>
            <w:tcBorders>
              <w:bottom w:val="single" w:sz="8" w:color="CFF0FC"/>
            </w:tcBorders>
          </w:tcPr>
          <w:p>
            <w:pPr>
              <w:spacing w:after="0"/>
              <w:rPr>
                <w:sz w:val="14"/>
                <w:szCs w:val="14"/>
                <w:color w:val="auto"/>
              </w:rPr>
            </w:pPr>
          </w:p>
        </w:tc>
      </w:tr>
      <w:tr>
        <w:trPr>
          <w:trHeight w:val="196"/>
        </w:trPr>
        <w:tc>
          <w:tcPr>
            <w:tcW w:w="5740" w:type="dxa"/>
            <w:vAlign w:val="bottom"/>
            <w:shd w:val="clear" w:color="auto" w:fill="CFF0FC"/>
          </w:tcPr>
          <w:p>
            <w:pPr>
              <w:spacing w:after="0"/>
              <w:rPr>
                <w:sz w:val="20"/>
                <w:szCs w:val="20"/>
                <w:color w:val="auto"/>
              </w:rPr>
            </w:pPr>
            <w:r>
              <w:rPr>
                <w:rFonts w:ascii="Arial" w:cs="Arial" w:eastAsia="Arial" w:hAnsi="Arial"/>
                <w:sz w:val="17"/>
                <w:szCs w:val="17"/>
                <w:color w:val="auto"/>
              </w:rPr>
              <w:t>Equity in earnings of unconsolidated joint ventures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30,059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41,721</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(11,662)</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-28.0%</w:t>
            </w:r>
          </w:p>
        </w:tc>
      </w:tr>
    </w:tbl>
    <w:p>
      <w:pPr>
        <w:spacing w:after="0" w:line="303" w:lineRule="exact"/>
        <w:rPr>
          <w:sz w:val="20"/>
          <w:szCs w:val="20"/>
          <w:color w:val="auto"/>
        </w:rPr>
      </w:pPr>
    </w:p>
    <w:p>
      <w:pPr>
        <w:ind w:right="80" w:firstLine="743"/>
        <w:spacing w:after="0" w:line="238" w:lineRule="auto"/>
        <w:rPr>
          <w:sz w:val="20"/>
          <w:szCs w:val="20"/>
          <w:color w:val="auto"/>
        </w:rPr>
      </w:pPr>
      <w:r>
        <w:rPr>
          <w:rFonts w:ascii="Arial" w:cs="Arial" w:eastAsia="Arial" w:hAnsi="Arial"/>
          <w:sz w:val="17"/>
          <w:szCs w:val="17"/>
          <w:color w:val="auto"/>
        </w:rPr>
        <w:t>Equity in earnings of unconsolidated joint ventures decreased in fiscal 2020 primarily due to a $15.5 million write-down on a project in the Critical Infrastructure segment during 2020, offset in part by increases associated with the timing of the completion of joint ventures and the starting of new joint ventures as part of ordinary course timing fluctuations in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627"/>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6"/>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12"/>
                <w:szCs w:val="12"/>
                <w:color w:val="auto"/>
              </w:rPr>
            </w:pPr>
          </w:p>
        </w:tc>
        <w:tc>
          <w:tcPr>
            <w:tcW w:w="1040" w:type="dxa"/>
            <w:vAlign w:val="bottom"/>
          </w:tcPr>
          <w:p>
            <w:pPr>
              <w:jc w:val="center"/>
              <w:ind w:right="47"/>
              <w:spacing w:after="0" w:line="146" w:lineRule="exact"/>
              <w:rPr>
                <w:sz w:val="20"/>
                <w:szCs w:val="20"/>
                <w:color w:val="auto"/>
              </w:rPr>
            </w:pPr>
            <w:r>
              <w:rPr>
                <w:rFonts w:ascii="Arial" w:cs="Arial" w:eastAsia="Arial" w:hAnsi="Arial"/>
                <w:sz w:val="14"/>
                <w:szCs w:val="14"/>
                <w:b w:val="1"/>
                <w:bCs w:val="1"/>
                <w:color w:val="auto"/>
                <w:w w:val="96"/>
              </w:rPr>
              <w:t>December 31,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4"/>
        </w:trPr>
        <w:tc>
          <w:tcPr>
            <w:tcW w:w="58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6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Dollar</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160" w:type="dxa"/>
            <w:vAlign w:val="bottom"/>
            <w:tcBorders>
              <w:bottom w:val="single" w:sz="8" w:color="CFF0FC"/>
            </w:tcBorders>
          </w:tcPr>
          <w:p>
            <w:pPr>
              <w:spacing w:after="0"/>
              <w:rPr>
                <w:sz w:val="14"/>
                <w:szCs w:val="14"/>
                <w:color w:val="auto"/>
              </w:rPr>
            </w:pPr>
          </w:p>
        </w:tc>
      </w:tr>
      <w:tr>
        <w:trPr>
          <w:trHeight w:val="196"/>
        </w:trPr>
        <w:tc>
          <w:tcPr>
            <w:tcW w:w="5820" w:type="dxa"/>
            <w:vAlign w:val="bottom"/>
            <w:shd w:val="clear" w:color="auto" w:fill="CFF0FC"/>
          </w:tcPr>
          <w:p>
            <w:pPr>
              <w:spacing w:after="0"/>
              <w:rPr>
                <w:sz w:val="20"/>
                <w:szCs w:val="20"/>
                <w:color w:val="auto"/>
              </w:rPr>
            </w:pPr>
            <w:r>
              <w:rPr>
                <w:rFonts w:ascii="Arial" w:cs="Arial" w:eastAsia="Arial" w:hAnsi="Arial"/>
                <w:sz w:val="17"/>
                <w:szCs w:val="17"/>
                <w:color w:val="auto"/>
              </w:rPr>
              <w:t>Selling, general and administrative expenses</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729,103</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781,408</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(52,305)</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-6.7%</w:t>
            </w:r>
          </w:p>
        </w:tc>
      </w:tr>
    </w:tbl>
    <w:p>
      <w:pPr>
        <w:spacing w:after="0" w:line="303" w:lineRule="exact"/>
        <w:rPr>
          <w:sz w:val="20"/>
          <w:szCs w:val="20"/>
          <w:color w:val="auto"/>
        </w:rPr>
      </w:pPr>
    </w:p>
    <w:p>
      <w:pPr>
        <w:ind w:right="60" w:firstLine="743"/>
        <w:spacing w:after="0" w:line="264" w:lineRule="auto"/>
        <w:rPr>
          <w:sz w:val="20"/>
          <w:szCs w:val="20"/>
          <w:color w:val="auto"/>
        </w:rPr>
      </w:pPr>
      <w:r>
        <w:rPr>
          <w:rFonts w:ascii="Arial" w:cs="Arial" w:eastAsia="Arial" w:hAnsi="Arial"/>
          <w:sz w:val="16"/>
          <w:szCs w:val="16"/>
          <w:color w:val="auto"/>
        </w:rPr>
        <w:t>The decrease in SG&amp;A expenses for the years ended December 31, 2020 as compared to December 31, 2019 relates primarily to a decline in compensation cost associated with equity-based awards that settle primarily in cash. The compensation cost associated with these awards totaled</w:t>
      </w:r>
    </w:p>
    <w:p>
      <w:pPr>
        <w:spacing w:after="0" w:line="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$9.8 million during the year ended December 31, 2020 as compared to $65.7 million for the year ended December 31, 2019. Cash settled awards are remeasured to an updated fair value at each reporting period until the award is settled. Compensation cost is trued-up at each reporting period for changes in fair value pro-rated for the portion of the requisite service period rendered.</w:t>
      </w:r>
    </w:p>
    <w:p>
      <w:pPr>
        <w:spacing w:after="0" w:line="86" w:lineRule="exact"/>
        <w:rPr>
          <w:sz w:val="20"/>
          <w:szCs w:val="20"/>
          <w:color w:val="auto"/>
        </w:rPr>
      </w:pPr>
    </w:p>
    <w:p>
      <w:pPr>
        <w:ind w:firstLine="743"/>
        <w:spacing w:after="0" w:line="235" w:lineRule="auto"/>
        <w:rPr>
          <w:sz w:val="20"/>
          <w:szCs w:val="20"/>
          <w:color w:val="auto"/>
        </w:rPr>
      </w:pPr>
      <w:r>
        <w:rPr>
          <w:rFonts w:ascii="Arial" w:cs="Arial" w:eastAsia="Arial" w:hAnsi="Arial"/>
          <w:sz w:val="17"/>
          <w:szCs w:val="17"/>
          <w:color w:val="auto"/>
        </w:rPr>
        <w:t>The significant decrease in compensation cost related to these cash settled equity-based awards for the year ended December 31, 2020 compared to December 31, 2019 is due primarily to lower share prices over the last 60 trading days of 2020 as compared to the comparable period in 2019, as well as the higher grant price of active awards in 2020. The substantial compensation cost for the year ended December 31, 2019 was due to the significant difference in the fair value of a share of our common stock under Parsons ESOP valuation at December 31, 2018 compared to the fair value of a share of our common stock in the public market at December 31, 2019. See Item 5 of Part II for ranges in the share price of our common stock since the consummation of the IPO and “Note 19—</w:t>
      </w:r>
      <w:r>
        <w:rPr>
          <w:rFonts w:ascii="Arial" w:cs="Arial" w:eastAsia="Arial" w:hAnsi="Arial"/>
          <w:sz w:val="17"/>
          <w:szCs w:val="17"/>
          <w:i w:val="1"/>
          <w:iCs w:val="1"/>
          <w:color w:val="auto"/>
        </w:rPr>
        <w:t>Fair Value of Financial Instruments</w:t>
      </w:r>
      <w:r>
        <w:rPr>
          <w:rFonts w:ascii="Arial" w:cs="Arial" w:eastAsia="Arial" w:hAnsi="Arial"/>
          <w:sz w:val="17"/>
          <w:szCs w:val="17"/>
          <w:color w:val="auto"/>
        </w:rPr>
        <w:t>” in the notes to our consolidated financial statements included elsewhere in this Annual Report on Form 10-K for a description of how the ESOP share value was determined. See “Note 1—</w:t>
      </w:r>
      <w:r>
        <w:rPr>
          <w:rFonts w:ascii="Arial" w:cs="Arial" w:eastAsia="Arial" w:hAnsi="Arial"/>
          <w:sz w:val="17"/>
          <w:szCs w:val="17"/>
          <w:i w:val="1"/>
          <w:iCs w:val="1"/>
          <w:color w:val="auto"/>
        </w:rPr>
        <w:t>Description of</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w:t>
      </w:r>
      <w:r>
        <w:rPr>
          <w:rFonts w:ascii="Arial" w:cs="Arial" w:eastAsia="Arial" w:hAnsi="Arial"/>
          <w:sz w:val="17"/>
          <w:szCs w:val="17"/>
          <w:color w:val="auto"/>
        </w:rPr>
        <w:t>” in the notes to our consolidated financial statements included elsewhere in this Annual Report on Form 10-K for more detail regarding our</w:t>
      </w:r>
      <w:r>
        <w:rPr>
          <w:rFonts w:ascii="Arial" w:cs="Arial" w:eastAsia="Arial" w:hAnsi="Arial"/>
          <w:sz w:val="17"/>
          <w:szCs w:val="17"/>
          <w:i w:val="1"/>
          <w:iCs w:val="1"/>
          <w:color w:val="auto"/>
        </w:rPr>
        <w:t xml:space="preserve"> </w:t>
      </w:r>
      <w:r>
        <w:rPr>
          <w:rFonts w:ascii="Arial" w:cs="Arial" w:eastAsia="Arial" w:hAnsi="Arial"/>
          <w:sz w:val="17"/>
          <w:szCs w:val="17"/>
          <w:color w:val="auto"/>
        </w:rPr>
        <w:t>IPO. The plans in which these awards were granted have been frozen and the Company does not currently intend to grant any further cash settled equity-based awards.</w:t>
      </w:r>
    </w:p>
    <w:p>
      <w:pPr>
        <w:spacing w:after="0" w:line="89" w:lineRule="exact"/>
        <w:rPr>
          <w:sz w:val="20"/>
          <w:szCs w:val="20"/>
          <w:color w:val="auto"/>
        </w:rPr>
      </w:pPr>
    </w:p>
    <w:p>
      <w:pPr>
        <w:ind w:right="260" w:firstLine="743"/>
        <w:spacing w:after="0" w:line="242" w:lineRule="auto"/>
        <w:rPr>
          <w:sz w:val="20"/>
          <w:szCs w:val="20"/>
          <w:color w:val="auto"/>
        </w:rPr>
      </w:pPr>
      <w:r>
        <w:rPr>
          <w:rFonts w:ascii="Arial" w:cs="Arial" w:eastAsia="Arial" w:hAnsi="Arial"/>
          <w:sz w:val="17"/>
          <w:szCs w:val="17"/>
          <w:color w:val="auto"/>
        </w:rPr>
        <w:t>Excluding the compensation costs discussed above, SG&amp;A for the years ended December 31, 2020 and December 31, 2019 was $719.3 million and $715.7 million, respectively.</w:t>
      </w:r>
    </w:p>
    <w:p>
      <w:pPr>
        <w:spacing w:after="0" w:line="88" w:lineRule="exact"/>
        <w:rPr>
          <w:sz w:val="20"/>
          <w:szCs w:val="20"/>
          <w:color w:val="auto"/>
        </w:rPr>
      </w:pPr>
    </w:p>
    <w:p>
      <w:pPr>
        <w:ind w:right="480" w:firstLine="743"/>
        <w:spacing w:after="0" w:line="242" w:lineRule="auto"/>
        <w:rPr>
          <w:sz w:val="20"/>
          <w:szCs w:val="20"/>
          <w:color w:val="auto"/>
        </w:rPr>
      </w:pPr>
      <w:r>
        <w:rPr>
          <w:rFonts w:ascii="Arial" w:cs="Arial" w:eastAsia="Arial" w:hAnsi="Arial"/>
          <w:sz w:val="17"/>
          <w:szCs w:val="17"/>
          <w:color w:val="auto"/>
        </w:rPr>
        <w:t>The increase in SG&amp;A of $3.6 million, exclusive of equity compensation cost, was primarily due to additional expenses of $23.8 million associated with business acquisitions, $3.9 million due to a tax law</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71" w:name="page72"/>
    <w:bookmarkEnd w:id="71"/>
    <w:p>
      <w:pPr>
        <w:ind w:right="300"/>
        <w:spacing w:after="0" w:line="238" w:lineRule="auto"/>
        <w:rPr>
          <w:sz w:val="20"/>
          <w:szCs w:val="20"/>
          <w:color w:val="auto"/>
        </w:rPr>
      </w:pPr>
      <w:r>
        <w:rPr>
          <w:rFonts w:ascii="Arial" w:cs="Arial" w:eastAsia="Arial" w:hAnsi="Arial"/>
          <w:sz w:val="17"/>
          <w:szCs w:val="17"/>
          <w:color w:val="auto"/>
        </w:rPr>
        <w:t>change and $5.0 million related to strategic growth initiatives and public company operating costs. These increases were partially offset by a $18.4 million reduction in transaction-related costs related primarily to our initial public offering in 2019, and a $10.1 million reduction in intangible asset amortization.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Total other (expense) income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rPr>
              <w:t>Fiscal Year Ended</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80" w:type="dxa"/>
            <w:vAlign w:val="bottom"/>
            <w:tcBorders>
              <w:bottom w:val="single" w:sz="8" w:color="CFF0FC"/>
            </w:tcBorders>
            <w:vMerge w:val="continue"/>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1380" w:type="dxa"/>
            <w:vAlign w:val="bottom"/>
            <w:tcBorders>
              <w:bottom w:val="single" w:sz="8" w:color="auto"/>
            </w:tcBorders>
            <w:gridSpan w:val="2"/>
          </w:tcPr>
          <w:p>
            <w:pPr>
              <w:jc w:val="right"/>
              <w:ind w:right="19"/>
              <w:spacing w:after="0" w:line="157" w:lineRule="exact"/>
              <w:rPr>
                <w:sz w:val="20"/>
                <w:szCs w:val="20"/>
                <w:color w:val="auto"/>
              </w:rPr>
            </w:pPr>
            <w:r>
              <w:rPr>
                <w:rFonts w:ascii="Arial" w:cs="Arial" w:eastAsia="Arial" w:hAnsi="Arial"/>
                <w:sz w:val="14"/>
                <w:szCs w:val="14"/>
                <w:b w:val="1"/>
                <w:bCs w:val="1"/>
                <w:color w:val="auto"/>
                <w:w w:val="99"/>
              </w:rPr>
              <w:t>December 31, 2020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38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Dollar</w:t>
            </w: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b w:val="1"/>
                <w:bCs w:val="1"/>
                <w:color w:val="auto"/>
              </w:rPr>
              <w:t>Percent</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Interest income</w:t>
            </w:r>
          </w:p>
        </w:tc>
        <w:tc>
          <w:tcPr>
            <w:tcW w:w="1600" w:type="dxa"/>
            <w:vAlign w:val="bottom"/>
            <w:gridSpan w:val="2"/>
            <w:shd w:val="clear" w:color="auto" w:fill="CFF0FC"/>
          </w:tcPr>
          <w:p>
            <w:pPr>
              <w:jc w:val="right"/>
              <w:ind w:right="292"/>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787</w:t>
            </w:r>
          </w:p>
        </w:tc>
        <w:tc>
          <w:tcPr>
            <w:tcW w:w="1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52"/>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1,300</w:t>
            </w: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752"/>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(513)</w:t>
            </w:r>
          </w:p>
        </w:tc>
        <w:tc>
          <w:tcPr>
            <w:tcW w:w="2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(39.5)%</w:t>
            </w:r>
          </w:p>
        </w:tc>
        <w:tc>
          <w:tcPr>
            <w:tcW w:w="0" w:type="dxa"/>
            <w:vAlign w:val="bottom"/>
          </w:tcPr>
          <w:p>
            <w:pPr>
              <w:spacing w:after="0"/>
              <w:rPr>
                <w:sz w:val="1"/>
                <w:szCs w:val="1"/>
                <w:color w:val="auto"/>
              </w:rPr>
            </w:pPr>
          </w:p>
        </w:tc>
      </w:tr>
      <w:tr>
        <w:trPr>
          <w:trHeight w:val="203"/>
        </w:trPr>
        <w:tc>
          <w:tcPr>
            <w:tcW w:w="3580" w:type="dxa"/>
            <w:vAlign w:val="bottom"/>
          </w:tcPr>
          <w:p>
            <w:pPr>
              <w:ind w:left="240"/>
              <w:spacing w:after="0"/>
              <w:rPr>
                <w:sz w:val="20"/>
                <w:szCs w:val="20"/>
                <w:color w:val="auto"/>
              </w:rPr>
            </w:pPr>
            <w:r>
              <w:rPr>
                <w:rFonts w:ascii="Arial" w:cs="Arial" w:eastAsia="Arial" w:hAnsi="Arial"/>
                <w:sz w:val="17"/>
                <w:szCs w:val="17"/>
                <w:color w:val="auto"/>
              </w:rPr>
              <w:t>Interest expense</w:t>
            </w: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(20,956)</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(23,729)</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2,773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03"/>
        </w:trPr>
        <w:tc>
          <w:tcPr>
            <w:tcW w:w="3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 income (expense), net</w:t>
            </w:r>
          </w:p>
        </w:tc>
        <w:tc>
          <w:tcPr>
            <w:tcW w:w="1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3,767</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(2,392)</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6,159</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(257.5)%</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tcPr>
          <w:p>
            <w:pPr>
              <w:ind w:left="240"/>
              <w:spacing w:after="0"/>
              <w:rPr>
                <w:sz w:val="20"/>
                <w:szCs w:val="20"/>
                <w:color w:val="auto"/>
              </w:rPr>
            </w:pPr>
            <w:r>
              <w:rPr>
                <w:rFonts w:ascii="Arial" w:cs="Arial" w:eastAsia="Arial" w:hAnsi="Arial"/>
                <w:sz w:val="17"/>
                <w:szCs w:val="17"/>
                <w:color w:val="auto"/>
              </w:rPr>
              <w:t>Total other income (expense)</w:t>
            </w:r>
          </w:p>
        </w:tc>
        <w:tc>
          <w:tcPr>
            <w:tcW w:w="1600" w:type="dxa"/>
            <w:vAlign w:val="bottom"/>
            <w:gridSpan w:val="2"/>
          </w:tcPr>
          <w:p>
            <w:pPr>
              <w:jc w:val="right"/>
              <w:ind w:right="292"/>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(16,402)</w:t>
            </w:r>
          </w:p>
        </w:tc>
        <w:tc>
          <w:tcPr>
            <w:tcW w:w="720" w:type="dxa"/>
            <w:vAlign w:val="bottom"/>
            <w:gridSpan w:val="2"/>
          </w:tcPr>
          <w:p>
            <w:pPr>
              <w:jc w:val="right"/>
              <w:ind w:right="452"/>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(24,821)</w:t>
            </w:r>
          </w:p>
        </w:tc>
        <w:tc>
          <w:tcPr>
            <w:tcW w:w="1020" w:type="dxa"/>
            <w:vAlign w:val="bottom"/>
            <w:gridSpan w:val="2"/>
          </w:tcPr>
          <w:p>
            <w:pPr>
              <w:jc w:val="right"/>
              <w:ind w:right="752"/>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8,419</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(33.9)%</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ind w:right="120" w:firstLine="743"/>
        <w:spacing w:after="0" w:line="242" w:lineRule="auto"/>
        <w:rPr>
          <w:sz w:val="20"/>
          <w:szCs w:val="20"/>
          <w:color w:val="auto"/>
        </w:rPr>
      </w:pPr>
      <w:r>
        <w:rPr>
          <w:rFonts w:ascii="Arial" w:cs="Arial" w:eastAsia="Arial" w:hAnsi="Arial"/>
          <w:sz w:val="17"/>
          <w:szCs w:val="17"/>
          <w:color w:val="auto"/>
        </w:rPr>
        <w:t>Interest expense decreased in 2020 primarily due a decrease in interest rates year-over-year. The amounts in other income (expense), net, are primarily related to transaction gains and losses on foreign currency transactions and sublease income.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expense</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9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Fiscal Year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6"/>
        </w:trPr>
        <w:tc>
          <w:tcPr>
            <w:tcW w:w="39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68"/>
              <w:spacing w:after="0" w:line="146" w:lineRule="exact"/>
              <w:rPr>
                <w:sz w:val="20"/>
                <w:szCs w:val="20"/>
                <w:color w:val="auto"/>
              </w:rPr>
            </w:pPr>
            <w:r>
              <w:rPr>
                <w:rFonts w:ascii="Arial" w:cs="Arial" w:eastAsia="Arial" w:hAnsi="Arial"/>
                <w:sz w:val="14"/>
                <w:szCs w:val="14"/>
                <w:b w:val="1"/>
                <w:bCs w:val="1"/>
                <w:color w:val="auto"/>
                <w:w w:val="96"/>
              </w:rPr>
              <w:t>December 31,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64"/>
        </w:trPr>
        <w:tc>
          <w:tcPr>
            <w:tcW w:w="398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8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67"/>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07"/>
              <w:spacing w:after="0"/>
              <w:rPr>
                <w:sz w:val="20"/>
                <w:szCs w:val="20"/>
                <w:color w:val="auto"/>
              </w:rPr>
            </w:pPr>
            <w:r>
              <w:rPr>
                <w:rFonts w:ascii="Arial" w:cs="Arial" w:eastAsia="Arial" w:hAnsi="Arial"/>
                <w:sz w:val="14"/>
                <w:szCs w:val="14"/>
                <w:b w:val="1"/>
                <w:bCs w:val="1"/>
                <w:color w:val="auto"/>
              </w:rPr>
              <w:t>Dollar</w:t>
            </w:r>
          </w:p>
        </w:tc>
        <w:tc>
          <w:tcPr>
            <w:tcW w:w="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FF0FC"/>
            </w:tcBorders>
          </w:tcPr>
          <w:p>
            <w:pPr>
              <w:spacing w:after="0"/>
              <w:rPr>
                <w:sz w:val="14"/>
                <w:szCs w:val="14"/>
                <w:color w:val="auto"/>
              </w:rPr>
            </w:pPr>
          </w:p>
        </w:tc>
      </w:tr>
      <w:tr>
        <w:trPr>
          <w:trHeight w:val="196"/>
        </w:trPr>
        <w:tc>
          <w:tcPr>
            <w:tcW w:w="3980" w:type="dxa"/>
            <w:vAlign w:val="bottom"/>
            <w:shd w:val="clear" w:color="auto" w:fill="CFF0FC"/>
          </w:tcPr>
          <w:p>
            <w:pPr>
              <w:spacing w:after="0"/>
              <w:rPr>
                <w:sz w:val="20"/>
                <w:szCs w:val="20"/>
                <w:color w:val="auto"/>
              </w:rPr>
            </w:pPr>
            <w:r>
              <w:rPr>
                <w:rFonts w:ascii="Arial" w:cs="Arial" w:eastAsia="Arial" w:hAnsi="Arial"/>
                <w:sz w:val="17"/>
                <w:szCs w:val="17"/>
                <w:color w:val="auto"/>
              </w:rPr>
              <w:t>Income tax expense (benefit)</w:t>
            </w:r>
          </w:p>
        </w:tc>
        <w:tc>
          <w:tcPr>
            <w:tcW w:w="19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42,492</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(69,886)</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112,378</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(160.8)%</w:t>
            </w:r>
          </w:p>
        </w:tc>
      </w:tr>
    </w:tbl>
    <w:p>
      <w:pPr>
        <w:spacing w:after="0" w:line="200" w:lineRule="exact"/>
        <w:rPr>
          <w:sz w:val="20"/>
          <w:szCs w:val="20"/>
          <w:color w:val="auto"/>
        </w:rPr>
      </w:pPr>
    </w:p>
    <w:p>
      <w:pPr>
        <w:spacing w:after="0" w:line="230" w:lineRule="exact"/>
        <w:rPr>
          <w:sz w:val="20"/>
          <w:szCs w:val="20"/>
          <w:color w:val="auto"/>
        </w:rPr>
      </w:pPr>
    </w:p>
    <w:p>
      <w:pPr>
        <w:ind w:right="60" w:firstLine="735"/>
        <w:spacing w:after="0" w:line="242" w:lineRule="auto"/>
        <w:rPr>
          <w:sz w:val="20"/>
          <w:szCs w:val="20"/>
          <w:color w:val="auto"/>
        </w:rPr>
      </w:pPr>
      <w:r>
        <w:rPr>
          <w:rFonts w:ascii="Arial" w:cs="Arial" w:eastAsia="Arial" w:hAnsi="Arial"/>
          <w:sz w:val="17"/>
          <w:szCs w:val="17"/>
          <w:color w:val="auto"/>
        </w:rPr>
        <w:t>Income tax expense increased in fiscal 2020 primarily due to the nonrecurring tax items included in 2019 for tax benefits associated with the remeasurement of our net deferred tax assets as a result of our conversion from “S” Corporation to a “C” Corporation.</w:t>
      </w:r>
    </w:p>
    <w:p>
      <w:pPr>
        <w:spacing w:after="0" w:line="189" w:lineRule="exact"/>
        <w:rPr>
          <w:sz w:val="20"/>
          <w:szCs w:val="20"/>
          <w:color w:val="auto"/>
        </w:rPr>
      </w:pPr>
    </w:p>
    <w:p>
      <w:pPr>
        <w:ind w:right="40" w:firstLine="735"/>
        <w:spacing w:after="0" w:line="235" w:lineRule="auto"/>
        <w:rPr>
          <w:sz w:val="20"/>
          <w:szCs w:val="20"/>
          <w:color w:val="auto"/>
        </w:rPr>
      </w:pPr>
      <w:r>
        <w:rPr>
          <w:rFonts w:ascii="Arial" w:cs="Arial" w:eastAsia="Arial" w:hAnsi="Arial"/>
          <w:sz w:val="17"/>
          <w:szCs w:val="17"/>
          <w:color w:val="auto"/>
        </w:rPr>
        <w:t>Our effective tax rate was 26.3% and income tax expense was $42.5 million for the year ended December 31, 2020. As described in “Note 14 – Income Taxes,” in the notes to our consolidated financial statements included elsewhere in this Annual Report on Form 10-K, in connection with our IPO on May 8, 2019, we converted from an “S” Corporation to a “C” Corporation. On a pro forma basis, if we had been taxed as a “C” Corporation for the year ended December 31, 2019, the pro forma effective tax rate would have been 36.9%, and our pro forma income tax expense would have been $24.8 million. The most significant items contributing to the change in the effective tax rate relates to a change in jurisdictional earnings, federal research tax credits and a nonrecurring item included in 2019 associated with equity compensation. The difference between the statutory U.S. federal income tax rate of 21% and the effective tax rate for the year ended December 31, 2020 primarily relates to state income taxes and a recorded valuation allowance on foreign tax credits, partially offset by benefits related to income attributable to noncontrolling interest and federal research tax credits.</w:t>
      </w:r>
    </w:p>
    <w:p>
      <w:pPr>
        <w:spacing w:after="0" w:line="192" w:lineRule="exact"/>
        <w:rPr>
          <w:sz w:val="20"/>
          <w:szCs w:val="20"/>
          <w:color w:val="auto"/>
        </w:rPr>
      </w:pPr>
    </w:p>
    <w:p>
      <w:pPr>
        <w:ind w:right="40" w:firstLine="735"/>
        <w:spacing w:after="0" w:line="236" w:lineRule="auto"/>
        <w:rPr>
          <w:sz w:val="20"/>
          <w:szCs w:val="20"/>
          <w:color w:val="auto"/>
        </w:rPr>
      </w:pPr>
      <w:r>
        <w:rPr>
          <w:rFonts w:ascii="Arial" w:cs="Arial" w:eastAsia="Arial" w:hAnsi="Arial"/>
          <w:sz w:val="17"/>
          <w:szCs w:val="17"/>
          <w:color w:val="auto"/>
        </w:rPr>
        <w:t>The termination of the “S” Corporation status was treated as a change in tax status for Accounting Standards Codification 740, Income Taxes. These rules require that the deferred tax effects of a change in tax status to be recorded to income from continuing operations on the date the “S” Corporation status terminates. At December 31, 2019, the Company had recorded a deferred tax benefit of $93.9 million for the estimated effect of the change in tax status, relating to the recognition of net deferred tax assets for temporary differences in existence on the date of conversion to a “C” Corporation. This estimated amount was adjusted to $90.0 million upon filing of the 2019 tax returns. This adjustment is included in income tax expense for the year ended December 31, 2020.</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color w:val="auto"/>
        </w:rPr>
        <w:t>Non-GAAP Financial Measures: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60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16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8"/>
              </w:rPr>
              <w:t>December 31, 2021</w:t>
            </w:r>
          </w:p>
        </w:tc>
        <w:tc>
          <w:tcPr>
            <w:tcW w:w="16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8"/>
              </w:rPr>
              <w:t>December 31, 2020</w:t>
            </w:r>
          </w:p>
        </w:tc>
        <w:tc>
          <w:tcPr>
            <w:tcW w:w="14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December 31, 2019</w:t>
            </w:r>
          </w:p>
        </w:tc>
      </w:tr>
      <w:tr>
        <w:trPr>
          <w:trHeight w:val="172"/>
        </w:trPr>
        <w:tc>
          <w:tcPr>
            <w:tcW w:w="6600" w:type="dxa"/>
            <w:vAlign w:val="bottom"/>
          </w:tcPr>
          <w:p>
            <w:pPr>
              <w:spacing w:after="0"/>
              <w:rPr>
                <w:sz w:val="20"/>
                <w:szCs w:val="20"/>
                <w:color w:val="auto"/>
              </w:rPr>
            </w:pPr>
            <w:r>
              <w:rPr>
                <w:rFonts w:ascii="Arial" w:cs="Arial" w:eastAsia="Arial" w:hAnsi="Arial"/>
                <w:sz w:val="14"/>
                <w:szCs w:val="14"/>
                <w:b w:val="1"/>
                <w:bCs w:val="1"/>
                <w:color w:val="auto"/>
              </w:rPr>
              <w:t>Other Information:</w:t>
            </w:r>
          </w:p>
        </w:tc>
        <w:tc>
          <w:tcPr>
            <w:tcW w:w="4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0"/>
        </w:trPr>
        <w:tc>
          <w:tcPr>
            <w:tcW w:w="6600" w:type="dxa"/>
            <w:vAlign w:val="bottom"/>
          </w:tcPr>
          <w:p>
            <w:pPr>
              <w:spacing w:after="0" w:line="150" w:lineRule="exact"/>
              <w:rPr>
                <w:sz w:val="20"/>
                <w:szCs w:val="20"/>
                <w:color w:val="auto"/>
              </w:rPr>
            </w:pPr>
            <w:r>
              <w:rPr>
                <w:rFonts w:ascii="Arial" w:cs="Arial" w:eastAsia="Arial" w:hAnsi="Arial"/>
                <w:sz w:val="14"/>
                <w:szCs w:val="14"/>
                <w:color w:val="auto"/>
              </w:rPr>
              <w:t>Adjusted EBITDA (1)</w:t>
            </w:r>
          </w:p>
        </w:tc>
        <w:tc>
          <w:tcPr>
            <w:tcW w:w="440" w:type="dxa"/>
            <w:vAlign w:val="bottom"/>
          </w:tcPr>
          <w:p>
            <w:pPr>
              <w:jc w:val="right"/>
              <w:ind w:right="292"/>
              <w:spacing w:after="0" w:line="150"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50" w:lineRule="exact"/>
              <w:rPr>
                <w:sz w:val="20"/>
                <w:szCs w:val="20"/>
                <w:color w:val="auto"/>
              </w:rPr>
            </w:pPr>
            <w:r>
              <w:rPr>
                <w:rFonts w:ascii="Arial" w:cs="Arial" w:eastAsia="Arial" w:hAnsi="Arial"/>
                <w:sz w:val="14"/>
                <w:szCs w:val="14"/>
                <w:color w:val="auto"/>
              </w:rPr>
              <w:t>309,720</w:t>
            </w:r>
          </w:p>
        </w:tc>
        <w:tc>
          <w:tcPr>
            <w:tcW w:w="280" w:type="dxa"/>
            <w:vAlign w:val="bottom"/>
          </w:tcPr>
          <w:p>
            <w:pPr>
              <w:spacing w:after="0"/>
              <w:rPr>
                <w:sz w:val="13"/>
                <w:szCs w:val="13"/>
                <w:color w:val="auto"/>
              </w:rPr>
            </w:pPr>
          </w:p>
        </w:tc>
        <w:tc>
          <w:tcPr>
            <w:tcW w:w="440" w:type="dxa"/>
            <w:vAlign w:val="bottom"/>
          </w:tcPr>
          <w:p>
            <w:pPr>
              <w:jc w:val="right"/>
              <w:ind w:right="292"/>
              <w:spacing w:after="0" w:line="150"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50" w:lineRule="exact"/>
              <w:rPr>
                <w:sz w:val="20"/>
                <w:szCs w:val="20"/>
                <w:color w:val="auto"/>
              </w:rPr>
            </w:pPr>
            <w:r>
              <w:rPr>
                <w:rFonts w:ascii="Arial" w:cs="Arial" w:eastAsia="Arial" w:hAnsi="Arial"/>
                <w:sz w:val="14"/>
                <w:szCs w:val="14"/>
                <w:color w:val="auto"/>
              </w:rPr>
              <w:t>342,621</w:t>
            </w:r>
          </w:p>
        </w:tc>
        <w:tc>
          <w:tcPr>
            <w:tcW w:w="300" w:type="dxa"/>
            <w:vAlign w:val="bottom"/>
          </w:tcPr>
          <w:p>
            <w:pPr>
              <w:spacing w:after="0"/>
              <w:rPr>
                <w:sz w:val="13"/>
                <w:szCs w:val="13"/>
                <w:color w:val="auto"/>
              </w:rPr>
            </w:pPr>
          </w:p>
        </w:tc>
        <w:tc>
          <w:tcPr>
            <w:tcW w:w="440" w:type="dxa"/>
            <w:vAlign w:val="bottom"/>
          </w:tcPr>
          <w:p>
            <w:pPr>
              <w:jc w:val="right"/>
              <w:ind w:right="292"/>
              <w:spacing w:after="0" w:line="150"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50" w:lineRule="exact"/>
              <w:rPr>
                <w:sz w:val="20"/>
                <w:szCs w:val="20"/>
                <w:color w:val="auto"/>
              </w:rPr>
            </w:pPr>
            <w:r>
              <w:rPr>
                <w:rFonts w:ascii="Arial" w:cs="Arial" w:eastAsia="Arial" w:hAnsi="Arial"/>
                <w:sz w:val="14"/>
                <w:szCs w:val="14"/>
                <w:color w:val="auto"/>
              </w:rPr>
              <w:t>325,047</w:t>
            </w:r>
          </w:p>
        </w:tc>
        <w:tc>
          <w:tcPr>
            <w:tcW w:w="140" w:type="dxa"/>
            <w:vAlign w:val="bottom"/>
          </w:tcPr>
          <w:p>
            <w:pPr>
              <w:spacing w:after="0"/>
              <w:rPr>
                <w:sz w:val="13"/>
                <w:szCs w:val="13"/>
                <w:color w:val="auto"/>
              </w:rPr>
            </w:pPr>
          </w:p>
        </w:tc>
      </w:tr>
      <w:tr>
        <w:trPr>
          <w:trHeight w:val="165"/>
        </w:trPr>
        <w:tc>
          <w:tcPr>
            <w:tcW w:w="6600" w:type="dxa"/>
            <w:vAlign w:val="bottom"/>
            <w:shd w:val="clear" w:color="auto" w:fill="CFF0FC"/>
          </w:tcPr>
          <w:p>
            <w:pPr>
              <w:spacing w:after="0"/>
              <w:rPr>
                <w:sz w:val="20"/>
                <w:szCs w:val="20"/>
                <w:color w:val="auto"/>
              </w:rPr>
            </w:pPr>
            <w:r>
              <w:rPr>
                <w:rFonts w:ascii="Arial" w:cs="Arial" w:eastAsia="Arial" w:hAnsi="Arial"/>
                <w:sz w:val="14"/>
                <w:szCs w:val="14"/>
                <w:color w:val="auto"/>
              </w:rPr>
              <w:t>Net Income Margin (2)</w:t>
            </w:r>
          </w:p>
        </w:tc>
        <w:tc>
          <w:tcPr>
            <w:tcW w:w="4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2.4%</w:t>
            </w:r>
          </w:p>
        </w:tc>
        <w:tc>
          <w:tcPr>
            <w:tcW w:w="4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3.0%</w:t>
            </w:r>
          </w:p>
        </w:tc>
        <w:tc>
          <w:tcPr>
            <w:tcW w:w="4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3.5%</w:t>
            </w:r>
          </w:p>
        </w:tc>
      </w:tr>
      <w:tr>
        <w:trPr>
          <w:trHeight w:val="169"/>
        </w:trPr>
        <w:tc>
          <w:tcPr>
            <w:tcW w:w="6600" w:type="dxa"/>
            <w:vAlign w:val="bottom"/>
          </w:tcPr>
          <w:p>
            <w:pPr>
              <w:spacing w:after="0"/>
              <w:rPr>
                <w:sz w:val="20"/>
                <w:szCs w:val="20"/>
                <w:color w:val="auto"/>
              </w:rPr>
            </w:pPr>
            <w:r>
              <w:rPr>
                <w:rFonts w:ascii="Arial" w:cs="Arial" w:eastAsia="Arial" w:hAnsi="Arial"/>
                <w:sz w:val="14"/>
                <w:szCs w:val="14"/>
                <w:color w:val="auto"/>
              </w:rPr>
              <w:t>Adjusted EBITDA Margin (3)</w:t>
            </w:r>
          </w:p>
        </w:tc>
        <w:tc>
          <w:tcPr>
            <w:tcW w:w="4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8.5%</w:t>
            </w:r>
          </w:p>
        </w:tc>
        <w:tc>
          <w:tcPr>
            <w:tcW w:w="44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8.7%</w:t>
            </w:r>
          </w:p>
        </w:tc>
        <w:tc>
          <w:tcPr>
            <w:tcW w:w="44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8.2%</w:t>
            </w:r>
          </w:p>
        </w:tc>
      </w:tr>
    </w:tbl>
    <w:p>
      <w:pPr>
        <w:ind w:left="740" w:hanging="739"/>
        <w:spacing w:after="0" w:line="226" w:lineRule="auto"/>
        <w:tabs>
          <w:tab w:leader="none" w:pos="7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 reconciliation of net income (loss) attributable to Parsons Corporation to Adjusted EBITDA is set forth below (in thousands).</w:t>
      </w:r>
    </w:p>
    <w:p>
      <w:pPr>
        <w:ind w:left="740" w:hanging="739"/>
        <w:spacing w:after="0" w:line="226" w:lineRule="auto"/>
        <w:tabs>
          <w:tab w:leader="none" w:pos="7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Net Income Margin is calculated as net income including noncontrolling interest divided by revenue in the applicable period.</w:t>
      </w:r>
    </w:p>
    <w:p>
      <w:pPr>
        <w:ind w:left="740" w:hanging="739"/>
        <w:spacing w:after="0"/>
        <w:tabs>
          <w:tab w:leader="none" w:pos="7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Adjusted EBITDA Margin is calculated as Adjusted EBITDA divided by revenue in the applicable period.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680" w:type="dxa"/>
            <w:vAlign w:val="bottom"/>
          </w:tcPr>
          <w:p>
            <w:pPr>
              <w:spacing w:after="0"/>
              <w:rPr>
                <w:sz w:val="14"/>
                <w:szCs w:val="1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December 31, 2021</w:t>
            </w:r>
          </w:p>
        </w:tc>
        <w:tc>
          <w:tcPr>
            <w:tcW w:w="260" w:type="dxa"/>
            <w:vAlign w:val="bottom"/>
          </w:tcPr>
          <w:p>
            <w:pPr>
              <w:spacing w:after="0"/>
              <w:rPr>
                <w:sz w:val="14"/>
                <w:szCs w:val="1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December 31, 2020</w:t>
            </w:r>
          </w:p>
        </w:tc>
        <w:tc>
          <w:tcPr>
            <w:tcW w:w="240" w:type="dxa"/>
            <w:vAlign w:val="bottom"/>
          </w:tcPr>
          <w:p>
            <w:pPr>
              <w:spacing w:after="0"/>
              <w:rPr>
                <w:sz w:val="14"/>
                <w:szCs w:val="1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December 31, 2019</w:t>
            </w:r>
          </w:p>
        </w:tc>
        <w:tc>
          <w:tcPr>
            <w:tcW w:w="100" w:type="dxa"/>
            <w:vAlign w:val="bottom"/>
          </w:tcPr>
          <w:p>
            <w:pPr>
              <w:spacing w:after="0"/>
              <w:rPr>
                <w:sz w:val="14"/>
                <w:szCs w:val="14"/>
                <w:color w:val="auto"/>
              </w:rPr>
            </w:pPr>
          </w:p>
        </w:tc>
      </w:tr>
      <w:tr>
        <w:trPr>
          <w:trHeight w:val="157"/>
        </w:trPr>
        <w:tc>
          <w:tcPr>
            <w:tcW w:w="6680" w:type="dxa"/>
            <w:vAlign w:val="bottom"/>
          </w:tcPr>
          <w:p>
            <w:pPr>
              <w:spacing w:after="0" w:line="157" w:lineRule="exact"/>
              <w:rPr>
                <w:sz w:val="20"/>
                <w:szCs w:val="20"/>
                <w:color w:val="auto"/>
              </w:rPr>
            </w:pPr>
            <w:r>
              <w:rPr>
                <w:rFonts w:ascii="Arial" w:cs="Arial" w:eastAsia="Arial" w:hAnsi="Arial"/>
                <w:sz w:val="14"/>
                <w:szCs w:val="14"/>
                <w:color w:val="auto"/>
              </w:rPr>
              <w:t>Net income attributable to Parsons Corporation</w:t>
            </w:r>
          </w:p>
        </w:tc>
        <w:tc>
          <w:tcPr>
            <w:tcW w:w="440" w:type="dxa"/>
            <w:vAlign w:val="bottom"/>
          </w:tcPr>
          <w:p>
            <w:pPr>
              <w:jc w:val="right"/>
              <w:ind w:right="292"/>
              <w:spacing w:after="0" w:line="157"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64,072</w:t>
            </w:r>
          </w:p>
        </w:tc>
        <w:tc>
          <w:tcPr>
            <w:tcW w:w="700" w:type="dxa"/>
            <w:vAlign w:val="bottom"/>
            <w:gridSpan w:val="2"/>
          </w:tcPr>
          <w:p>
            <w:pPr>
              <w:jc w:val="right"/>
              <w:ind w:right="312"/>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98,541</w:t>
            </w:r>
          </w:p>
        </w:tc>
        <w:tc>
          <w:tcPr>
            <w:tcW w:w="700" w:type="dxa"/>
            <w:vAlign w:val="bottom"/>
            <w:gridSpan w:val="2"/>
          </w:tcPr>
          <w:p>
            <w:pPr>
              <w:jc w:val="right"/>
              <w:ind w:right="312"/>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120,534</w:t>
            </w:r>
          </w:p>
        </w:tc>
        <w:tc>
          <w:tcPr>
            <w:tcW w:w="100" w:type="dxa"/>
            <w:vAlign w:val="bottom"/>
          </w:tcPr>
          <w:p>
            <w:pPr>
              <w:spacing w:after="0"/>
              <w:rPr>
                <w:sz w:val="13"/>
                <w:szCs w:val="13"/>
                <w:color w:val="auto"/>
              </w:rPr>
            </w:pPr>
          </w:p>
        </w:tc>
      </w:tr>
      <w:tr>
        <w:trPr>
          <w:trHeight w:val="165"/>
        </w:trPr>
        <w:tc>
          <w:tcPr>
            <w:tcW w:w="668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 net</w:t>
            </w:r>
          </w:p>
        </w:tc>
        <w:tc>
          <w:tcPr>
            <w:tcW w:w="4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17,301</w:t>
            </w:r>
          </w:p>
        </w:tc>
        <w:tc>
          <w:tcPr>
            <w:tcW w:w="2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20,169</w:t>
            </w: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22,429</w:t>
            </w:r>
          </w:p>
        </w:tc>
        <w:tc>
          <w:tcPr>
            <w:tcW w:w="100" w:type="dxa"/>
            <w:vAlign w:val="bottom"/>
            <w:shd w:val="clear" w:color="auto" w:fill="CFF0FC"/>
          </w:tcPr>
          <w:p>
            <w:pPr>
              <w:spacing w:after="0"/>
              <w:rPr>
                <w:sz w:val="14"/>
                <w:szCs w:val="14"/>
                <w:color w:val="auto"/>
              </w:rPr>
            </w:pPr>
          </w:p>
        </w:tc>
      </w:tr>
      <w:tr>
        <w:trPr>
          <w:trHeight w:val="165"/>
        </w:trPr>
        <w:tc>
          <w:tcPr>
            <w:tcW w:w="668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23,636</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42,492</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(69,886)</w:t>
            </w:r>
          </w:p>
        </w:tc>
      </w:tr>
      <w:tr>
        <w:trPr>
          <w:trHeight w:val="165"/>
        </w:trPr>
        <w:tc>
          <w:tcPr>
            <w:tcW w:w="6680" w:type="dxa"/>
            <w:vAlign w:val="bottom"/>
            <w:shd w:val="clear" w:color="auto" w:fill="CFF0FC"/>
          </w:tcPr>
          <w:p>
            <w:pPr>
              <w:spacing w:after="0"/>
              <w:rPr>
                <w:sz w:val="20"/>
                <w:szCs w:val="20"/>
                <w:color w:val="auto"/>
              </w:rPr>
            </w:pPr>
            <w:r>
              <w:rPr>
                <w:rFonts w:ascii="Arial" w:cs="Arial" w:eastAsia="Arial" w:hAnsi="Arial"/>
                <w:sz w:val="14"/>
                <w:szCs w:val="14"/>
                <w:color w:val="auto"/>
              </w:rPr>
              <w:t>Depreciation and amortization</w:t>
            </w:r>
          </w:p>
        </w:tc>
        <w:tc>
          <w:tcPr>
            <w:tcW w:w="4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144,209</w:t>
            </w:r>
          </w:p>
        </w:tc>
        <w:tc>
          <w:tcPr>
            <w:tcW w:w="2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127,980</w:t>
            </w: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125,700</w:t>
            </w:r>
          </w:p>
        </w:tc>
        <w:tc>
          <w:tcPr>
            <w:tcW w:w="100" w:type="dxa"/>
            <w:vAlign w:val="bottom"/>
            <w:shd w:val="clear" w:color="auto" w:fill="CFF0FC"/>
          </w:tcPr>
          <w:p>
            <w:pPr>
              <w:spacing w:after="0"/>
              <w:rPr>
                <w:sz w:val="14"/>
                <w:szCs w:val="14"/>
                <w:color w:val="auto"/>
              </w:rPr>
            </w:pPr>
          </w:p>
        </w:tc>
      </w:tr>
      <w:tr>
        <w:trPr>
          <w:trHeight w:val="165"/>
        </w:trPr>
        <w:tc>
          <w:tcPr>
            <w:tcW w:w="6680" w:type="dxa"/>
            <w:vAlign w:val="bottom"/>
          </w:tcPr>
          <w:p>
            <w:pPr>
              <w:spacing w:after="0"/>
              <w:rPr>
                <w:sz w:val="20"/>
                <w:szCs w:val="20"/>
                <w:color w:val="auto"/>
              </w:rPr>
            </w:pPr>
            <w:r>
              <w:rPr>
                <w:rFonts w:ascii="Arial" w:cs="Arial" w:eastAsia="Arial" w:hAnsi="Arial"/>
                <w:sz w:val="14"/>
                <w:szCs w:val="14"/>
                <w:color w:val="auto"/>
              </w:rPr>
              <w:t>Net income attributable to noncontrolling interests</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24,880</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20,380</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16,594</w:t>
            </w:r>
          </w:p>
        </w:tc>
        <w:tc>
          <w:tcPr>
            <w:tcW w:w="100" w:type="dxa"/>
            <w:vAlign w:val="bottom"/>
          </w:tcPr>
          <w:p>
            <w:pPr>
              <w:spacing w:after="0"/>
              <w:rPr>
                <w:sz w:val="14"/>
                <w:szCs w:val="14"/>
                <w:color w:val="auto"/>
              </w:rPr>
            </w:pPr>
          </w:p>
        </w:tc>
      </w:tr>
      <w:tr>
        <w:trPr>
          <w:trHeight w:val="165"/>
        </w:trPr>
        <w:tc>
          <w:tcPr>
            <w:tcW w:w="6680" w:type="dxa"/>
            <w:vAlign w:val="bottom"/>
            <w:shd w:val="clear" w:color="auto" w:fill="CFF0FC"/>
          </w:tcPr>
          <w:p>
            <w:pPr>
              <w:spacing w:after="0"/>
              <w:rPr>
                <w:sz w:val="20"/>
                <w:szCs w:val="20"/>
                <w:color w:val="auto"/>
              </w:rPr>
            </w:pPr>
            <w:r>
              <w:rPr>
                <w:rFonts w:ascii="Arial" w:cs="Arial" w:eastAsia="Arial" w:hAnsi="Arial"/>
                <w:sz w:val="14"/>
                <w:szCs w:val="14"/>
                <w:color w:val="auto"/>
              </w:rPr>
              <w:t>Equity-based compensation (a)</w:t>
            </w:r>
          </w:p>
        </w:tc>
        <w:tc>
          <w:tcPr>
            <w:tcW w:w="4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19,601</w:t>
            </w:r>
          </w:p>
        </w:tc>
        <w:tc>
          <w:tcPr>
            <w:tcW w:w="2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9,785</w:t>
            </w: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65,744</w:t>
            </w:r>
          </w:p>
        </w:tc>
        <w:tc>
          <w:tcPr>
            <w:tcW w:w="100" w:type="dxa"/>
            <w:vAlign w:val="bottom"/>
            <w:shd w:val="clear" w:color="auto" w:fill="CFF0FC"/>
          </w:tcPr>
          <w:p>
            <w:pPr>
              <w:spacing w:after="0"/>
              <w:rPr>
                <w:sz w:val="14"/>
                <w:szCs w:val="14"/>
                <w:color w:val="auto"/>
              </w:rPr>
            </w:pPr>
          </w:p>
        </w:tc>
      </w:tr>
      <w:tr>
        <w:trPr>
          <w:trHeight w:val="165"/>
        </w:trPr>
        <w:tc>
          <w:tcPr>
            <w:tcW w:w="6680" w:type="dxa"/>
            <w:vAlign w:val="bottom"/>
          </w:tcPr>
          <w:p>
            <w:pPr>
              <w:spacing w:after="0"/>
              <w:rPr>
                <w:sz w:val="20"/>
                <w:szCs w:val="20"/>
                <w:color w:val="auto"/>
              </w:rPr>
            </w:pPr>
            <w:r>
              <w:rPr>
                <w:rFonts w:ascii="Arial" w:cs="Arial" w:eastAsia="Arial" w:hAnsi="Arial"/>
                <w:sz w:val="14"/>
                <w:szCs w:val="14"/>
                <w:color w:val="auto"/>
              </w:rPr>
              <w:t>Transaction-related costs (b)</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11,965</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19,922</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34,353</w:t>
            </w:r>
          </w:p>
        </w:tc>
        <w:tc>
          <w:tcPr>
            <w:tcW w:w="100" w:type="dxa"/>
            <w:vAlign w:val="bottom"/>
          </w:tcPr>
          <w:p>
            <w:pPr>
              <w:spacing w:after="0"/>
              <w:rPr>
                <w:sz w:val="14"/>
                <w:szCs w:val="14"/>
                <w:color w:val="auto"/>
              </w:rPr>
            </w:pPr>
          </w:p>
        </w:tc>
      </w:tr>
      <w:tr>
        <w:trPr>
          <w:trHeight w:val="165"/>
        </w:trPr>
        <w:tc>
          <w:tcPr>
            <w:tcW w:w="6680" w:type="dxa"/>
            <w:vAlign w:val="bottom"/>
            <w:shd w:val="clear" w:color="auto" w:fill="CFF0FC"/>
          </w:tcPr>
          <w:p>
            <w:pPr>
              <w:spacing w:after="0"/>
              <w:rPr>
                <w:sz w:val="20"/>
                <w:szCs w:val="20"/>
                <w:color w:val="auto"/>
              </w:rPr>
            </w:pPr>
            <w:r>
              <w:rPr>
                <w:rFonts w:ascii="Arial" w:cs="Arial" w:eastAsia="Arial" w:hAnsi="Arial"/>
                <w:sz w:val="14"/>
                <w:szCs w:val="14"/>
                <w:color w:val="auto"/>
              </w:rPr>
              <w:t>Restructuring (c)</w:t>
            </w:r>
          </w:p>
        </w:tc>
        <w:tc>
          <w:tcPr>
            <w:tcW w:w="4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736</w:t>
            </w:r>
          </w:p>
        </w:tc>
        <w:tc>
          <w:tcPr>
            <w:tcW w:w="2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2,193</w:t>
            </w: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3,424</w:t>
            </w:r>
          </w:p>
        </w:tc>
        <w:tc>
          <w:tcPr>
            <w:tcW w:w="100" w:type="dxa"/>
            <w:vAlign w:val="bottom"/>
            <w:shd w:val="clear" w:color="auto" w:fill="CFF0FC"/>
          </w:tcPr>
          <w:p>
            <w:pPr>
              <w:spacing w:after="0"/>
              <w:rPr>
                <w:sz w:val="14"/>
                <w:szCs w:val="14"/>
                <w:color w:val="auto"/>
              </w:rPr>
            </w:pPr>
          </w:p>
        </w:tc>
      </w:tr>
      <w:tr>
        <w:trPr>
          <w:trHeight w:val="165"/>
        </w:trPr>
        <w:tc>
          <w:tcPr>
            <w:tcW w:w="66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(d)</w:t>
            </w: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3,320</w:t>
            </w:r>
          </w:p>
        </w:tc>
        <w:tc>
          <w:tcPr>
            <w:tcW w:w="26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1,159</w:t>
            </w:r>
          </w:p>
        </w:tc>
        <w:tc>
          <w:tcPr>
            <w:tcW w:w="24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6,155</w:t>
            </w:r>
          </w:p>
        </w:tc>
        <w:tc>
          <w:tcPr>
            <w:tcW w:w="100" w:type="dxa"/>
            <w:vAlign w:val="bottom"/>
            <w:tcBorders>
              <w:bottom w:val="single" w:sz="8" w:color="CFF0FC"/>
            </w:tcBorders>
          </w:tcPr>
          <w:p>
            <w:pPr>
              <w:spacing w:after="0"/>
              <w:rPr>
                <w:sz w:val="14"/>
                <w:szCs w:val="14"/>
                <w:color w:val="auto"/>
              </w:rPr>
            </w:pPr>
          </w:p>
        </w:tc>
      </w:tr>
      <w:tr>
        <w:trPr>
          <w:trHeight w:val="157"/>
        </w:trPr>
        <w:tc>
          <w:tcPr>
            <w:tcW w:w="668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Adjusted EBITDA</w:t>
            </w:r>
          </w:p>
        </w:tc>
        <w:tc>
          <w:tcPr>
            <w:tcW w:w="440" w:type="dxa"/>
            <w:vAlign w:val="bottom"/>
            <w:shd w:val="clear" w:color="auto" w:fill="CFF0FC"/>
          </w:tcPr>
          <w:p>
            <w:pPr>
              <w:jc w:val="right"/>
              <w:ind w:right="292"/>
              <w:spacing w:after="0" w:line="157"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309,720</w:t>
            </w:r>
          </w:p>
        </w:tc>
        <w:tc>
          <w:tcPr>
            <w:tcW w:w="700" w:type="dxa"/>
            <w:vAlign w:val="bottom"/>
            <w:gridSpan w:val="2"/>
            <w:shd w:val="clear" w:color="auto" w:fill="CFF0FC"/>
          </w:tcPr>
          <w:p>
            <w:pPr>
              <w:jc w:val="right"/>
              <w:ind w:right="312"/>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342,621</w:t>
            </w:r>
          </w:p>
        </w:tc>
        <w:tc>
          <w:tcPr>
            <w:tcW w:w="700" w:type="dxa"/>
            <w:vAlign w:val="bottom"/>
            <w:gridSpan w:val="2"/>
            <w:shd w:val="clear" w:color="auto" w:fill="CFF0FC"/>
          </w:tcPr>
          <w:p>
            <w:pPr>
              <w:jc w:val="right"/>
              <w:ind w:right="312"/>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325,047</w:t>
            </w:r>
          </w:p>
        </w:tc>
        <w:tc>
          <w:tcPr>
            <w:tcW w:w="100" w:type="dxa"/>
            <w:vAlign w:val="bottom"/>
            <w:shd w:val="clear" w:color="auto" w:fill="CFF0FC"/>
          </w:tcPr>
          <w:p>
            <w:pPr>
              <w:spacing w:after="0"/>
              <w:rPr>
                <w:sz w:val="13"/>
                <w:szCs w:val="13"/>
                <w:color w:val="auto"/>
              </w:rPr>
            </w:pPr>
          </w:p>
        </w:tc>
      </w:tr>
      <w:tr>
        <w:trPr>
          <w:trHeight w:val="20"/>
        </w:trPr>
        <w:tc>
          <w:tcPr>
            <w:tcW w:w="66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83" w:lineRule="exact"/>
        <w:rPr>
          <w:sz w:val="20"/>
          <w:szCs w:val="20"/>
          <w:color w:val="auto"/>
        </w:rPr>
      </w:pPr>
    </w:p>
    <w:p>
      <w:pPr>
        <w:ind w:left="740" w:right="540" w:hanging="739"/>
        <w:spacing w:after="0" w:line="226" w:lineRule="auto"/>
        <w:tabs>
          <w:tab w:leader="none" w:pos="7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Reflects equity-based compensation costs primarily related to cash-settled awards. See “Management’s Discussion and Analysis of Financial Condition and Results of Operations” in this Annual Report on Form 10-K for a further discussion of these awards.</w:t>
      </w:r>
    </w:p>
    <w:p>
      <w:pPr>
        <w:spacing w:after="0" w:line="1" w:lineRule="exact"/>
        <w:rPr>
          <w:rFonts w:ascii="Arial" w:cs="Arial" w:eastAsia="Arial" w:hAnsi="Arial"/>
          <w:sz w:val="14"/>
          <w:szCs w:val="14"/>
          <w:color w:val="auto"/>
        </w:rPr>
      </w:pPr>
    </w:p>
    <w:p>
      <w:pPr>
        <w:ind w:left="740" w:hanging="739"/>
        <w:spacing w:after="0"/>
        <w:tabs>
          <w:tab w:leader="none" w:pos="7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Reflects costs incurred in connection with acquisitions, the IPO, and other non-recurring transaction costs, primarily fees paid for professional services and employee retention.</w:t>
      </w:r>
    </w:p>
    <w:p>
      <w:pPr>
        <w:spacing w:after="0" w:line="14" w:lineRule="exact"/>
        <w:rPr>
          <w:rFonts w:ascii="Arial" w:cs="Arial" w:eastAsia="Arial" w:hAnsi="Arial"/>
          <w:sz w:val="12"/>
          <w:szCs w:val="12"/>
          <w:color w:val="auto"/>
        </w:rPr>
      </w:pPr>
    </w:p>
    <w:p>
      <w:pPr>
        <w:ind w:left="740" w:hanging="739"/>
        <w:spacing w:after="0" w:line="226" w:lineRule="auto"/>
        <w:tabs>
          <w:tab w:leader="none" w:pos="7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Reflects costs associated with and related to our corporate restructuring initiatives.</w:t>
      </w:r>
    </w:p>
    <w:p>
      <w:pPr>
        <w:ind w:left="740" w:hanging="739"/>
        <w:spacing w:after="0"/>
        <w:tabs>
          <w:tab w:leader="none" w:pos="7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Includes a combination of gain/loss related to sale of fixed assets, software implementation costs, and other individually insignificant items that are non-recurring in nature.</w:t>
      </w:r>
    </w:p>
    <w:p>
      <w:pPr>
        <w:spacing w:after="0" w:line="212" w:lineRule="exact"/>
        <w:rPr>
          <w:sz w:val="20"/>
          <w:szCs w:val="20"/>
          <w:color w:val="auto"/>
        </w:rPr>
      </w:pPr>
    </w:p>
    <w:p>
      <w:pPr>
        <w:ind w:right="80" w:firstLine="735"/>
        <w:spacing w:after="0" w:line="236" w:lineRule="auto"/>
        <w:rPr>
          <w:sz w:val="20"/>
          <w:szCs w:val="20"/>
          <w:color w:val="auto"/>
        </w:rPr>
      </w:pPr>
      <w:r>
        <w:rPr>
          <w:rFonts w:ascii="Arial" w:cs="Arial" w:eastAsia="Arial" w:hAnsi="Arial"/>
          <w:sz w:val="17"/>
          <w:szCs w:val="17"/>
          <w:color w:val="auto"/>
        </w:rPr>
        <w:t>Adjusted EBITDA is a supplemental measure of our operating performance included in this Annual Report on Form 10-K because it is used by management and our board of directors to assess our financial performance both on a segment and on a consolidated basis. We discuss Adjusted EBITDA because our management uses this measure for business planning purposes, including to manage the business against internal projected results of operations and to measure the performance of the business generally. Adjusted EBITDA is frequently used by analysts, investors and other interested parties to evaluate companies in our industry.</w:t>
      </w:r>
    </w:p>
    <w:p>
      <w:pPr>
        <w:spacing w:after="0" w:line="193" w:lineRule="exact"/>
        <w:rPr>
          <w:sz w:val="20"/>
          <w:szCs w:val="20"/>
          <w:color w:val="auto"/>
        </w:rPr>
      </w:pPr>
    </w:p>
    <w:p>
      <w:pPr>
        <w:ind w:right="20" w:firstLine="735"/>
        <w:spacing w:after="0" w:line="234" w:lineRule="auto"/>
        <w:rPr>
          <w:sz w:val="20"/>
          <w:szCs w:val="20"/>
          <w:color w:val="auto"/>
        </w:rPr>
      </w:pPr>
      <w:r>
        <w:rPr>
          <w:rFonts w:ascii="Arial" w:cs="Arial" w:eastAsia="Arial" w:hAnsi="Arial"/>
          <w:sz w:val="17"/>
          <w:szCs w:val="17"/>
          <w:color w:val="auto"/>
        </w:rPr>
        <w:t>Adjusted EBITDA is not a U.S. GAAP measure of our financial performance or liquidity and should not be considered as an alternative to net income as a measure of financial performance or cash flows from operations as measures of liquidity, or any other performance measure derived in accordance with U.S. GAAP. We define Adjusted EBITDA as net income attributable to Parsons Corporation, adjusted to include net income attributable to noncontrolling interests and to exclude interest expense (net of interest income), provision for income taxes, depreciation and amortization and certain other items that we do not consider in our evaluation of ongoing operating performance. These other items include, among other things, impairment of goodwill, intangible and other assets, interest and other expenses recognized on litigation matters, amortization of deferred gain resulting from sale-leaseback transactions, expenses incurred in connection with acquisitions and other non-recurring transaction costs, equity-based compensation, and expenses related to our corporate restructuring initiatives. Adjusted EBITDA should not be construed as an inference that our future results will be unaffected by unusual or non-recurring items. Additionally, Adjusted EBITDA is not intended to be a measure of free cash flow for management’s discretionary use, as it does not reflect tax payments, debt service requirements, capital expenditures and certain other cash costs that may recur in the future, including, among other things, cash requirements for working capital needs and cash costs to replace assets being depreciated and amortized. Management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626" w:right="339" w:bottom="1440" w:gutter="0" w:footer="0" w:header="0"/>
        </w:sectPr>
      </w:pPr>
    </w:p>
    <w:bookmarkStart w:id="73" w:name="page74"/>
    <w:bookmarkEnd w:id="73"/>
    <w:p>
      <w:pPr>
        <w:ind w:right="40"/>
        <w:spacing w:after="0" w:line="242" w:lineRule="auto"/>
        <w:rPr>
          <w:sz w:val="20"/>
          <w:szCs w:val="20"/>
          <w:color w:val="auto"/>
        </w:rPr>
      </w:pPr>
      <w:r>
        <w:rPr>
          <w:rFonts w:ascii="Arial" w:cs="Arial" w:eastAsia="Arial" w:hAnsi="Arial"/>
          <w:sz w:val="17"/>
          <w:szCs w:val="17"/>
          <w:color w:val="auto"/>
        </w:rPr>
        <w:t>compensates for these limitations by relying on our U.S. GAAP results in addition to using Adjusted EBITDA supplementally. Our measure of Adjusted EBITDA is not necessarily comparable to similarly titled captions of other companies due to different methods of calculation.</w:t>
      </w:r>
    </w:p>
    <w:p>
      <w:pPr>
        <w:spacing w:after="0" w:line="298"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See “Segment Results” below and "Note 21—</w:t>
      </w:r>
      <w:r>
        <w:rPr>
          <w:rFonts w:ascii="Arial" w:cs="Arial" w:eastAsia="Arial" w:hAnsi="Arial"/>
          <w:sz w:val="17"/>
          <w:szCs w:val="17"/>
          <w:i w:val="1"/>
          <w:iCs w:val="1"/>
          <w:color w:val="auto"/>
        </w:rPr>
        <w:t>Segments Information</w:t>
      </w:r>
      <w:r>
        <w:rPr>
          <w:rFonts w:ascii="Arial" w:cs="Arial" w:eastAsia="Arial" w:hAnsi="Arial"/>
          <w:sz w:val="17"/>
          <w:szCs w:val="17"/>
          <w:color w:val="auto"/>
        </w:rPr>
        <w:t>” in the notes to our consolidated financial statements included elsewhere in this Annual Report on Form 10-K for further discussion regarding our segment Adjusted EBITDA attributable to Parsons Corporation</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Segment Results</w:t>
      </w:r>
    </w:p>
    <w:p>
      <w:pPr>
        <w:spacing w:after="0" w:line="212"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We evaluate segment operating performance using segment revenue and segment Adjusted EBITDA attributable to Parsons Corporation.</w:t>
      </w:r>
    </w:p>
    <w:p>
      <w:pPr>
        <w:spacing w:after="0"/>
        <w:rPr>
          <w:sz w:val="20"/>
          <w:szCs w:val="20"/>
          <w:color w:val="auto"/>
        </w:rPr>
      </w:pPr>
      <w:r>
        <w:rPr>
          <w:rFonts w:ascii="Arial" w:cs="Arial" w:eastAsia="Arial" w:hAnsi="Arial"/>
          <w:sz w:val="17"/>
          <w:szCs w:val="17"/>
          <w:color w:val="auto"/>
        </w:rPr>
        <w:t>Adjusted EBITDA attributable to Parsons Corporation is Adjusted EBITDA excluding Adjusted EBITDA attributable to noncontrolling interests.</w:t>
      </w:r>
    </w:p>
    <w:p>
      <w:pPr>
        <w:spacing w:after="0" w:line="96" w:lineRule="exact"/>
        <w:rPr>
          <w:sz w:val="20"/>
          <w:szCs w:val="20"/>
          <w:color w:val="auto"/>
        </w:rPr>
      </w:pPr>
    </w:p>
    <w:p>
      <w:pPr>
        <w:ind w:right="120" w:firstLine="743"/>
        <w:spacing w:after="0" w:line="242" w:lineRule="auto"/>
        <w:rPr>
          <w:sz w:val="20"/>
          <w:szCs w:val="20"/>
          <w:color w:val="auto"/>
        </w:rPr>
      </w:pPr>
      <w:r>
        <w:rPr>
          <w:rFonts w:ascii="Arial" w:cs="Arial" w:eastAsia="Arial" w:hAnsi="Arial"/>
          <w:sz w:val="17"/>
          <w:szCs w:val="17"/>
          <w:color w:val="auto"/>
        </w:rPr>
        <w:t>The following table shows Adjusted EBITDA attributable to Parsons Corporation for each of our reportable segments and Adjusted EBITDA attributable to noncontrolling interests: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2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Fiscal Year Ended</w:t>
            </w: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200" w:type="dxa"/>
            <w:vAlign w:val="bottom"/>
            <w:tcBorders>
              <w:bottom w:val="single" w:sz="8" w:color="CFF0FC"/>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gridSpan w:val="4"/>
          </w:tcPr>
          <w:p>
            <w:pPr>
              <w:jc w:val="right"/>
              <w:spacing w:after="0" w:line="157" w:lineRule="exact"/>
              <w:rPr>
                <w:sz w:val="20"/>
                <w:szCs w:val="20"/>
                <w:color w:val="auto"/>
              </w:rPr>
            </w:pPr>
            <w:r>
              <w:rPr>
                <w:rFonts w:ascii="Arial" w:cs="Arial" w:eastAsia="Arial" w:hAnsi="Arial"/>
                <w:sz w:val="14"/>
                <w:szCs w:val="14"/>
                <w:b w:val="1"/>
                <w:bCs w:val="1"/>
                <w:color w:val="auto"/>
                <w:w w:val="98"/>
              </w:rPr>
              <w:t>December 31, 2021</w:t>
            </w:r>
          </w:p>
        </w:tc>
        <w:tc>
          <w:tcPr>
            <w:tcW w:w="240" w:type="dxa"/>
            <w:vAlign w:val="bottom"/>
            <w:tcBorders>
              <w:bottom w:val="single" w:sz="8" w:color="CFF0FC"/>
            </w:tcBorders>
          </w:tcPr>
          <w:p>
            <w:pPr>
              <w:spacing w:after="0"/>
              <w:rPr>
                <w:sz w:val="13"/>
                <w:szCs w:val="13"/>
                <w:color w:val="auto"/>
              </w:rPr>
            </w:pPr>
          </w:p>
        </w:tc>
        <w:tc>
          <w:tcPr>
            <w:tcW w:w="1340" w:type="dxa"/>
            <w:vAlign w:val="bottom"/>
            <w:tcBorders>
              <w:bottom w:val="single" w:sz="8" w:color="auto"/>
            </w:tcBorders>
            <w:gridSpan w:val="4"/>
          </w:tcPr>
          <w:p>
            <w:pPr>
              <w:jc w:val="right"/>
              <w:ind w:right="60"/>
              <w:spacing w:after="0" w:line="157" w:lineRule="exact"/>
              <w:rPr>
                <w:sz w:val="20"/>
                <w:szCs w:val="20"/>
                <w:color w:val="auto"/>
              </w:rPr>
            </w:pPr>
            <w:r>
              <w:rPr>
                <w:rFonts w:ascii="Arial" w:cs="Arial" w:eastAsia="Arial" w:hAnsi="Arial"/>
                <w:sz w:val="14"/>
                <w:szCs w:val="14"/>
                <w:b w:val="1"/>
                <w:bCs w:val="1"/>
                <w:color w:val="auto"/>
                <w:w w:val="99"/>
              </w:rPr>
              <w:t>December 31, 2020</w:t>
            </w:r>
          </w:p>
        </w:tc>
        <w:tc>
          <w:tcPr>
            <w:tcW w:w="26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gridSpan w:val="5"/>
          </w:tcPr>
          <w:p>
            <w:pPr>
              <w:jc w:val="right"/>
              <w:ind w:right="60"/>
              <w:spacing w:after="0" w:line="157" w:lineRule="exact"/>
              <w:rPr>
                <w:sz w:val="20"/>
                <w:szCs w:val="20"/>
                <w:color w:val="auto"/>
              </w:rPr>
            </w:pPr>
            <w:r>
              <w:rPr>
                <w:rFonts w:ascii="Arial" w:cs="Arial" w:eastAsia="Arial" w:hAnsi="Arial"/>
                <w:sz w:val="14"/>
                <w:szCs w:val="14"/>
                <w:b w:val="1"/>
                <w:bCs w:val="1"/>
                <w:color w:val="auto"/>
                <w:w w:val="98"/>
              </w:rPr>
              <w:t>December 31, 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200" w:type="dxa"/>
            <w:vAlign w:val="bottom"/>
            <w:shd w:val="clear" w:color="auto" w:fill="CFF0FC"/>
          </w:tcPr>
          <w:p>
            <w:pPr>
              <w:spacing w:after="0"/>
              <w:rPr>
                <w:sz w:val="20"/>
                <w:szCs w:val="20"/>
                <w:color w:val="auto"/>
              </w:rPr>
            </w:pPr>
            <w:r>
              <w:rPr>
                <w:rFonts w:ascii="Arial" w:cs="Arial" w:eastAsia="Arial" w:hAnsi="Arial"/>
                <w:sz w:val="17"/>
                <w:szCs w:val="17"/>
                <w:color w:val="auto"/>
              </w:rPr>
              <w:t>Federal Solutions Adjusted EBITDA attributable to Parsons Corporation</w:t>
            </w: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162,733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167,340</w:t>
            </w:r>
          </w:p>
        </w:tc>
        <w:tc>
          <w:tcPr>
            <w:tcW w:w="680" w:type="dxa"/>
            <w:vAlign w:val="bottom"/>
            <w:gridSpan w:val="2"/>
            <w:shd w:val="clear" w:color="auto" w:fill="CFF0FC"/>
          </w:tcPr>
          <w:p>
            <w:pPr>
              <w:jc w:val="right"/>
              <w:ind w:right="272"/>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169,100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spacing w:after="0"/>
              <w:rPr>
                <w:sz w:val="20"/>
                <w:szCs w:val="20"/>
                <w:color w:val="auto"/>
              </w:rPr>
            </w:pPr>
            <w:r>
              <w:rPr>
                <w:rFonts w:ascii="Arial" w:cs="Arial" w:eastAsia="Arial" w:hAnsi="Arial"/>
                <w:sz w:val="17"/>
                <w:szCs w:val="17"/>
                <w:color w:val="auto"/>
              </w:rPr>
              <w:t>Critical Infrastructure Adjusted EBITDA attributable to Parsons Corporation</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121,700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7"/>
                <w:szCs w:val="17"/>
                <w:color w:val="auto"/>
              </w:rPr>
              <w:t>154,528</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138,851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FF0FC"/>
          </w:tcPr>
          <w:p>
            <w:pPr>
              <w:spacing w:after="0"/>
              <w:rPr>
                <w:sz w:val="20"/>
                <w:szCs w:val="20"/>
                <w:color w:val="auto"/>
              </w:rPr>
            </w:pPr>
            <w:r>
              <w:rPr>
                <w:rFonts w:ascii="Arial" w:cs="Arial" w:eastAsia="Arial" w:hAnsi="Arial"/>
                <w:sz w:val="17"/>
                <w:szCs w:val="17"/>
                <w:color w:val="auto"/>
              </w:rPr>
              <w:t>Adjusted EBITDA attributable to noncontrolling interests</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7"/>
                <w:szCs w:val="17"/>
                <w:color w:val="auto"/>
              </w:rPr>
              <w:t>25,287</w:t>
            </w:r>
          </w:p>
        </w:tc>
        <w:tc>
          <w:tcPr>
            <w:tcW w:w="24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20,753</w:t>
            </w:r>
          </w:p>
        </w:tc>
        <w:tc>
          <w:tcPr>
            <w:tcW w:w="260" w:type="dxa"/>
            <w:vAlign w:val="bottom"/>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17,096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tcPr>
          <w:p>
            <w:pPr>
              <w:ind w:left="240"/>
              <w:spacing w:after="0"/>
              <w:rPr>
                <w:sz w:val="20"/>
                <w:szCs w:val="20"/>
                <w:color w:val="auto"/>
              </w:rPr>
            </w:pPr>
            <w:r>
              <w:rPr>
                <w:rFonts w:ascii="Arial" w:cs="Arial" w:eastAsia="Arial" w:hAnsi="Arial"/>
                <w:sz w:val="17"/>
                <w:szCs w:val="17"/>
                <w:color w:val="auto"/>
              </w:rPr>
              <w:t>Total Adjusted EBITDA</w:t>
            </w:r>
          </w:p>
        </w:tc>
        <w:tc>
          <w:tcPr>
            <w:tcW w:w="6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309,720</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20"/>
              <w:spacing w:after="0"/>
              <w:rPr>
                <w:sz w:val="20"/>
                <w:szCs w:val="20"/>
                <w:color w:val="auto"/>
              </w:rPr>
            </w:pPr>
            <w:r>
              <w:rPr>
                <w:rFonts w:ascii="Arial" w:cs="Arial" w:eastAsia="Arial" w:hAnsi="Arial"/>
                <w:sz w:val="17"/>
                <w:szCs w:val="17"/>
                <w:color w:val="auto"/>
              </w:rPr>
              <w:t>342,621</w:t>
            </w:r>
          </w:p>
        </w:tc>
        <w:tc>
          <w:tcPr>
            <w:tcW w:w="680" w:type="dxa"/>
            <w:vAlign w:val="bottom"/>
            <w:gridSpan w:val="2"/>
          </w:tcPr>
          <w:p>
            <w:pPr>
              <w:jc w:val="right"/>
              <w:ind w:right="272"/>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325,047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7"/>
                <w:szCs w:val="17"/>
                <w:b w:val="1"/>
                <w:bCs w:val="1"/>
                <w:i w:val="1"/>
                <w:iCs w:val="1"/>
                <w:color w:val="auto"/>
              </w:rPr>
              <w:t>Year ended December 31, 2021 compared to year ended December 31, 2020</w:t>
            </w: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62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200" w:type="dxa"/>
            <w:vAlign w:val="bottom"/>
          </w:tcPr>
          <w:p>
            <w:pPr>
              <w:spacing w:after="0"/>
              <w:rPr>
                <w:sz w:val="20"/>
                <w:szCs w:val="20"/>
                <w:color w:val="auto"/>
              </w:rPr>
            </w:pPr>
            <w:r>
              <w:rPr>
                <w:rFonts w:ascii="Arial" w:cs="Arial" w:eastAsia="Arial" w:hAnsi="Arial"/>
                <w:sz w:val="17"/>
                <w:szCs w:val="17"/>
                <w:i w:val="1"/>
                <w:iCs w:val="1"/>
                <w:color w:val="auto"/>
              </w:rPr>
              <w:t>Federal Solutions</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62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right"/>
              <w:ind w:right="32"/>
              <w:spacing w:after="0"/>
              <w:rPr>
                <w:sz w:val="20"/>
                <w:szCs w:val="20"/>
                <w:color w:val="auto"/>
              </w:rPr>
            </w:pPr>
            <w:r>
              <w:rPr>
                <w:rFonts w:ascii="Arial" w:cs="Arial" w:eastAsia="Arial" w:hAnsi="Arial"/>
                <w:sz w:val="14"/>
                <w:szCs w:val="14"/>
                <w:b w:val="1"/>
                <w:bCs w:val="1"/>
                <w:color w:val="auto"/>
              </w:rPr>
              <w:t>The Year Ended</w:t>
            </w:r>
          </w:p>
        </w:tc>
        <w:tc>
          <w:tcPr>
            <w:tcW w:w="7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2"/>
              </w:rPr>
              <w:t>Variance</w:t>
            </w: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6200" w:type="dxa"/>
            <w:vAlign w:val="bottom"/>
            <w:tcBorders>
              <w:bottom w:val="single" w:sz="8" w:color="CFF0FC"/>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gridSpan w:val="3"/>
          </w:tcPr>
          <w:p>
            <w:pPr>
              <w:ind w:left="20"/>
              <w:spacing w:after="0" w:line="157" w:lineRule="exact"/>
              <w:rPr>
                <w:sz w:val="20"/>
                <w:szCs w:val="20"/>
                <w:color w:val="auto"/>
              </w:rPr>
            </w:pPr>
            <w:r>
              <w:rPr>
                <w:rFonts w:ascii="Arial" w:cs="Arial" w:eastAsia="Arial" w:hAnsi="Arial"/>
                <w:sz w:val="14"/>
                <w:szCs w:val="14"/>
                <w:b w:val="1"/>
                <w:bCs w:val="1"/>
                <w:color w:val="auto"/>
                <w:w w:val="96"/>
              </w:rPr>
              <w:t>December 31, 2021</w:t>
            </w:r>
          </w:p>
        </w:tc>
        <w:tc>
          <w:tcPr>
            <w:tcW w:w="24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gridSpan w:val="4"/>
          </w:tcPr>
          <w:p>
            <w:pPr>
              <w:jc w:val="right"/>
              <w:spacing w:after="0" w:line="157" w:lineRule="exact"/>
              <w:rPr>
                <w:sz w:val="20"/>
                <w:szCs w:val="20"/>
                <w:color w:val="auto"/>
              </w:rPr>
            </w:pPr>
            <w:r>
              <w:rPr>
                <w:rFonts w:ascii="Arial" w:cs="Arial" w:eastAsia="Arial" w:hAnsi="Arial"/>
                <w:sz w:val="14"/>
                <w:szCs w:val="14"/>
                <w:b w:val="1"/>
                <w:bCs w:val="1"/>
                <w:color w:val="auto"/>
                <w:w w:val="96"/>
              </w:rPr>
              <w:t>December 31, 2020</w:t>
            </w:r>
          </w:p>
        </w:tc>
        <w:tc>
          <w:tcPr>
            <w:tcW w:w="2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192"/>
              <w:spacing w:after="0" w:line="157" w:lineRule="exact"/>
              <w:rPr>
                <w:sz w:val="20"/>
                <w:szCs w:val="20"/>
                <w:color w:val="auto"/>
              </w:rPr>
            </w:pPr>
            <w:r>
              <w:rPr>
                <w:rFonts w:ascii="Arial" w:cs="Arial" w:eastAsia="Arial" w:hAnsi="Arial"/>
                <w:sz w:val="14"/>
                <w:szCs w:val="14"/>
                <w:b w:val="1"/>
                <w:bCs w:val="1"/>
                <w:color w:val="auto"/>
              </w:rPr>
              <w:t>Dollar</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20"/>
              <w:spacing w:after="0" w:line="157" w:lineRule="exact"/>
              <w:rPr>
                <w:sz w:val="20"/>
                <w:szCs w:val="20"/>
                <w:color w:val="auto"/>
              </w:rPr>
            </w:pPr>
            <w:r>
              <w:rPr>
                <w:rFonts w:ascii="Arial" w:cs="Arial" w:eastAsia="Arial" w:hAnsi="Arial"/>
                <w:sz w:val="14"/>
                <w:szCs w:val="14"/>
                <w:b w:val="1"/>
                <w:bCs w:val="1"/>
                <w:color w:val="auto"/>
              </w:rPr>
              <w:t>Percent</w:t>
            </w:r>
          </w:p>
        </w:tc>
        <w:tc>
          <w:tcPr>
            <w:tcW w:w="160" w:type="dxa"/>
            <w:vAlign w:val="bottom"/>
            <w:tcBorders>
              <w:bottom w:val="single" w:sz="8" w:color="CFF0F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20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460" w:type="dxa"/>
            <w:vAlign w:val="bottom"/>
            <w:gridSpan w:val="2"/>
            <w:shd w:val="clear" w:color="auto" w:fill="CFF0FC"/>
          </w:tcPr>
          <w:p>
            <w:pPr>
              <w:ind w:lef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1,888,050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1,911,910</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(23,860)</w:t>
            </w:r>
          </w:p>
        </w:tc>
        <w:tc>
          <w:tcPr>
            <w:tcW w:w="20" w:type="dxa"/>
            <w:vAlign w:val="bottom"/>
            <w:shd w:val="clear" w:color="auto" w:fill="CFF0FC"/>
          </w:tcPr>
          <w:p>
            <w:pPr>
              <w:spacing w:after="0"/>
              <w:rPr>
                <w:sz w:val="17"/>
                <w:szCs w:val="17"/>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5"/>
        </w:trPr>
        <w:tc>
          <w:tcPr>
            <w:tcW w:w="6200" w:type="dxa"/>
            <w:vAlign w:val="bottom"/>
          </w:tcPr>
          <w:p>
            <w:pPr>
              <w:spacing w:after="0"/>
              <w:rPr>
                <w:sz w:val="20"/>
                <w:szCs w:val="20"/>
                <w:color w:val="auto"/>
              </w:rPr>
            </w:pPr>
            <w:r>
              <w:rPr>
                <w:rFonts w:ascii="Arial" w:cs="Arial" w:eastAsia="Arial" w:hAnsi="Arial"/>
                <w:sz w:val="17"/>
                <w:szCs w:val="17"/>
                <w:color w:val="auto"/>
              </w:rPr>
              <w:t>Adjusted EBITDA attributable to Parsons Corporation</w:t>
            </w:r>
          </w:p>
        </w:tc>
        <w:tc>
          <w:tcPr>
            <w:tcW w:w="46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162,733</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167,340</w:t>
            </w:r>
          </w:p>
        </w:tc>
        <w:tc>
          <w:tcPr>
            <w:tcW w:w="4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rPr>
              <w:t>(4,607)</w:t>
            </w:r>
          </w:p>
        </w:tc>
        <w:tc>
          <w:tcPr>
            <w:tcW w:w="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right="240" w:firstLine="743"/>
        <w:spacing w:after="0" w:line="238" w:lineRule="auto"/>
        <w:rPr>
          <w:sz w:val="20"/>
          <w:szCs w:val="20"/>
          <w:color w:val="auto"/>
        </w:rPr>
      </w:pPr>
      <w:r>
        <w:rPr>
          <w:rFonts w:ascii="Arial" w:cs="Arial" w:eastAsia="Arial" w:hAnsi="Arial"/>
          <w:sz w:val="17"/>
          <w:szCs w:val="17"/>
          <w:color w:val="auto"/>
        </w:rPr>
        <w:t>The decrease in Federal Solutions revenue for the year ended December 31, 2021 compared to the corresponding period last year was primarily due to a decrease in business volume from program completions and transitions, a reserve taken on a program, and the competitive hiring environment for cleared personnel. The decreases were partially offset by increases from business acquisitions of $160.8 million.</w:t>
      </w:r>
    </w:p>
    <w:p>
      <w:pPr>
        <w:spacing w:after="0" w:line="90" w:lineRule="exact"/>
        <w:rPr>
          <w:sz w:val="20"/>
          <w:szCs w:val="20"/>
          <w:color w:val="auto"/>
        </w:rPr>
      </w:pPr>
    </w:p>
    <w:p>
      <w:pPr>
        <w:jc w:val="both"/>
        <w:ind w:right="140" w:firstLine="743"/>
        <w:spacing w:after="0" w:line="238" w:lineRule="auto"/>
        <w:rPr>
          <w:sz w:val="20"/>
          <w:szCs w:val="20"/>
          <w:color w:val="auto"/>
        </w:rPr>
      </w:pPr>
      <w:r>
        <w:rPr>
          <w:rFonts w:ascii="Arial" w:cs="Arial" w:eastAsia="Arial" w:hAnsi="Arial"/>
          <w:sz w:val="17"/>
          <w:szCs w:val="17"/>
          <w:color w:val="auto"/>
        </w:rPr>
        <w:t>The decrease in Federal Solutions Adjusted EBITDA attributable to Parsons Corporation for the year ended December 31, 2021 compared to the prior year was primarily due to a $5.5 million net impact from a reserve taken on a program during 2021, compared to a $13.9 million incentive fee recognized during 2020, partially offset by an increase related to business acquisitions.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Infrastructure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7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6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The Year Ended</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Variance</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760" w:type="dxa"/>
            <w:vAlign w:val="bottom"/>
            <w:vMerge w:val="continue"/>
          </w:tcPr>
          <w:p>
            <w:pPr>
              <w:spacing w:after="0"/>
              <w:rPr>
                <w:sz w:val="13"/>
                <w:szCs w:val="13"/>
                <w:color w:val="auto"/>
              </w:rPr>
            </w:pPr>
          </w:p>
        </w:tc>
        <w:tc>
          <w:tcPr>
            <w:tcW w:w="1600" w:type="dxa"/>
            <w:vAlign w:val="bottom"/>
          </w:tcPr>
          <w:p>
            <w:pPr>
              <w:spacing w:after="0"/>
              <w:rPr>
                <w:sz w:val="13"/>
                <w:szCs w:val="13"/>
                <w:color w:val="auto"/>
              </w:rPr>
            </w:pPr>
          </w:p>
        </w:tc>
        <w:tc>
          <w:tcPr>
            <w:tcW w:w="128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w w:val="98"/>
              </w:rPr>
              <w:t>December 31, 2021</w:t>
            </w:r>
          </w:p>
        </w:tc>
        <w:tc>
          <w:tcPr>
            <w:tcW w:w="240" w:type="dxa"/>
            <w:vAlign w:val="bottom"/>
          </w:tcPr>
          <w:p>
            <w:pPr>
              <w:spacing w:after="0"/>
              <w:rPr>
                <w:sz w:val="13"/>
                <w:szCs w:val="13"/>
                <w:color w:val="auto"/>
              </w:rPr>
            </w:pPr>
          </w:p>
        </w:tc>
        <w:tc>
          <w:tcPr>
            <w:tcW w:w="126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w w:val="96"/>
              </w:rPr>
              <w:t>December 31, 2020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ind w:left="80"/>
              <w:spacing w:after="0" w:line="157" w:lineRule="exact"/>
              <w:rPr>
                <w:sz w:val="20"/>
                <w:szCs w:val="20"/>
                <w:color w:val="auto"/>
              </w:rPr>
            </w:pPr>
            <w:r>
              <w:rPr>
                <w:rFonts w:ascii="Arial" w:cs="Arial" w:eastAsia="Arial" w:hAnsi="Arial"/>
                <w:sz w:val="14"/>
                <w:szCs w:val="14"/>
                <w:b w:val="1"/>
                <w:bCs w:val="1"/>
                <w:color w:val="auto"/>
              </w:rPr>
              <w:t>Dollar</w:t>
            </w:r>
          </w:p>
        </w:tc>
        <w:tc>
          <w:tcPr>
            <w:tcW w:w="240" w:type="dxa"/>
            <w:vAlign w:val="bottom"/>
          </w:tcPr>
          <w:p>
            <w:pPr>
              <w:spacing w:after="0"/>
              <w:rPr>
                <w:sz w:val="13"/>
                <w:szCs w:val="13"/>
                <w:color w:val="auto"/>
              </w:rPr>
            </w:pPr>
          </w:p>
        </w:tc>
        <w:tc>
          <w:tcPr>
            <w:tcW w:w="72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1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1,772,721</w:t>
            </w:r>
          </w:p>
        </w:tc>
        <w:tc>
          <w:tcPr>
            <w:tcW w:w="6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2,007,036</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(234,315)</w:t>
            </w:r>
          </w:p>
        </w:tc>
        <w:tc>
          <w:tcPr>
            <w:tcW w:w="720" w:type="dxa"/>
            <w:vAlign w:val="bottom"/>
            <w:gridSpan w:val="2"/>
            <w:shd w:val="clear" w:color="auto" w:fill="CFF0FC"/>
          </w:tcPr>
          <w:p>
            <w:pPr>
              <w:ind w:left="100"/>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15"/>
        </w:trPr>
        <w:tc>
          <w:tcPr>
            <w:tcW w:w="4760" w:type="dxa"/>
            <w:vAlign w:val="bottom"/>
          </w:tcPr>
          <w:p>
            <w:pPr>
              <w:spacing w:after="0"/>
              <w:rPr>
                <w:sz w:val="20"/>
                <w:szCs w:val="20"/>
                <w:color w:val="auto"/>
              </w:rPr>
            </w:pPr>
            <w:r>
              <w:rPr>
                <w:rFonts w:ascii="Arial" w:cs="Arial" w:eastAsia="Arial" w:hAnsi="Arial"/>
                <w:sz w:val="17"/>
                <w:szCs w:val="17"/>
                <w:color w:val="auto"/>
              </w:rPr>
              <w:t>Adjusted EBITDA attributable to Parsons Corporation</w:t>
            </w:r>
          </w:p>
        </w:tc>
        <w:tc>
          <w:tcPr>
            <w:tcW w:w="1900" w:type="dxa"/>
            <w:vAlign w:val="bottom"/>
            <w:gridSpan w:val="2"/>
          </w:tcPr>
          <w:p>
            <w:pPr>
              <w:ind w:left="160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121,700</w:t>
            </w:r>
          </w:p>
        </w:tc>
        <w:tc>
          <w:tcPr>
            <w:tcW w:w="68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154,528</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(32,828)</w:t>
            </w:r>
          </w:p>
        </w:tc>
        <w:tc>
          <w:tcPr>
            <w:tcW w:w="720" w:type="dxa"/>
            <w:vAlign w:val="bottom"/>
            <w:gridSpan w:val="2"/>
          </w:tcPr>
          <w:p>
            <w:pPr>
              <w:ind w:left="100"/>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393"/>
        </w:trPr>
        <w:tc>
          <w:tcPr>
            <w:tcW w:w="4760" w:type="dxa"/>
            <w:vAlign w:val="bottom"/>
          </w:tcPr>
          <w:p>
            <w:pPr>
              <w:spacing w:after="0"/>
              <w:rPr>
                <w:sz w:val="24"/>
                <w:szCs w:val="24"/>
                <w:color w:val="auto"/>
              </w:rPr>
            </w:pPr>
          </w:p>
        </w:tc>
        <w:tc>
          <w:tcPr>
            <w:tcW w:w="1600" w:type="dxa"/>
            <w:vAlign w:val="bottom"/>
          </w:tcPr>
          <w:p>
            <w:pPr>
              <w:jc w:val="right"/>
              <w:ind w:right="556"/>
              <w:spacing w:after="0"/>
              <w:rPr>
                <w:sz w:val="20"/>
                <w:szCs w:val="20"/>
                <w:color w:val="auto"/>
              </w:rPr>
            </w:pPr>
            <w:r>
              <w:rPr>
                <w:rFonts w:ascii="Arial" w:cs="Arial" w:eastAsia="Arial" w:hAnsi="Arial"/>
                <w:sz w:val="17"/>
                <w:szCs w:val="17"/>
                <w:color w:val="auto"/>
              </w:rPr>
              <w:t>70</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76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4" w:name="page75"/>
    <w:bookmarkEnd w:id="74"/>
    <w:p>
      <w:pPr>
        <w:ind w:right="160" w:firstLine="743"/>
        <w:spacing w:after="0" w:line="272" w:lineRule="auto"/>
        <w:rPr>
          <w:sz w:val="20"/>
          <w:szCs w:val="20"/>
          <w:color w:val="auto"/>
        </w:rPr>
      </w:pPr>
      <w:r>
        <w:rPr>
          <w:rFonts w:ascii="Arial" w:cs="Arial" w:eastAsia="Arial" w:hAnsi="Arial"/>
          <w:sz w:val="16"/>
          <w:szCs w:val="16"/>
          <w:color w:val="auto"/>
        </w:rPr>
        <w:t>The decrease in revenue for the year ended December 31, 2021 compared to the corresponding period last year was primarily related to a decrease in business volume from program completions and transitions, lower pass through revenue, and write downs on projects during the year.</w:t>
      </w:r>
    </w:p>
    <w:p>
      <w:pPr>
        <w:spacing w:after="0" w:line="65" w:lineRule="exact"/>
        <w:rPr>
          <w:sz w:val="20"/>
          <w:szCs w:val="20"/>
          <w:color w:val="auto"/>
        </w:rPr>
      </w:pPr>
    </w:p>
    <w:p>
      <w:pPr>
        <w:ind w:right="360" w:firstLine="748"/>
        <w:spacing w:after="0" w:line="242" w:lineRule="auto"/>
        <w:rPr>
          <w:sz w:val="20"/>
          <w:szCs w:val="20"/>
          <w:color w:val="auto"/>
        </w:rPr>
      </w:pPr>
      <w:r>
        <w:rPr>
          <w:rFonts w:ascii="Arial" w:cs="Arial" w:eastAsia="Arial" w:hAnsi="Arial"/>
          <w:sz w:val="17"/>
          <w:szCs w:val="17"/>
          <w:color w:val="auto"/>
        </w:rPr>
        <w:t>The decrease in Critical Infrastructure Adjusted EBITDA attributable to Parsons for the year ended December 31, 2021 compared to the corresponding period last year was primarily due to write downs on projects and a decrease in business volume.</w:t>
      </w:r>
    </w:p>
    <w:p>
      <w:pPr>
        <w:spacing w:after="0" w:line="270" w:lineRule="exact"/>
        <w:rPr>
          <w:sz w:val="20"/>
          <w:szCs w:val="20"/>
          <w:color w:val="auto"/>
        </w:rPr>
      </w:pPr>
    </w:p>
    <w:p>
      <w:pPr>
        <w:ind w:right="5200"/>
        <w:spacing w:after="0" w:line="391" w:lineRule="auto"/>
        <w:rPr>
          <w:sz w:val="20"/>
          <w:szCs w:val="20"/>
          <w:color w:val="auto"/>
        </w:rPr>
      </w:pPr>
      <w:r>
        <w:rPr>
          <w:rFonts w:ascii="Arial" w:cs="Arial" w:eastAsia="Arial" w:hAnsi="Arial"/>
          <w:sz w:val="17"/>
          <w:szCs w:val="17"/>
          <w:b w:val="1"/>
          <w:bCs w:val="1"/>
          <w:i w:val="1"/>
          <w:iCs w:val="1"/>
          <w:color w:val="auto"/>
        </w:rPr>
        <w:t xml:space="preserve">Year ended December 31, 2020 compared to year ended December 31, 2019 </w:t>
      </w:r>
      <w:r>
        <w:rPr>
          <w:rFonts w:ascii="Arial" w:cs="Arial" w:eastAsia="Arial" w:hAnsi="Arial"/>
          <w:sz w:val="17"/>
          <w:szCs w:val="17"/>
          <w:i w:val="1"/>
          <w:iCs w:val="1"/>
          <w:color w:val="auto"/>
        </w:rPr>
        <w:t>Federal Solutions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98"/>
              </w:rPr>
              <w:t>The Year Ended</w:t>
            </w: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5"/>
              </w:rPr>
              <w:t>Variance</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180" w:type="dxa"/>
            <w:vAlign w:val="bottom"/>
            <w:tcBorders>
              <w:bottom w:val="single" w:sz="8" w:color="CFF0FC"/>
            </w:tcBorders>
            <w:vMerge w:val="continue"/>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gridSpan w:val="2"/>
          </w:tcPr>
          <w:p>
            <w:pPr>
              <w:ind w:left="20"/>
              <w:spacing w:after="0" w:line="157" w:lineRule="exact"/>
              <w:rPr>
                <w:sz w:val="20"/>
                <w:szCs w:val="20"/>
                <w:color w:val="auto"/>
              </w:rPr>
            </w:pPr>
            <w:r>
              <w:rPr>
                <w:rFonts w:ascii="Arial" w:cs="Arial" w:eastAsia="Arial" w:hAnsi="Arial"/>
                <w:sz w:val="14"/>
                <w:szCs w:val="14"/>
                <w:b w:val="1"/>
                <w:bCs w:val="1"/>
                <w:color w:val="auto"/>
                <w:w w:val="96"/>
              </w:rPr>
              <w:t>December 31, 2020</w:t>
            </w:r>
          </w:p>
        </w:tc>
        <w:tc>
          <w:tcPr>
            <w:tcW w:w="24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gridSpan w:val="2"/>
          </w:tcPr>
          <w:p>
            <w:pPr>
              <w:ind w:left="20"/>
              <w:spacing w:after="0" w:line="157" w:lineRule="exact"/>
              <w:rPr>
                <w:sz w:val="20"/>
                <w:szCs w:val="20"/>
                <w:color w:val="auto"/>
              </w:rPr>
            </w:pPr>
            <w:r>
              <w:rPr>
                <w:rFonts w:ascii="Arial" w:cs="Arial" w:eastAsia="Arial" w:hAnsi="Arial"/>
                <w:sz w:val="14"/>
                <w:szCs w:val="14"/>
                <w:b w:val="1"/>
                <w:bCs w:val="1"/>
                <w:color w:val="auto"/>
                <w:w w:val="96"/>
              </w:rPr>
              <w:t>December 31, 2019</w:t>
            </w:r>
          </w:p>
        </w:tc>
        <w:tc>
          <w:tcPr>
            <w:tcW w:w="2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84"/>
              <w:spacing w:after="0" w:line="157" w:lineRule="exact"/>
              <w:rPr>
                <w:sz w:val="20"/>
                <w:szCs w:val="20"/>
                <w:color w:val="auto"/>
              </w:rPr>
            </w:pPr>
            <w:r>
              <w:rPr>
                <w:rFonts w:ascii="Arial" w:cs="Arial" w:eastAsia="Arial" w:hAnsi="Arial"/>
                <w:sz w:val="14"/>
                <w:szCs w:val="14"/>
                <w:b w:val="1"/>
                <w:bCs w:val="1"/>
                <w:color w:val="auto"/>
              </w:rPr>
              <w:t>Dollar</w:t>
            </w:r>
          </w:p>
        </w:tc>
        <w:tc>
          <w:tcPr>
            <w:tcW w:w="24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b w:val="1"/>
                <w:bCs w:val="1"/>
                <w:color w:val="auto"/>
              </w:rPr>
              <w:t>Percent</w:t>
            </w:r>
          </w:p>
        </w:tc>
        <w:tc>
          <w:tcPr>
            <w:tcW w:w="1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18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1480" w:type="dxa"/>
            <w:vAlign w:val="bottom"/>
            <w:gridSpan w:val="2"/>
            <w:shd w:val="clear" w:color="auto" w:fill="CFF0FC"/>
          </w:tcPr>
          <w:p>
            <w:pPr>
              <w:ind w:left="1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1,911,910</w:t>
            </w:r>
          </w:p>
        </w:tc>
        <w:tc>
          <w:tcPr>
            <w:tcW w:w="6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1,887,907</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24,003</w:t>
            </w:r>
          </w:p>
        </w:tc>
        <w:tc>
          <w:tcPr>
            <w:tcW w:w="2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5"/>
        </w:trPr>
        <w:tc>
          <w:tcPr>
            <w:tcW w:w="5180" w:type="dxa"/>
            <w:vAlign w:val="bottom"/>
          </w:tcPr>
          <w:p>
            <w:pPr>
              <w:spacing w:after="0"/>
              <w:rPr>
                <w:sz w:val="20"/>
                <w:szCs w:val="20"/>
                <w:color w:val="auto"/>
              </w:rPr>
            </w:pPr>
            <w:r>
              <w:rPr>
                <w:rFonts w:ascii="Arial" w:cs="Arial" w:eastAsia="Arial" w:hAnsi="Arial"/>
                <w:sz w:val="17"/>
                <w:szCs w:val="17"/>
                <w:color w:val="auto"/>
              </w:rPr>
              <w:t>Adjusted EBITDA attributable to Parsons Corporation</w:t>
            </w:r>
          </w:p>
        </w:tc>
        <w:tc>
          <w:tcPr>
            <w:tcW w:w="1480" w:type="dxa"/>
            <w:vAlign w:val="bottom"/>
            <w:gridSpan w:val="2"/>
          </w:tcPr>
          <w:p>
            <w:pPr>
              <w:ind w:left="118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167,340</w:t>
            </w:r>
          </w:p>
        </w:tc>
        <w:tc>
          <w:tcPr>
            <w:tcW w:w="68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169,100</w:t>
            </w:r>
          </w:p>
        </w:tc>
        <w:tc>
          <w:tcPr>
            <w:tcW w:w="4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(1,760)</w:t>
            </w:r>
          </w:p>
        </w:tc>
        <w:tc>
          <w:tcPr>
            <w:tcW w:w="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right="440" w:firstLine="743"/>
        <w:spacing w:after="0" w:line="242" w:lineRule="auto"/>
        <w:rPr>
          <w:sz w:val="20"/>
          <w:szCs w:val="20"/>
          <w:color w:val="auto"/>
        </w:rPr>
      </w:pPr>
      <w:r>
        <w:rPr>
          <w:rFonts w:ascii="Arial" w:cs="Arial" w:eastAsia="Arial" w:hAnsi="Arial"/>
          <w:sz w:val="17"/>
          <w:szCs w:val="17"/>
          <w:color w:val="auto"/>
        </w:rPr>
        <w:t>The increase in Federal Solutions revenue for the year ended December 31, 2020 compared to the corresponding period last year was primarily due to incremental revenue from business acquisitions, which added $27.7 million.</w:t>
      </w:r>
    </w:p>
    <w:p>
      <w:pPr>
        <w:spacing w:after="0" w:line="88" w:lineRule="exact"/>
        <w:rPr>
          <w:sz w:val="20"/>
          <w:szCs w:val="20"/>
          <w:color w:val="auto"/>
        </w:rPr>
      </w:pPr>
    </w:p>
    <w:p>
      <w:pPr>
        <w:ind w:right="140" w:firstLine="743"/>
        <w:spacing w:after="0" w:line="238" w:lineRule="auto"/>
        <w:rPr>
          <w:sz w:val="20"/>
          <w:szCs w:val="20"/>
          <w:color w:val="auto"/>
        </w:rPr>
      </w:pPr>
      <w:r>
        <w:rPr>
          <w:rFonts w:ascii="Arial" w:cs="Arial" w:eastAsia="Arial" w:hAnsi="Arial"/>
          <w:sz w:val="17"/>
          <w:szCs w:val="17"/>
          <w:color w:val="auto"/>
        </w:rPr>
        <w:t>The decrease in Federal Solutions Adjusted EBITDA attributable to Parsons Corporation for the year ended December 31, 2020 compared to the prior year was primarily due to an increase in IG&amp;A, partially offset by an increase in business volume from business acquisitions and higher project margins.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Infrastructure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The Year Ended</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Variance</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180" w:type="dxa"/>
            <w:vAlign w:val="bottom"/>
            <w:tcBorders>
              <w:bottom w:val="single" w:sz="8" w:color="CFF0FC"/>
            </w:tcBorders>
            <w:vMerge w:val="continue"/>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gridSpan w:val="2"/>
          </w:tcPr>
          <w:p>
            <w:pPr>
              <w:ind w:left="20"/>
              <w:spacing w:after="0" w:line="157" w:lineRule="exact"/>
              <w:rPr>
                <w:sz w:val="20"/>
                <w:szCs w:val="20"/>
                <w:color w:val="auto"/>
              </w:rPr>
            </w:pPr>
            <w:r>
              <w:rPr>
                <w:rFonts w:ascii="Arial" w:cs="Arial" w:eastAsia="Arial" w:hAnsi="Arial"/>
                <w:sz w:val="14"/>
                <w:szCs w:val="14"/>
                <w:b w:val="1"/>
                <w:bCs w:val="1"/>
                <w:color w:val="auto"/>
                <w:w w:val="96"/>
              </w:rPr>
              <w:t>December 31, 2020</w:t>
            </w:r>
          </w:p>
        </w:tc>
        <w:tc>
          <w:tcPr>
            <w:tcW w:w="240" w:type="dxa"/>
            <w:vAlign w:val="bottom"/>
            <w:tcBorders>
              <w:bottom w:val="single" w:sz="8" w:color="CFF0FC"/>
            </w:tcBorders>
          </w:tcPr>
          <w:p>
            <w:pPr>
              <w:spacing w:after="0"/>
              <w:rPr>
                <w:sz w:val="13"/>
                <w:szCs w:val="13"/>
                <w:color w:val="auto"/>
              </w:rPr>
            </w:pPr>
          </w:p>
        </w:tc>
        <w:tc>
          <w:tcPr>
            <w:tcW w:w="128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b w:val="1"/>
                <w:bCs w:val="1"/>
                <w:color w:val="auto"/>
                <w:w w:val="96"/>
              </w:rPr>
              <w:t>December 31, 2019</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84"/>
              <w:spacing w:after="0" w:line="157" w:lineRule="exact"/>
              <w:rPr>
                <w:sz w:val="20"/>
                <w:szCs w:val="20"/>
                <w:color w:val="auto"/>
              </w:rPr>
            </w:pPr>
            <w:r>
              <w:rPr>
                <w:rFonts w:ascii="Arial" w:cs="Arial" w:eastAsia="Arial" w:hAnsi="Arial"/>
                <w:sz w:val="14"/>
                <w:szCs w:val="14"/>
                <w:b w:val="1"/>
                <w:bCs w:val="1"/>
                <w:color w:val="auto"/>
              </w:rPr>
              <w:t>Dollar</w:t>
            </w:r>
          </w:p>
        </w:tc>
        <w:tc>
          <w:tcPr>
            <w:tcW w:w="24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ind w:left="20"/>
              <w:spacing w:after="0" w:line="157" w:lineRule="exact"/>
              <w:rPr>
                <w:sz w:val="20"/>
                <w:szCs w:val="20"/>
                <w:color w:val="auto"/>
              </w:rPr>
            </w:pPr>
            <w:r>
              <w:rPr>
                <w:rFonts w:ascii="Arial" w:cs="Arial" w:eastAsia="Arial" w:hAnsi="Arial"/>
                <w:sz w:val="14"/>
                <w:szCs w:val="14"/>
                <w:b w:val="1"/>
                <w:bCs w:val="1"/>
                <w:color w:val="auto"/>
                <w:w w:val="93"/>
              </w:rPr>
              <w:t>Percent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18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1500" w:type="dxa"/>
            <w:vAlign w:val="bottom"/>
            <w:gridSpan w:val="2"/>
            <w:shd w:val="clear" w:color="auto" w:fill="CFF0FC"/>
          </w:tcPr>
          <w:p>
            <w:pPr>
              <w:ind w:left="12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2,007,036</w:t>
            </w:r>
          </w:p>
        </w:tc>
        <w:tc>
          <w:tcPr>
            <w:tcW w:w="700" w:type="dxa"/>
            <w:vAlign w:val="bottom"/>
            <w:gridSpan w:val="2"/>
            <w:shd w:val="clear" w:color="auto" w:fill="CFF0FC"/>
          </w:tcPr>
          <w:p>
            <w:pPr>
              <w:jc w:val="right"/>
              <w:ind w:right="292"/>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2,066,905</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(59,869)</w:t>
            </w: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15"/>
        </w:trPr>
        <w:tc>
          <w:tcPr>
            <w:tcW w:w="5180" w:type="dxa"/>
            <w:vAlign w:val="bottom"/>
          </w:tcPr>
          <w:p>
            <w:pPr>
              <w:spacing w:after="0"/>
              <w:rPr>
                <w:sz w:val="20"/>
                <w:szCs w:val="20"/>
                <w:color w:val="auto"/>
              </w:rPr>
            </w:pPr>
            <w:r>
              <w:rPr>
                <w:rFonts w:ascii="Arial" w:cs="Arial" w:eastAsia="Arial" w:hAnsi="Arial"/>
                <w:sz w:val="17"/>
                <w:szCs w:val="17"/>
                <w:color w:val="auto"/>
              </w:rPr>
              <w:t>Adjusted EBITDA attributable to Parsons Corporation</w:t>
            </w:r>
          </w:p>
        </w:tc>
        <w:tc>
          <w:tcPr>
            <w:tcW w:w="1500" w:type="dxa"/>
            <w:vAlign w:val="bottom"/>
            <w:gridSpan w:val="2"/>
          </w:tcPr>
          <w:p>
            <w:pPr>
              <w:ind w:left="122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154,528</w:t>
            </w:r>
          </w:p>
        </w:tc>
        <w:tc>
          <w:tcPr>
            <w:tcW w:w="700" w:type="dxa"/>
            <w:vAlign w:val="bottom"/>
            <w:gridSpan w:val="2"/>
          </w:tcPr>
          <w:p>
            <w:pPr>
              <w:jc w:val="right"/>
              <w:ind w:right="292"/>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138,851</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15,677</w:t>
            </w:r>
          </w:p>
        </w:tc>
        <w:tc>
          <w:tcPr>
            <w:tcW w:w="2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right="20" w:firstLine="743"/>
        <w:spacing w:after="0" w:line="238" w:lineRule="auto"/>
        <w:rPr>
          <w:sz w:val="20"/>
          <w:szCs w:val="20"/>
          <w:color w:val="auto"/>
        </w:rPr>
      </w:pPr>
      <w:r>
        <w:rPr>
          <w:rFonts w:ascii="Arial" w:cs="Arial" w:eastAsia="Arial" w:hAnsi="Arial"/>
          <w:sz w:val="17"/>
          <w:szCs w:val="17"/>
          <w:color w:val="auto"/>
        </w:rPr>
        <w:t>The decrease in revenue for the year ended December 31, 2020 compared to the corresponding period last year was primarily related to a decrease in business volume on contracts with pass-through revenue, along with normal course net fluctuations in the winding down and starting up of contracts</w:t>
      </w:r>
    </w:p>
    <w:p>
      <w:pPr>
        <w:spacing w:after="0" w:line="90" w:lineRule="exact"/>
        <w:rPr>
          <w:sz w:val="20"/>
          <w:szCs w:val="20"/>
          <w:color w:val="auto"/>
        </w:rPr>
      </w:pPr>
    </w:p>
    <w:p>
      <w:pPr>
        <w:ind w:right="420" w:firstLine="743"/>
        <w:spacing w:after="0" w:line="242" w:lineRule="auto"/>
        <w:rPr>
          <w:sz w:val="20"/>
          <w:szCs w:val="20"/>
          <w:color w:val="auto"/>
        </w:rPr>
      </w:pPr>
      <w:r>
        <w:rPr>
          <w:rFonts w:ascii="Arial" w:cs="Arial" w:eastAsia="Arial" w:hAnsi="Arial"/>
          <w:sz w:val="17"/>
          <w:szCs w:val="17"/>
          <w:color w:val="auto"/>
        </w:rPr>
        <w:t>The increase in Critical Infrastructure Adjusted EBITDA attributable to Parsons for the year ended December 31, 2020 compared to the corresponding period last year was primarily due to improved project margins offset in part by a decrease in equity in earnings.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Liquidity and Capital Resources</w:t>
      </w:r>
    </w:p>
    <w:p>
      <w:pPr>
        <w:spacing w:after="0" w:line="116" w:lineRule="exact"/>
        <w:rPr>
          <w:sz w:val="20"/>
          <w:szCs w:val="20"/>
          <w:color w:val="auto"/>
        </w:rPr>
      </w:pPr>
    </w:p>
    <w:p>
      <w:pPr>
        <w:ind w:right="20" w:firstLine="735"/>
        <w:spacing w:after="0" w:line="236" w:lineRule="auto"/>
        <w:rPr>
          <w:sz w:val="20"/>
          <w:szCs w:val="20"/>
          <w:color w:val="auto"/>
        </w:rPr>
      </w:pPr>
      <w:r>
        <w:rPr>
          <w:rFonts w:ascii="Arial" w:cs="Arial" w:eastAsia="Arial" w:hAnsi="Arial"/>
          <w:sz w:val="17"/>
          <w:szCs w:val="17"/>
          <w:color w:val="auto"/>
        </w:rPr>
        <w:t>We currently finance our operations and capital expenditures through a combination of internally generated cash from operations, our Senior Notes, Convertible Senior Notes, and periodic borrowings under our Revolving Credit Facility. Prior to November 3, 2019, we financed our operations, capital expenditures and redemptions of ESOP through a combination of internally generated cash from operations, our Senior Notes, and periodic borrowings under our Revolving Credit facility. After November 3, 2019, all shares held by the ESOP are redeemable by participants in shares of our common stock once vesting and eligibility requirements have been met. See “Critical Accounting Policies and Estimates” elsewhere in this Annual Report on Form 10-K for a discussion of the ESOP and related IPO matters.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75" w:name="page76"/>
    <w:bookmarkEnd w:id="75"/>
    <w:p>
      <w:pPr>
        <w:jc w:val="both"/>
        <w:ind w:right="80" w:firstLine="735"/>
        <w:spacing w:after="0" w:line="237" w:lineRule="auto"/>
        <w:rPr>
          <w:sz w:val="20"/>
          <w:szCs w:val="20"/>
          <w:color w:val="auto"/>
        </w:rPr>
      </w:pPr>
      <w:r>
        <w:rPr>
          <w:rFonts w:ascii="Arial" w:cs="Arial" w:eastAsia="Arial" w:hAnsi="Arial"/>
          <w:sz w:val="17"/>
          <w:szCs w:val="17"/>
          <w:color w:val="auto"/>
        </w:rPr>
        <w:t>Generally, cash provided by operating activities has been adequate to fund our operations. Due to fluctuations in our cash flows and growth in our operations, it may be necessary from time to time in the future to borrow under our Credit Agreement to meet cash demands. Our management regularly monitors certain liquidity measures to monitor performance. We calculate our available liquidity as a sum of cash and cash equivalents from our consolidated balance sheet plus the amount available and unutilized on our Credit Agreement.</w:t>
      </w:r>
    </w:p>
    <w:p>
      <w:pPr>
        <w:spacing w:after="0" w:line="90" w:lineRule="exact"/>
        <w:rPr>
          <w:sz w:val="20"/>
          <w:szCs w:val="20"/>
          <w:color w:val="auto"/>
        </w:rPr>
      </w:pPr>
    </w:p>
    <w:p>
      <w:pPr>
        <w:ind w:right="80" w:firstLine="735"/>
        <w:spacing w:after="0" w:line="236" w:lineRule="auto"/>
        <w:rPr>
          <w:sz w:val="20"/>
          <w:szCs w:val="20"/>
          <w:color w:val="auto"/>
        </w:rPr>
      </w:pPr>
      <w:r>
        <w:rPr>
          <w:rFonts w:ascii="Arial" w:cs="Arial" w:eastAsia="Arial" w:hAnsi="Arial"/>
          <w:sz w:val="17"/>
          <w:szCs w:val="17"/>
          <w:color w:val="auto"/>
        </w:rPr>
        <w:t>As of December 31, 2021, we believe we have adequate liquidity and capital resources to fund our operations, support our debt service and support our ongoing acquisition strategy for at least the next twelve months based on the liquidity from cash provided by our operating activities, cash and cash equivalents on-hand and our borrowing capacity under our Revolving Credit Facility. We do not anticipate that the COVID-19 pandemic-related economic impacts will impair our ability to continue to maintain compliance with our debt covenants or access available borrowing capacity from our banks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116" w:lineRule="exact"/>
        <w:rPr>
          <w:sz w:val="20"/>
          <w:szCs w:val="20"/>
          <w:color w:val="auto"/>
        </w:rPr>
      </w:pPr>
    </w:p>
    <w:p>
      <w:pPr>
        <w:ind w:right="40" w:firstLine="735"/>
        <w:spacing w:after="0" w:line="235" w:lineRule="auto"/>
        <w:rPr>
          <w:sz w:val="20"/>
          <w:szCs w:val="20"/>
          <w:color w:val="auto"/>
        </w:rPr>
      </w:pPr>
      <w:r>
        <w:rPr>
          <w:rFonts w:ascii="Arial" w:cs="Arial" w:eastAsia="Arial" w:hAnsi="Arial"/>
          <w:sz w:val="17"/>
          <w:szCs w:val="17"/>
          <w:color w:val="auto"/>
        </w:rPr>
        <w:t>Cash received from customers, either from the payment of invoices for work performed or for advances in excess of revenue recognized, is our primary source of cash. We generally do not begin work on contracts until funding is appropriated by the customers. Billing timetables and payment terms on our contracts vary based on a number of factors, including whether the contract type is cost-plus, time-and-materials, or fixed-price. We generally bill and collect cash more frequently under cost-plus and time-and-materials contracts, as we are authorized to bill as the costs are incurred or work is performed. In contrast, we may be limited to bill certain fixed-price contracts only when specified milestones, including deliveries, are achieved. A number of our contracts may provide for performance-based payments, which allow us to bill and collect cash prior to completing the work.</w:t>
      </w:r>
    </w:p>
    <w:p>
      <w:pPr>
        <w:spacing w:after="0" w:line="93" w:lineRule="exact"/>
        <w:rPr>
          <w:sz w:val="20"/>
          <w:szCs w:val="20"/>
          <w:color w:val="auto"/>
        </w:rPr>
      </w:pPr>
    </w:p>
    <w:p>
      <w:pPr>
        <w:ind w:right="600" w:firstLine="743"/>
        <w:spacing w:after="0" w:line="272" w:lineRule="auto"/>
        <w:rPr>
          <w:sz w:val="20"/>
          <w:szCs w:val="20"/>
          <w:color w:val="auto"/>
        </w:rPr>
      </w:pPr>
      <w:r>
        <w:rPr>
          <w:rFonts w:ascii="Arial" w:cs="Arial" w:eastAsia="Arial" w:hAnsi="Arial"/>
          <w:sz w:val="16"/>
          <w:szCs w:val="16"/>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w:t>
      </w:r>
    </w:p>
    <w:p>
      <w:pPr>
        <w:spacing w:after="0" w:line="65" w:lineRule="exact"/>
        <w:rPr>
          <w:sz w:val="20"/>
          <w:szCs w:val="20"/>
          <w:color w:val="auto"/>
        </w:rPr>
      </w:pPr>
    </w:p>
    <w:p>
      <w:pPr>
        <w:ind w:firstLine="735"/>
        <w:spacing w:after="0" w:line="253" w:lineRule="auto"/>
        <w:rPr>
          <w:sz w:val="20"/>
          <w:szCs w:val="20"/>
          <w:color w:val="auto"/>
        </w:rPr>
      </w:pPr>
      <w:r>
        <w:rPr>
          <w:rFonts w:ascii="Arial" w:cs="Arial" w:eastAsia="Arial" w:hAnsi="Arial"/>
          <w:sz w:val="16"/>
          <w:szCs w:val="16"/>
          <w:color w:val="auto"/>
        </w:rPr>
        <w:t>Accounts receivable is the principal component of our working capital and is generally driven by revenue growth. Accounts receivable includes billed and unbilled amounts. The total amount of our accounts receivable can vary significantly over time but is generally sensitive to revenue levels. We experience delays in collections from time to time from Middle East customers. Net days sales outstanding, which we refer to as net DSO, is calculated by dividing (i) accounts receivable (net of project accruals, billings in excess of revenue and accounts payable) by (ii) average revenue per day (calculated by dividing trailing twelve months revenue by the number of days in that period). We focus on collecting outstanding receivables to reduce net DSO and working capital. Net DSO was 68 days at December 31, 2021, 64 days at December 31, 2020, and 55 days at December 31,</w:t>
      </w:r>
    </w:p>
    <w:p>
      <w:pPr>
        <w:spacing w:after="0" w:line="3"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2019. Our working capital (current assets less current liabilities) was $601.6 million at December 31, 2021, $655.7 million at December 31, 2020 and $382.0 million at December 31, 2019.</w:t>
      </w:r>
    </w:p>
    <w:p>
      <w:pPr>
        <w:spacing w:after="0" w:line="74" w:lineRule="exact"/>
        <w:rPr>
          <w:sz w:val="20"/>
          <w:szCs w:val="20"/>
          <w:color w:val="auto"/>
        </w:rPr>
      </w:pPr>
    </w:p>
    <w:p>
      <w:pPr>
        <w:jc w:val="both"/>
        <w:ind w:right="180" w:firstLine="735"/>
        <w:spacing w:after="0" w:line="238" w:lineRule="auto"/>
        <w:rPr>
          <w:sz w:val="20"/>
          <w:szCs w:val="20"/>
          <w:color w:val="auto"/>
        </w:rPr>
      </w:pPr>
      <w:r>
        <w:rPr>
          <w:rFonts w:ascii="Arial" w:cs="Arial" w:eastAsia="Arial" w:hAnsi="Arial"/>
          <w:sz w:val="17"/>
          <w:szCs w:val="17"/>
          <w:color w:val="auto"/>
        </w:rPr>
        <w:t>Our cash, cash equivalents and restricted cash decreased by $143.3 million to $343.9 million at December 31, 2021 from $487.2 million at December 31, 2020. This compares to an increase in cash, cash equivalents and restricted cash of $291.8 million to $487.2 million at December 31, 2020 from $195.4 million at December 31, 2019.</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76" w:name="page77"/>
    <w:bookmarkEnd w:id="76"/>
    <w:p>
      <w:pPr>
        <w:ind w:left="740"/>
        <w:spacing w:after="0"/>
        <w:rPr>
          <w:sz w:val="20"/>
          <w:szCs w:val="20"/>
          <w:color w:val="auto"/>
        </w:rPr>
      </w:pPr>
      <w:r>
        <w:rPr>
          <w:rFonts w:ascii="Arial" w:cs="Arial" w:eastAsia="Arial" w:hAnsi="Arial"/>
          <w:sz w:val="17"/>
          <w:szCs w:val="17"/>
          <w:color w:val="auto"/>
        </w:rPr>
        <w:t>The following table summarizes our sources and uses of cash over the periods presented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Fiscal Year Ended</w:t>
            </w: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5340" w:type="dxa"/>
            <w:vAlign w:val="bottom"/>
            <w:tcBorders>
              <w:bottom w:val="single" w:sz="8" w:color="CFF0FC"/>
            </w:tcBorders>
          </w:tcPr>
          <w:p>
            <w:pPr>
              <w:spacing w:after="0"/>
              <w:rPr>
                <w:sz w:val="13"/>
                <w:szCs w:val="13"/>
                <w:color w:val="auto"/>
              </w:rPr>
            </w:pPr>
          </w:p>
        </w:tc>
        <w:tc>
          <w:tcPr>
            <w:tcW w:w="132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b w:val="1"/>
                <w:bCs w:val="1"/>
                <w:color w:val="auto"/>
                <w:w w:val="98"/>
              </w:rPr>
              <w:t>December 31, 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34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b w:val="1"/>
                <w:bCs w:val="1"/>
                <w:color w:val="auto"/>
                <w:w w:val="99"/>
              </w:rPr>
              <w:t>December 31, 2020</w:t>
            </w:r>
          </w:p>
        </w:tc>
        <w:tc>
          <w:tcPr>
            <w:tcW w:w="26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b w:val="1"/>
                <w:bCs w:val="1"/>
                <w:color w:val="auto"/>
                <w:w w:val="98"/>
              </w:rPr>
              <w:t>December 31, 2019</w:t>
            </w:r>
          </w:p>
        </w:tc>
        <w:tc>
          <w:tcPr>
            <w:tcW w:w="100" w:type="dxa"/>
            <w:vAlign w:val="bottom"/>
            <w:tcBorders>
              <w:bottom w:val="single" w:sz="8" w:color="CFF0FC"/>
            </w:tcBorders>
          </w:tcPr>
          <w:p>
            <w:pPr>
              <w:spacing w:after="0"/>
              <w:rPr>
                <w:sz w:val="13"/>
                <w:szCs w:val="13"/>
                <w:color w:val="auto"/>
              </w:rPr>
            </w:pPr>
          </w:p>
        </w:tc>
      </w:tr>
      <w:tr>
        <w:trPr>
          <w:trHeight w:val="196"/>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Net cash provided by operating activities</w:t>
            </w:r>
          </w:p>
        </w:tc>
        <w:tc>
          <w:tcPr>
            <w:tcW w:w="1680" w:type="dxa"/>
            <w:vAlign w:val="bottom"/>
            <w:gridSpan w:val="2"/>
            <w:shd w:val="clear" w:color="auto" w:fill="CFF0FC"/>
          </w:tcPr>
          <w:p>
            <w:pPr>
              <w:jc w:val="right"/>
              <w:ind w:right="192"/>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205,574</w:t>
            </w:r>
          </w:p>
        </w:tc>
        <w:tc>
          <w:tcPr>
            <w:tcW w:w="16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12"/>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289,161</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220,240</w:t>
            </w:r>
          </w:p>
        </w:tc>
        <w:tc>
          <w:tcPr>
            <w:tcW w:w="100" w:type="dxa"/>
            <w:vAlign w:val="bottom"/>
            <w:shd w:val="clear" w:color="auto" w:fill="CFF0FC"/>
          </w:tcPr>
          <w:p>
            <w:pPr>
              <w:spacing w:after="0"/>
              <w:rPr>
                <w:sz w:val="17"/>
                <w:szCs w:val="17"/>
                <w:color w:val="auto"/>
              </w:rPr>
            </w:pPr>
          </w:p>
        </w:tc>
      </w:tr>
      <w:tr>
        <w:trPr>
          <w:trHeight w:val="203"/>
        </w:trPr>
        <w:tc>
          <w:tcPr>
            <w:tcW w:w="534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(240,907)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(346,369)</w:t>
            </w:r>
          </w:p>
        </w:tc>
        <w:tc>
          <w:tcPr>
            <w:tcW w:w="3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(570,803)</w:t>
            </w:r>
          </w:p>
        </w:tc>
      </w:tr>
      <w:tr>
        <w:trPr>
          <w:trHeight w:val="203"/>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Net cash (used in) provided by financing activities</w:t>
            </w:r>
          </w:p>
        </w:tc>
        <w:tc>
          <w:tcPr>
            <w:tcW w:w="1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(106,503)</w:t>
            </w: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348,226</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266,036</w:t>
            </w:r>
          </w:p>
        </w:tc>
        <w:tc>
          <w:tcPr>
            <w:tcW w:w="100" w:type="dxa"/>
            <w:vAlign w:val="bottom"/>
            <w:shd w:val="clear" w:color="auto" w:fill="CFF0FC"/>
          </w:tcPr>
          <w:p>
            <w:pPr>
              <w:spacing w:after="0"/>
              <w:rPr>
                <w:sz w:val="17"/>
                <w:szCs w:val="17"/>
                <w:color w:val="auto"/>
              </w:rPr>
            </w:pPr>
          </w:p>
        </w:tc>
      </w:tr>
      <w:tr>
        <w:trPr>
          <w:trHeight w:val="203"/>
        </w:trPr>
        <w:tc>
          <w:tcPr>
            <w:tcW w:w="5340" w:type="dxa"/>
            <w:vAlign w:val="bottom"/>
          </w:tcPr>
          <w:p>
            <w:pPr>
              <w:spacing w:after="0"/>
              <w:rPr>
                <w:sz w:val="20"/>
                <w:szCs w:val="20"/>
                <w:color w:val="auto"/>
              </w:rPr>
            </w:pPr>
            <w:r>
              <w:rPr>
                <w:rFonts w:ascii="Arial" w:cs="Arial" w:eastAsia="Arial" w:hAnsi="Arial"/>
                <w:sz w:val="17"/>
                <w:szCs w:val="17"/>
                <w:color w:val="auto"/>
              </w:rPr>
              <w:t>Effect of exchange rate changes</w:t>
            </w: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(1,496)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823</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(1,294)</w:t>
            </w:r>
          </w:p>
        </w:tc>
      </w:tr>
      <w:tr>
        <w:trPr>
          <w:trHeight w:val="20"/>
        </w:trPr>
        <w:tc>
          <w:tcPr>
            <w:tcW w:w="534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Net (decrease) increase in cash and cash equivalents</w:t>
            </w:r>
          </w:p>
        </w:tc>
        <w:tc>
          <w:tcPr>
            <w:tcW w:w="1680" w:type="dxa"/>
            <w:vAlign w:val="bottom"/>
            <w:gridSpan w:val="2"/>
            <w:shd w:val="clear" w:color="auto" w:fill="CFF0FC"/>
          </w:tcPr>
          <w:p>
            <w:pPr>
              <w:jc w:val="right"/>
              <w:ind w:right="192"/>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(143,332)</w:t>
            </w:r>
          </w:p>
        </w:tc>
        <w:tc>
          <w:tcPr>
            <w:tcW w:w="460" w:type="dxa"/>
            <w:vAlign w:val="bottom"/>
            <w:gridSpan w:val="2"/>
            <w:shd w:val="clear" w:color="auto" w:fill="CFF0FC"/>
          </w:tcPr>
          <w:p>
            <w:pPr>
              <w:jc w:val="right"/>
              <w:ind w:right="212"/>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291,841</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(85,821)</w:t>
            </w:r>
          </w:p>
        </w:tc>
      </w:tr>
      <w:tr>
        <w:trPr>
          <w:trHeight w:val="20"/>
        </w:trPr>
        <w:tc>
          <w:tcPr>
            <w:tcW w:w="534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114" w:lineRule="exact"/>
        <w:rPr>
          <w:sz w:val="20"/>
          <w:szCs w:val="20"/>
          <w:color w:val="auto"/>
        </w:rPr>
      </w:pPr>
    </w:p>
    <w:p>
      <w:pPr>
        <w:ind w:firstLine="735"/>
        <w:spacing w:after="0" w:line="236" w:lineRule="auto"/>
        <w:rPr>
          <w:sz w:val="20"/>
          <w:szCs w:val="20"/>
          <w:color w:val="auto"/>
        </w:rPr>
      </w:pPr>
      <w:r>
        <w:rPr>
          <w:rFonts w:ascii="Arial" w:cs="Arial" w:eastAsia="Arial" w:hAnsi="Arial"/>
          <w:sz w:val="17"/>
          <w:szCs w:val="17"/>
          <w:color w:val="auto"/>
        </w:rPr>
        <w:t>Net cash provided by operating activities consists primarily of net income adjusted for noncash items, such as: equity in earnings of unconsolidated joint ventures, contributions of treasury stock, depreciation and amortization of property and equipment and intangible assets, provisions for doubtful accounts, amortization of deferred gains, and impairment charges. The timing between the conversion of our billed and unbilled receivables into cash from our customers and disbursements to our employees and vendors is the primary driver of changes in our working capital. Our operating cash flows are primarily affected by our ability to invoice and collect from our clients in a timely manner, our ability to manage our vendor payments and the overall profitability of our contracts.</w:t>
      </w:r>
    </w:p>
    <w:p>
      <w:pPr>
        <w:spacing w:after="0" w:line="89" w:lineRule="exact"/>
        <w:rPr>
          <w:sz w:val="20"/>
          <w:szCs w:val="20"/>
          <w:color w:val="auto"/>
        </w:rPr>
      </w:pPr>
    </w:p>
    <w:p>
      <w:pPr>
        <w:ind w:firstLine="735"/>
        <w:spacing w:after="0" w:line="235" w:lineRule="auto"/>
        <w:rPr>
          <w:sz w:val="20"/>
          <w:szCs w:val="20"/>
          <w:color w:val="auto"/>
        </w:rPr>
      </w:pPr>
      <w:r>
        <w:rPr>
          <w:rFonts w:ascii="Arial" w:cs="Arial" w:eastAsia="Arial" w:hAnsi="Arial"/>
          <w:sz w:val="17"/>
          <w:szCs w:val="17"/>
          <w:color w:val="auto"/>
        </w:rPr>
        <w:t>Net cash provided by operating activities decreased $83.6 million to $ 205.6 million during 2021 compared to $289.2 million during 2020. The decrease in net cash provided by operating activities is primarily due to a $32.9 million change in net income after adjusting for non-cash items and a change in the use of cash related to our working capital accounts of $35.6 million (primarily from accounts receivable, contract assets, prepaid expenses and current assets, offset by accounts payable and accrued expenses). Under the CARES Act, the Company received a net cash benefit in 2020 of $35.2 million from the deferral of social security taxes otherwise due from April 10, 2020 through the year ended December 31, 2020. One-half of the deferred amount was paid during the third quarter of 2021. The decrease was also due to a $15.0 million change in other long-term liabilities. Net DSOs increased from 64 days to 68 days primarily driven by the change in our working capital accounts discussed above.</w:t>
      </w:r>
    </w:p>
    <w:p>
      <w:pPr>
        <w:spacing w:after="0" w:line="93" w:lineRule="exact"/>
        <w:rPr>
          <w:sz w:val="20"/>
          <w:szCs w:val="20"/>
          <w:color w:val="auto"/>
        </w:rPr>
      </w:pPr>
    </w:p>
    <w:p>
      <w:pPr>
        <w:ind w:right="20" w:firstLine="735"/>
        <w:spacing w:after="0" w:line="235" w:lineRule="auto"/>
        <w:rPr>
          <w:sz w:val="20"/>
          <w:szCs w:val="20"/>
          <w:color w:val="auto"/>
        </w:rPr>
      </w:pPr>
      <w:r>
        <w:rPr>
          <w:rFonts w:ascii="Arial" w:cs="Arial" w:eastAsia="Arial" w:hAnsi="Arial"/>
          <w:sz w:val="17"/>
          <w:szCs w:val="17"/>
          <w:color w:val="auto"/>
        </w:rPr>
        <w:t>Net cash provided by operating activities increased $68.9 million to $289.2 million during 2020 compared to $220.2 million during 2019. The increase in net cash provided by operating activities is primarily due to a $ 115.9 million change in net income after adjusting for non-cash items and a change in the use of cash related to our working capital accounts of $10.6 million (primarily from accounts receivable, contract assets, prepaid expenses and current assets, offset by accrued expenses and contract liabilities). Under the CARES Act, the Company received a net cash benefit of $35.2 million from the deferral of social security taxes otherwise due from April 10, 2020 through the year ended December 31, 2020. One-half of the deferred amount was paid during the third quarter of 2021 and the second half is due no later than December 31, 2022. These positive changes in operating cash flows were offset, in part, by a $57.6 million change in other long-term liabilities, primarily driven by the payment of long-term employee incentives. Net DSOs increased from 55 days to 64 days primarily driven by the change in our working capital accounts discussed above.</w:t>
      </w:r>
    </w:p>
    <w:p>
      <w:pPr>
        <w:spacing w:after="0" w:line="92" w:lineRule="exact"/>
        <w:rPr>
          <w:sz w:val="20"/>
          <w:szCs w:val="20"/>
          <w:color w:val="auto"/>
        </w:rPr>
      </w:pPr>
    </w:p>
    <w:p>
      <w:pPr>
        <w:ind w:right="40" w:firstLine="735"/>
        <w:spacing w:after="0" w:line="237" w:lineRule="auto"/>
        <w:rPr>
          <w:sz w:val="20"/>
          <w:szCs w:val="20"/>
          <w:color w:val="auto"/>
        </w:rPr>
      </w:pPr>
      <w:r>
        <w:rPr>
          <w:rFonts w:ascii="Arial" w:cs="Arial" w:eastAsia="Arial" w:hAnsi="Arial"/>
          <w:sz w:val="17"/>
          <w:szCs w:val="17"/>
          <w:color w:val="auto"/>
        </w:rPr>
        <w:t>In connection with our IPO on May 8, 2019, the Company converted from an “S” Corporation to a “C” Corporation as described in “Note 14 – Income Taxes” in the notes to our consolidated financial statements included elsewhere in this Annual Report on Form 10-K. As a “C” Corporation we are now subject to U.S. Income Taxes. During 2019 the Company made $60.5 million in tax payments compared with $17.1 million in tax payments during 2018.</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Net cash used in investing activities consists primarily of cash flows associated with capital expenditures and business acquisitions.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7" w:name="page78"/>
    <w:bookmarkEnd w:id="77"/>
    <w:p>
      <w:pPr>
        <w:ind w:right="100" w:firstLine="743"/>
        <w:spacing w:after="0" w:line="236" w:lineRule="auto"/>
        <w:rPr>
          <w:sz w:val="20"/>
          <w:szCs w:val="20"/>
          <w:color w:val="auto"/>
        </w:rPr>
      </w:pPr>
      <w:r>
        <w:rPr>
          <w:rFonts w:ascii="Arial" w:cs="Arial" w:eastAsia="Arial" w:hAnsi="Arial"/>
          <w:sz w:val="17"/>
          <w:szCs w:val="17"/>
          <w:color w:val="auto"/>
        </w:rPr>
        <w:t>Net cash used in investing activities decreased $ 105.5 million during 2021 compared to 2020, primarily due to the use of $189.6 million, net of cash acquired, for the acquisition of BlackHorse and the use of $8.7 million, net of cash acquired, for the acquisition of Echo Ridge in 2021, compared to $302.4 million, net of cash acquired, for the acquisition of Braxton in 2020. Net cash used in investing activities also decreased due to proceeds from sale of investments in unconsolidated joint ventures of $14.8 million and a decrease in cash used for capital expenditures of $12.9 million, offset by increased investments in unconsolidated joint ventures of $27.4 million</w:t>
      </w:r>
    </w:p>
    <w:p>
      <w:pPr>
        <w:spacing w:after="0" w:line="91" w:lineRule="exact"/>
        <w:rPr>
          <w:sz w:val="20"/>
          <w:szCs w:val="20"/>
          <w:color w:val="auto"/>
        </w:rPr>
      </w:pPr>
    </w:p>
    <w:p>
      <w:pPr>
        <w:jc w:val="both"/>
        <w:ind w:right="80" w:firstLine="743"/>
        <w:spacing w:after="0" w:line="238" w:lineRule="auto"/>
        <w:rPr>
          <w:sz w:val="20"/>
          <w:szCs w:val="20"/>
          <w:color w:val="auto"/>
        </w:rPr>
      </w:pPr>
      <w:r>
        <w:rPr>
          <w:rFonts w:ascii="Arial" w:cs="Arial" w:eastAsia="Arial" w:hAnsi="Arial"/>
          <w:sz w:val="17"/>
          <w:szCs w:val="17"/>
          <w:color w:val="auto"/>
        </w:rPr>
        <w:t>Net cash used in investing activities decreased $224.4 million during 2020 compared to 2019, primarily due to the use of $302.4 million, net of cash acquired, for the acquisition of Braxton in 2020, compared to $287.5 million, net of cash acquired, for the acquisition of OGSystems®, and the use of $208.2 million, net of cash acquired, for the acquisition of QRC Technologies in 2019.</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216" w:lineRule="exact"/>
        <w:rPr>
          <w:sz w:val="20"/>
          <w:szCs w:val="20"/>
          <w:color w:val="auto"/>
        </w:rPr>
      </w:pPr>
    </w:p>
    <w:p>
      <w:pPr>
        <w:ind w:right="60" w:firstLine="743"/>
        <w:spacing w:after="0" w:line="236" w:lineRule="auto"/>
        <w:rPr>
          <w:sz w:val="20"/>
          <w:szCs w:val="20"/>
          <w:color w:val="auto"/>
        </w:rPr>
      </w:pPr>
      <w:r>
        <w:rPr>
          <w:rFonts w:ascii="Arial" w:cs="Arial" w:eastAsia="Arial" w:hAnsi="Arial"/>
          <w:sz w:val="17"/>
          <w:szCs w:val="17"/>
          <w:color w:val="auto"/>
        </w:rPr>
        <w:t>Net cash provided by financing activities is primarily associated with proceeds from debt, the repayment thereof, distributions to noncontrolling interests and payments to the ESOP in connection with the redemption of ESOP participants’ interests prior to the 180-day lock-up period which ended November 3, 2019. We spent $6.3 million in 2019 in connection with the redemption of ESOP participants’ interests. With a public market for our common stock, cash is no longer required for ESOP redemptions after November 3, 2019 and we did not spend any amounts in connection with the redemption of ESOP participants’ interests in 2021 and 2020. Participants now receive distributions of their ESOP interests in shares of our common stock.</w:t>
      </w:r>
    </w:p>
    <w:p>
      <w:pPr>
        <w:spacing w:after="0" w:line="89" w:lineRule="exact"/>
        <w:rPr>
          <w:sz w:val="20"/>
          <w:szCs w:val="20"/>
          <w:color w:val="auto"/>
        </w:rPr>
      </w:pPr>
    </w:p>
    <w:p>
      <w:pPr>
        <w:ind w:right="140" w:firstLine="743"/>
        <w:spacing w:after="0" w:line="237" w:lineRule="auto"/>
        <w:rPr>
          <w:sz w:val="20"/>
          <w:szCs w:val="20"/>
          <w:color w:val="auto"/>
        </w:rPr>
      </w:pPr>
      <w:r>
        <w:rPr>
          <w:rFonts w:ascii="Arial" w:cs="Arial" w:eastAsia="Arial" w:hAnsi="Arial"/>
          <w:sz w:val="17"/>
          <w:szCs w:val="17"/>
          <w:color w:val="auto"/>
        </w:rPr>
        <w:t>Net cash (used in) provided by financing activities decreased $454.7 million to ($106.5) million in 2021 compared to $348.2 million in 2020. 2021 activities include repayment of the $50.0 million Series A tranche of our Senior Note during July 2021, repurchases of common stock of $21.7 million and increased distributions to noncontrolling interests of $32.1 million, compared to $348.5 million of net proceeds from the issuance of Convertible Senior Notes in 2020.</w:t>
      </w:r>
    </w:p>
    <w:p>
      <w:pPr>
        <w:spacing w:after="0" w:line="90" w:lineRule="exact"/>
        <w:rPr>
          <w:sz w:val="20"/>
          <w:szCs w:val="20"/>
          <w:color w:val="auto"/>
        </w:rPr>
      </w:pPr>
    </w:p>
    <w:p>
      <w:pPr>
        <w:ind w:firstLine="743"/>
        <w:spacing w:after="0" w:line="237" w:lineRule="auto"/>
        <w:rPr>
          <w:sz w:val="20"/>
          <w:szCs w:val="20"/>
          <w:color w:val="auto"/>
        </w:rPr>
      </w:pPr>
      <w:r>
        <w:rPr>
          <w:rFonts w:ascii="Arial" w:cs="Arial" w:eastAsia="Arial" w:hAnsi="Arial"/>
          <w:sz w:val="17"/>
          <w:szCs w:val="17"/>
          <w:color w:val="auto"/>
        </w:rPr>
        <w:t>Net cash provided by financing activities increased $82.2 million to $ 348.2 million in 2020 compared to $266.0 million in 2019. 2020 activities include $348.5 million of net proceeds from the issuance of Convertible Senior Notes. 2019 activities are primarily comprised of $ 536.9 million of net proceeds from the IPO, offset in part by net repayments under our revolving credit agreement of $180 million and payment of the IPO dividend of $52.1 million.</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Letters of Credit</w:t>
      </w:r>
    </w:p>
    <w:p>
      <w:pPr>
        <w:spacing w:after="0" w:line="116" w:lineRule="exact"/>
        <w:rPr>
          <w:sz w:val="20"/>
          <w:szCs w:val="20"/>
          <w:color w:val="auto"/>
        </w:rPr>
      </w:pPr>
    </w:p>
    <w:p>
      <w:pPr>
        <w:ind w:firstLine="735"/>
        <w:spacing w:after="0" w:line="238" w:lineRule="auto"/>
        <w:rPr>
          <w:sz w:val="20"/>
          <w:szCs w:val="20"/>
          <w:color w:val="auto"/>
        </w:rPr>
      </w:pPr>
      <w:r>
        <w:rPr>
          <w:rFonts w:ascii="Arial" w:cs="Arial" w:eastAsia="Arial" w:hAnsi="Arial"/>
          <w:sz w:val="17"/>
          <w:szCs w:val="17"/>
          <w:color w:val="auto"/>
        </w:rPr>
        <w:t>We also have in place several secondary bank credit lines for issuing letters of credit, principally for foreign contracts, to support performance and completion guarantees. Letters of credit commitments outstanding under these bank lines aggregated $223.0 million as of December 31, 2021. Letters of credit outstanding under the Credit Agreement total $44.3 million.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00" w:lineRule="exact"/>
        <w:rPr>
          <w:sz w:val="20"/>
          <w:szCs w:val="20"/>
          <w:color w:val="auto"/>
        </w:rPr>
      </w:pPr>
    </w:p>
    <w:p>
      <w:pPr>
        <w:ind w:right="180" w:firstLine="735"/>
        <w:spacing w:after="0" w:line="239" w:lineRule="auto"/>
        <w:rPr>
          <w:sz w:val="20"/>
          <w:szCs w:val="20"/>
          <w:color w:val="auto"/>
        </w:rPr>
      </w:pPr>
      <w:r>
        <w:rPr>
          <w:rFonts w:ascii="Arial" w:cs="Arial" w:eastAsia="Arial" w:hAnsi="Arial"/>
          <w:sz w:val="17"/>
          <w:szCs w:val="17"/>
          <w:color w:val="auto"/>
        </w:rPr>
        <w:t>Our significant accounting policies are described in “Note 2—</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in the notes to our consolidated financial statements included elsewhere in this Annual Report on Form 10-K. Management makes estimates and judgments in preparing our consolidated financial statements. These estimates and judgments affect the reported amounts of certain assets and liabilities and the revenues and expenses reported for the periods presented in the consolidated financial statements. Although such estimates and assumptions are based on information available through the date of the issuance of our consolidated financial statements, actual results could differ significantly from those estimates and assumptions. Our estimates, judgments and assumptions are evaluated periodically and adjusted accordingly.</w:t>
      </w:r>
    </w:p>
    <w:p>
      <w:pPr>
        <w:spacing w:after="0" w:line="194" w:lineRule="exact"/>
        <w:rPr>
          <w:sz w:val="20"/>
          <w:szCs w:val="20"/>
          <w:color w:val="auto"/>
        </w:rPr>
      </w:pPr>
    </w:p>
    <w:p>
      <w:pPr>
        <w:ind w:right="80" w:firstLine="735"/>
        <w:spacing w:after="0" w:line="242" w:lineRule="auto"/>
        <w:rPr>
          <w:sz w:val="20"/>
          <w:szCs w:val="20"/>
          <w:color w:val="auto"/>
        </w:rPr>
      </w:pPr>
      <w:r>
        <w:rPr>
          <w:rFonts w:ascii="Arial" w:cs="Arial" w:eastAsia="Arial" w:hAnsi="Arial"/>
          <w:sz w:val="17"/>
          <w:szCs w:val="17"/>
          <w:color w:val="auto"/>
        </w:rPr>
        <w:t>We believe that the following items are the most critical accounting policies and estimates that involved significant judgment as we prepared our financial statements. We consider an accounting policy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78" w:name="page79"/>
    <w:bookmarkEnd w:id="78"/>
    <w:p>
      <w:pPr>
        <w:ind w:right="240"/>
        <w:spacing w:after="0" w:line="242" w:lineRule="auto"/>
        <w:rPr>
          <w:sz w:val="20"/>
          <w:szCs w:val="20"/>
          <w:color w:val="auto"/>
        </w:rPr>
      </w:pPr>
      <w:r>
        <w:rPr>
          <w:rFonts w:ascii="Arial" w:cs="Arial" w:eastAsia="Arial" w:hAnsi="Arial"/>
          <w:sz w:val="17"/>
          <w:szCs w:val="17"/>
          <w:color w:val="auto"/>
        </w:rPr>
        <w:t>or estimate to be critical if the policy or estimate requires assumptions to be made that were uncertain at the time they were made and if changes in these assumptions could have a material impact on our financial condition or 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 and Cost Estimation</w:t>
      </w:r>
    </w:p>
    <w:p>
      <w:pPr>
        <w:spacing w:after="0" w:line="218" w:lineRule="exact"/>
        <w:rPr>
          <w:sz w:val="20"/>
          <w:szCs w:val="20"/>
          <w:color w:val="auto"/>
        </w:rPr>
      </w:pPr>
    </w:p>
    <w:p>
      <w:pPr>
        <w:ind w:right="220" w:firstLine="735"/>
        <w:spacing w:after="0" w:line="237" w:lineRule="auto"/>
        <w:rPr>
          <w:sz w:val="20"/>
          <w:szCs w:val="20"/>
          <w:color w:val="auto"/>
        </w:rPr>
      </w:pPr>
      <w:r>
        <w:rPr>
          <w:rFonts w:ascii="Arial" w:cs="Arial" w:eastAsia="Arial" w:hAnsi="Arial"/>
          <w:sz w:val="17"/>
          <w:szCs w:val="17"/>
          <w:color w:val="auto"/>
        </w:rPr>
        <w:t>In our industry, recognition of revenue and profit on long-term contracts requires the use of assumptions and estimates related to total contract revenue, total cost at completion, and the measurement of progress towards completion. Estimates are continually evaluated as work progresses and are revised when necessary. When a change in estimate is determined to have an impact on contract revenue or profit, we record a positive or negative adjustment to the consolidated statements of income.</w:t>
      </w:r>
    </w:p>
    <w:p>
      <w:pPr>
        <w:spacing w:after="0" w:line="18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the unit of account in ASC</w:t>
      </w:r>
    </w:p>
    <w:p>
      <w:pPr>
        <w:ind w:firstLine="1"/>
        <w:spacing w:after="0" w:line="234" w:lineRule="auto"/>
        <w:tabs>
          <w:tab w:leader="none" w:pos="376"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transaction price of a contract is allocated to each distinct performance obligation and recognized as revenue when, or as, the performance obligation is satisfied. To the extent a contract is deemed to have multiple performance obligations, we allocate the transaction price of the contract to each performance obligation using our best estimate of the standalone selling price of each distinct good or service in the contract. We determine the relative standalone selling price utilizing observable prices for the sale of the underlying goods or services. Contracts are considered to have a single performance obligation if the promise to transfer the individual goods or services is not separately identifiable from other promises in the contracts or is not distinct in the context of the contract, which is mainly because we provide a significant service of integrating a complex set of tasks and components into a single project or capability. Engineering and construction contracts are generally accounted for as a single performance obligation, while our engineering and construction supervision contracts are accounted for as two separate performance obligations. When providing construction supervision services, we are not liable for the construction of the asset, but have an overall responsibility to oversee, coordinate, measure, and evaluate the quality of construction work and the performance of the construction contractor on behalf of the customer. Customers are generally billed as we satisfy our performance obligations and payment terms typically range from 30 to 120 days from the invoice date. Billings under certain fixed-price contracts may be based upon the achievement of specified milestones, while some arrangements may require advance customer payment. Our contracts generally do not include a significant financing component.</w:t>
      </w:r>
    </w:p>
    <w:p>
      <w:pPr>
        <w:spacing w:after="0" w:line="197" w:lineRule="exact"/>
        <w:rPr>
          <w:sz w:val="20"/>
          <w:szCs w:val="20"/>
          <w:color w:val="auto"/>
        </w:rPr>
      </w:pPr>
    </w:p>
    <w:p>
      <w:pPr>
        <w:ind w:right="40" w:firstLine="735"/>
        <w:spacing w:after="0" w:line="236" w:lineRule="auto"/>
        <w:rPr>
          <w:sz w:val="20"/>
          <w:szCs w:val="20"/>
          <w:color w:val="auto"/>
        </w:rPr>
      </w:pPr>
      <w:r>
        <w:rPr>
          <w:rFonts w:ascii="Arial" w:cs="Arial" w:eastAsia="Arial" w:hAnsi="Arial"/>
          <w:sz w:val="17"/>
          <w:szCs w:val="17"/>
          <w:color w:val="auto"/>
        </w:rPr>
        <w:t>The transaction price for our contracts may include variable consideration, which includes increases to the transaction price for approved and unpriced change orders, claims and incentives, and reductions to transaction price for liquidated damages. We recognize adjustments in estimated profit on contracts under the cumulative catch-up method. Under this method, the impact of the adjustment on profit recorded to-date is recognized in the period the adjustment is identified. If at any time the estimate of contract profitability indicates an anticipated loss on the contract, we recognize the total loss in the quarter it is identified.</w:t>
      </w:r>
    </w:p>
    <w:p>
      <w:pPr>
        <w:spacing w:after="0" w:line="193" w:lineRule="exact"/>
        <w:rPr>
          <w:sz w:val="20"/>
          <w:szCs w:val="20"/>
          <w:color w:val="auto"/>
        </w:rPr>
      </w:pPr>
    </w:p>
    <w:p>
      <w:pPr>
        <w:ind w:right="40" w:firstLine="735"/>
        <w:spacing w:after="0" w:line="235" w:lineRule="auto"/>
        <w:rPr>
          <w:sz w:val="20"/>
          <w:szCs w:val="20"/>
          <w:color w:val="auto"/>
        </w:rPr>
      </w:pPr>
      <w:r>
        <w:rPr>
          <w:rFonts w:ascii="Arial" w:cs="Arial" w:eastAsia="Arial" w:hAnsi="Arial"/>
          <w:sz w:val="17"/>
          <w:szCs w:val="17"/>
          <w:color w:val="auto"/>
        </w:rPr>
        <w:t>Claims revenue is related to amounts in excess of agreed contract price that we seek to collect from clients or others for customer-caused delays, errors in specifications and designs, contract terminations, change orders that are either in dispute or are unapproved as to both price and scope, or other causes of unanticipated additional contract costs, including factors outside of our control, where we therefore believe we are entitled to additional compensation. Claims revenue, when recorded, is only recorded to the extent it is probable that a significant reversal of cumulative revenue recognized will not occur. We include certain unapproved claims in the transaction price when the claims are legally enforceable, we consider collection to be probable and believe we can reliably estimate the ultimate value. We continue to engage in negotiations with our customers on our outstanding claims. However, these claims may be resolved at amounts that differ from our current estimates, which could result in increases or decreases in future estimated contract profits or losses. Costs related to claims are recognized when they are incurred.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9" w:name="page80"/>
    <w:bookmarkEnd w:id="79"/>
    <w:p>
      <w:pPr>
        <w:ind w:firstLine="735"/>
        <w:spacing w:after="0" w:line="236" w:lineRule="auto"/>
        <w:rPr>
          <w:sz w:val="20"/>
          <w:szCs w:val="20"/>
          <w:color w:val="auto"/>
        </w:rPr>
      </w:pPr>
      <w:r>
        <w:rPr>
          <w:rFonts w:ascii="Arial" w:cs="Arial" w:eastAsia="Arial" w:hAnsi="Arial"/>
          <w:sz w:val="17"/>
          <w:szCs w:val="17"/>
          <w:color w:val="auto"/>
        </w:rPr>
        <w:t>Change orders, which are a normal and recurring part of our business, are generally not distinct and are accounted for as part of the existing contract. The effect of a change order that is not distinct on the transaction price and our measure of progress for the performance obligation to which it relates is recognized on a cumulative catch-up basis. To the extent change orders included in the transaction price are not resolved in our favor, there could be reductions in, or reversals of previously reported amounts of, revenues and profits, and charges against current earnings. Costs relating to change orders are recognized when they are incurred.</w:t>
      </w:r>
    </w:p>
    <w:p>
      <w:pPr>
        <w:spacing w:after="0" w:line="193" w:lineRule="exact"/>
        <w:rPr>
          <w:sz w:val="20"/>
          <w:szCs w:val="20"/>
          <w:color w:val="auto"/>
        </w:rPr>
      </w:pPr>
    </w:p>
    <w:p>
      <w:pPr>
        <w:ind w:right="100" w:firstLine="735"/>
        <w:spacing w:after="0" w:line="238" w:lineRule="auto"/>
        <w:rPr>
          <w:sz w:val="20"/>
          <w:szCs w:val="20"/>
          <w:color w:val="auto"/>
        </w:rPr>
      </w:pPr>
      <w:r>
        <w:rPr>
          <w:rFonts w:ascii="Arial" w:cs="Arial" w:eastAsia="Arial" w:hAnsi="Arial"/>
          <w:sz w:val="17"/>
          <w:szCs w:val="17"/>
          <w:color w:val="auto"/>
        </w:rPr>
        <w:t>We recognize revenue for most of our contracts over time as performance obligations are satisfied, as we are continuously transferring control to the customer. Typically, revenue is recognized over time using an input measure (i.e., costs incurred to date relative to total estimated costs at completion) to measure progress.</w:t>
      </w:r>
    </w:p>
    <w:p>
      <w:pPr>
        <w:spacing w:after="0" w:line="192" w:lineRule="exact"/>
        <w:rPr>
          <w:sz w:val="20"/>
          <w:szCs w:val="20"/>
          <w:color w:val="auto"/>
        </w:rPr>
      </w:pPr>
    </w:p>
    <w:p>
      <w:pPr>
        <w:ind w:right="160" w:firstLine="735"/>
        <w:spacing w:after="0" w:line="237" w:lineRule="auto"/>
        <w:rPr>
          <w:sz w:val="20"/>
          <w:szCs w:val="20"/>
          <w:color w:val="auto"/>
        </w:rPr>
      </w:pPr>
      <w:r>
        <w:rPr>
          <w:rFonts w:ascii="Arial" w:cs="Arial" w:eastAsia="Arial" w:hAnsi="Arial"/>
          <w:sz w:val="17"/>
          <w:szCs w:val="17"/>
          <w:color w:val="auto"/>
        </w:rPr>
        <w:t>We often enter into contracts in which the amount billed to the customer corresponds directly with the amount of work performed. These contract types qualify for the “right to invoice” practical expedient method of measuring progress, in which the right to consideration corresponds directly with the value to the customer of our performance to date. For these contracts, revenue is recognized in the amount that we have the right to invoice.</w:t>
      </w:r>
    </w:p>
    <w:p>
      <w:pPr>
        <w:spacing w:after="0" w:line="191" w:lineRule="exact"/>
        <w:rPr>
          <w:sz w:val="20"/>
          <w:szCs w:val="20"/>
          <w:color w:val="auto"/>
        </w:rPr>
      </w:pPr>
    </w:p>
    <w:p>
      <w:pPr>
        <w:ind w:right="20" w:firstLine="735"/>
        <w:spacing w:after="0" w:line="242" w:lineRule="auto"/>
        <w:rPr>
          <w:sz w:val="20"/>
          <w:szCs w:val="20"/>
          <w:color w:val="auto"/>
        </w:rPr>
      </w:pPr>
      <w:r>
        <w:rPr>
          <w:rFonts w:ascii="Arial" w:cs="Arial" w:eastAsia="Arial" w:hAnsi="Arial"/>
          <w:sz w:val="17"/>
          <w:szCs w:val="17"/>
          <w:color w:val="auto"/>
        </w:rPr>
        <w:t>Provisions for anticipated losses on contracts, including those arising from disputes and other contingencies, are recorded in the period such loss becomes known; provisions not ultimately required are released as disputes or contingencies are resolved.</w:t>
      </w:r>
    </w:p>
    <w:p>
      <w:pPr>
        <w:spacing w:after="0" w:line="189" w:lineRule="exact"/>
        <w:rPr>
          <w:sz w:val="20"/>
          <w:szCs w:val="20"/>
          <w:color w:val="auto"/>
        </w:rPr>
      </w:pPr>
    </w:p>
    <w:p>
      <w:pPr>
        <w:ind w:right="340" w:firstLine="735"/>
        <w:spacing w:after="0" w:line="260" w:lineRule="auto"/>
        <w:rPr>
          <w:sz w:val="20"/>
          <w:szCs w:val="20"/>
          <w:color w:val="auto"/>
        </w:rPr>
      </w:pPr>
      <w:r>
        <w:rPr>
          <w:rFonts w:ascii="Arial" w:cs="Arial" w:eastAsia="Arial" w:hAnsi="Arial"/>
          <w:sz w:val="16"/>
          <w:szCs w:val="16"/>
          <w:color w:val="auto"/>
        </w:rPr>
        <w:t>Contract costs include labor and materials, amounts payable to subcontractors, direct overhead costs and equipment expense (primarily depreciation, fuel, maintenance and repairs). All contract costs are recorded as incurred. Changes to estimated contract costs, either due to unexpected events or revisions to management’s initial estimates, for a given project are recognized in the period in which they are determined.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16" w:lineRule="exact"/>
        <w:rPr>
          <w:sz w:val="20"/>
          <w:szCs w:val="20"/>
          <w:color w:val="auto"/>
        </w:rPr>
      </w:pPr>
    </w:p>
    <w:p>
      <w:pPr>
        <w:ind w:right="140" w:firstLine="735"/>
        <w:spacing w:after="0" w:line="236" w:lineRule="auto"/>
        <w:rPr>
          <w:sz w:val="20"/>
          <w:szCs w:val="20"/>
          <w:color w:val="auto"/>
        </w:rPr>
      </w:pPr>
      <w:r>
        <w:rPr>
          <w:rFonts w:ascii="Arial" w:cs="Arial" w:eastAsia="Arial" w:hAnsi="Arial"/>
          <w:sz w:val="17"/>
          <w:szCs w:val="17"/>
          <w:color w:val="auto"/>
        </w:rPr>
        <w:t>In February 2016, the FASB issued ASU 2016-02 “Leases (Topic 842)”, which is a new standard related to leases to increase transparency and comparability among organizations by requiring the recognition of right-of-use (ROU) assets obtained in exchange for lease liabilities on the balance sheet. Most prominent among the changes in the standard is the recognition of ROU assets and lease liabilities by lessees for those leases classified as operating leases. Under the standard, disclosures are required to meet the objective of enabling users of financial statements to assess the amount, timing, and uncertainty of cash flows arising from leases.</w:t>
      </w:r>
    </w:p>
    <w:p>
      <w:pPr>
        <w:spacing w:after="0" w:line="193" w:lineRule="exact"/>
        <w:rPr>
          <w:sz w:val="20"/>
          <w:szCs w:val="20"/>
          <w:color w:val="auto"/>
        </w:rPr>
      </w:pPr>
    </w:p>
    <w:p>
      <w:pPr>
        <w:ind w:right="60" w:firstLine="735"/>
        <w:spacing w:after="0" w:line="236" w:lineRule="auto"/>
        <w:rPr>
          <w:sz w:val="20"/>
          <w:szCs w:val="20"/>
          <w:color w:val="auto"/>
        </w:rPr>
      </w:pPr>
      <w:r>
        <w:rPr>
          <w:rFonts w:ascii="Arial" w:cs="Arial" w:eastAsia="Arial" w:hAnsi="Arial"/>
          <w:sz w:val="17"/>
          <w:szCs w:val="17"/>
          <w:color w:val="auto"/>
        </w:rPr>
        <w:t>The Company elected to adopt the standard, and available practical expedients, effective January 1, 2019. These practical expedients allowed the Company to keep the lease classification assessed under the previous lease accounting standard (ASC 840) without reassessment under the new standard, and allowed all separate lease components, including non-lease components, to be accounted for as a single lease component for all existing leases prior to adoption of the new standard. Furthermore, the Company made an accounting policy election to not recognize a lease liability and ROU asset for leases with lease terms of twelve months or less.</w:t>
      </w:r>
    </w:p>
    <w:p>
      <w:pPr>
        <w:spacing w:after="0" w:line="193" w:lineRule="exact"/>
        <w:rPr>
          <w:sz w:val="20"/>
          <w:szCs w:val="20"/>
          <w:color w:val="auto"/>
        </w:rPr>
      </w:pPr>
    </w:p>
    <w:p>
      <w:pPr>
        <w:ind w:right="40" w:firstLine="735"/>
        <w:spacing w:after="0" w:line="238" w:lineRule="auto"/>
        <w:rPr>
          <w:sz w:val="20"/>
          <w:szCs w:val="20"/>
          <w:color w:val="auto"/>
        </w:rPr>
      </w:pPr>
      <w:r>
        <w:rPr>
          <w:rFonts w:ascii="Arial" w:cs="Arial" w:eastAsia="Arial" w:hAnsi="Arial"/>
          <w:sz w:val="17"/>
          <w:szCs w:val="17"/>
          <w:color w:val="auto"/>
        </w:rPr>
        <w:t>The Company adopted this new standard under the modified retrospective transition approach without adjusting comparative periods in the financial statements, as allowed under Topic 842, and implemented internal controls and key system functionality to enable the preparation of financial information on adoption.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0" w:name="page81"/>
    <w:bookmarkEnd w:id="80"/>
    <w:p>
      <w:pPr>
        <w:jc w:val="both"/>
        <w:ind w:right="80" w:firstLine="735"/>
        <w:spacing w:after="0" w:line="238" w:lineRule="auto"/>
        <w:rPr>
          <w:sz w:val="20"/>
          <w:szCs w:val="20"/>
          <w:color w:val="auto"/>
        </w:rPr>
      </w:pPr>
      <w:r>
        <w:rPr>
          <w:rFonts w:ascii="Arial" w:cs="Arial" w:eastAsia="Arial" w:hAnsi="Arial"/>
          <w:sz w:val="17"/>
          <w:szCs w:val="17"/>
          <w:color w:val="auto"/>
        </w:rPr>
        <w:t>The standard had a material impact on our consolidated balance sheets but did not have an impact on the consolidated income statements. The most significant impact was the recognition of ROU assets and lease liabilities for operating leases, while accounting for finance leases remained substantially unchanged.</w:t>
      </w:r>
    </w:p>
    <w:p>
      <w:pPr>
        <w:spacing w:after="0" w:line="192" w:lineRule="exact"/>
        <w:rPr>
          <w:sz w:val="20"/>
          <w:szCs w:val="20"/>
          <w:color w:val="auto"/>
        </w:rPr>
      </w:pPr>
    </w:p>
    <w:p>
      <w:pPr>
        <w:ind w:right="220" w:firstLine="735"/>
        <w:spacing w:after="0" w:line="237" w:lineRule="auto"/>
        <w:rPr>
          <w:sz w:val="20"/>
          <w:szCs w:val="20"/>
          <w:color w:val="auto"/>
        </w:rPr>
      </w:pPr>
      <w:r>
        <w:rPr>
          <w:rFonts w:ascii="Arial" w:cs="Arial" w:eastAsia="Arial" w:hAnsi="Arial"/>
          <w:sz w:val="17"/>
          <w:szCs w:val="17"/>
          <w:color w:val="auto"/>
        </w:rPr>
        <w:t>As a result of the adoption, we recorded a cumulative-effect adjustment to retained earnings of $ 52.6 million, net of a deferred tax asset adjustment of $ 0.7 million, representing the unamortized portion of a deferred gain previously recorded as a sale-leaseback transaction associated with the sale of an office building in 2011. We concluded the transaction resulted in the transfer of control of the office building to the buyer-lessor at market terms and would have qualified as a sale under Topic 842 with gain recognition in the period the sale was recognized.</w:t>
      </w:r>
    </w:p>
    <w:p>
      <w:pPr>
        <w:spacing w:after="0" w:line="191" w:lineRule="exact"/>
        <w:rPr>
          <w:sz w:val="20"/>
          <w:szCs w:val="20"/>
          <w:color w:val="auto"/>
        </w:rPr>
      </w:pPr>
    </w:p>
    <w:p>
      <w:pPr>
        <w:ind w:right="80" w:firstLine="735"/>
        <w:spacing w:after="0" w:line="238" w:lineRule="auto"/>
        <w:rPr>
          <w:sz w:val="20"/>
          <w:szCs w:val="20"/>
          <w:color w:val="auto"/>
        </w:rPr>
      </w:pPr>
      <w:r>
        <w:rPr>
          <w:rFonts w:ascii="Arial" w:cs="Arial" w:eastAsia="Arial" w:hAnsi="Arial"/>
          <w:sz w:val="17"/>
          <w:szCs w:val="17"/>
          <w:color w:val="auto"/>
        </w:rPr>
        <w:t>We determine if an arrangement is a lease at inception. Operating leases are included in operating lease ROU assets and current and long-term operating lease liabilities in the consolidated balance sheets. Finance leases are included in other noncurrent assets, accrued expenses and other current liabilities and other long-term liabilities in the consolidated balance sheets.</w:t>
      </w:r>
    </w:p>
    <w:p>
      <w:pPr>
        <w:spacing w:after="0" w:line="192" w:lineRule="exact"/>
        <w:rPr>
          <w:sz w:val="20"/>
          <w:szCs w:val="20"/>
          <w:color w:val="auto"/>
        </w:rPr>
      </w:pPr>
    </w:p>
    <w:p>
      <w:pPr>
        <w:ind w:right="80" w:firstLine="735"/>
        <w:spacing w:after="0" w:line="236" w:lineRule="auto"/>
        <w:rPr>
          <w:sz w:val="20"/>
          <w:szCs w:val="20"/>
          <w:color w:val="auto"/>
        </w:rPr>
      </w:pPr>
      <w:r>
        <w:rPr>
          <w:rFonts w:ascii="Arial" w:cs="Arial" w:eastAsia="Arial" w:hAnsi="Arial"/>
          <w:sz w:val="17"/>
          <w:szCs w:val="17"/>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interest rate, incremental borrowing rates are used based on the information available at commencement date in determining the present value of lease payments. The operating lease ROU asset also includes any lease payments made and excludes lease incentives. Lease terms may include options to extend or terminate the lease when it is reasonably certain that we will exercise that option. Lease expense for operating lease payments is recognized on a straight-line basis over the lease term.</w:t>
      </w:r>
    </w:p>
    <w:p>
      <w:pPr>
        <w:spacing w:after="0" w:line="191" w:lineRule="exact"/>
        <w:rPr>
          <w:sz w:val="20"/>
          <w:szCs w:val="20"/>
          <w:color w:val="auto"/>
        </w:rPr>
      </w:pPr>
    </w:p>
    <w:p>
      <w:pPr>
        <w:ind w:firstLine="735"/>
        <w:spacing w:after="0" w:line="238" w:lineRule="auto"/>
        <w:rPr>
          <w:sz w:val="20"/>
          <w:szCs w:val="20"/>
          <w:color w:val="auto"/>
        </w:rPr>
      </w:pPr>
      <w:r>
        <w:rPr>
          <w:rFonts w:ascii="Arial" w:cs="Arial" w:eastAsia="Arial" w:hAnsi="Arial"/>
          <w:sz w:val="17"/>
          <w:szCs w:val="17"/>
          <w:color w:val="auto"/>
        </w:rPr>
        <w:t>We have lease agreements with lease and non-lease components, which are generally accounted for separately. For certain equipment leases, such as vehicles, we account for the lease and non-lease components as a single lease component. Additionally, for certain equipment leases, we apply a portfolio approach to effectively account for the operating lease ROU assets and liabilities.</w:t>
      </w:r>
    </w:p>
    <w:p>
      <w:pPr>
        <w:spacing w:after="0" w:line="90" w:lineRule="exact"/>
        <w:rPr>
          <w:sz w:val="20"/>
          <w:szCs w:val="20"/>
          <w:color w:val="auto"/>
        </w:rPr>
      </w:pPr>
    </w:p>
    <w:p>
      <w:pPr>
        <w:jc w:val="both"/>
        <w:ind w:right="120" w:firstLine="735"/>
        <w:spacing w:after="0" w:line="238" w:lineRule="auto"/>
        <w:rPr>
          <w:sz w:val="20"/>
          <w:szCs w:val="20"/>
          <w:color w:val="auto"/>
        </w:rPr>
      </w:pPr>
      <w:r>
        <w:rPr>
          <w:rFonts w:ascii="Arial" w:cs="Arial" w:eastAsia="Arial" w:hAnsi="Arial"/>
          <w:sz w:val="17"/>
          <w:szCs w:val="17"/>
          <w:color w:val="auto"/>
        </w:rPr>
        <w:t>We have operating and finance leases for corporate and project office spaces, vehicles, heavy machinery and office equipment. Our leases have remaining lease terms of one year to 10 years, some of which may include options to extend the leases for up to five years, and some of which may include options to terminate the leases up to the seventh year.</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16" w:lineRule="exact"/>
        <w:rPr>
          <w:sz w:val="20"/>
          <w:szCs w:val="20"/>
          <w:color w:val="auto"/>
        </w:rPr>
      </w:pPr>
    </w:p>
    <w:p>
      <w:pPr>
        <w:ind w:right="120" w:firstLine="735"/>
        <w:spacing w:after="0" w:line="251" w:lineRule="auto"/>
        <w:rPr>
          <w:sz w:val="20"/>
          <w:szCs w:val="20"/>
          <w:color w:val="auto"/>
        </w:rPr>
      </w:pPr>
      <w:r>
        <w:rPr>
          <w:rFonts w:ascii="Arial" w:cs="Arial" w:eastAsia="Arial" w:hAnsi="Arial"/>
          <w:sz w:val="16"/>
          <w:szCs w:val="16"/>
          <w:color w:val="auto"/>
        </w:rPr>
        <w:t>The cost of an acquired company is assigned to the tangible and intangible assets purchased and the liabilities assumed on the basis of their fair values at the date of acquisition. The determination of fair values of assets acquired and liabilities assumed requires us to make estimates and use valuation techniques when a market value is not readily available. Any excess of purchase price over the fair value of tangible and intangible assets acquired and obligations assumed is allocated to goodwill. Goodwill typically represents the value paid for the assembled workforce and enhancement of our service offerings. Transaction costs associated with business combinations are expensed as incurred. The determination of fair values of assets acquired and liabilities assumed requires the Company to make estimates and use valuation techniques when a market value is not readily available. The Company adjusts the preliminary purchase prices allocation, as necessary, during the measurement period of up to one year after the acquisition closing date as the Company obtains more information as to facts and circumstances existing at the acquisition date.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116" w:lineRule="exact"/>
        <w:rPr>
          <w:sz w:val="20"/>
          <w:szCs w:val="20"/>
          <w:color w:val="auto"/>
        </w:rPr>
      </w:pPr>
    </w:p>
    <w:p>
      <w:pPr>
        <w:ind w:right="240" w:firstLine="735"/>
        <w:spacing w:after="0" w:line="238" w:lineRule="auto"/>
        <w:rPr>
          <w:sz w:val="20"/>
          <w:szCs w:val="20"/>
          <w:color w:val="auto"/>
        </w:rPr>
      </w:pPr>
      <w:r>
        <w:rPr>
          <w:rFonts w:ascii="Arial" w:cs="Arial" w:eastAsia="Arial" w:hAnsi="Arial"/>
          <w:sz w:val="17"/>
          <w:szCs w:val="17"/>
          <w:color w:val="auto"/>
        </w:rPr>
        <w:t>Goodwill is not amortized but is subject to an annual impairment test. Interim testing for impairment is performed if indicators of potential impairment exist. For purposes of impairment testing, goodwill is allocated to the applicable reporting units based on the current reporting structure. When evaluating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1" w:name="page82"/>
    <w:bookmarkEnd w:id="81"/>
    <w:p>
      <w:pPr>
        <w:ind w:right="100"/>
        <w:spacing w:after="0" w:line="256" w:lineRule="auto"/>
        <w:rPr>
          <w:sz w:val="20"/>
          <w:szCs w:val="20"/>
          <w:color w:val="auto"/>
        </w:rPr>
      </w:pPr>
      <w:r>
        <w:rPr>
          <w:rFonts w:ascii="Arial" w:cs="Arial" w:eastAsia="Arial" w:hAnsi="Arial"/>
          <w:sz w:val="16"/>
          <w:szCs w:val="16"/>
          <w:color w:val="auto"/>
        </w:rPr>
        <w:t>goodwill for impairment, we may decide to first perform a qualitative assessment, or “step zero” impairment test, to determine whether it is more likely than not that impairment has occurred. If we do not perform a qualitative assessment, or if we determine that it is not more likely than not that the fair value of our reporting units exceeds their carrying amounts, we perform a quantitative assessment and calculate the estimated fair value of the respective reporting unit. If the carrying amount of a reporting unit’s goodwill exceeds the fair value of that goodwill, an impairment loss is recognized.</w:t>
      </w:r>
    </w:p>
    <w:p>
      <w:pPr>
        <w:spacing w:after="0" w:line="179" w:lineRule="exact"/>
        <w:rPr>
          <w:sz w:val="20"/>
          <w:szCs w:val="20"/>
          <w:color w:val="auto"/>
        </w:rPr>
      </w:pPr>
    </w:p>
    <w:p>
      <w:pPr>
        <w:jc w:val="both"/>
        <w:ind w:right="120" w:firstLine="735"/>
        <w:spacing w:after="0" w:line="238" w:lineRule="auto"/>
        <w:rPr>
          <w:sz w:val="20"/>
          <w:szCs w:val="20"/>
          <w:color w:val="auto"/>
        </w:rPr>
      </w:pPr>
      <w:r>
        <w:rPr>
          <w:rFonts w:ascii="Arial" w:cs="Arial" w:eastAsia="Arial" w:hAnsi="Arial"/>
          <w:sz w:val="17"/>
          <w:szCs w:val="17"/>
          <w:color w:val="auto"/>
        </w:rPr>
        <w:t>Our decision to perform a qualitative impairment assessment in a given year is influenced by a number of factors, including the significance of the excess of our estimated fair value over carrying value at the last quantitative assessment date, the amount of time in between quantitative fair value assessments, and the date of the applicable acquisitions, if any.</w:t>
      </w:r>
    </w:p>
    <w:p>
      <w:pPr>
        <w:spacing w:after="0" w:line="192" w:lineRule="exact"/>
        <w:rPr>
          <w:sz w:val="20"/>
          <w:szCs w:val="20"/>
          <w:color w:val="auto"/>
        </w:rPr>
      </w:pPr>
    </w:p>
    <w:p>
      <w:pPr>
        <w:ind w:right="600" w:firstLine="735"/>
        <w:spacing w:after="0" w:line="238" w:lineRule="auto"/>
        <w:rPr>
          <w:sz w:val="20"/>
          <w:szCs w:val="20"/>
          <w:color w:val="auto"/>
        </w:rPr>
      </w:pPr>
      <w:r>
        <w:rPr>
          <w:rFonts w:ascii="Arial" w:cs="Arial" w:eastAsia="Arial" w:hAnsi="Arial"/>
          <w:sz w:val="17"/>
          <w:szCs w:val="17"/>
          <w:color w:val="auto"/>
        </w:rPr>
        <w:t>In 2019, we changed the date of its annual goodwill impairment testing from November 30 to October 1. This change results in better alignment of our annual impairment test with our annual budgeting cycle and provides a more reliable measurement using our interim closing processes. The change had no effect on our consolidated financial statements for the current or historical periods.</w:t>
      </w:r>
    </w:p>
    <w:p>
      <w:pPr>
        <w:spacing w:after="0" w:line="192" w:lineRule="exact"/>
        <w:rPr>
          <w:sz w:val="20"/>
          <w:szCs w:val="20"/>
          <w:color w:val="auto"/>
        </w:rPr>
      </w:pPr>
    </w:p>
    <w:p>
      <w:pPr>
        <w:ind w:right="120" w:firstLine="735"/>
        <w:spacing w:after="0" w:line="237" w:lineRule="auto"/>
        <w:rPr>
          <w:sz w:val="20"/>
          <w:szCs w:val="20"/>
          <w:color w:val="auto"/>
        </w:rPr>
      </w:pPr>
      <w:r>
        <w:rPr>
          <w:rFonts w:ascii="Arial" w:cs="Arial" w:eastAsia="Arial" w:hAnsi="Arial"/>
          <w:sz w:val="17"/>
          <w:szCs w:val="17"/>
          <w:color w:val="auto"/>
        </w:rPr>
        <w:t>We perform a goodwill impairment test on an annual basis for each reporting unit that requires certain assumptions and estimates be made regarding industry economic factors and future profitability. For the years ended December 31, 2021, December 31, 2020 and December 31, 2019, we performed a quantitative analysis for all of our reporting units. It was determined that the fair value of each of our reporting units substantially exceeded their carrying values. As a result, no goodwill impairments were identified for those periods.</w:t>
      </w:r>
    </w:p>
    <w:p>
      <w:pPr>
        <w:spacing w:after="0" w:line="191" w:lineRule="exact"/>
        <w:rPr>
          <w:sz w:val="20"/>
          <w:szCs w:val="20"/>
          <w:color w:val="auto"/>
        </w:rPr>
      </w:pPr>
    </w:p>
    <w:p>
      <w:pPr>
        <w:ind w:firstLine="735"/>
        <w:spacing w:after="0" w:line="251" w:lineRule="auto"/>
        <w:rPr>
          <w:sz w:val="20"/>
          <w:szCs w:val="20"/>
          <w:color w:val="auto"/>
        </w:rPr>
      </w:pPr>
      <w:r>
        <w:rPr>
          <w:rFonts w:ascii="Arial" w:cs="Arial" w:eastAsia="Arial" w:hAnsi="Arial"/>
          <w:sz w:val="16"/>
          <w:szCs w:val="16"/>
          <w:color w:val="auto"/>
        </w:rPr>
        <w:t>The goodwill impairment test involves determination of the fair value of our reporting units. This process requires significant judgments and estimates, including assumptions about our strategic plans for operations as well as the interpretation of current economic indicators. Development of the present value of future cash flow projections includes assumptions and estimates derived from a review of our expected revenue growth rates, profit margins, business plans, cost of capital and tax rates. We also make certain assumptions about future market conditions, market prices, interest rates and changes in business strategies. Changes in assumptions or estimates could materially affect the determination of the fair value of a reporting unit. This could eliminate the excess of fair value over carrying value of a reporting unit entirely and, in some cases, result in impairment. Such changes in assumptions could be caused by a loss of one or more significant contracts, reductions in government or commercial client spending, or a decline in the demand for our services due to changing economic conditions. In the event that we determine that our goodwill is impaired, we would be required to record a non-cash charge that could result in a material adverse effect on our results of operations or financial position.</w:t>
      </w:r>
    </w:p>
    <w:p>
      <w:pPr>
        <w:spacing w:after="0" w:line="183" w:lineRule="exact"/>
        <w:rPr>
          <w:sz w:val="20"/>
          <w:szCs w:val="20"/>
          <w:color w:val="auto"/>
        </w:rPr>
      </w:pPr>
    </w:p>
    <w:p>
      <w:pPr>
        <w:ind w:right="20" w:firstLine="735"/>
        <w:spacing w:after="0" w:line="234" w:lineRule="auto"/>
        <w:rPr>
          <w:sz w:val="20"/>
          <w:szCs w:val="20"/>
          <w:color w:val="auto"/>
        </w:rPr>
      </w:pPr>
      <w:r>
        <w:rPr>
          <w:rFonts w:ascii="Arial" w:cs="Arial" w:eastAsia="Arial" w:hAnsi="Arial"/>
          <w:sz w:val="17"/>
          <w:szCs w:val="17"/>
          <w:color w:val="auto"/>
        </w:rPr>
        <w:t>We use the Income Approach and Market Approach (Guideline Transaction and Guideline Company Method) to determine the fair value of reporting units. The Income Approach utilizes the discounted cash flow method, which focuses on the expected cash flow of the reporting unit. In applying this approach, the cash flow is calculated for a finite period of years. Beyond the finite period, a terminal value is developed using a sustainable long-term annual growth rate estimate. Then the finite period cash flows and the terminal value are discounted to present value to arrive at an indication of fair value. We utilized internal financial projections through fiscal 2026. The Market Approach utilizes market comparable transactions and comparable companies to calculate the estimated fair value. The guideline company approach focuses on comparing the reporting unit to select reasonably similar (or ”guideline”) publicly traded companies. Under this method, valuation multiples are derived from the median of the operating data of selected guideline companies and applied to the operating data of the reporting unit to arrive at an indicative value. In the similar transactions approach, consideration is given to prices paid in recent transactions that have occurred in the reporting unit's industry or in related industries. For the Federal Solutions reporting unit, only the Guideline Company Method is used as the Federal Solutions reporting unit has gone through multiple acquisitions during the past two years, thus making Guideline Transaction Method difficult to apply. For the Critical Infrastructure reporting unit, both the Guideline Transaction Method and Guideline Company Method are utilized to calculate the estimated fair value. Equal weighing is given to each of the methods used to estimate the fair value of reporting units. Our last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82" w:name="page83"/>
    <w:bookmarkEnd w:id="82"/>
    <w:p>
      <w:pPr>
        <w:ind w:right="660"/>
        <w:spacing w:after="0" w:line="242" w:lineRule="auto"/>
        <w:rPr>
          <w:sz w:val="20"/>
          <w:szCs w:val="20"/>
          <w:color w:val="auto"/>
        </w:rPr>
      </w:pPr>
      <w:r>
        <w:rPr>
          <w:rFonts w:ascii="Arial" w:cs="Arial" w:eastAsia="Arial" w:hAnsi="Arial"/>
          <w:sz w:val="17"/>
          <w:szCs w:val="17"/>
          <w:color w:val="auto"/>
        </w:rPr>
        <w:t>review at October 1, 2021 (i.e., the first day of our fourth quarter in fiscal 2020), indicated that we had no impairment of goodwill, and all of our reporting units had estimated fair values that were in excess of their carrying values, including goodwill.</w:t>
      </w:r>
    </w:p>
    <w:p>
      <w:pPr>
        <w:spacing w:after="0" w:line="189" w:lineRule="exact"/>
        <w:rPr>
          <w:sz w:val="20"/>
          <w:szCs w:val="20"/>
          <w:color w:val="auto"/>
        </w:rPr>
      </w:pPr>
    </w:p>
    <w:p>
      <w:pPr>
        <w:ind w:right="120" w:firstLine="735"/>
        <w:spacing w:after="0" w:line="236" w:lineRule="auto"/>
        <w:rPr>
          <w:sz w:val="20"/>
          <w:szCs w:val="20"/>
          <w:color w:val="auto"/>
        </w:rPr>
      </w:pPr>
      <w:r>
        <w:rPr>
          <w:rFonts w:ascii="Arial" w:cs="Arial" w:eastAsia="Arial" w:hAnsi="Arial"/>
          <w:sz w:val="17"/>
          <w:szCs w:val="17"/>
          <w:color w:val="auto"/>
        </w:rPr>
        <w:t>Intangible assets with finite lives arise from business acquisitions and are amortized based on the period over which the contractual or economic benefit of the intangible assets are expected to be realized or on a straight-line basis over the useful lives of the underlying assets, ranging from one to ten years. These primarily consist of customer relationships, backlog, and covenants not to compete. We assess the recoverability of the unamortized balance of our intangible assets when indicators of impairment are present based on expected future profitability and undiscounted expected cash flows and their contribution to overall operations. Should the review indicate that the carrying value is not fully recoverable, the excess of the carrying value over the fair value of the intangible assets would be recognized as an impairment loss.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Consolidation of Joint Ventures and Variable Interest Entities</w:t>
      </w:r>
    </w:p>
    <w:p>
      <w:pPr>
        <w:spacing w:after="0" w:line="116" w:lineRule="exact"/>
        <w:rPr>
          <w:sz w:val="20"/>
          <w:szCs w:val="20"/>
          <w:color w:val="auto"/>
        </w:rPr>
      </w:pPr>
    </w:p>
    <w:p>
      <w:pPr>
        <w:ind w:right="180" w:firstLine="735"/>
        <w:spacing w:after="0" w:line="238" w:lineRule="auto"/>
        <w:rPr>
          <w:sz w:val="20"/>
          <w:szCs w:val="20"/>
          <w:color w:val="auto"/>
        </w:rPr>
      </w:pPr>
      <w:r>
        <w:rPr>
          <w:rFonts w:ascii="Arial" w:cs="Arial" w:eastAsia="Arial" w:hAnsi="Arial"/>
          <w:sz w:val="17"/>
          <w:szCs w:val="17"/>
          <w:color w:val="auto"/>
        </w:rPr>
        <w:t>We participate in joint ventures, which include partnerships and partially owned limited liability corporations, to bid, negotiate and complete specific projects. We are required to consolidate these joint ventures if we hold the majority voting interest or if we meet the criteria under the consolidation model as described below.</w:t>
      </w:r>
    </w:p>
    <w:p>
      <w:pPr>
        <w:spacing w:after="0" w:line="192" w:lineRule="exact"/>
        <w:rPr>
          <w:sz w:val="20"/>
          <w:szCs w:val="20"/>
          <w:color w:val="auto"/>
        </w:rPr>
      </w:pPr>
    </w:p>
    <w:p>
      <w:pPr>
        <w:ind w:right="20" w:firstLine="735"/>
        <w:spacing w:after="0" w:line="235" w:lineRule="auto"/>
        <w:rPr>
          <w:sz w:val="20"/>
          <w:szCs w:val="20"/>
          <w:color w:val="auto"/>
        </w:rPr>
      </w:pPr>
      <w:r>
        <w:rPr>
          <w:rFonts w:ascii="Arial" w:cs="Arial" w:eastAsia="Arial" w:hAnsi="Arial"/>
          <w:sz w:val="17"/>
          <w:szCs w:val="17"/>
          <w:color w:val="auto"/>
        </w:rPr>
        <w:t>A variable interest entity, or “VIE”, is an entity with one or more of the following characteristics: (a) the total equity investment at risk is not sufficient to permit the entity to finance its activities without additional financial support; (b) as a group, the holders of the equity investment at risk lack the ability to make certain decisions, the obligation to absorb expected losses or the right to receive expected residual returns; or (c) an equity investor has voting rights that are disproportionate to its economic interest and substantially all of the entity’s activities are on behalf of the investor with disproportionately low voting rights. Our VIEs may be funded through contributions, loans and/or advances from the joint venture partners or by advances and/or letters of credit provided by clients. Certain VIEs are directly governed, managed, operated and administered by the joint venture partners. Others have no employees and, although these entities own and hold the contracts with the clients, the services required by the contracts are typically performed by the joint venture partners or by other subcontractors.</w:t>
      </w:r>
    </w:p>
    <w:p>
      <w:pPr>
        <w:spacing w:after="0" w:line="193" w:lineRule="exact"/>
        <w:rPr>
          <w:sz w:val="20"/>
          <w:szCs w:val="20"/>
          <w:color w:val="auto"/>
        </w:rPr>
      </w:pPr>
    </w:p>
    <w:p>
      <w:pPr>
        <w:ind w:right="160" w:firstLine="735"/>
        <w:spacing w:after="0" w:line="238" w:lineRule="auto"/>
        <w:rPr>
          <w:sz w:val="20"/>
          <w:szCs w:val="20"/>
          <w:color w:val="auto"/>
        </w:rPr>
      </w:pPr>
      <w:r>
        <w:rPr>
          <w:rFonts w:ascii="Arial" w:cs="Arial" w:eastAsia="Arial" w:hAnsi="Arial"/>
          <w:sz w:val="17"/>
          <w:szCs w:val="17"/>
          <w:color w:val="auto"/>
        </w:rPr>
        <w:t>We are required to perform an analysis to determine whether we are the primary beneficiary of our VIEs. We are deemed to be the primary beneficiary of a VIE if we have (i) the power to direct the activities of the VIE that most significantly impact the VIE’s economic performance; and (ii) the obligation to absorb losses or the right to receive benefits that could potentially be significant to the VIE.</w:t>
      </w:r>
    </w:p>
    <w:p>
      <w:pPr>
        <w:spacing w:after="0" w:line="192" w:lineRule="exact"/>
        <w:rPr>
          <w:sz w:val="20"/>
          <w:szCs w:val="20"/>
          <w:color w:val="auto"/>
        </w:rPr>
      </w:pPr>
    </w:p>
    <w:p>
      <w:pPr>
        <w:ind w:firstLine="735"/>
        <w:spacing w:after="0" w:line="233" w:lineRule="auto"/>
        <w:rPr>
          <w:sz w:val="20"/>
          <w:szCs w:val="20"/>
          <w:color w:val="auto"/>
        </w:rPr>
      </w:pPr>
      <w:r>
        <w:rPr>
          <w:rFonts w:ascii="Arial" w:cs="Arial" w:eastAsia="Arial" w:hAnsi="Arial"/>
          <w:sz w:val="17"/>
          <w:szCs w:val="17"/>
          <w:color w:val="auto"/>
        </w:rPr>
        <w:t>Many of the joint ventures we enter into are deemed to be VIEs because they lack sufficient equity to finance the activities of the joint venture. We use a qualitative approach to determine if we are the primary beneficiary of the VIE, which considers factors that indicate a party has the power to direct the activities that most significantly impact the joint venture’s economic performance. In determining whether we are the primary beneficiary of the VIE, significant assumptions and judgments include the following: (1) identifying the significant activities and the parties that have the power to direct them; (2) reviewing the governing board composition and participation ratio; (3) determining the equity, profit and loss ratio;</w:t>
      </w:r>
    </w:p>
    <w:p>
      <w:pPr>
        <w:spacing w:after="0" w:line="2" w:lineRule="exact"/>
        <w:rPr>
          <w:sz w:val="20"/>
          <w:szCs w:val="20"/>
          <w:color w:val="auto"/>
        </w:rPr>
      </w:pPr>
    </w:p>
    <w:p>
      <w:pPr>
        <w:ind w:right="240" w:firstLine="1"/>
        <w:spacing w:after="0" w:line="238" w:lineRule="auto"/>
        <w:tabs>
          <w:tab w:leader="none" w:pos="253" w:val="left"/>
        </w:tabs>
        <w:numPr>
          <w:ilvl w:val="0"/>
          <w:numId w:val="49"/>
        </w:numPr>
        <w:rPr>
          <w:rFonts w:ascii="Arial" w:cs="Arial" w:eastAsia="Arial" w:hAnsi="Arial"/>
          <w:sz w:val="17"/>
          <w:szCs w:val="17"/>
          <w:color w:val="auto"/>
        </w:rPr>
      </w:pPr>
      <w:r>
        <w:rPr>
          <w:rFonts w:ascii="Arial" w:cs="Arial" w:eastAsia="Arial" w:hAnsi="Arial"/>
          <w:sz w:val="17"/>
          <w:szCs w:val="17"/>
          <w:color w:val="auto"/>
        </w:rPr>
        <w:t>determining the management-sharing ratio; (5) reviewing employment terms, including which joint venture partner provides the project manager; and (6) reviewing the funding and operating agreements. We analyze each joint venture initially to determine if it should be consolidated or unconsolidated into our financial statements:</w:t>
      </w:r>
    </w:p>
    <w:p>
      <w:pPr>
        <w:spacing w:after="0" w:line="90" w:lineRule="exact"/>
        <w:rPr>
          <w:rFonts w:ascii="Arial" w:cs="Arial" w:eastAsia="Arial" w:hAnsi="Arial"/>
          <w:sz w:val="17"/>
          <w:szCs w:val="17"/>
          <w:color w:val="auto"/>
        </w:rPr>
      </w:pPr>
    </w:p>
    <w:p>
      <w:pPr>
        <w:ind w:left="1020" w:right="560" w:hanging="296"/>
        <w:spacing w:after="0" w:line="242" w:lineRule="auto"/>
        <w:tabs>
          <w:tab w:leader="none" w:pos="1020" w:val="left"/>
        </w:tabs>
        <w:numPr>
          <w:ilvl w:val="1"/>
          <w:numId w:val="49"/>
        </w:numPr>
        <w:rPr>
          <w:rFonts w:ascii="Arial" w:cs="Arial" w:eastAsia="Arial" w:hAnsi="Arial"/>
          <w:sz w:val="17"/>
          <w:szCs w:val="17"/>
          <w:color w:val="auto"/>
        </w:rPr>
      </w:pPr>
      <w:r>
        <w:rPr>
          <w:rFonts w:ascii="Arial" w:cs="Arial" w:eastAsia="Arial" w:hAnsi="Arial"/>
          <w:sz w:val="17"/>
          <w:szCs w:val="17"/>
          <w:color w:val="auto"/>
        </w:rPr>
        <w:t>A joint venture is consolidated into our financial statements if we are the primary beneficiary of a VIE or hold the majority of voting interests of a non-VIE (and no significant participative rights are available to the other partners).</w:t>
      </w:r>
    </w:p>
    <w:p>
      <w:pPr>
        <w:spacing w:after="0" w:line="87" w:lineRule="exact"/>
        <w:rPr>
          <w:rFonts w:ascii="Arial" w:cs="Arial" w:eastAsia="Arial" w:hAnsi="Arial"/>
          <w:sz w:val="17"/>
          <w:szCs w:val="17"/>
          <w:color w:val="auto"/>
        </w:rPr>
      </w:pPr>
    </w:p>
    <w:p>
      <w:pPr>
        <w:ind w:left="1020" w:right="120" w:hanging="296"/>
        <w:spacing w:after="0" w:line="242" w:lineRule="auto"/>
        <w:tabs>
          <w:tab w:leader="none" w:pos="1020" w:val="left"/>
        </w:tabs>
        <w:numPr>
          <w:ilvl w:val="1"/>
          <w:numId w:val="49"/>
        </w:numPr>
        <w:rPr>
          <w:rFonts w:ascii="Arial" w:cs="Arial" w:eastAsia="Arial" w:hAnsi="Arial"/>
          <w:sz w:val="17"/>
          <w:szCs w:val="17"/>
          <w:color w:val="auto"/>
        </w:rPr>
      </w:pPr>
      <w:r>
        <w:rPr>
          <w:rFonts w:ascii="Arial" w:cs="Arial" w:eastAsia="Arial" w:hAnsi="Arial"/>
          <w:sz w:val="17"/>
          <w:szCs w:val="17"/>
          <w:color w:val="auto"/>
        </w:rPr>
        <w:t>A joint venture is not consolidated into our financial statements if we are not the primary beneficiary of a VIE, or do not hold the majority of voting interest of a non-VIE.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3" w:name="page84"/>
    <w:bookmarkEnd w:id="83"/>
    <w:p>
      <w:pPr>
        <w:ind w:firstLine="735"/>
        <w:spacing w:after="0" w:line="237" w:lineRule="auto"/>
        <w:rPr>
          <w:sz w:val="20"/>
          <w:szCs w:val="20"/>
          <w:color w:val="auto"/>
        </w:rPr>
      </w:pPr>
      <w:r>
        <w:rPr>
          <w:rFonts w:ascii="Arial" w:cs="Arial" w:eastAsia="Arial" w:hAnsi="Arial"/>
          <w:sz w:val="17"/>
          <w:szCs w:val="17"/>
          <w:color w:val="auto"/>
        </w:rPr>
        <w:t>We account for our unconsolidated joint ventures using the equity method of accounting. Under this method, we recognize our proportionate share of the net earnings of these joint ventures as “Equity in earnings (loss) of unconsolidated joint ventures”. Our maximum exposure to loss as a result of our investments in unconsolidated variable interest entities is typically limited to the aggregate of the carrying value of the investment and future funding commitments in these entities.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ESOP</w:t>
      </w:r>
    </w:p>
    <w:p>
      <w:pPr>
        <w:spacing w:after="0" w:line="116" w:lineRule="exact"/>
        <w:rPr>
          <w:sz w:val="20"/>
          <w:szCs w:val="20"/>
          <w:color w:val="auto"/>
        </w:rPr>
      </w:pPr>
    </w:p>
    <w:p>
      <w:pPr>
        <w:ind w:right="360" w:firstLine="735"/>
        <w:spacing w:after="0" w:line="242" w:lineRule="auto"/>
        <w:rPr>
          <w:sz w:val="20"/>
          <w:szCs w:val="20"/>
          <w:color w:val="auto"/>
        </w:rPr>
      </w:pPr>
      <w:r>
        <w:rPr>
          <w:rFonts w:ascii="Arial" w:cs="Arial" w:eastAsia="Arial" w:hAnsi="Arial"/>
          <w:sz w:val="17"/>
          <w:szCs w:val="17"/>
          <w:color w:val="auto"/>
        </w:rPr>
        <w:t>On May 8, 2019, we consummated the IPO. At the IPO date, shares held by the ESOP were subject to a 180-day lock-up period which concluded on November 3, 2019.</w:t>
      </w:r>
    </w:p>
    <w:p>
      <w:pPr>
        <w:spacing w:after="0" w:line="88" w:lineRule="exact"/>
        <w:rPr>
          <w:sz w:val="20"/>
          <w:szCs w:val="20"/>
          <w:color w:val="auto"/>
        </w:rPr>
      </w:pPr>
    </w:p>
    <w:p>
      <w:pPr>
        <w:ind w:right="60" w:firstLine="735"/>
        <w:spacing w:after="0" w:line="237" w:lineRule="auto"/>
        <w:rPr>
          <w:sz w:val="20"/>
          <w:szCs w:val="20"/>
          <w:color w:val="auto"/>
        </w:rPr>
      </w:pPr>
      <w:r>
        <w:rPr>
          <w:rFonts w:ascii="Arial" w:cs="Arial" w:eastAsia="Arial" w:hAnsi="Arial"/>
          <w:sz w:val="17"/>
          <w:szCs w:val="17"/>
          <w:color w:val="auto"/>
        </w:rPr>
        <w:t>We contribute shares of our own stock to the ESOP each year. Shares held by the ESOP or committed to be contributed to the ESOP were presented as temporary equity at December 31, 2018 as they included a cash redemption feature that was not solely within our control. At the conclusion of the 180-day lock-up period, ESOP distributions are no longer made in cash and are now made in shares of our common stock. Accordingly, at December 31, 2019, shares held by the ESOP were reclassified from temporary equity to permanent equity.</w:t>
      </w:r>
    </w:p>
    <w:p>
      <w:pPr>
        <w:spacing w:after="0" w:line="90" w:lineRule="exact"/>
        <w:rPr>
          <w:sz w:val="20"/>
          <w:szCs w:val="20"/>
          <w:color w:val="auto"/>
        </w:rPr>
      </w:pPr>
    </w:p>
    <w:p>
      <w:pPr>
        <w:ind w:right="80" w:firstLine="735"/>
        <w:spacing w:after="0" w:line="237" w:lineRule="auto"/>
        <w:rPr>
          <w:sz w:val="20"/>
          <w:szCs w:val="20"/>
          <w:color w:val="auto"/>
        </w:rPr>
      </w:pPr>
      <w:r>
        <w:rPr>
          <w:rFonts w:ascii="Arial" w:cs="Arial" w:eastAsia="Arial" w:hAnsi="Arial"/>
          <w:sz w:val="17"/>
          <w:szCs w:val="17"/>
          <w:color w:val="auto"/>
        </w:rPr>
        <w:t>Throughout the year, as employee services are rendered, we record compensation expense based on salaries of eligible employees. Contributions of our common stock to the ESOP are made annually in amounts determined by our board of directors and are held in trust for the sole benefit of the participants. Shares allocated to a participant’s account are fully vested after three years of credited service, or in the event(s) of reaching age 65, death or disability while an active employee.</w:t>
      </w:r>
    </w:p>
    <w:p>
      <w:pPr>
        <w:spacing w:after="0" w:line="191" w:lineRule="exact"/>
        <w:rPr>
          <w:sz w:val="20"/>
          <w:szCs w:val="20"/>
          <w:color w:val="auto"/>
        </w:rPr>
      </w:pPr>
    </w:p>
    <w:p>
      <w:pPr>
        <w:ind w:right="60" w:firstLine="735"/>
        <w:spacing w:after="0" w:line="235" w:lineRule="auto"/>
        <w:rPr>
          <w:sz w:val="20"/>
          <w:szCs w:val="20"/>
          <w:color w:val="auto"/>
        </w:rPr>
      </w:pPr>
      <w:r>
        <w:rPr>
          <w:rFonts w:ascii="Arial" w:cs="Arial" w:eastAsia="Arial" w:hAnsi="Arial"/>
          <w:sz w:val="17"/>
          <w:szCs w:val="17"/>
          <w:color w:val="auto"/>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Prior to the IPO, participants’ interests were redeemable in cash based on share prices established by the ESOP Trustee. Subsequent to the IPO and during the 180-day lock-up period, participants’ interests were redeemable in cash based on quoted prices of a share of our common stock on the NYSE. Subsequent to the 180-day lock-up period, distributions from the ESOP of participants’ interests are made in our common stock based on quoted prices of a share of our common stock on the NYSE. A participant will be able to sell such shares of common stock in the market, subject to any requirements of the federal securities laws.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of Common Stock</w:t>
      </w:r>
    </w:p>
    <w:p>
      <w:pPr>
        <w:spacing w:after="0" w:line="116" w:lineRule="exact"/>
        <w:rPr>
          <w:sz w:val="20"/>
          <w:szCs w:val="20"/>
          <w:color w:val="auto"/>
        </w:rPr>
      </w:pPr>
    </w:p>
    <w:p>
      <w:pPr>
        <w:ind w:right="140" w:firstLine="735"/>
        <w:spacing w:after="0" w:line="235" w:lineRule="auto"/>
        <w:rPr>
          <w:sz w:val="20"/>
          <w:szCs w:val="20"/>
          <w:color w:val="auto"/>
        </w:rPr>
      </w:pPr>
      <w:r>
        <w:rPr>
          <w:rFonts w:ascii="Arial" w:cs="Arial" w:eastAsia="Arial" w:hAnsi="Arial"/>
          <w:sz w:val="17"/>
          <w:szCs w:val="17"/>
          <w:color w:val="auto"/>
        </w:rPr>
        <w:t>Prior to our IPO, our share price was determined using a combination of income- and market-based methods that utilized unobservable Level 3 inputs, including significant assumptions such as forecasted revenue and operating margins, working capital requirements and weighted average cost of capital. Given the absence of a public trading market for our common stock, for all purposes related to the fair market value of our common stock, we historically used the per share price of our common stock as established by the ESOP Trustee, taking into account, among other things, the advice of a third-party valuation consultant for the ESOP Trustee, as well as the ESOP Trustee’s knowledge of the Company as of December 31 for each calendar year. Subsequent to the IPO, the share price is based on quoted prices of the Company’s common stock on the NYSE.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84" w:name="page85"/>
    <w:bookmarkEnd w:id="84"/>
    <w:p>
      <w:pPr>
        <w:spacing w:after="0"/>
        <w:rPr>
          <w:sz w:val="20"/>
          <w:szCs w:val="20"/>
          <w:color w:val="auto"/>
        </w:rPr>
      </w:pPr>
      <w:r>
        <w:rPr>
          <w:rFonts w:ascii="Arial" w:cs="Arial" w:eastAsia="Arial" w:hAnsi="Arial"/>
          <w:sz w:val="17"/>
          <w:szCs w:val="17"/>
          <w:b w:val="1"/>
          <w:bCs w:val="1"/>
          <w:color w:val="auto"/>
        </w:rPr>
        <w:t>Equity-Based Compensation</w:t>
      </w:r>
    </w:p>
    <w:p>
      <w:pPr>
        <w:spacing w:after="0" w:line="116" w:lineRule="exact"/>
        <w:rPr>
          <w:sz w:val="20"/>
          <w:szCs w:val="20"/>
          <w:color w:val="auto"/>
        </w:rPr>
      </w:pPr>
    </w:p>
    <w:p>
      <w:pPr>
        <w:ind w:right="60" w:firstLine="589"/>
        <w:spacing w:after="0" w:line="235" w:lineRule="auto"/>
        <w:rPr>
          <w:sz w:val="20"/>
          <w:szCs w:val="20"/>
          <w:color w:val="auto"/>
        </w:rPr>
      </w:pPr>
      <w:r>
        <w:rPr>
          <w:rFonts w:ascii="Arial" w:cs="Arial" w:eastAsia="Arial" w:hAnsi="Arial"/>
          <w:sz w:val="17"/>
          <w:szCs w:val="17"/>
          <w:color w:val="auto"/>
        </w:rPr>
        <w:t>We measure the value of services received from employees and directors in exchange for an equity-based award based on the grant date fair value. We issue equity-based awards that settle in shares of our common stock. Prior to the IPO, we issued equity-based awards that settle in cash. Cash settled awards are subsequently remeasured to an updated fair value at each reporting period until the award is settled. Awards containing performance measures are adjusted at each reporting period for the number of shares expected to be earned. Compensation cost for cash settled and performance awards are trued-up at each reporting period for changes in fair value and expected shares pro-rated for the portion of the requisite service period rendered. We recognize compensation costs for these awards on either a straight-line or accelerated basis over the vesting period of the award in “Selling, general and administrative expenses” in the consolidated statements of income.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Self-Insurance</w:t>
      </w:r>
    </w:p>
    <w:p>
      <w:pPr>
        <w:spacing w:after="0" w:line="116" w:lineRule="exact"/>
        <w:rPr>
          <w:sz w:val="20"/>
          <w:szCs w:val="20"/>
          <w:color w:val="auto"/>
        </w:rPr>
      </w:pPr>
    </w:p>
    <w:p>
      <w:pPr>
        <w:ind w:right="120" w:firstLine="735"/>
        <w:spacing w:after="0" w:line="254" w:lineRule="auto"/>
        <w:rPr>
          <w:sz w:val="20"/>
          <w:szCs w:val="20"/>
          <w:color w:val="auto"/>
        </w:rPr>
      </w:pPr>
      <w:r>
        <w:rPr>
          <w:rFonts w:ascii="Arial" w:cs="Arial" w:eastAsia="Arial" w:hAnsi="Arial"/>
          <w:sz w:val="16"/>
          <w:szCs w:val="16"/>
          <w:color w:val="auto"/>
        </w:rPr>
        <w:t>We are self-insured for a portion of our losses and liabilities primarily associated with workers’ compensation, general, professional, automobile, employee matters, certain medical plans, and project specific liability claims. Losses are accrued based upon our estimates of the aggregate liability for claims incurred using historical experience and certain actuarial assumptions, as provided by an independent actuary. The estimate of self-insurance liability includes an estimate of incurred but not reported claims, based on data compiled from historical experience. Actual losses and related expenses may deviate, perhaps substantially, from the self-insurance liability estimates reflected in our financial statements.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Recent Accounting Pronouncements</w:t>
      </w:r>
    </w:p>
    <w:p>
      <w:pPr>
        <w:spacing w:after="0" w:line="200" w:lineRule="exact"/>
        <w:rPr>
          <w:sz w:val="20"/>
          <w:szCs w:val="20"/>
          <w:color w:val="auto"/>
        </w:rPr>
      </w:pPr>
    </w:p>
    <w:p>
      <w:pPr>
        <w:ind w:right="220" w:firstLine="735"/>
        <w:spacing w:after="0" w:line="264" w:lineRule="auto"/>
        <w:rPr>
          <w:sz w:val="20"/>
          <w:szCs w:val="20"/>
          <w:color w:val="auto"/>
        </w:rPr>
      </w:pPr>
      <w:r>
        <w:rPr>
          <w:rFonts w:ascii="Arial" w:cs="Arial" w:eastAsia="Arial" w:hAnsi="Arial"/>
          <w:sz w:val="17"/>
          <w:szCs w:val="17"/>
          <w:color w:val="auto"/>
        </w:rPr>
        <w:t>See the information set forth in “Note 2—</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—Recently Adopted Accounting Pronouncements” in the notes to our consolidated financial statements included elsewhere in this Annual Report on Form 10-K.</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Off-Balance Sheet Arrangements</w:t>
      </w:r>
    </w:p>
    <w:p>
      <w:pPr>
        <w:spacing w:after="0" w:line="218" w:lineRule="exact"/>
        <w:rPr>
          <w:sz w:val="20"/>
          <w:szCs w:val="20"/>
          <w:color w:val="auto"/>
        </w:rPr>
      </w:pPr>
    </w:p>
    <w:p>
      <w:pPr>
        <w:ind w:right="20" w:firstLine="735"/>
        <w:spacing w:after="0" w:line="238" w:lineRule="auto"/>
        <w:rPr>
          <w:sz w:val="20"/>
          <w:szCs w:val="20"/>
          <w:color w:val="auto"/>
        </w:rPr>
      </w:pPr>
      <w:r>
        <w:rPr>
          <w:rFonts w:ascii="Arial" w:cs="Arial" w:eastAsia="Arial" w:hAnsi="Arial"/>
          <w:sz w:val="17"/>
          <w:szCs w:val="17"/>
          <w:color w:val="auto"/>
        </w:rPr>
        <w:t>As of December 31, 2021, we have no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Commitments and Contingencies</w:t>
      </w:r>
    </w:p>
    <w:p>
      <w:pPr>
        <w:spacing w:after="0" w:line="218" w:lineRule="exact"/>
        <w:rPr>
          <w:sz w:val="20"/>
          <w:szCs w:val="20"/>
          <w:color w:val="auto"/>
        </w:rPr>
      </w:pPr>
    </w:p>
    <w:p>
      <w:pPr>
        <w:ind w:firstLine="735"/>
        <w:spacing w:after="0" w:line="235" w:lineRule="auto"/>
        <w:rPr>
          <w:sz w:val="20"/>
          <w:szCs w:val="20"/>
          <w:color w:val="auto"/>
        </w:rPr>
      </w:pPr>
      <w:r>
        <w:rPr>
          <w:rFonts w:ascii="Arial" w:cs="Arial" w:eastAsia="Arial" w:hAnsi="Arial"/>
          <w:sz w:val="17"/>
          <w:szCs w:val="17"/>
          <w:color w:val="auto"/>
        </w:rPr>
        <w:t>We are subject to certain claims and assessments that arise in the ordinary course of business. Additionally, Parsons has been named as a defendant in lawsuits alleging personal injuries as a result of contact with asbestos products at various project sites. We believe that any significant costs relating to these claims will be reimbursed by applicable insurance and do not expect any of these claims to have a material adverse effect on our financial condition or results of operations. We record a liability when we believe that it is both probable that a loss has been incurred and the amount can be reasonably estimated. Management judgment is required to determine the outcome and the estimated amount of a loss related to such matters. Management believes that there are no claims or assessments outstanding which would materially affect our consolidated results of operations or our financial position.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85" w:name="page86"/>
    <w:bookmarkEnd w:id="85"/>
    <w:p>
      <w:pPr>
        <w:spacing w:after="0"/>
        <w:rPr>
          <w:sz w:val="20"/>
          <w:szCs w:val="20"/>
          <w:color w:val="auto"/>
        </w:rPr>
      </w:pPr>
      <w:r>
        <w:rPr>
          <w:rFonts w:ascii="Arial" w:cs="Arial" w:eastAsia="Arial" w:hAnsi="Arial"/>
          <w:sz w:val="17"/>
          <w:szCs w:val="17"/>
          <w:b w:val="1"/>
          <w:bCs w:val="1"/>
          <w:color w:val="auto"/>
        </w:rPr>
        <w:t>Item 7A. Qualitative and Quantitative Disclosure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16" w:lineRule="exact"/>
        <w:rPr>
          <w:sz w:val="20"/>
          <w:szCs w:val="20"/>
          <w:color w:val="auto"/>
        </w:rPr>
      </w:pPr>
    </w:p>
    <w:p>
      <w:pPr>
        <w:ind w:firstLine="735"/>
        <w:spacing w:after="0" w:line="252" w:lineRule="auto"/>
        <w:rPr>
          <w:sz w:val="20"/>
          <w:szCs w:val="20"/>
          <w:color w:val="auto"/>
        </w:rPr>
      </w:pPr>
      <w:r>
        <w:rPr>
          <w:rFonts w:ascii="Arial" w:cs="Arial" w:eastAsia="Arial" w:hAnsi="Arial"/>
          <w:sz w:val="16"/>
          <w:szCs w:val="16"/>
          <w:color w:val="auto"/>
        </w:rPr>
        <w:t>We are exposed to interest rate risks related to our Revolving Credit Facility. As of December 31, 2021, we had no loan amounts outstanding under the Revolving Credit Facility. Borrowings under the new Credit Facility effective June 2021 bear interest at either a eurocurrency rate plus a margin between 1.0% and 1.625%, or a base rate (as defined in the Credit Agreement) plus a margin of between 0% and 0.625%, both based on the leverage ratio of the Company at the end of each quarter. Prior to June 2021, interest on borrowings under the Credit Facility were at either the base rate (as defined in the Credit Agreement), plus an applicable margin, or LIBOR plus an applicable margin. The applicable margin for base rate loans was a range of 0.125% to 1.00% and the applicable margin for LIBOR loans was a range of 1.125% to 2.00%, both based on the leverage ratio of the Company at the end of each quarter. The rates at December 31, 2021 and December 31, 2020 were 1.36% and 1.87%,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116" w:lineRule="exact"/>
        <w:rPr>
          <w:sz w:val="20"/>
          <w:szCs w:val="20"/>
          <w:color w:val="auto"/>
        </w:rPr>
      </w:pPr>
    </w:p>
    <w:p>
      <w:pPr>
        <w:ind w:right="400" w:firstLine="735"/>
        <w:spacing w:after="0" w:line="260" w:lineRule="auto"/>
        <w:rPr>
          <w:sz w:val="20"/>
          <w:szCs w:val="20"/>
          <w:color w:val="auto"/>
        </w:rPr>
      </w:pPr>
      <w:r>
        <w:rPr>
          <w:rFonts w:ascii="Arial" w:cs="Arial" w:eastAsia="Arial" w:hAnsi="Arial"/>
          <w:sz w:val="16"/>
          <w:szCs w:val="16"/>
          <w:color w:val="auto"/>
        </w:rPr>
        <w:t>We are exposed to foreign currency exchange rate risk resulting from our operations outside of the U.S. We limit exposure to foreign currency fluctuations in most of our contracts through provisions that require client payments in currencies corresponding to the currency in which costs are incurred. As a result of this natural hedge, we generally do not need to hedge foreign currency cash flows for contract work performed.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116" w:lineRule="exact"/>
        <w:rPr>
          <w:sz w:val="20"/>
          <w:szCs w:val="20"/>
          <w:color w:val="auto"/>
        </w:rPr>
      </w:pPr>
    </w:p>
    <w:p>
      <w:pPr>
        <w:ind w:right="80" w:firstLine="735"/>
        <w:spacing w:after="0" w:line="242" w:lineRule="auto"/>
        <w:rPr>
          <w:sz w:val="20"/>
          <w:szCs w:val="20"/>
          <w:color w:val="auto"/>
        </w:rPr>
      </w:pPr>
      <w:r>
        <w:rPr>
          <w:rFonts w:ascii="Arial" w:cs="Arial" w:eastAsia="Arial" w:hAnsi="Arial"/>
          <w:sz w:val="17"/>
          <w:szCs w:val="17"/>
          <w:color w:val="auto"/>
        </w:rPr>
        <w:t>The information required by this item 8 is submitted as a separate section beginning on page F-1 of this Annual Report on Form 10-K and is incorporated by reference.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11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None.</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96" w:lineRule="exact"/>
        <w:rPr>
          <w:sz w:val="20"/>
          <w:szCs w:val="20"/>
          <w:color w:val="auto"/>
        </w:rPr>
      </w:pPr>
    </w:p>
    <w:p>
      <w:pPr>
        <w:ind w:left="740"/>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16" w:lineRule="exact"/>
        <w:rPr>
          <w:sz w:val="20"/>
          <w:szCs w:val="20"/>
          <w:color w:val="auto"/>
        </w:rPr>
      </w:pPr>
    </w:p>
    <w:p>
      <w:pPr>
        <w:ind w:firstLine="735"/>
        <w:spacing w:after="0" w:line="235" w:lineRule="auto"/>
        <w:rPr>
          <w:sz w:val="20"/>
          <w:szCs w:val="20"/>
          <w:color w:val="auto"/>
        </w:rPr>
      </w:pPr>
      <w:r>
        <w:rPr>
          <w:rFonts w:ascii="Arial" w:cs="Arial" w:eastAsia="Arial" w:hAnsi="Arial"/>
          <w:sz w:val="17"/>
          <w:szCs w:val="17"/>
          <w:color w:val="auto"/>
        </w:rPr>
        <w:t>Our management carried out, as of December 31, 2021, with the participation of our Chief Executive Officer and our Chief Financial Officer, an evaluation of the effectiveness of our disclosure controls and procedures (as defined in Rules 13a-15(e) and 15d-15(e) under the Securities Exchange Act of 1934, as amended (the “Exchange Act”)). Based on that evaluation, our Chief Executive Officer and Chief Financial Officer concluded that, as of December 31, 2021, our disclosure controls and procedures were effective to provide reasonable assurance that information required to be disclosed by us in reports we file or submit under the Exchange Act is recorded, processed, summarized and reported within the time periods specified in the SEC rules and forms and that information required to be disclosed by us in the reports we file or submit under the Exchange Act is accumulated and communicated to our management, including our Chief Executive Officer and Chief Financial Officer, as appropriate to allow timely decisions regarding required disclosure.</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Management’s Annual Report on Internal Control Over Financial Reporting</w:t>
      </w:r>
    </w:p>
    <w:p>
      <w:pPr>
        <w:spacing w:after="0" w:line="116" w:lineRule="exact"/>
        <w:rPr>
          <w:sz w:val="20"/>
          <w:szCs w:val="20"/>
          <w:color w:val="auto"/>
        </w:rPr>
      </w:pPr>
    </w:p>
    <w:p>
      <w:pPr>
        <w:ind w:right="220" w:firstLine="433"/>
        <w:spacing w:after="0" w:line="236" w:lineRule="auto"/>
        <w:rPr>
          <w:sz w:val="20"/>
          <w:szCs w:val="20"/>
          <w:color w:val="auto"/>
        </w:rPr>
      </w:pPr>
      <w:r>
        <w:rPr>
          <w:rFonts w:ascii="Arial" w:cs="Arial" w:eastAsia="Arial" w:hAnsi="Arial"/>
          <w:sz w:val="17"/>
          <w:szCs w:val="17"/>
          <w:color w:val="auto"/>
        </w:rPr>
        <w:t>Management is responsible for establishing and maintaining for the Company adequate internal control over financial reporting, as defined in Rule 13a-15(f) under the Exchange Act. Management, with the participation of its Chair and Chief Executive Officer (principal executive officer) and Chief Financial Officer (principal financial officer), has assessed the effectiveness of the Company’s internal control over financial reporting as of December 31, 2021 based on the framework established in “Internal Control—Integrated Framework,” issued by the Committee of Sponsoring Organizations of the Treadway Commission (2013 framework). Based on this assessment, management has concluded that the Company’s internal control over financial reporting was effective as of December 31, 2021.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626" w:right="339" w:bottom="1440" w:gutter="0" w:footer="0" w:header="0"/>
        </w:sectPr>
      </w:pPr>
    </w:p>
    <w:bookmarkStart w:id="86" w:name="page87"/>
    <w:bookmarkEnd w:id="86"/>
    <w:p>
      <w:pPr>
        <w:ind w:right="260" w:firstLine="433"/>
        <w:spacing w:after="0" w:line="238" w:lineRule="auto"/>
        <w:rPr>
          <w:sz w:val="20"/>
          <w:szCs w:val="20"/>
          <w:color w:val="auto"/>
        </w:rPr>
      </w:pPr>
      <w:r>
        <w:rPr>
          <w:rFonts w:ascii="Arial" w:cs="Arial" w:eastAsia="Arial" w:hAnsi="Arial"/>
          <w:sz w:val="17"/>
          <w:szCs w:val="17"/>
          <w:color w:val="auto"/>
        </w:rPr>
        <w:t>The Company’s independent registered public accounting firm, PricewaterhouseCoopers LLP, which audited the Company’s consolidated financial statements included in this Annual Report on Form 10-K, also audited the effectiveness of our internal control over financial reporting as of December 31, 2021, as stated in their audit report included in this Annual Report on Form 10-K.</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16" w:lineRule="exact"/>
        <w:rPr>
          <w:sz w:val="20"/>
          <w:szCs w:val="20"/>
          <w:color w:val="auto"/>
        </w:rPr>
      </w:pPr>
    </w:p>
    <w:p>
      <w:pPr>
        <w:ind w:right="40" w:firstLine="433"/>
        <w:spacing w:after="0" w:line="238" w:lineRule="auto"/>
        <w:rPr>
          <w:sz w:val="20"/>
          <w:szCs w:val="20"/>
          <w:color w:val="auto"/>
        </w:rPr>
      </w:pPr>
      <w:r>
        <w:rPr>
          <w:rFonts w:ascii="Arial" w:cs="Arial" w:eastAsia="Arial" w:hAnsi="Arial"/>
          <w:sz w:val="17"/>
          <w:szCs w:val="17"/>
          <w:color w:val="auto"/>
        </w:rPr>
        <w:t>There have been no changes in our internal control over financial reporting, as defined in Rules 13a-15(f) and 15d-15(f) of the Securities Exchange Act of 1934, that occurred during the quarter ended December 31, 2021 that materially affected, or are reasonably likely to materially affect, our internal control over financial reporting.</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116" w:lineRule="exact"/>
        <w:rPr>
          <w:sz w:val="20"/>
          <w:szCs w:val="20"/>
          <w:color w:val="auto"/>
        </w:rPr>
      </w:pPr>
    </w:p>
    <w:p>
      <w:pPr>
        <w:jc w:val="both"/>
        <w:ind w:right="80" w:firstLine="589"/>
        <w:spacing w:after="0" w:line="238" w:lineRule="auto"/>
        <w:rPr>
          <w:sz w:val="20"/>
          <w:szCs w:val="20"/>
          <w:color w:val="auto"/>
        </w:rPr>
      </w:pPr>
      <w:r>
        <w:rPr>
          <w:rFonts w:ascii="Arial" w:cs="Arial" w:eastAsia="Arial" w:hAnsi="Arial"/>
          <w:sz w:val="17"/>
          <w:szCs w:val="17"/>
          <w:color w:val="auto"/>
        </w:rPr>
        <w:t>On February 18, 2022, in recognition of Mr. Charles L. Harrington’s (executive chair and former chief executive officer) years of service to the Company and in consideration of Mr. Harrington’s execution of a non-compete agreement with the Company effective upon his retirement on April 14, 2022, the Compensation and Management Development Committee of the board of directors unanimously approved the following:</w:t>
      </w:r>
    </w:p>
    <w:p>
      <w:pPr>
        <w:spacing w:after="0" w:line="85" w:lineRule="exact"/>
        <w:rPr>
          <w:sz w:val="20"/>
          <w:szCs w:val="20"/>
          <w:color w:val="auto"/>
        </w:rPr>
      </w:pPr>
    </w:p>
    <w:p>
      <w:pPr>
        <w:ind w:left="1020" w:hanging="435"/>
        <w:spacing w:after="0"/>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To accelerate 17,398 of Mr. Harrington’s unvested FY20 Restricted Stock Unit (RSU) Grant effective April 14, 2022; and</w:t>
      </w:r>
    </w:p>
    <w:p>
      <w:pPr>
        <w:ind w:left="1020" w:hanging="435"/>
        <w:spacing w:after="0" w:line="238" w:lineRule="auto"/>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For Mr. Harrington to be eligible to receive 60,889 shares at target of his unvested FY20-22 Performance Stock Unit (PSU) Grant, the receipt of, and the actual shares realized of which, are to be determined in March 2023 based upon actual performance metrics achieved by the Company and approved by the Compensation and Management Development Committee of the board of directors.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pacing w:after="0" w:line="11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None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7"/>
          <w:szCs w:val="17"/>
          <w:b w:val="1"/>
          <w:bCs w:val="1"/>
          <w:color w:val="auto"/>
        </w:rPr>
        <w:t>PART III</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16" w:lineRule="exact"/>
        <w:rPr>
          <w:sz w:val="20"/>
          <w:szCs w:val="20"/>
          <w:color w:val="auto"/>
        </w:rPr>
      </w:pPr>
    </w:p>
    <w:p>
      <w:pPr>
        <w:ind w:right="220" w:firstLine="433"/>
        <w:spacing w:after="0" w:line="242" w:lineRule="auto"/>
        <w:rPr>
          <w:sz w:val="20"/>
          <w:szCs w:val="20"/>
          <w:color w:val="auto"/>
        </w:rPr>
      </w:pPr>
      <w:r>
        <w:rPr>
          <w:rFonts w:ascii="Arial" w:cs="Arial" w:eastAsia="Arial" w:hAnsi="Arial"/>
          <w:sz w:val="17"/>
          <w:szCs w:val="17"/>
          <w:color w:val="auto"/>
        </w:rPr>
        <w:t>Information related to our directors will be set forth under the caption “Proposal 1: Election of Directors” of our Proxy Statement for our Annual Meeting of Stockholders in 2022 (the “2022 Proxy Statement”). Such information is incorporated herein by reference.</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Information relating to our Executive Officers is included in Part I of this Annual Report under the caption “Executive Officers.”</w:t>
      </w:r>
    </w:p>
    <w:p>
      <w:pPr>
        <w:spacing w:after="0" w:line="198" w:lineRule="exact"/>
        <w:rPr>
          <w:sz w:val="20"/>
          <w:szCs w:val="20"/>
          <w:color w:val="auto"/>
        </w:rPr>
      </w:pPr>
    </w:p>
    <w:p>
      <w:pPr>
        <w:ind w:right="20" w:firstLine="433"/>
        <w:spacing w:after="0" w:line="242" w:lineRule="auto"/>
        <w:rPr>
          <w:sz w:val="20"/>
          <w:szCs w:val="20"/>
          <w:color w:val="auto"/>
        </w:rPr>
      </w:pPr>
      <w:r>
        <w:rPr>
          <w:rFonts w:ascii="Arial" w:cs="Arial" w:eastAsia="Arial" w:hAnsi="Arial"/>
          <w:sz w:val="17"/>
          <w:szCs w:val="17"/>
          <w:color w:val="auto"/>
        </w:rPr>
        <w:t>Information relating to compliance with Section 16(a) of the Exchange Act will be set forth under the caption “Section 16(a) Beneficial Ownership Reporting Compliance” of our 2022 Proxy Statement. Such information is incorporated herein by reference.</w:t>
      </w:r>
    </w:p>
    <w:p>
      <w:pPr>
        <w:spacing w:after="0" w:line="189" w:lineRule="exact"/>
        <w:rPr>
          <w:sz w:val="20"/>
          <w:szCs w:val="20"/>
          <w:color w:val="auto"/>
        </w:rPr>
      </w:pPr>
    </w:p>
    <w:p>
      <w:pPr>
        <w:ind w:right="400" w:firstLine="433"/>
        <w:spacing w:after="0" w:line="242" w:lineRule="auto"/>
        <w:rPr>
          <w:sz w:val="20"/>
          <w:szCs w:val="20"/>
          <w:color w:val="auto"/>
        </w:rPr>
      </w:pPr>
      <w:r>
        <w:rPr>
          <w:rFonts w:ascii="Arial" w:cs="Arial" w:eastAsia="Arial" w:hAnsi="Arial"/>
          <w:sz w:val="17"/>
          <w:szCs w:val="17"/>
          <w:color w:val="auto"/>
        </w:rPr>
        <w:t>Information related to our code of ethics will be set forth under the caption “Corporate Governance and General Information Concerning the Board of Directors and its Committees” of our 2022 Proxy Statement. Such information is incorporated herein by reference.</w:t>
      </w:r>
    </w:p>
    <w:p>
      <w:pPr>
        <w:spacing w:after="0" w:line="189" w:lineRule="exact"/>
        <w:rPr>
          <w:sz w:val="20"/>
          <w:szCs w:val="20"/>
          <w:color w:val="auto"/>
        </w:rPr>
      </w:pPr>
    </w:p>
    <w:p>
      <w:pPr>
        <w:ind w:right="120" w:firstLine="433"/>
        <w:spacing w:after="0" w:line="237" w:lineRule="auto"/>
        <w:rPr>
          <w:sz w:val="20"/>
          <w:szCs w:val="20"/>
          <w:color w:val="auto"/>
        </w:rPr>
      </w:pPr>
      <w:r>
        <w:rPr>
          <w:rFonts w:ascii="Arial" w:cs="Arial" w:eastAsia="Arial" w:hAnsi="Arial"/>
          <w:sz w:val="17"/>
          <w:szCs w:val="17"/>
          <w:color w:val="auto"/>
        </w:rPr>
        <w:t>Information relating to the Audit Committee and Board of Directors determinations concerning whether a member of the Audit Committee is a “financial expert” as that term is defined under Item 407(d)(5) of Regulation S-K will be set forth under the caption “Corporate Governance and General Information Concerning the Board of Directors and its Committees” of our 2022 Proxy Statement. Such information is incorporated herein by reference.</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218" w:lineRule="exact"/>
        <w:rPr>
          <w:sz w:val="20"/>
          <w:szCs w:val="20"/>
          <w:color w:val="auto"/>
        </w:rPr>
      </w:pPr>
    </w:p>
    <w:p>
      <w:pPr>
        <w:ind w:firstLine="433"/>
        <w:spacing w:after="0" w:line="238" w:lineRule="auto"/>
        <w:rPr>
          <w:sz w:val="20"/>
          <w:szCs w:val="20"/>
          <w:color w:val="auto"/>
        </w:rPr>
      </w:pPr>
      <w:r>
        <w:rPr>
          <w:rFonts w:ascii="Arial" w:cs="Arial" w:eastAsia="Arial" w:hAnsi="Arial"/>
          <w:sz w:val="17"/>
          <w:szCs w:val="17"/>
          <w:color w:val="auto"/>
        </w:rPr>
        <w:t>Information relating to this item will be set forth under the captions “Compensation Discussion and Analysis,” “Director Compensation,” “Compensation Committee Interlocks and Insider Participation” and “Compensation Committee Report on Executive Compensation” of our 2022 Proxy Statement. Such information is incorporated herein by reference.</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319" w:lineRule="exact"/>
        <w:rPr>
          <w:sz w:val="20"/>
          <w:szCs w:val="20"/>
          <w:color w:val="auto"/>
        </w:rPr>
      </w:pPr>
    </w:p>
    <w:p>
      <w:pPr>
        <w:ind w:firstLine="541"/>
        <w:spacing w:after="0" w:line="242" w:lineRule="auto"/>
        <w:rPr>
          <w:sz w:val="20"/>
          <w:szCs w:val="20"/>
          <w:color w:val="auto"/>
        </w:rPr>
      </w:pPr>
      <w:r>
        <w:rPr>
          <w:rFonts w:ascii="Arial" w:cs="Arial" w:eastAsia="Arial" w:hAnsi="Arial"/>
          <w:sz w:val="17"/>
          <w:szCs w:val="17"/>
          <w:color w:val="auto"/>
        </w:rPr>
        <w:t>Information relating to the security ownership of certain beneficial owners and management will be included in our 2022 Proxy Statement under the caption “Security Ownership of Certain Beneficial Owners and Management” and is incorporated herein by reference.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319" w:lineRule="exact"/>
        <w:rPr>
          <w:sz w:val="20"/>
          <w:szCs w:val="20"/>
          <w:color w:val="auto"/>
        </w:rPr>
      </w:pPr>
    </w:p>
    <w:p>
      <w:pPr>
        <w:jc w:val="both"/>
        <w:ind w:right="500" w:firstLine="433"/>
        <w:spacing w:after="0" w:line="238" w:lineRule="auto"/>
        <w:rPr>
          <w:sz w:val="20"/>
          <w:szCs w:val="20"/>
          <w:color w:val="auto"/>
        </w:rPr>
      </w:pPr>
      <w:r>
        <w:rPr>
          <w:rFonts w:ascii="Arial" w:cs="Arial" w:eastAsia="Arial" w:hAnsi="Arial"/>
          <w:sz w:val="17"/>
          <w:szCs w:val="17"/>
          <w:color w:val="auto"/>
        </w:rPr>
        <w:t>Information relating to this item will be set forth under the captions “Certain Relationships and Related Party Transactions” and “Corporate Governance and General Information Concerning the Board of Directors and its Committees” of our 2022 Proxy Statement. Such information is incorporated herein by reference.</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218" w:lineRule="exact"/>
        <w:rPr>
          <w:sz w:val="20"/>
          <w:szCs w:val="20"/>
          <w:color w:val="auto"/>
        </w:rPr>
      </w:pPr>
    </w:p>
    <w:p>
      <w:pPr>
        <w:ind w:right="400" w:firstLine="433"/>
        <w:spacing w:after="0" w:line="242" w:lineRule="auto"/>
        <w:rPr>
          <w:sz w:val="20"/>
          <w:szCs w:val="20"/>
          <w:color w:val="auto"/>
        </w:rPr>
      </w:pPr>
      <w:r>
        <w:rPr>
          <w:rFonts w:ascii="Arial" w:cs="Arial" w:eastAsia="Arial" w:hAnsi="Arial"/>
          <w:sz w:val="17"/>
          <w:szCs w:val="17"/>
          <w:color w:val="auto"/>
        </w:rPr>
        <w:t>Information relating to this item will be set forth under the caption “Independent Registered Public Accounting Firm Fees” of our 2022 Proxy Statement. Such information is incorporated herein by reference.</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sectPr>
      </w:pPr>
    </w:p>
    <w:bookmarkStart w:id="88" w:name="page89"/>
    <w:bookmarkEnd w:id="88"/>
    <w:p>
      <w:pPr>
        <w:jc w:val="center"/>
        <w:ind w:right="-99"/>
        <w:spacing w:after="0"/>
        <w:rPr>
          <w:sz w:val="20"/>
          <w:szCs w:val="20"/>
          <w:color w:val="auto"/>
        </w:rPr>
      </w:pPr>
      <w:r>
        <w:rPr>
          <w:rFonts w:ascii="Arial" w:cs="Arial" w:eastAsia="Arial" w:hAnsi="Arial"/>
          <w:sz w:val="17"/>
          <w:szCs w:val="17"/>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Financial Statement Schedules.</w:t>
      </w:r>
    </w:p>
    <w:p>
      <w:pPr>
        <w:spacing w:after="0" w:line="116" w:lineRule="exact"/>
        <w:rPr>
          <w:sz w:val="20"/>
          <w:szCs w:val="20"/>
          <w:color w:val="auto"/>
        </w:rPr>
      </w:pPr>
    </w:p>
    <w:p>
      <w:pPr>
        <w:ind w:left="1160" w:hanging="575"/>
        <w:spacing w:after="0"/>
        <w:tabs>
          <w:tab w:leader="none" w:pos="11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List the following documents filed as a part of the report:</w:t>
      </w:r>
    </w:p>
    <w:p>
      <w:pPr>
        <w:spacing w:after="0" w:line="96" w:lineRule="exact"/>
        <w:rPr>
          <w:rFonts w:ascii="Arial" w:cs="Arial" w:eastAsia="Arial" w:hAnsi="Arial"/>
          <w:sz w:val="17"/>
          <w:szCs w:val="17"/>
          <w:color w:val="auto"/>
        </w:rPr>
      </w:pPr>
    </w:p>
    <w:p>
      <w:pPr>
        <w:jc w:val="both"/>
        <w:ind w:left="1760" w:right="100" w:hanging="592"/>
        <w:spacing w:after="0" w:line="238" w:lineRule="auto"/>
        <w:tabs>
          <w:tab w:leader="none" w:pos="1760"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Company’s Consolidated Financial Statements at December 31, 2021 and December 31, 2020 and for each of the three years in the period ended December 31, 2021, and the notes thereto, together with the report of the independent auditors on those Consolidated Financial Statements, are hereby filed as part of this report, beginning on page F-1.</w:t>
      </w:r>
    </w:p>
    <w:p>
      <w:pPr>
        <w:spacing w:after="0" w:line="90" w:lineRule="exact"/>
        <w:rPr>
          <w:rFonts w:ascii="Arial" w:cs="Arial" w:eastAsia="Arial" w:hAnsi="Arial"/>
          <w:sz w:val="17"/>
          <w:szCs w:val="17"/>
          <w:color w:val="auto"/>
        </w:rPr>
      </w:pPr>
    </w:p>
    <w:p>
      <w:pPr>
        <w:ind w:left="1760" w:hanging="592"/>
        <w:spacing w:after="0" w:line="242" w:lineRule="auto"/>
        <w:tabs>
          <w:tab w:leader="none" w:pos="1760" w:val="left"/>
        </w:tabs>
        <w:numPr>
          <w:ilvl w:val="1"/>
          <w:numId w:val="51"/>
        </w:numPr>
        <w:rPr>
          <w:rFonts w:ascii="Arial" w:cs="Arial" w:eastAsia="Arial" w:hAnsi="Arial"/>
          <w:sz w:val="17"/>
          <w:szCs w:val="17"/>
          <w:color w:val="auto"/>
        </w:rPr>
      </w:pPr>
      <w:r>
        <w:rPr>
          <w:rFonts w:ascii="Arial" w:cs="Arial" w:eastAsia="Arial" w:hAnsi="Arial"/>
          <w:sz w:val="17"/>
          <w:szCs w:val="17"/>
          <w:color w:val="auto"/>
        </w:rPr>
        <w:t>Valuation &amp; Qualifying Accounts for each of the three years in the period ended December 31, 2021 are hereby filed as part of this report on page F-57.</w:t>
      </w:r>
    </w:p>
    <w:p>
      <w:pPr>
        <w:spacing w:after="0" w:line="87" w:lineRule="exact"/>
        <w:rPr>
          <w:rFonts w:ascii="Arial" w:cs="Arial" w:eastAsia="Arial" w:hAnsi="Arial"/>
          <w:sz w:val="17"/>
          <w:szCs w:val="17"/>
          <w:color w:val="auto"/>
        </w:rPr>
      </w:pPr>
    </w:p>
    <w:p>
      <w:pPr>
        <w:ind w:left="1760" w:hanging="592"/>
        <w:spacing w:after="0"/>
        <w:tabs>
          <w:tab w:leader="none" w:pos="1760" w:val="left"/>
        </w:tabs>
        <w:numPr>
          <w:ilvl w:val="1"/>
          <w:numId w:val="51"/>
        </w:numPr>
        <w:rPr>
          <w:rFonts w:ascii="Arial" w:cs="Arial" w:eastAsia="Arial" w:hAnsi="Arial"/>
          <w:sz w:val="17"/>
          <w:szCs w:val="17"/>
          <w:color w:val="auto"/>
        </w:rPr>
      </w:pPr>
      <w:r>
        <w:rPr>
          <w:rFonts w:ascii="Arial" w:cs="Arial" w:eastAsia="Arial" w:hAnsi="Arial"/>
          <w:sz w:val="17"/>
          <w:szCs w:val="17"/>
          <w:color w:val="auto"/>
        </w:rPr>
        <w:t>See Exhibit Index below.</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11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60"/>
          </w:cols>
          <w:pgMar w:left="320" w:top="321" w:right="41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23"/>
        </w:trPr>
        <w:tc>
          <w:tcPr>
            <w:tcW w:w="12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80" w:type="dxa"/>
            <w:vAlign w:val="bottom"/>
            <w:gridSpan w:val="24"/>
          </w:tcPr>
          <w:p>
            <w:pPr>
              <w:ind w:left="14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129"/>
        </w:trPr>
        <w:tc>
          <w:tcPr>
            <w:tcW w:w="120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10040" w:type="dxa"/>
            <w:vAlign w:val="bottom"/>
            <w:gridSpan w:val="32"/>
          </w:tcPr>
          <w:p>
            <w:pPr>
              <w:ind w:left="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386"/>
        </w:trPr>
        <w:tc>
          <w:tcPr>
            <w:tcW w:w="106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3.1#</w:t>
            </w:r>
          </w:p>
        </w:tc>
        <w:tc>
          <w:tcPr>
            <w:tcW w:w="140" w:type="dxa"/>
            <w:vAlign w:val="bottom"/>
          </w:tcPr>
          <w:p>
            <w:pPr>
              <w:spacing w:after="0"/>
              <w:rPr>
                <w:sz w:val="24"/>
                <w:szCs w:val="24"/>
                <w:color w:val="auto"/>
              </w:rPr>
            </w:pPr>
          </w:p>
        </w:tc>
        <w:tc>
          <w:tcPr>
            <w:tcW w:w="10040" w:type="dxa"/>
            <w:vAlign w:val="bottom"/>
            <w:tcBorders>
              <w:top w:val="single" w:sz="8" w:color="auto"/>
            </w:tcBorders>
            <w:gridSpan w:val="32"/>
          </w:tcPr>
          <w:p>
            <w:pPr>
              <w:spacing w:after="0"/>
              <w:rPr>
                <w:rFonts w:ascii="Arial" w:cs="Arial" w:eastAsia="Arial" w:hAnsi="Arial"/>
                <w:sz w:val="17"/>
                <w:szCs w:val="17"/>
                <w:color w:val="0000EE"/>
              </w:rPr>
            </w:pPr>
            <w:hyperlink r:id="rId111">
              <w:r>
                <w:rPr>
                  <w:rFonts w:ascii="Arial" w:cs="Arial" w:eastAsia="Arial" w:hAnsi="Arial"/>
                  <w:sz w:val="17"/>
                  <w:szCs w:val="17"/>
                  <w:color w:val="0000EE"/>
                </w:rPr>
                <w:t>Amended and Restated Certificate of Incorporation of Parsons Corporation</w:t>
              </w:r>
            </w:hyperlink>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310"/>
        </w:trPr>
        <w:tc>
          <w:tcPr>
            <w:tcW w:w="1060" w:type="dxa"/>
            <w:vAlign w:val="bottom"/>
          </w:tcPr>
          <w:p>
            <w:pPr>
              <w:ind w:left="180"/>
              <w:spacing w:after="0"/>
              <w:rPr>
                <w:sz w:val="20"/>
                <w:szCs w:val="20"/>
                <w:color w:val="auto"/>
              </w:rPr>
            </w:pPr>
            <w:r>
              <w:rPr>
                <w:rFonts w:ascii="Arial" w:cs="Arial" w:eastAsia="Arial" w:hAnsi="Arial"/>
                <w:sz w:val="17"/>
                <w:szCs w:val="17"/>
                <w:color w:val="auto"/>
              </w:rPr>
              <w:t>3.2#</w:t>
            </w:r>
          </w:p>
        </w:tc>
        <w:tc>
          <w:tcPr>
            <w:tcW w:w="140" w:type="dxa"/>
            <w:vAlign w:val="bottom"/>
          </w:tcPr>
          <w:p>
            <w:pPr>
              <w:spacing w:after="0"/>
              <w:rPr>
                <w:sz w:val="24"/>
                <w:szCs w:val="24"/>
                <w:color w:val="auto"/>
              </w:rPr>
            </w:pPr>
          </w:p>
        </w:tc>
        <w:tc>
          <w:tcPr>
            <w:tcW w:w="5580" w:type="dxa"/>
            <w:vAlign w:val="bottom"/>
            <w:tcBorders>
              <w:top w:val="single" w:sz="8" w:color="0000EE"/>
            </w:tcBorders>
            <w:gridSpan w:val="15"/>
          </w:tcPr>
          <w:p>
            <w:pPr>
              <w:spacing w:after="0"/>
              <w:rPr>
                <w:rFonts w:ascii="Arial" w:cs="Arial" w:eastAsia="Arial" w:hAnsi="Arial"/>
                <w:sz w:val="17"/>
                <w:szCs w:val="17"/>
                <w:color w:val="0000EE"/>
              </w:rPr>
            </w:pPr>
            <w:hyperlink r:id="rId112">
              <w:r>
                <w:rPr>
                  <w:rFonts w:ascii="Arial" w:cs="Arial" w:eastAsia="Arial" w:hAnsi="Arial"/>
                  <w:sz w:val="17"/>
                  <w:szCs w:val="17"/>
                  <w:color w:val="0000EE"/>
                </w:rPr>
                <w:t>Amended and Restated Bylaws of Parsons Corporation</w:t>
              </w:r>
            </w:hyperlink>
            <w:r>
              <w:rPr>
                <w:rFonts w:ascii="Arial" w:cs="Arial" w:eastAsia="Arial" w:hAnsi="Arial"/>
                <w:sz w:val="17"/>
                <w:szCs w:val="17"/>
                <w:color w:val="000000"/>
              </w:rPr>
              <w:t>.</w:t>
            </w:r>
          </w:p>
        </w:tc>
        <w:tc>
          <w:tcPr>
            <w:tcW w:w="446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0" w:type="dxa"/>
            <w:vAlign w:val="bottom"/>
          </w:tcPr>
          <w:p>
            <w:pPr>
              <w:ind w:left="180"/>
              <w:spacing w:after="0"/>
              <w:rPr>
                <w:sz w:val="20"/>
                <w:szCs w:val="20"/>
                <w:color w:val="auto"/>
              </w:rPr>
            </w:pPr>
            <w:r>
              <w:rPr>
                <w:rFonts w:ascii="Arial" w:cs="Arial" w:eastAsia="Arial" w:hAnsi="Arial"/>
                <w:sz w:val="17"/>
                <w:szCs w:val="17"/>
                <w:color w:val="auto"/>
              </w:rPr>
              <w:t>4.1#</w:t>
            </w:r>
          </w:p>
        </w:tc>
        <w:tc>
          <w:tcPr>
            <w:tcW w:w="140" w:type="dxa"/>
            <w:vAlign w:val="bottom"/>
          </w:tcPr>
          <w:p>
            <w:pPr>
              <w:spacing w:after="0"/>
              <w:rPr>
                <w:sz w:val="24"/>
                <w:szCs w:val="24"/>
                <w:color w:val="auto"/>
              </w:rPr>
            </w:pPr>
          </w:p>
        </w:tc>
        <w:tc>
          <w:tcPr>
            <w:tcW w:w="4140" w:type="dxa"/>
            <w:vAlign w:val="bottom"/>
            <w:tcBorders>
              <w:top w:val="single" w:sz="8" w:color="0000EE"/>
            </w:tcBorders>
            <w:gridSpan w:val="11"/>
          </w:tcPr>
          <w:p>
            <w:pPr>
              <w:spacing w:after="0"/>
              <w:rPr>
                <w:rFonts w:ascii="Arial" w:cs="Arial" w:eastAsia="Arial" w:hAnsi="Arial"/>
                <w:sz w:val="17"/>
                <w:szCs w:val="17"/>
                <w:color w:val="0000EE"/>
              </w:rPr>
            </w:pPr>
            <w:hyperlink r:id="rId113">
              <w:r>
                <w:rPr>
                  <w:rFonts w:ascii="Arial" w:cs="Arial" w:eastAsia="Arial" w:hAnsi="Arial"/>
                  <w:sz w:val="17"/>
                  <w:szCs w:val="17"/>
                  <w:color w:val="0000EE"/>
                </w:rPr>
                <w:t>Description of Capital Stock of Parsons Corporation.</w:t>
              </w:r>
            </w:hyperlink>
          </w:p>
        </w:tc>
        <w:tc>
          <w:tcPr>
            <w:tcW w:w="590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060" w:type="dxa"/>
            <w:vAlign w:val="bottom"/>
          </w:tcPr>
          <w:p>
            <w:pPr>
              <w:ind w:left="180"/>
              <w:spacing w:after="0"/>
              <w:rPr>
                <w:sz w:val="20"/>
                <w:szCs w:val="20"/>
                <w:color w:val="auto"/>
              </w:rPr>
            </w:pPr>
            <w:r>
              <w:rPr>
                <w:rFonts w:ascii="Arial" w:cs="Arial" w:eastAsia="Arial" w:hAnsi="Arial"/>
                <w:sz w:val="17"/>
                <w:szCs w:val="17"/>
                <w:color w:val="auto"/>
              </w:rPr>
              <w:t>4.2#</w:t>
            </w:r>
          </w:p>
        </w:tc>
        <w:tc>
          <w:tcPr>
            <w:tcW w:w="140" w:type="dxa"/>
            <w:vAlign w:val="bottom"/>
          </w:tcPr>
          <w:p>
            <w:pPr>
              <w:spacing w:after="0"/>
              <w:rPr>
                <w:sz w:val="24"/>
                <w:szCs w:val="24"/>
                <w:color w:val="auto"/>
              </w:rPr>
            </w:pPr>
          </w:p>
        </w:tc>
        <w:tc>
          <w:tcPr>
            <w:tcW w:w="10040" w:type="dxa"/>
            <w:vAlign w:val="bottom"/>
            <w:gridSpan w:val="32"/>
          </w:tcPr>
          <w:p>
            <w:pPr>
              <w:spacing w:after="0"/>
              <w:rPr>
                <w:rFonts w:ascii="Arial" w:cs="Arial" w:eastAsia="Arial" w:hAnsi="Arial"/>
                <w:sz w:val="17"/>
                <w:szCs w:val="17"/>
                <w:color w:val="0000EE"/>
              </w:rPr>
            </w:pPr>
            <w:hyperlink r:id="rId114">
              <w:r>
                <w:rPr>
                  <w:rFonts w:ascii="Arial" w:cs="Arial" w:eastAsia="Arial" w:hAnsi="Arial"/>
                  <w:sz w:val="17"/>
                  <w:szCs w:val="17"/>
                  <w:color w:val="0000EE"/>
                </w:rPr>
                <w:t>Indenture, dated as of August 20, 2020, between Parsons Corporation and U.S. Bank National Association.</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060" w:type="dxa"/>
            <w:vAlign w:val="bottom"/>
          </w:tcPr>
          <w:p>
            <w:pPr>
              <w:ind w:left="100"/>
              <w:spacing w:after="0"/>
              <w:rPr>
                <w:sz w:val="20"/>
                <w:szCs w:val="20"/>
                <w:color w:val="auto"/>
              </w:rPr>
            </w:pPr>
            <w:r>
              <w:rPr>
                <w:rFonts w:ascii="Arial" w:cs="Arial" w:eastAsia="Arial" w:hAnsi="Arial"/>
                <w:sz w:val="17"/>
                <w:szCs w:val="17"/>
                <w:color w:val="auto"/>
              </w:rPr>
              <w:t>10.1#</w:t>
            </w:r>
          </w:p>
        </w:tc>
        <w:tc>
          <w:tcPr>
            <w:tcW w:w="140" w:type="dxa"/>
            <w:vAlign w:val="bottom"/>
          </w:tcPr>
          <w:p>
            <w:pPr>
              <w:spacing w:after="0"/>
              <w:rPr>
                <w:sz w:val="24"/>
                <w:szCs w:val="24"/>
                <w:color w:val="auto"/>
              </w:rPr>
            </w:pPr>
          </w:p>
        </w:tc>
        <w:tc>
          <w:tcPr>
            <w:tcW w:w="9580" w:type="dxa"/>
            <w:vAlign w:val="bottom"/>
            <w:tcBorders>
              <w:bottom w:val="single" w:sz="8" w:color="0000EE"/>
            </w:tcBorders>
            <w:gridSpan w:val="27"/>
          </w:tcPr>
          <w:p>
            <w:pPr>
              <w:spacing w:after="0"/>
              <w:rPr>
                <w:rFonts w:ascii="Arial" w:cs="Arial" w:eastAsia="Arial" w:hAnsi="Arial"/>
                <w:sz w:val="17"/>
                <w:szCs w:val="17"/>
                <w:color w:val="0000EE"/>
                <w:w w:val="99"/>
              </w:rPr>
            </w:pPr>
            <w:hyperlink r:id="rId115">
              <w:r>
                <w:rPr>
                  <w:rFonts w:ascii="Arial" w:cs="Arial" w:eastAsia="Arial" w:hAnsi="Arial"/>
                  <w:sz w:val="17"/>
                  <w:szCs w:val="17"/>
                  <w:color w:val="0000EE"/>
                  <w:w w:val="99"/>
                </w:rPr>
                <w:t>2012 Amendment and Restatement of Parsons Employee Stock Ownership Plan (including all amendments to date), currently in</w:t>
              </w:r>
            </w:hyperlink>
          </w:p>
        </w:tc>
        <w:tc>
          <w:tcPr>
            <w:tcW w:w="4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40" w:type="dxa"/>
            <w:vAlign w:val="bottom"/>
            <w:gridSpan w:val="32"/>
          </w:tcPr>
          <w:p>
            <w:pPr>
              <w:spacing w:after="0" w:line="170" w:lineRule="exact"/>
              <w:rPr>
                <w:rFonts w:ascii="Arial" w:cs="Arial" w:eastAsia="Arial" w:hAnsi="Arial"/>
                <w:sz w:val="17"/>
                <w:szCs w:val="17"/>
                <w:color w:val="0000EE"/>
              </w:rPr>
            </w:pPr>
            <w:hyperlink r:id="rId115">
              <w:r>
                <w:rPr>
                  <w:rFonts w:ascii="Arial" w:cs="Arial" w:eastAsia="Arial" w:hAnsi="Arial"/>
                  <w:sz w:val="17"/>
                  <w:szCs w:val="17"/>
                  <w:color w:val="0000EE"/>
                </w:rPr>
                <w:t>effect</w:t>
              </w:r>
              <w:r>
                <w:rPr>
                  <w:rFonts w:ascii="Arial" w:cs="Arial" w:eastAsia="Arial" w:hAnsi="Arial"/>
                  <w:sz w:val="17"/>
                  <w:szCs w:val="17"/>
                  <w:color w:val="000000"/>
                </w:rPr>
                <w:t>.</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060" w:type="dxa"/>
            <w:vAlign w:val="bottom"/>
          </w:tcPr>
          <w:p>
            <w:pPr>
              <w:ind w:left="100"/>
              <w:spacing w:after="0"/>
              <w:rPr>
                <w:sz w:val="20"/>
                <w:szCs w:val="20"/>
                <w:color w:val="auto"/>
              </w:rPr>
            </w:pPr>
            <w:r>
              <w:rPr>
                <w:rFonts w:ascii="Arial" w:cs="Arial" w:eastAsia="Arial" w:hAnsi="Arial"/>
                <w:sz w:val="17"/>
                <w:szCs w:val="17"/>
                <w:color w:val="auto"/>
              </w:rPr>
              <w:t>10.2#</w:t>
            </w:r>
          </w:p>
        </w:tc>
        <w:tc>
          <w:tcPr>
            <w:tcW w:w="140" w:type="dxa"/>
            <w:vAlign w:val="bottom"/>
          </w:tcPr>
          <w:p>
            <w:pPr>
              <w:spacing w:after="0"/>
              <w:rPr>
                <w:sz w:val="23"/>
                <w:szCs w:val="23"/>
                <w:color w:val="auto"/>
              </w:rPr>
            </w:pPr>
          </w:p>
        </w:tc>
        <w:tc>
          <w:tcPr>
            <w:tcW w:w="10040" w:type="dxa"/>
            <w:vAlign w:val="bottom"/>
            <w:gridSpan w:val="32"/>
          </w:tcPr>
          <w:p>
            <w:pPr>
              <w:spacing w:after="0"/>
              <w:rPr>
                <w:rFonts w:ascii="Arial" w:cs="Arial" w:eastAsia="Arial" w:hAnsi="Arial"/>
                <w:sz w:val="17"/>
                <w:szCs w:val="17"/>
                <w:color w:val="0000EE"/>
              </w:rPr>
            </w:pPr>
            <w:hyperlink r:id="rId116">
              <w:r>
                <w:rPr>
                  <w:rFonts w:ascii="Arial" w:cs="Arial" w:eastAsia="Arial" w:hAnsi="Arial"/>
                  <w:sz w:val="17"/>
                  <w:szCs w:val="17"/>
                  <w:color w:val="0000EE"/>
                </w:rPr>
                <w:t>2019 Amendment and Restatement of Parsons Employee Stock Ownership Plan</w:t>
              </w:r>
            </w:hyperlink>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060" w:type="dxa"/>
            <w:vAlign w:val="bottom"/>
          </w:tcPr>
          <w:p>
            <w:pPr>
              <w:ind w:left="100"/>
              <w:spacing w:after="0"/>
              <w:rPr>
                <w:sz w:val="20"/>
                <w:szCs w:val="20"/>
                <w:color w:val="auto"/>
              </w:rPr>
            </w:pPr>
            <w:r>
              <w:rPr>
                <w:rFonts w:ascii="Arial" w:cs="Arial" w:eastAsia="Arial" w:hAnsi="Arial"/>
                <w:sz w:val="17"/>
                <w:szCs w:val="17"/>
                <w:color w:val="auto"/>
              </w:rPr>
              <w:t>10.3#</w:t>
            </w:r>
          </w:p>
        </w:tc>
        <w:tc>
          <w:tcPr>
            <w:tcW w:w="140" w:type="dxa"/>
            <w:vAlign w:val="bottom"/>
          </w:tcPr>
          <w:p>
            <w:pPr>
              <w:spacing w:after="0"/>
              <w:rPr>
                <w:sz w:val="24"/>
                <w:szCs w:val="24"/>
                <w:color w:val="auto"/>
              </w:rPr>
            </w:pPr>
          </w:p>
        </w:tc>
        <w:tc>
          <w:tcPr>
            <w:tcW w:w="10040" w:type="dxa"/>
            <w:vAlign w:val="bottom"/>
            <w:gridSpan w:val="32"/>
          </w:tcPr>
          <w:p>
            <w:pPr>
              <w:spacing w:after="0"/>
              <w:rPr>
                <w:rFonts w:ascii="Arial" w:cs="Arial" w:eastAsia="Arial" w:hAnsi="Arial"/>
                <w:sz w:val="17"/>
                <w:szCs w:val="17"/>
                <w:color w:val="0000EE"/>
              </w:rPr>
            </w:pPr>
            <w:hyperlink r:id="rId117">
              <w:r>
                <w:rPr>
                  <w:rFonts w:ascii="Arial" w:cs="Arial" w:eastAsia="Arial" w:hAnsi="Arial"/>
                  <w:sz w:val="17"/>
                  <w:szCs w:val="17"/>
                  <w:color w:val="0000EE"/>
                </w:rPr>
                <w:t>First Amendment to the 2019 Amendment and Restatement of Parsons Employee Stock Ownership Plan, effective January 1, 2020</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1060" w:type="dxa"/>
            <w:vAlign w:val="bottom"/>
          </w:tcPr>
          <w:p>
            <w:pPr>
              <w:ind w:left="100"/>
              <w:spacing w:after="0"/>
              <w:rPr>
                <w:sz w:val="20"/>
                <w:szCs w:val="20"/>
                <w:color w:val="auto"/>
              </w:rPr>
            </w:pPr>
            <w:r>
              <w:rPr>
                <w:rFonts w:ascii="Arial" w:cs="Arial" w:eastAsia="Arial" w:hAnsi="Arial"/>
                <w:sz w:val="17"/>
                <w:szCs w:val="17"/>
                <w:color w:val="auto"/>
              </w:rPr>
              <w:t>10.4#</w:t>
            </w:r>
          </w:p>
        </w:tc>
        <w:tc>
          <w:tcPr>
            <w:tcW w:w="140" w:type="dxa"/>
            <w:vAlign w:val="bottom"/>
          </w:tcPr>
          <w:p>
            <w:pPr>
              <w:spacing w:after="0"/>
              <w:rPr>
                <w:sz w:val="24"/>
                <w:szCs w:val="24"/>
                <w:color w:val="auto"/>
              </w:rPr>
            </w:pPr>
          </w:p>
        </w:tc>
        <w:tc>
          <w:tcPr>
            <w:tcW w:w="9820" w:type="dxa"/>
            <w:vAlign w:val="bottom"/>
            <w:tcBorders>
              <w:bottom w:val="single" w:sz="8" w:color="0000EE"/>
            </w:tcBorders>
            <w:gridSpan w:val="29"/>
          </w:tcPr>
          <w:p>
            <w:pPr>
              <w:spacing w:after="0"/>
              <w:rPr>
                <w:rFonts w:ascii="Arial" w:cs="Arial" w:eastAsia="Arial" w:hAnsi="Arial"/>
                <w:sz w:val="17"/>
                <w:szCs w:val="17"/>
                <w:color w:val="0000EE"/>
                <w:w w:val="99"/>
              </w:rPr>
            </w:pPr>
            <w:hyperlink r:id="rId118">
              <w:r>
                <w:rPr>
                  <w:rFonts w:ascii="Arial" w:cs="Arial" w:eastAsia="Arial" w:hAnsi="Arial"/>
                  <w:sz w:val="17"/>
                  <w:szCs w:val="17"/>
                  <w:color w:val="0000EE"/>
                  <w:w w:val="99"/>
                </w:rPr>
                <w:t>Second Amendment to the 2019 Amendment and Restatement of Parsons Employee Stock Ownership Plan, effective May 8, 2019.</w:t>
              </w:r>
            </w:hyperlink>
          </w:p>
        </w:tc>
        <w:tc>
          <w:tcPr>
            <w:tcW w:w="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060" w:type="dxa"/>
            <w:vAlign w:val="bottom"/>
          </w:tcPr>
          <w:p>
            <w:pPr>
              <w:ind w:left="100"/>
              <w:spacing w:after="0"/>
              <w:rPr>
                <w:sz w:val="20"/>
                <w:szCs w:val="20"/>
                <w:color w:val="auto"/>
              </w:rPr>
            </w:pPr>
            <w:r>
              <w:rPr>
                <w:rFonts w:ascii="Arial" w:cs="Arial" w:eastAsia="Arial" w:hAnsi="Arial"/>
                <w:sz w:val="17"/>
                <w:szCs w:val="17"/>
                <w:color w:val="auto"/>
              </w:rPr>
              <w:t>10.5#</w:t>
            </w:r>
          </w:p>
        </w:tc>
        <w:tc>
          <w:tcPr>
            <w:tcW w:w="140" w:type="dxa"/>
            <w:vAlign w:val="bottom"/>
          </w:tcPr>
          <w:p>
            <w:pPr>
              <w:spacing w:after="0"/>
              <w:rPr>
                <w:sz w:val="23"/>
                <w:szCs w:val="23"/>
                <w:color w:val="auto"/>
              </w:rPr>
            </w:pPr>
          </w:p>
        </w:tc>
        <w:tc>
          <w:tcPr>
            <w:tcW w:w="10040" w:type="dxa"/>
            <w:vAlign w:val="bottom"/>
            <w:gridSpan w:val="32"/>
          </w:tcPr>
          <w:p>
            <w:pPr>
              <w:spacing w:after="0"/>
              <w:rPr>
                <w:rFonts w:ascii="Arial" w:cs="Arial" w:eastAsia="Arial" w:hAnsi="Arial"/>
                <w:sz w:val="17"/>
                <w:szCs w:val="17"/>
                <w:color w:val="0000EE"/>
              </w:rPr>
            </w:pPr>
            <w:hyperlink r:id="rId119">
              <w:r>
                <w:rPr>
                  <w:rFonts w:ascii="Arial" w:cs="Arial" w:eastAsia="Arial" w:hAnsi="Arial"/>
                  <w:sz w:val="17"/>
                  <w:szCs w:val="17"/>
                  <w:color w:val="0000EE"/>
                </w:rPr>
                <w:t>Parsons Corporation Employee Stock Ownership Trust Agreement, effective as of December 31, 2005</w:t>
              </w:r>
            </w:hyperlink>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310"/>
        </w:trPr>
        <w:tc>
          <w:tcPr>
            <w:tcW w:w="1060" w:type="dxa"/>
            <w:vAlign w:val="bottom"/>
          </w:tcPr>
          <w:p>
            <w:pPr>
              <w:ind w:left="100"/>
              <w:spacing w:after="0"/>
              <w:rPr>
                <w:sz w:val="20"/>
                <w:szCs w:val="20"/>
                <w:color w:val="auto"/>
              </w:rPr>
            </w:pPr>
            <w:r>
              <w:rPr>
                <w:rFonts w:ascii="Arial" w:cs="Arial" w:eastAsia="Arial" w:hAnsi="Arial"/>
                <w:sz w:val="17"/>
                <w:szCs w:val="17"/>
                <w:color w:val="auto"/>
              </w:rPr>
              <w:t>10.6#+</w:t>
            </w:r>
          </w:p>
        </w:tc>
        <w:tc>
          <w:tcPr>
            <w:tcW w:w="140" w:type="dxa"/>
            <w:vAlign w:val="bottom"/>
          </w:tcPr>
          <w:p>
            <w:pPr>
              <w:spacing w:after="0"/>
              <w:rPr>
                <w:sz w:val="24"/>
                <w:szCs w:val="24"/>
                <w:color w:val="auto"/>
              </w:rPr>
            </w:pPr>
          </w:p>
        </w:tc>
        <w:tc>
          <w:tcPr>
            <w:tcW w:w="7620" w:type="dxa"/>
            <w:vAlign w:val="bottom"/>
            <w:tcBorders>
              <w:top w:val="single" w:sz="8" w:color="0000EE"/>
            </w:tcBorders>
            <w:gridSpan w:val="22"/>
          </w:tcPr>
          <w:p>
            <w:pPr>
              <w:spacing w:after="0"/>
              <w:rPr>
                <w:rFonts w:ascii="Arial" w:cs="Arial" w:eastAsia="Arial" w:hAnsi="Arial"/>
                <w:sz w:val="17"/>
                <w:szCs w:val="17"/>
                <w:color w:val="0000EE"/>
              </w:rPr>
            </w:pPr>
            <w:hyperlink r:id="rId120">
              <w:r>
                <w:rPr>
                  <w:rFonts w:ascii="Arial" w:cs="Arial" w:eastAsia="Arial" w:hAnsi="Arial"/>
                  <w:sz w:val="17"/>
                  <w:szCs w:val="17"/>
                  <w:color w:val="0000EE"/>
                </w:rPr>
                <w:t>Parsons Corporation Restricted Award Plan</w:t>
              </w:r>
            </w:hyperlink>
            <w:r>
              <w:rPr>
                <w:rFonts w:ascii="Arial" w:cs="Arial" w:eastAsia="Arial" w:hAnsi="Arial"/>
                <w:sz w:val="17"/>
                <w:szCs w:val="17"/>
                <w:color w:val="000000"/>
              </w:rPr>
              <w:t>.</w:t>
            </w:r>
          </w:p>
        </w:tc>
        <w:tc>
          <w:tcPr>
            <w:tcW w:w="24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060" w:type="dxa"/>
            <w:vAlign w:val="bottom"/>
          </w:tcPr>
          <w:p>
            <w:pPr>
              <w:ind w:left="100"/>
              <w:spacing w:after="0"/>
              <w:rPr>
                <w:sz w:val="20"/>
                <w:szCs w:val="20"/>
                <w:color w:val="auto"/>
              </w:rPr>
            </w:pPr>
            <w:r>
              <w:rPr>
                <w:rFonts w:ascii="Arial" w:cs="Arial" w:eastAsia="Arial" w:hAnsi="Arial"/>
                <w:sz w:val="17"/>
                <w:szCs w:val="17"/>
                <w:color w:val="auto"/>
              </w:rPr>
              <w:t>10.7#+</w:t>
            </w:r>
          </w:p>
        </w:tc>
        <w:tc>
          <w:tcPr>
            <w:tcW w:w="140" w:type="dxa"/>
            <w:vAlign w:val="bottom"/>
          </w:tcPr>
          <w:p>
            <w:pPr>
              <w:spacing w:after="0"/>
              <w:rPr>
                <w:sz w:val="24"/>
                <w:szCs w:val="24"/>
                <w:color w:val="auto"/>
              </w:rPr>
            </w:pPr>
          </w:p>
        </w:tc>
        <w:tc>
          <w:tcPr>
            <w:tcW w:w="10040" w:type="dxa"/>
            <w:vAlign w:val="bottom"/>
            <w:gridSpan w:val="32"/>
          </w:tcPr>
          <w:p>
            <w:pPr>
              <w:spacing w:after="0"/>
              <w:rPr>
                <w:rFonts w:ascii="Arial" w:cs="Arial" w:eastAsia="Arial" w:hAnsi="Arial"/>
                <w:sz w:val="17"/>
                <w:szCs w:val="17"/>
                <w:color w:val="0000EE"/>
              </w:rPr>
            </w:pPr>
            <w:hyperlink r:id="rId121">
              <w:r>
                <w:rPr>
                  <w:rFonts w:ascii="Arial" w:cs="Arial" w:eastAsia="Arial" w:hAnsi="Arial"/>
                  <w:sz w:val="17"/>
                  <w:szCs w:val="17"/>
                  <w:color w:val="0000EE"/>
                </w:rPr>
                <w:t>Form of Restricted Award Units agreement under the Parsons Corporation Restricted Award Plan</w:t>
              </w:r>
            </w:hyperlink>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310"/>
        </w:trPr>
        <w:tc>
          <w:tcPr>
            <w:tcW w:w="1060" w:type="dxa"/>
            <w:vAlign w:val="bottom"/>
          </w:tcPr>
          <w:p>
            <w:pPr>
              <w:ind w:left="100"/>
              <w:spacing w:after="0"/>
              <w:rPr>
                <w:sz w:val="20"/>
                <w:szCs w:val="20"/>
                <w:color w:val="auto"/>
              </w:rPr>
            </w:pPr>
            <w:r>
              <w:rPr>
                <w:rFonts w:ascii="Arial" w:cs="Arial" w:eastAsia="Arial" w:hAnsi="Arial"/>
                <w:sz w:val="17"/>
                <w:szCs w:val="17"/>
                <w:color w:val="auto"/>
              </w:rPr>
              <w:t>10.8#+</w:t>
            </w:r>
          </w:p>
        </w:tc>
        <w:tc>
          <w:tcPr>
            <w:tcW w:w="140" w:type="dxa"/>
            <w:vAlign w:val="bottom"/>
          </w:tcPr>
          <w:p>
            <w:pPr>
              <w:spacing w:after="0"/>
              <w:rPr>
                <w:sz w:val="24"/>
                <w:szCs w:val="24"/>
                <w:color w:val="auto"/>
              </w:rPr>
            </w:pPr>
          </w:p>
        </w:tc>
        <w:tc>
          <w:tcPr>
            <w:tcW w:w="7260" w:type="dxa"/>
            <w:vAlign w:val="bottom"/>
            <w:tcBorders>
              <w:top w:val="single" w:sz="8" w:color="0000EE"/>
            </w:tcBorders>
            <w:gridSpan w:val="21"/>
          </w:tcPr>
          <w:p>
            <w:pPr>
              <w:spacing w:after="0"/>
              <w:rPr>
                <w:rFonts w:ascii="Arial" w:cs="Arial" w:eastAsia="Arial" w:hAnsi="Arial"/>
                <w:sz w:val="17"/>
                <w:szCs w:val="17"/>
                <w:color w:val="0000EE"/>
              </w:rPr>
            </w:pPr>
            <w:hyperlink r:id="rId122">
              <w:r>
                <w:rPr>
                  <w:rFonts w:ascii="Arial" w:cs="Arial" w:eastAsia="Arial" w:hAnsi="Arial"/>
                  <w:sz w:val="17"/>
                  <w:szCs w:val="17"/>
                  <w:color w:val="0000EE"/>
                </w:rPr>
                <w:t>Parsons Corporation Annual Incentive Plan dated January 1, 2020</w:t>
              </w:r>
            </w:hyperlink>
            <w:r>
              <w:rPr>
                <w:rFonts w:ascii="Arial" w:cs="Arial" w:eastAsia="Arial" w:hAnsi="Arial"/>
                <w:sz w:val="17"/>
                <w:szCs w:val="17"/>
                <w:color w:val="000000"/>
              </w:rPr>
              <w:t>.</w:t>
            </w:r>
          </w:p>
        </w:tc>
        <w:tc>
          <w:tcPr>
            <w:tcW w:w="27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060" w:type="dxa"/>
            <w:vAlign w:val="bottom"/>
          </w:tcPr>
          <w:p>
            <w:pPr>
              <w:ind w:left="100"/>
              <w:spacing w:after="0"/>
              <w:rPr>
                <w:sz w:val="20"/>
                <w:szCs w:val="20"/>
                <w:color w:val="auto"/>
              </w:rPr>
            </w:pPr>
            <w:r>
              <w:rPr>
                <w:rFonts w:ascii="Arial" w:cs="Arial" w:eastAsia="Arial" w:hAnsi="Arial"/>
                <w:sz w:val="17"/>
                <w:szCs w:val="17"/>
                <w:color w:val="auto"/>
              </w:rPr>
              <w:t>10.9#+</w:t>
            </w:r>
          </w:p>
        </w:tc>
        <w:tc>
          <w:tcPr>
            <w:tcW w:w="140" w:type="dxa"/>
            <w:vAlign w:val="bottom"/>
          </w:tcPr>
          <w:p>
            <w:pPr>
              <w:spacing w:after="0"/>
              <w:rPr>
                <w:sz w:val="24"/>
                <w:szCs w:val="24"/>
                <w:color w:val="auto"/>
              </w:rPr>
            </w:pPr>
          </w:p>
        </w:tc>
        <w:tc>
          <w:tcPr>
            <w:tcW w:w="10040" w:type="dxa"/>
            <w:vAlign w:val="bottom"/>
            <w:gridSpan w:val="32"/>
          </w:tcPr>
          <w:p>
            <w:pPr>
              <w:spacing w:after="0"/>
              <w:rPr>
                <w:rFonts w:ascii="Arial" w:cs="Arial" w:eastAsia="Arial" w:hAnsi="Arial"/>
                <w:sz w:val="17"/>
                <w:szCs w:val="17"/>
                <w:color w:val="0000EE"/>
              </w:rPr>
            </w:pPr>
            <w:hyperlink r:id="rId123">
              <w:r>
                <w:rPr>
                  <w:rFonts w:ascii="Arial" w:cs="Arial" w:eastAsia="Arial" w:hAnsi="Arial"/>
                  <w:sz w:val="17"/>
                  <w:szCs w:val="17"/>
                  <w:color w:val="0000EE"/>
                </w:rPr>
                <w:t>Parsons Corporation Annual Incentive Plan Amended as of October 19, 2020.</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060" w:type="dxa"/>
            <w:vAlign w:val="bottom"/>
          </w:tcPr>
          <w:p>
            <w:pPr>
              <w:ind w:left="100"/>
              <w:spacing w:after="0"/>
              <w:rPr>
                <w:sz w:val="20"/>
                <w:szCs w:val="20"/>
                <w:color w:val="auto"/>
              </w:rPr>
            </w:pPr>
            <w:r>
              <w:rPr>
                <w:rFonts w:ascii="Arial" w:cs="Arial" w:eastAsia="Arial" w:hAnsi="Arial"/>
                <w:sz w:val="17"/>
                <w:szCs w:val="17"/>
                <w:color w:val="auto"/>
              </w:rPr>
              <w:t>10.10*+</w:t>
            </w:r>
          </w:p>
        </w:tc>
        <w:tc>
          <w:tcPr>
            <w:tcW w:w="140" w:type="dxa"/>
            <w:vAlign w:val="bottom"/>
          </w:tcPr>
          <w:p>
            <w:pPr>
              <w:spacing w:after="0"/>
              <w:rPr>
                <w:sz w:val="24"/>
                <w:szCs w:val="24"/>
                <w:color w:val="auto"/>
              </w:rPr>
            </w:pPr>
          </w:p>
        </w:tc>
        <w:tc>
          <w:tcPr>
            <w:tcW w:w="6020" w:type="dxa"/>
            <w:vAlign w:val="bottom"/>
            <w:tcBorders>
              <w:bottom w:val="single" w:sz="8" w:color="0000EE"/>
            </w:tcBorders>
            <w:gridSpan w:val="17"/>
          </w:tcPr>
          <w:p>
            <w:pPr>
              <w:spacing w:after="0"/>
              <w:rPr>
                <w:rFonts w:ascii="Arial" w:cs="Arial" w:eastAsia="Arial" w:hAnsi="Arial"/>
                <w:sz w:val="17"/>
                <w:szCs w:val="17"/>
                <w:color w:val="0000EE"/>
                <w:w w:val="99"/>
              </w:rPr>
            </w:pPr>
            <w:hyperlink w:anchor="page151">
              <w:r>
                <w:rPr>
                  <w:rFonts w:ascii="Arial" w:cs="Arial" w:eastAsia="Arial" w:hAnsi="Arial"/>
                  <w:sz w:val="17"/>
                  <w:szCs w:val="17"/>
                  <w:color w:val="0000EE"/>
                  <w:w w:val="99"/>
                </w:rPr>
                <w:t>Parsons Corporation Annual Incentive Plan Amendment dated January 1, 2021.</w:t>
              </w:r>
            </w:hyperlink>
          </w:p>
        </w:tc>
        <w:tc>
          <w:tcPr>
            <w:tcW w:w="40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0" w:type="dxa"/>
            <w:vAlign w:val="bottom"/>
          </w:tcPr>
          <w:p>
            <w:pPr>
              <w:ind w:left="100"/>
              <w:spacing w:after="0"/>
              <w:rPr>
                <w:sz w:val="20"/>
                <w:szCs w:val="20"/>
                <w:color w:val="auto"/>
              </w:rPr>
            </w:pPr>
            <w:r>
              <w:rPr>
                <w:rFonts w:ascii="Arial" w:cs="Arial" w:eastAsia="Arial" w:hAnsi="Arial"/>
                <w:sz w:val="17"/>
                <w:szCs w:val="17"/>
                <w:color w:val="auto"/>
              </w:rPr>
              <w:t>10.11#+</w:t>
            </w:r>
          </w:p>
        </w:tc>
        <w:tc>
          <w:tcPr>
            <w:tcW w:w="140" w:type="dxa"/>
            <w:vAlign w:val="bottom"/>
          </w:tcPr>
          <w:p>
            <w:pPr>
              <w:spacing w:after="0"/>
              <w:rPr>
                <w:sz w:val="24"/>
                <w:szCs w:val="24"/>
                <w:color w:val="auto"/>
              </w:rPr>
            </w:pPr>
          </w:p>
        </w:tc>
        <w:tc>
          <w:tcPr>
            <w:tcW w:w="10040" w:type="dxa"/>
            <w:vAlign w:val="bottom"/>
            <w:gridSpan w:val="32"/>
          </w:tcPr>
          <w:p>
            <w:pPr>
              <w:spacing w:after="0"/>
              <w:rPr>
                <w:rFonts w:ascii="Arial" w:cs="Arial" w:eastAsia="Arial" w:hAnsi="Arial"/>
                <w:sz w:val="17"/>
                <w:szCs w:val="17"/>
                <w:color w:val="0000EE"/>
              </w:rPr>
            </w:pPr>
            <w:hyperlink r:id="rId124">
              <w:r>
                <w:rPr>
                  <w:rFonts w:ascii="Arial" w:cs="Arial" w:eastAsia="Arial" w:hAnsi="Arial"/>
                  <w:sz w:val="17"/>
                  <w:szCs w:val="17"/>
                  <w:color w:val="0000EE"/>
                </w:rPr>
                <w:t>Parsons Corporation Shareholder Value Plan</w:t>
              </w:r>
            </w:hyperlink>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060" w:type="dxa"/>
            <w:vAlign w:val="bottom"/>
          </w:tcPr>
          <w:p>
            <w:pPr>
              <w:ind w:left="100"/>
              <w:spacing w:after="0"/>
              <w:rPr>
                <w:sz w:val="20"/>
                <w:szCs w:val="20"/>
                <w:color w:val="auto"/>
              </w:rPr>
            </w:pPr>
            <w:r>
              <w:rPr>
                <w:rFonts w:ascii="Arial" w:cs="Arial" w:eastAsia="Arial" w:hAnsi="Arial"/>
                <w:sz w:val="17"/>
                <w:szCs w:val="17"/>
                <w:color w:val="auto"/>
              </w:rPr>
              <w:t>10.12#+</w:t>
            </w:r>
          </w:p>
        </w:tc>
        <w:tc>
          <w:tcPr>
            <w:tcW w:w="140" w:type="dxa"/>
            <w:vAlign w:val="bottom"/>
          </w:tcPr>
          <w:p>
            <w:pPr>
              <w:spacing w:after="0"/>
              <w:rPr>
                <w:sz w:val="24"/>
                <w:szCs w:val="24"/>
                <w:color w:val="auto"/>
              </w:rPr>
            </w:pPr>
          </w:p>
        </w:tc>
        <w:tc>
          <w:tcPr>
            <w:tcW w:w="10040" w:type="dxa"/>
            <w:vAlign w:val="bottom"/>
            <w:gridSpan w:val="32"/>
          </w:tcPr>
          <w:p>
            <w:pPr>
              <w:spacing w:after="0"/>
              <w:rPr>
                <w:rFonts w:ascii="Arial" w:cs="Arial" w:eastAsia="Arial" w:hAnsi="Arial"/>
                <w:sz w:val="17"/>
                <w:szCs w:val="17"/>
                <w:color w:val="0000EE"/>
              </w:rPr>
            </w:pPr>
            <w:hyperlink r:id="rId125">
              <w:r>
                <w:rPr>
                  <w:rFonts w:ascii="Arial" w:cs="Arial" w:eastAsia="Arial" w:hAnsi="Arial"/>
                  <w:sz w:val="17"/>
                  <w:szCs w:val="17"/>
                  <w:color w:val="0000EE"/>
                </w:rPr>
                <w:t>Parsons Corporation Long Term Growth Plan</w:t>
              </w:r>
            </w:hyperlink>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060" w:type="dxa"/>
            <w:vAlign w:val="bottom"/>
          </w:tcPr>
          <w:p>
            <w:pPr>
              <w:ind w:left="100"/>
              <w:spacing w:after="0"/>
              <w:rPr>
                <w:sz w:val="20"/>
                <w:szCs w:val="20"/>
                <w:color w:val="auto"/>
              </w:rPr>
            </w:pPr>
            <w:r>
              <w:rPr>
                <w:rFonts w:ascii="Arial" w:cs="Arial" w:eastAsia="Arial" w:hAnsi="Arial"/>
                <w:sz w:val="17"/>
                <w:szCs w:val="17"/>
                <w:color w:val="auto"/>
              </w:rPr>
              <w:t>10.13#+</w:t>
            </w:r>
          </w:p>
        </w:tc>
        <w:tc>
          <w:tcPr>
            <w:tcW w:w="140" w:type="dxa"/>
            <w:vAlign w:val="bottom"/>
          </w:tcPr>
          <w:p>
            <w:pPr>
              <w:spacing w:after="0"/>
              <w:rPr>
                <w:sz w:val="24"/>
                <w:szCs w:val="24"/>
                <w:color w:val="auto"/>
              </w:rPr>
            </w:pPr>
          </w:p>
        </w:tc>
        <w:tc>
          <w:tcPr>
            <w:tcW w:w="10040" w:type="dxa"/>
            <w:vAlign w:val="bottom"/>
            <w:gridSpan w:val="32"/>
          </w:tcPr>
          <w:p>
            <w:pPr>
              <w:spacing w:after="0"/>
              <w:rPr>
                <w:rFonts w:ascii="Arial" w:cs="Arial" w:eastAsia="Arial" w:hAnsi="Arial"/>
                <w:sz w:val="17"/>
                <w:szCs w:val="17"/>
                <w:color w:val="0000EE"/>
              </w:rPr>
            </w:pPr>
            <w:hyperlink r:id="rId126">
              <w:r>
                <w:rPr>
                  <w:rFonts w:ascii="Arial" w:cs="Arial" w:eastAsia="Arial" w:hAnsi="Arial"/>
                  <w:sz w:val="17"/>
                  <w:szCs w:val="17"/>
                  <w:color w:val="0000EE"/>
                </w:rPr>
                <w:t>Parsons Corporation Share Value Retirement Plan</w:t>
              </w:r>
            </w:hyperlink>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310"/>
        </w:trPr>
        <w:tc>
          <w:tcPr>
            <w:tcW w:w="1060" w:type="dxa"/>
            <w:vAlign w:val="bottom"/>
          </w:tcPr>
          <w:p>
            <w:pPr>
              <w:ind w:left="100"/>
              <w:spacing w:after="0"/>
              <w:rPr>
                <w:sz w:val="20"/>
                <w:szCs w:val="20"/>
                <w:color w:val="auto"/>
              </w:rPr>
            </w:pPr>
            <w:r>
              <w:rPr>
                <w:rFonts w:ascii="Arial" w:cs="Arial" w:eastAsia="Arial" w:hAnsi="Arial"/>
                <w:sz w:val="17"/>
                <w:szCs w:val="17"/>
                <w:color w:val="auto"/>
              </w:rPr>
              <w:t>10.14#+</w:t>
            </w:r>
          </w:p>
        </w:tc>
        <w:tc>
          <w:tcPr>
            <w:tcW w:w="140" w:type="dxa"/>
            <w:vAlign w:val="bottom"/>
          </w:tcPr>
          <w:p>
            <w:pPr>
              <w:spacing w:after="0"/>
              <w:rPr>
                <w:sz w:val="24"/>
                <w:szCs w:val="24"/>
                <w:color w:val="auto"/>
              </w:rPr>
            </w:pPr>
          </w:p>
        </w:tc>
        <w:tc>
          <w:tcPr>
            <w:tcW w:w="3760" w:type="dxa"/>
            <w:vAlign w:val="bottom"/>
            <w:tcBorders>
              <w:top w:val="single" w:sz="8" w:color="0000EE"/>
            </w:tcBorders>
            <w:gridSpan w:val="8"/>
          </w:tcPr>
          <w:p>
            <w:pPr>
              <w:spacing w:after="0"/>
              <w:rPr>
                <w:rFonts w:ascii="Arial" w:cs="Arial" w:eastAsia="Arial" w:hAnsi="Arial"/>
                <w:sz w:val="17"/>
                <w:szCs w:val="17"/>
                <w:color w:val="0000EE"/>
              </w:rPr>
            </w:pPr>
            <w:hyperlink r:id="rId127">
              <w:r>
                <w:rPr>
                  <w:rFonts w:ascii="Arial" w:cs="Arial" w:eastAsia="Arial" w:hAnsi="Arial"/>
                  <w:sz w:val="17"/>
                  <w:szCs w:val="17"/>
                  <w:color w:val="0000EE"/>
                </w:rPr>
                <w:t>Parsons Corporation Incentive Award Plan</w:t>
              </w:r>
            </w:hyperlink>
            <w:r>
              <w:rPr>
                <w:rFonts w:ascii="Arial" w:cs="Arial" w:eastAsia="Arial" w:hAnsi="Arial"/>
                <w:sz w:val="17"/>
                <w:szCs w:val="17"/>
                <w:color w:val="000000"/>
              </w:rPr>
              <w:t>.</w:t>
            </w:r>
          </w:p>
        </w:tc>
        <w:tc>
          <w:tcPr>
            <w:tcW w:w="628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060" w:type="dxa"/>
            <w:vAlign w:val="bottom"/>
          </w:tcPr>
          <w:p>
            <w:pPr>
              <w:ind w:left="100"/>
              <w:spacing w:after="0"/>
              <w:rPr>
                <w:sz w:val="20"/>
                <w:szCs w:val="20"/>
                <w:color w:val="auto"/>
              </w:rPr>
            </w:pPr>
            <w:r>
              <w:rPr>
                <w:rFonts w:ascii="Arial" w:cs="Arial" w:eastAsia="Arial" w:hAnsi="Arial"/>
                <w:sz w:val="17"/>
                <w:szCs w:val="17"/>
                <w:color w:val="auto"/>
              </w:rPr>
              <w:t>10.15#+</w:t>
            </w:r>
          </w:p>
        </w:tc>
        <w:tc>
          <w:tcPr>
            <w:tcW w:w="140" w:type="dxa"/>
            <w:vAlign w:val="bottom"/>
          </w:tcPr>
          <w:p>
            <w:pPr>
              <w:spacing w:after="0"/>
              <w:rPr>
                <w:sz w:val="24"/>
                <w:szCs w:val="24"/>
                <w:color w:val="auto"/>
              </w:rPr>
            </w:pPr>
          </w:p>
        </w:tc>
        <w:tc>
          <w:tcPr>
            <w:tcW w:w="10040" w:type="dxa"/>
            <w:vAlign w:val="bottom"/>
            <w:gridSpan w:val="32"/>
          </w:tcPr>
          <w:p>
            <w:pPr>
              <w:spacing w:after="0"/>
              <w:rPr>
                <w:rFonts w:ascii="Arial" w:cs="Arial" w:eastAsia="Arial" w:hAnsi="Arial"/>
                <w:sz w:val="17"/>
                <w:szCs w:val="17"/>
                <w:color w:val="0000EE"/>
              </w:rPr>
            </w:pPr>
            <w:hyperlink r:id="rId128">
              <w:r>
                <w:rPr>
                  <w:rFonts w:ascii="Arial" w:cs="Arial" w:eastAsia="Arial" w:hAnsi="Arial"/>
                  <w:sz w:val="17"/>
                  <w:szCs w:val="17"/>
                  <w:color w:val="0000EE"/>
                </w:rPr>
                <w:t>Form of Restricted Stock Unit Agreement under the Parsons Corporation Incentive Award Plan.</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060" w:type="dxa"/>
            <w:vAlign w:val="bottom"/>
          </w:tcPr>
          <w:p>
            <w:pPr>
              <w:ind w:left="100"/>
              <w:spacing w:after="0"/>
              <w:rPr>
                <w:sz w:val="20"/>
                <w:szCs w:val="20"/>
                <w:color w:val="auto"/>
              </w:rPr>
            </w:pPr>
            <w:r>
              <w:rPr>
                <w:rFonts w:ascii="Arial" w:cs="Arial" w:eastAsia="Arial" w:hAnsi="Arial"/>
                <w:sz w:val="17"/>
                <w:szCs w:val="17"/>
                <w:color w:val="auto"/>
              </w:rPr>
              <w:t>10.16#+</w:t>
            </w:r>
          </w:p>
        </w:tc>
        <w:tc>
          <w:tcPr>
            <w:tcW w:w="140" w:type="dxa"/>
            <w:vAlign w:val="bottom"/>
          </w:tcPr>
          <w:p>
            <w:pPr>
              <w:spacing w:after="0"/>
              <w:rPr>
                <w:sz w:val="24"/>
                <w:szCs w:val="24"/>
                <w:color w:val="auto"/>
              </w:rPr>
            </w:pPr>
          </w:p>
        </w:tc>
        <w:tc>
          <w:tcPr>
            <w:tcW w:w="10040" w:type="dxa"/>
            <w:vAlign w:val="bottom"/>
            <w:gridSpan w:val="32"/>
          </w:tcPr>
          <w:p>
            <w:pPr>
              <w:spacing w:after="0"/>
              <w:rPr>
                <w:rFonts w:ascii="Arial" w:cs="Arial" w:eastAsia="Arial" w:hAnsi="Arial"/>
                <w:sz w:val="17"/>
                <w:szCs w:val="17"/>
                <w:color w:val="0000EE"/>
              </w:rPr>
            </w:pPr>
            <w:hyperlink r:id="rId129">
              <w:r>
                <w:rPr>
                  <w:rFonts w:ascii="Arial" w:cs="Arial" w:eastAsia="Arial" w:hAnsi="Arial"/>
                  <w:sz w:val="17"/>
                  <w:szCs w:val="17"/>
                  <w:color w:val="0000EE"/>
                </w:rPr>
                <w:t>Third Amendment to the 2019 Amendment and Restatement of Parsons Employee Stock Ownership Plan, effective January 1, 2021.</w:t>
              </w:r>
            </w:hyperlink>
          </w:p>
        </w:tc>
        <w:tc>
          <w:tcPr>
            <w:tcW w:w="0" w:type="dxa"/>
            <w:vAlign w:val="bottom"/>
          </w:tcPr>
          <w:p>
            <w:pPr>
              <w:spacing w:after="0"/>
              <w:rPr>
                <w:sz w:val="1"/>
                <w:szCs w:val="1"/>
                <w:color w:val="auto"/>
              </w:rPr>
            </w:pPr>
          </w:p>
        </w:tc>
      </w:tr>
      <w:tr>
        <w:trPr>
          <w:trHeight w:val="436"/>
        </w:trPr>
        <w:tc>
          <w:tcPr>
            <w:tcW w:w="1060" w:type="dxa"/>
            <w:vAlign w:val="bottom"/>
          </w:tcPr>
          <w:p>
            <w:pPr>
              <w:ind w:left="100"/>
              <w:spacing w:after="0"/>
              <w:rPr>
                <w:sz w:val="20"/>
                <w:szCs w:val="20"/>
                <w:color w:val="auto"/>
              </w:rPr>
            </w:pPr>
            <w:r>
              <w:rPr>
                <w:rFonts w:ascii="Arial" w:cs="Arial" w:eastAsia="Arial" w:hAnsi="Arial"/>
                <w:sz w:val="17"/>
                <w:szCs w:val="17"/>
                <w:color w:val="auto"/>
              </w:rPr>
              <w:t>10.17#+</w:t>
            </w:r>
          </w:p>
        </w:tc>
        <w:tc>
          <w:tcPr>
            <w:tcW w:w="140" w:type="dxa"/>
            <w:vAlign w:val="bottom"/>
          </w:tcPr>
          <w:p>
            <w:pPr>
              <w:spacing w:after="0"/>
              <w:rPr>
                <w:sz w:val="24"/>
                <w:szCs w:val="24"/>
                <w:color w:val="auto"/>
              </w:rPr>
            </w:pPr>
          </w:p>
        </w:tc>
        <w:tc>
          <w:tcPr>
            <w:tcW w:w="9800" w:type="dxa"/>
            <w:vAlign w:val="bottom"/>
            <w:tcBorders>
              <w:top w:val="single" w:sz="8" w:color="0000EE"/>
              <w:bottom w:val="single" w:sz="8" w:color="0000EE"/>
            </w:tcBorders>
            <w:gridSpan w:val="28"/>
          </w:tcPr>
          <w:p>
            <w:pPr>
              <w:spacing w:after="0"/>
              <w:rPr>
                <w:rFonts w:ascii="Arial" w:cs="Arial" w:eastAsia="Arial" w:hAnsi="Arial"/>
                <w:sz w:val="17"/>
                <w:szCs w:val="17"/>
                <w:color w:val="0000EE"/>
                <w:w w:val="99"/>
              </w:rPr>
            </w:pPr>
            <w:hyperlink r:id="rId130">
              <w:r>
                <w:rPr>
                  <w:rFonts w:ascii="Arial" w:cs="Arial" w:eastAsia="Arial" w:hAnsi="Arial"/>
                  <w:sz w:val="17"/>
                  <w:szCs w:val="17"/>
                  <w:color w:val="0000EE"/>
                  <w:w w:val="99"/>
                </w:rPr>
                <w:t>Form of Restricted Stock Unit Agreement under the Parsons Corporation Incentive Award Plan (for Non-Employee Director Awards</w:t>
              </w:r>
            </w:hyperlink>
          </w:p>
        </w:tc>
        <w:tc>
          <w:tcPr>
            <w:tcW w:w="100" w:type="dxa"/>
            <w:vAlign w:val="bottom"/>
            <w:tcBorders>
              <w:top w:val="single" w:sz="8" w:color="0000EE"/>
            </w:tcBorders>
            <w:gridSpan w:val="2"/>
          </w:tcPr>
          <w:p>
            <w:pPr>
              <w:spacing w:after="0"/>
              <w:rPr>
                <w:sz w:val="24"/>
                <w:szCs w:val="24"/>
                <w:color w:val="auto"/>
              </w:rPr>
            </w:pPr>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Borders>
              <w:bottom w:val="single" w:sz="8" w:color="0000EE"/>
            </w:tcBorders>
            <w:gridSpan w:val="3"/>
          </w:tcPr>
          <w:p>
            <w:pPr>
              <w:spacing w:after="0" w:line="170" w:lineRule="exact"/>
              <w:rPr>
                <w:rFonts w:ascii="Arial" w:cs="Arial" w:eastAsia="Arial" w:hAnsi="Arial"/>
                <w:sz w:val="17"/>
                <w:szCs w:val="17"/>
                <w:color w:val="0000EE"/>
                <w:w w:val="98"/>
              </w:rPr>
            </w:pPr>
            <w:hyperlink r:id="rId130">
              <w:r>
                <w:rPr>
                  <w:rFonts w:ascii="Arial" w:cs="Arial" w:eastAsia="Arial" w:hAnsi="Arial"/>
                  <w:sz w:val="17"/>
                  <w:szCs w:val="17"/>
                  <w:color w:val="0000EE"/>
                  <w:w w:val="98"/>
                </w:rPr>
                <w:t>commencing in 2020).</w:t>
              </w:r>
            </w:hyperlink>
          </w:p>
        </w:tc>
        <w:tc>
          <w:tcPr>
            <w:tcW w:w="8380" w:type="dxa"/>
            <w:vAlign w:val="bottom"/>
            <w:gridSpan w:val="29"/>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060" w:type="dxa"/>
            <w:vAlign w:val="bottom"/>
          </w:tcPr>
          <w:p>
            <w:pPr>
              <w:ind w:left="100"/>
              <w:spacing w:after="0"/>
              <w:rPr>
                <w:sz w:val="20"/>
                <w:szCs w:val="20"/>
                <w:color w:val="auto"/>
              </w:rPr>
            </w:pPr>
            <w:r>
              <w:rPr>
                <w:rFonts w:ascii="Arial" w:cs="Arial" w:eastAsia="Arial" w:hAnsi="Arial"/>
                <w:sz w:val="17"/>
                <w:szCs w:val="17"/>
                <w:color w:val="auto"/>
              </w:rPr>
              <w:t>10.18#+</w:t>
            </w:r>
          </w:p>
        </w:tc>
        <w:tc>
          <w:tcPr>
            <w:tcW w:w="140" w:type="dxa"/>
            <w:vAlign w:val="bottom"/>
          </w:tcPr>
          <w:p>
            <w:pPr>
              <w:spacing w:after="0"/>
              <w:rPr>
                <w:sz w:val="23"/>
                <w:szCs w:val="23"/>
                <w:color w:val="auto"/>
              </w:rPr>
            </w:pPr>
          </w:p>
        </w:tc>
        <w:tc>
          <w:tcPr>
            <w:tcW w:w="10040" w:type="dxa"/>
            <w:vAlign w:val="bottom"/>
            <w:gridSpan w:val="32"/>
          </w:tcPr>
          <w:p>
            <w:pPr>
              <w:spacing w:after="0"/>
              <w:rPr>
                <w:rFonts w:ascii="Arial" w:cs="Arial" w:eastAsia="Arial" w:hAnsi="Arial"/>
                <w:sz w:val="17"/>
                <w:szCs w:val="17"/>
                <w:color w:val="0000EE"/>
              </w:rPr>
            </w:pPr>
            <w:hyperlink r:id="rId131">
              <w:r>
                <w:rPr>
                  <w:rFonts w:ascii="Arial" w:cs="Arial" w:eastAsia="Arial" w:hAnsi="Arial"/>
                  <w:sz w:val="17"/>
                  <w:szCs w:val="17"/>
                  <w:color w:val="0000EE"/>
                </w:rPr>
                <w:t>Form of Restricted Stock Unit Agreement under the Parsons Corporation Incentive Award Plan (for Non-Employee Director Fee</w:t>
              </w:r>
            </w:hyperlink>
          </w:p>
        </w:tc>
        <w:tc>
          <w:tcPr>
            <w:tcW w:w="0" w:type="dxa"/>
            <w:vAlign w:val="bottom"/>
          </w:tcPr>
          <w:p>
            <w:pPr>
              <w:spacing w:after="0"/>
              <w:rPr>
                <w:sz w:val="1"/>
                <w:szCs w:val="1"/>
                <w:color w:val="auto"/>
              </w:rPr>
            </w:pPr>
          </w:p>
        </w:tc>
      </w:tr>
      <w:tr>
        <w:trPr>
          <w:trHeight w:val="170"/>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500" w:type="dxa"/>
            <w:vAlign w:val="bottom"/>
            <w:tcBorders>
              <w:top w:val="single" w:sz="8" w:color="0000EE"/>
            </w:tcBorders>
            <w:gridSpan w:val="26"/>
          </w:tcPr>
          <w:p>
            <w:pPr>
              <w:spacing w:after="0" w:line="170" w:lineRule="exact"/>
              <w:rPr>
                <w:rFonts w:ascii="Arial" w:cs="Arial" w:eastAsia="Arial" w:hAnsi="Arial"/>
                <w:sz w:val="17"/>
                <w:szCs w:val="17"/>
                <w:color w:val="0000EE"/>
              </w:rPr>
            </w:pPr>
            <w:hyperlink r:id="rId131">
              <w:r>
                <w:rPr>
                  <w:rFonts w:ascii="Arial" w:cs="Arial" w:eastAsia="Arial" w:hAnsi="Arial"/>
                  <w:sz w:val="17"/>
                  <w:szCs w:val="17"/>
                  <w:color w:val="0000EE"/>
                </w:rPr>
                <w:t>Deferral Awards commencing in 2020)</w:t>
              </w:r>
              <w:r>
                <w:rPr>
                  <w:rFonts w:ascii="Arial" w:cs="Arial" w:eastAsia="Arial" w:hAnsi="Arial"/>
                  <w:sz w:val="17"/>
                  <w:szCs w:val="17"/>
                  <w:color w:val="000000"/>
                </w:rPr>
                <w:t>.</w:t>
              </w:r>
            </w:hyperlink>
          </w:p>
        </w:tc>
        <w:tc>
          <w:tcPr>
            <w:tcW w:w="5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60" w:type="dxa"/>
            <w:vAlign w:val="bottom"/>
          </w:tcPr>
          <w:p>
            <w:pPr>
              <w:ind w:left="100"/>
              <w:spacing w:after="0"/>
              <w:rPr>
                <w:sz w:val="20"/>
                <w:szCs w:val="20"/>
                <w:color w:val="auto"/>
              </w:rPr>
            </w:pPr>
            <w:r>
              <w:rPr>
                <w:rFonts w:ascii="Arial" w:cs="Arial" w:eastAsia="Arial" w:hAnsi="Arial"/>
                <w:sz w:val="17"/>
                <w:szCs w:val="17"/>
                <w:color w:val="auto"/>
              </w:rPr>
              <w:t>10.19#+</w:t>
            </w:r>
          </w:p>
        </w:tc>
        <w:tc>
          <w:tcPr>
            <w:tcW w:w="140" w:type="dxa"/>
            <w:vAlign w:val="bottom"/>
          </w:tcPr>
          <w:p>
            <w:pPr>
              <w:spacing w:after="0"/>
              <w:rPr>
                <w:sz w:val="24"/>
                <w:szCs w:val="24"/>
                <w:color w:val="auto"/>
              </w:rPr>
            </w:pPr>
          </w:p>
        </w:tc>
        <w:tc>
          <w:tcPr>
            <w:tcW w:w="10040" w:type="dxa"/>
            <w:vAlign w:val="bottom"/>
            <w:gridSpan w:val="32"/>
          </w:tcPr>
          <w:p>
            <w:pPr>
              <w:spacing w:after="0"/>
              <w:rPr>
                <w:rFonts w:ascii="Arial" w:cs="Arial" w:eastAsia="Arial" w:hAnsi="Arial"/>
                <w:sz w:val="17"/>
                <w:szCs w:val="17"/>
                <w:color w:val="0000EE"/>
                <w:w w:val="99"/>
              </w:rPr>
            </w:pPr>
            <w:hyperlink r:id="rId132">
              <w:r>
                <w:rPr>
                  <w:rFonts w:ascii="Arial" w:cs="Arial" w:eastAsia="Arial" w:hAnsi="Arial"/>
                  <w:sz w:val="17"/>
                  <w:szCs w:val="17"/>
                  <w:color w:val="0000EE"/>
                  <w:w w:val="99"/>
                </w:rPr>
                <w:t>Form of Restricted Stock Unit Agreement under the Parsons Corporation Incentive Award Plan (for Non-Employee Director Awards in</w:t>
              </w:r>
            </w:hyperlink>
          </w:p>
        </w:tc>
        <w:tc>
          <w:tcPr>
            <w:tcW w:w="0" w:type="dxa"/>
            <w:vAlign w:val="bottom"/>
          </w:tcPr>
          <w:p>
            <w:pPr>
              <w:spacing w:after="0"/>
              <w:rPr>
                <w:sz w:val="1"/>
                <w:szCs w:val="1"/>
                <w:color w:val="auto"/>
              </w:rPr>
            </w:pPr>
          </w:p>
        </w:tc>
      </w:tr>
      <w:tr>
        <w:trPr>
          <w:trHeight w:val="170"/>
        </w:trPr>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top w:val="single" w:sz="8" w:color="0000EE"/>
              <w:bottom w:val="single" w:sz="8" w:color="0000EE"/>
            </w:tcBorders>
            <w:gridSpan w:val="2"/>
          </w:tcPr>
          <w:p>
            <w:pPr>
              <w:spacing w:after="0" w:line="170" w:lineRule="exact"/>
              <w:rPr>
                <w:rFonts w:ascii="Arial" w:cs="Arial" w:eastAsia="Arial" w:hAnsi="Arial"/>
                <w:sz w:val="17"/>
                <w:szCs w:val="17"/>
                <w:color w:val="0000EE"/>
                <w:w w:val="95"/>
              </w:rPr>
            </w:pPr>
            <w:hyperlink r:id="rId132">
              <w:r>
                <w:rPr>
                  <w:rFonts w:ascii="Arial" w:cs="Arial" w:eastAsia="Arial" w:hAnsi="Arial"/>
                  <w:sz w:val="17"/>
                  <w:szCs w:val="17"/>
                  <w:color w:val="0000EE"/>
                  <w:w w:val="95"/>
                </w:rPr>
                <w:t>2019).</w:t>
              </w:r>
            </w:hyperlink>
          </w:p>
        </w:tc>
        <w:tc>
          <w:tcPr>
            <w:tcW w:w="1180" w:type="dxa"/>
            <w:vAlign w:val="bottom"/>
            <w:tcBorders>
              <w:top w:val="single" w:sz="8" w:color="0000EE"/>
            </w:tcBorders>
          </w:tcPr>
          <w:p>
            <w:pPr>
              <w:spacing w:after="0"/>
              <w:rPr>
                <w:sz w:val="14"/>
                <w:szCs w:val="14"/>
                <w:color w:val="auto"/>
              </w:rPr>
            </w:pPr>
          </w:p>
        </w:tc>
        <w:tc>
          <w:tcPr>
            <w:tcW w:w="120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6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5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060" w:type="dxa"/>
            <w:vAlign w:val="bottom"/>
          </w:tcPr>
          <w:p>
            <w:pPr>
              <w:ind w:left="100"/>
              <w:spacing w:after="0"/>
              <w:rPr>
                <w:sz w:val="20"/>
                <w:szCs w:val="20"/>
                <w:color w:val="auto"/>
              </w:rPr>
            </w:pPr>
            <w:r>
              <w:rPr>
                <w:rFonts w:ascii="Arial" w:cs="Arial" w:eastAsia="Arial" w:hAnsi="Arial"/>
                <w:sz w:val="17"/>
                <w:szCs w:val="17"/>
                <w:color w:val="auto"/>
              </w:rPr>
              <w:t>10.20#+</w:t>
            </w:r>
          </w:p>
        </w:tc>
        <w:tc>
          <w:tcPr>
            <w:tcW w:w="140" w:type="dxa"/>
            <w:vAlign w:val="bottom"/>
          </w:tcPr>
          <w:p>
            <w:pPr>
              <w:spacing w:after="0"/>
              <w:rPr>
                <w:sz w:val="23"/>
                <w:szCs w:val="23"/>
                <w:color w:val="auto"/>
              </w:rPr>
            </w:pPr>
          </w:p>
        </w:tc>
        <w:tc>
          <w:tcPr>
            <w:tcW w:w="7880" w:type="dxa"/>
            <w:vAlign w:val="bottom"/>
            <w:tcBorders>
              <w:bottom w:val="single" w:sz="8" w:color="0000EE"/>
            </w:tcBorders>
            <w:gridSpan w:val="24"/>
          </w:tcPr>
          <w:p>
            <w:pPr>
              <w:spacing w:after="0"/>
              <w:rPr>
                <w:rFonts w:ascii="Arial" w:cs="Arial" w:eastAsia="Arial" w:hAnsi="Arial"/>
                <w:sz w:val="17"/>
                <w:szCs w:val="17"/>
                <w:color w:val="0000EE"/>
                <w:w w:val="99"/>
              </w:rPr>
            </w:pPr>
            <w:hyperlink r:id="rId133">
              <w:r>
                <w:rPr>
                  <w:rFonts w:ascii="Arial" w:cs="Arial" w:eastAsia="Arial" w:hAnsi="Arial"/>
                  <w:sz w:val="17"/>
                  <w:szCs w:val="17"/>
                  <w:color w:val="0000EE"/>
                  <w:w w:val="99"/>
                </w:rPr>
                <w:t>Parsons Corporation Non-Employee Director Compensation Policy (as amended effective April 21, 2020).</w:t>
              </w:r>
            </w:hyperlink>
          </w:p>
        </w:tc>
        <w:tc>
          <w:tcPr>
            <w:tcW w:w="2160" w:type="dxa"/>
            <w:vAlign w:val="bottom"/>
            <w:gridSpan w:val="8"/>
          </w:tcPr>
          <w:p>
            <w:pPr>
              <w:spacing w:after="0"/>
              <w:rPr>
                <w:sz w:val="23"/>
                <w:szCs w:val="23"/>
                <w:color w:val="auto"/>
              </w:rPr>
            </w:pPr>
          </w:p>
        </w:tc>
        <w:tc>
          <w:tcPr>
            <w:tcW w:w="0" w:type="dxa"/>
            <w:vAlign w:val="bottom"/>
          </w:tcPr>
          <w:p>
            <w:pPr>
              <w:spacing w:after="0"/>
              <w:rPr>
                <w:sz w:val="1"/>
                <w:szCs w:val="1"/>
                <w:color w:val="auto"/>
              </w:rPr>
            </w:pPr>
          </w:p>
        </w:tc>
      </w:tr>
      <w:tr>
        <w:trPr>
          <w:trHeight w:val="322"/>
        </w:trPr>
        <w:tc>
          <w:tcPr>
            <w:tcW w:w="1060" w:type="dxa"/>
            <w:vAlign w:val="bottom"/>
          </w:tcPr>
          <w:p>
            <w:pPr>
              <w:ind w:left="100"/>
              <w:spacing w:after="0"/>
              <w:rPr>
                <w:sz w:val="20"/>
                <w:szCs w:val="20"/>
                <w:color w:val="auto"/>
              </w:rPr>
            </w:pPr>
            <w:r>
              <w:rPr>
                <w:rFonts w:ascii="Arial" w:cs="Arial" w:eastAsia="Arial" w:hAnsi="Arial"/>
                <w:sz w:val="17"/>
                <w:szCs w:val="17"/>
                <w:color w:val="auto"/>
              </w:rPr>
              <w:t>10.21#+</w:t>
            </w:r>
          </w:p>
        </w:tc>
        <w:tc>
          <w:tcPr>
            <w:tcW w:w="140" w:type="dxa"/>
            <w:vAlign w:val="bottom"/>
          </w:tcPr>
          <w:p>
            <w:pPr>
              <w:spacing w:after="0"/>
              <w:rPr>
                <w:sz w:val="24"/>
                <w:szCs w:val="24"/>
                <w:color w:val="auto"/>
              </w:rPr>
            </w:pPr>
          </w:p>
        </w:tc>
        <w:tc>
          <w:tcPr>
            <w:tcW w:w="10040" w:type="dxa"/>
            <w:vAlign w:val="bottom"/>
            <w:gridSpan w:val="32"/>
          </w:tcPr>
          <w:p>
            <w:pPr>
              <w:spacing w:after="0"/>
              <w:rPr>
                <w:rFonts w:ascii="Arial" w:cs="Arial" w:eastAsia="Arial" w:hAnsi="Arial"/>
                <w:sz w:val="17"/>
                <w:szCs w:val="17"/>
                <w:color w:val="0000EE"/>
              </w:rPr>
            </w:pPr>
            <w:hyperlink r:id="rId134">
              <w:r>
                <w:rPr>
                  <w:rFonts w:ascii="Arial" w:cs="Arial" w:eastAsia="Arial" w:hAnsi="Arial"/>
                  <w:sz w:val="17"/>
                  <w:szCs w:val="17"/>
                  <w:color w:val="0000EE"/>
                </w:rPr>
                <w:t>Fee Deferral Plan for Outside Directors of the Parsons Corporation</w:t>
              </w:r>
            </w:hyperlink>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310"/>
        </w:trPr>
        <w:tc>
          <w:tcPr>
            <w:tcW w:w="1060" w:type="dxa"/>
            <w:vAlign w:val="bottom"/>
          </w:tcPr>
          <w:p>
            <w:pPr>
              <w:ind w:left="100"/>
              <w:spacing w:after="0"/>
              <w:rPr>
                <w:sz w:val="20"/>
                <w:szCs w:val="20"/>
                <w:color w:val="auto"/>
              </w:rPr>
            </w:pPr>
            <w:r>
              <w:rPr>
                <w:rFonts w:ascii="Arial" w:cs="Arial" w:eastAsia="Arial" w:hAnsi="Arial"/>
                <w:sz w:val="17"/>
                <w:szCs w:val="17"/>
                <w:color w:val="auto"/>
              </w:rPr>
              <w:t>10.22#+</w:t>
            </w:r>
          </w:p>
        </w:tc>
        <w:tc>
          <w:tcPr>
            <w:tcW w:w="140" w:type="dxa"/>
            <w:vAlign w:val="bottom"/>
          </w:tcPr>
          <w:p>
            <w:pPr>
              <w:spacing w:after="0"/>
              <w:rPr>
                <w:sz w:val="24"/>
                <w:szCs w:val="24"/>
                <w:color w:val="auto"/>
              </w:rPr>
            </w:pPr>
          </w:p>
        </w:tc>
        <w:tc>
          <w:tcPr>
            <w:tcW w:w="4980" w:type="dxa"/>
            <w:vAlign w:val="bottom"/>
            <w:tcBorders>
              <w:top w:val="single" w:sz="8" w:color="0000EE"/>
            </w:tcBorders>
            <w:gridSpan w:val="14"/>
          </w:tcPr>
          <w:p>
            <w:pPr>
              <w:spacing w:after="0"/>
              <w:rPr>
                <w:rFonts w:ascii="Arial" w:cs="Arial" w:eastAsia="Arial" w:hAnsi="Arial"/>
                <w:sz w:val="17"/>
                <w:szCs w:val="17"/>
                <w:color w:val="0000EE"/>
              </w:rPr>
            </w:pPr>
            <w:hyperlink r:id="rId135">
              <w:r>
                <w:rPr>
                  <w:rFonts w:ascii="Arial" w:cs="Arial" w:eastAsia="Arial" w:hAnsi="Arial"/>
                  <w:sz w:val="17"/>
                  <w:szCs w:val="17"/>
                  <w:color w:val="0000EE"/>
                </w:rPr>
                <w:t>Parsons Corporation Employee Stock Purchase Plan.</w:t>
              </w:r>
            </w:hyperlink>
          </w:p>
        </w:tc>
        <w:tc>
          <w:tcPr>
            <w:tcW w:w="50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0" w:type="dxa"/>
            <w:vAlign w:val="bottom"/>
            <w:gridSpan w:val="10"/>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3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060" w:type="dxa"/>
            <w:vAlign w:val="bottom"/>
          </w:tcPr>
          <w:p>
            <w:pPr>
              <w:ind w:left="100"/>
              <w:spacing w:after="0"/>
              <w:rPr>
                <w:sz w:val="20"/>
                <w:szCs w:val="20"/>
                <w:color w:val="auto"/>
              </w:rPr>
            </w:pPr>
            <w:r>
              <w:rPr>
                <w:rFonts w:ascii="Arial" w:cs="Arial" w:eastAsia="Arial" w:hAnsi="Arial"/>
                <w:sz w:val="17"/>
                <w:szCs w:val="17"/>
                <w:color w:val="auto"/>
              </w:rPr>
              <w:t>10.23*+</w:t>
            </w:r>
          </w:p>
        </w:tc>
        <w:tc>
          <w:tcPr>
            <w:tcW w:w="140" w:type="dxa"/>
            <w:vAlign w:val="bottom"/>
          </w:tcPr>
          <w:p>
            <w:pPr>
              <w:spacing w:after="0"/>
              <w:rPr>
                <w:sz w:val="24"/>
                <w:szCs w:val="24"/>
                <w:color w:val="auto"/>
              </w:rPr>
            </w:pPr>
          </w:p>
        </w:tc>
        <w:tc>
          <w:tcPr>
            <w:tcW w:w="7000" w:type="dxa"/>
            <w:vAlign w:val="bottom"/>
            <w:tcBorders>
              <w:bottom w:val="single" w:sz="8" w:color="0000EE"/>
            </w:tcBorders>
            <w:gridSpan w:val="19"/>
          </w:tcPr>
          <w:p>
            <w:pPr>
              <w:spacing w:after="0"/>
              <w:rPr>
                <w:rFonts w:ascii="Arial" w:cs="Arial" w:eastAsia="Arial" w:hAnsi="Arial"/>
                <w:sz w:val="17"/>
                <w:szCs w:val="17"/>
                <w:color w:val="0000EE"/>
                <w:w w:val="99"/>
              </w:rPr>
            </w:pPr>
            <w:hyperlink w:anchor="page162">
              <w:r>
                <w:rPr>
                  <w:rFonts w:ascii="Arial" w:cs="Arial" w:eastAsia="Arial" w:hAnsi="Arial"/>
                  <w:sz w:val="17"/>
                  <w:szCs w:val="17"/>
                  <w:color w:val="0000EE"/>
                  <w:w w:val="99"/>
                </w:rPr>
                <w:t>Parsons Corporation Prospectus to Employee Stock Purchase Plan dated November 1, 2021.</w:t>
              </w:r>
            </w:hyperlink>
          </w:p>
        </w:tc>
        <w:tc>
          <w:tcPr>
            <w:tcW w:w="30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060" w:type="dxa"/>
            <w:vAlign w:val="bottom"/>
          </w:tcPr>
          <w:p>
            <w:pPr>
              <w:ind w:left="100"/>
              <w:spacing w:after="0"/>
              <w:rPr>
                <w:sz w:val="20"/>
                <w:szCs w:val="20"/>
                <w:color w:val="auto"/>
              </w:rPr>
            </w:pPr>
            <w:r>
              <w:rPr>
                <w:rFonts w:ascii="Arial" w:cs="Arial" w:eastAsia="Arial" w:hAnsi="Arial"/>
                <w:sz w:val="17"/>
                <w:szCs w:val="17"/>
                <w:color w:val="auto"/>
              </w:rPr>
              <w:t>10.24*+</w:t>
            </w:r>
          </w:p>
        </w:tc>
        <w:tc>
          <w:tcPr>
            <w:tcW w:w="140" w:type="dxa"/>
            <w:vAlign w:val="bottom"/>
          </w:tcPr>
          <w:p>
            <w:pPr>
              <w:spacing w:after="0"/>
              <w:rPr>
                <w:sz w:val="24"/>
                <w:szCs w:val="24"/>
                <w:color w:val="auto"/>
              </w:rPr>
            </w:pPr>
          </w:p>
        </w:tc>
        <w:tc>
          <w:tcPr>
            <w:tcW w:w="7700" w:type="dxa"/>
            <w:vAlign w:val="bottom"/>
            <w:tcBorders>
              <w:bottom w:val="single" w:sz="8" w:color="0000EE"/>
            </w:tcBorders>
            <w:gridSpan w:val="23"/>
          </w:tcPr>
          <w:p>
            <w:pPr>
              <w:spacing w:after="0"/>
              <w:rPr>
                <w:rFonts w:ascii="Arial" w:cs="Arial" w:eastAsia="Arial" w:hAnsi="Arial"/>
                <w:sz w:val="17"/>
                <w:szCs w:val="17"/>
                <w:color w:val="0000EE"/>
                <w:w w:val="99"/>
              </w:rPr>
            </w:pPr>
            <w:hyperlink w:anchor="page189">
              <w:r>
                <w:rPr>
                  <w:rFonts w:ascii="Arial" w:cs="Arial" w:eastAsia="Arial" w:hAnsi="Arial"/>
                  <w:sz w:val="17"/>
                  <w:szCs w:val="17"/>
                  <w:color w:val="0000EE"/>
                  <w:w w:val="99"/>
                </w:rPr>
                <w:t>Parsons Corporation Employee Stock Purchase Plan Special Offering Period dated November 1, 2021.</w:t>
              </w:r>
            </w:hyperlink>
          </w:p>
        </w:tc>
        <w:tc>
          <w:tcPr>
            <w:tcW w:w="23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060" w:type="dxa"/>
            <w:vAlign w:val="bottom"/>
          </w:tcPr>
          <w:p>
            <w:pPr>
              <w:ind w:left="100"/>
              <w:spacing w:after="0"/>
              <w:rPr>
                <w:sz w:val="20"/>
                <w:szCs w:val="20"/>
                <w:color w:val="auto"/>
              </w:rPr>
            </w:pPr>
            <w:r>
              <w:rPr>
                <w:rFonts w:ascii="Arial" w:cs="Arial" w:eastAsia="Arial" w:hAnsi="Arial"/>
                <w:sz w:val="17"/>
                <w:szCs w:val="17"/>
                <w:color w:val="auto"/>
              </w:rPr>
              <w:t>10.25*+</w:t>
            </w:r>
          </w:p>
        </w:tc>
        <w:tc>
          <w:tcPr>
            <w:tcW w:w="140" w:type="dxa"/>
            <w:vAlign w:val="bottom"/>
          </w:tcPr>
          <w:p>
            <w:pPr>
              <w:spacing w:after="0"/>
              <w:rPr>
                <w:sz w:val="24"/>
                <w:szCs w:val="24"/>
                <w:color w:val="auto"/>
              </w:rPr>
            </w:pPr>
          </w:p>
        </w:tc>
        <w:tc>
          <w:tcPr>
            <w:tcW w:w="6380" w:type="dxa"/>
            <w:vAlign w:val="bottom"/>
            <w:tcBorders>
              <w:bottom w:val="single" w:sz="8" w:color="0000EE"/>
            </w:tcBorders>
            <w:gridSpan w:val="18"/>
          </w:tcPr>
          <w:p>
            <w:pPr>
              <w:spacing w:after="0"/>
              <w:rPr>
                <w:rFonts w:ascii="Arial" w:cs="Arial" w:eastAsia="Arial" w:hAnsi="Arial"/>
                <w:sz w:val="17"/>
                <w:szCs w:val="17"/>
                <w:color w:val="0000EE"/>
                <w:w w:val="98"/>
              </w:rPr>
            </w:pPr>
            <w:hyperlink w:anchor="page191">
              <w:r>
                <w:rPr>
                  <w:rFonts w:ascii="Arial" w:cs="Arial" w:eastAsia="Arial" w:hAnsi="Arial"/>
                  <w:sz w:val="17"/>
                  <w:szCs w:val="17"/>
                  <w:color w:val="0000EE"/>
                  <w:w w:val="98"/>
                </w:rPr>
                <w:t>Parsons Corporation Employee Stock Purchase Plan List of Participating Companies.</w:t>
              </w:r>
            </w:hyperlink>
          </w:p>
        </w:tc>
        <w:tc>
          <w:tcPr>
            <w:tcW w:w="36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0" w:type="dxa"/>
            <w:vAlign w:val="bottom"/>
          </w:tcPr>
          <w:p>
            <w:pPr>
              <w:ind w:left="100"/>
              <w:spacing w:after="0"/>
              <w:rPr>
                <w:sz w:val="20"/>
                <w:szCs w:val="20"/>
                <w:color w:val="auto"/>
              </w:rPr>
            </w:pPr>
            <w:r>
              <w:rPr>
                <w:rFonts w:ascii="Arial" w:cs="Arial" w:eastAsia="Arial" w:hAnsi="Arial"/>
                <w:sz w:val="17"/>
                <w:szCs w:val="17"/>
                <w:color w:val="auto"/>
              </w:rPr>
              <w:t>10.26#+</w:t>
            </w:r>
          </w:p>
        </w:tc>
        <w:tc>
          <w:tcPr>
            <w:tcW w:w="140" w:type="dxa"/>
            <w:vAlign w:val="bottom"/>
          </w:tcPr>
          <w:p>
            <w:pPr>
              <w:spacing w:after="0"/>
              <w:rPr>
                <w:sz w:val="24"/>
                <w:szCs w:val="24"/>
                <w:color w:val="auto"/>
              </w:rPr>
            </w:pPr>
          </w:p>
        </w:tc>
        <w:tc>
          <w:tcPr>
            <w:tcW w:w="10040" w:type="dxa"/>
            <w:vAlign w:val="bottom"/>
            <w:gridSpan w:val="32"/>
          </w:tcPr>
          <w:p>
            <w:pPr>
              <w:spacing w:after="0"/>
              <w:rPr>
                <w:rFonts w:ascii="Arial" w:cs="Arial" w:eastAsia="Arial" w:hAnsi="Arial"/>
                <w:sz w:val="17"/>
                <w:szCs w:val="17"/>
                <w:color w:val="0000EE"/>
              </w:rPr>
            </w:pPr>
            <w:hyperlink r:id="rId136">
              <w:r>
                <w:rPr>
                  <w:rFonts w:ascii="Arial" w:cs="Arial" w:eastAsia="Arial" w:hAnsi="Arial"/>
                  <w:sz w:val="17"/>
                  <w:szCs w:val="17"/>
                  <w:color w:val="0000EE"/>
                </w:rPr>
                <w:t>Supplemental Executive Retirement Plan dated January 1, 1997</w:t>
              </w:r>
            </w:hyperlink>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550"/>
        </w:trPr>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0" w:type="dxa"/>
            <w:vAlign w:val="bottom"/>
            <w:tcBorders>
              <w:top w:val="single" w:sz="8" w:color="0000EE"/>
            </w:tcBorders>
            <w:gridSpan w:val="12"/>
          </w:tcPr>
          <w:p>
            <w:pPr>
              <w:ind w:left="4340"/>
              <w:spacing w:after="0"/>
              <w:rPr>
                <w:sz w:val="20"/>
                <w:szCs w:val="20"/>
                <w:color w:val="auto"/>
              </w:rPr>
            </w:pPr>
            <w:r>
              <w:rPr>
                <w:rFonts w:ascii="Arial" w:cs="Arial" w:eastAsia="Arial" w:hAnsi="Arial"/>
                <w:sz w:val="17"/>
                <w:szCs w:val="17"/>
                <w:color w:val="auto"/>
              </w:rPr>
              <w:t>86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0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8">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95"/>
        </w:trPr>
        <w:tc>
          <w:tcPr>
            <w:tcW w:w="1200" w:type="dxa"/>
            <w:vAlign w:val="bottom"/>
          </w:tcPr>
          <w:p>
            <w:pPr>
              <w:ind w:left="100"/>
              <w:spacing w:after="0"/>
              <w:rPr>
                <w:sz w:val="20"/>
                <w:szCs w:val="20"/>
                <w:color w:val="auto"/>
              </w:rPr>
            </w:pPr>
            <w:r>
              <w:rPr>
                <w:rFonts w:ascii="Arial" w:cs="Arial" w:eastAsia="Arial" w:hAnsi="Arial"/>
                <w:sz w:val="17"/>
                <w:szCs w:val="17"/>
                <w:color w:val="auto"/>
              </w:rPr>
              <w:t>10.27#+</w:t>
            </w:r>
          </w:p>
        </w:tc>
        <w:tc>
          <w:tcPr>
            <w:tcW w:w="10040" w:type="dxa"/>
            <w:vAlign w:val="bottom"/>
            <w:gridSpan w:val="24"/>
          </w:tcPr>
          <w:p>
            <w:pPr>
              <w:spacing w:after="0"/>
              <w:rPr>
                <w:rFonts w:ascii="Arial" w:cs="Arial" w:eastAsia="Arial" w:hAnsi="Arial"/>
                <w:sz w:val="17"/>
                <w:szCs w:val="17"/>
                <w:color w:val="0000EE"/>
              </w:rPr>
            </w:pPr>
            <w:hyperlink r:id="rId139">
              <w:r>
                <w:rPr>
                  <w:rFonts w:ascii="Arial" w:cs="Arial" w:eastAsia="Arial" w:hAnsi="Arial"/>
                  <w:sz w:val="17"/>
                  <w:szCs w:val="17"/>
                  <w:color w:val="0000EE"/>
                </w:rPr>
                <w:t>First Amendment to the SERP effective January 1, 2020</w:t>
              </w:r>
            </w:hyperlink>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200" w:type="dxa"/>
            <w:vAlign w:val="bottom"/>
          </w:tcPr>
          <w:p>
            <w:pPr>
              <w:ind w:left="100"/>
              <w:spacing w:after="0"/>
              <w:rPr>
                <w:sz w:val="20"/>
                <w:szCs w:val="20"/>
                <w:color w:val="auto"/>
              </w:rPr>
            </w:pPr>
            <w:r>
              <w:rPr>
                <w:rFonts w:ascii="Arial" w:cs="Arial" w:eastAsia="Arial" w:hAnsi="Arial"/>
                <w:sz w:val="17"/>
                <w:szCs w:val="17"/>
                <w:color w:val="auto"/>
              </w:rPr>
              <w:t>10.28*+</w:t>
            </w:r>
          </w:p>
        </w:tc>
        <w:tc>
          <w:tcPr>
            <w:tcW w:w="10040" w:type="dxa"/>
            <w:vAlign w:val="bottom"/>
            <w:gridSpan w:val="24"/>
          </w:tcPr>
          <w:p>
            <w:pPr>
              <w:spacing w:after="0"/>
              <w:rPr>
                <w:rFonts w:ascii="Arial" w:cs="Arial" w:eastAsia="Arial" w:hAnsi="Arial"/>
                <w:sz w:val="17"/>
                <w:szCs w:val="17"/>
                <w:color w:val="0000EE"/>
              </w:rPr>
            </w:pPr>
            <w:hyperlink w:anchor="page193">
              <w:r>
                <w:rPr>
                  <w:rFonts w:ascii="Arial" w:cs="Arial" w:eastAsia="Arial" w:hAnsi="Arial"/>
                  <w:sz w:val="17"/>
                  <w:szCs w:val="17"/>
                  <w:color w:val="0000EE"/>
                </w:rPr>
                <w:t>Change in Control Severance Agreement, dated August 6, 2021, by and between Parsons Corporation and Carey Smith</w:t>
              </w:r>
            </w:hyperlink>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79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200" w:type="dxa"/>
            <w:vAlign w:val="bottom"/>
          </w:tcPr>
          <w:p>
            <w:pPr>
              <w:ind w:left="100"/>
              <w:spacing w:after="0"/>
              <w:rPr>
                <w:sz w:val="20"/>
                <w:szCs w:val="20"/>
                <w:color w:val="auto"/>
              </w:rPr>
            </w:pPr>
            <w:r>
              <w:rPr>
                <w:rFonts w:ascii="Arial" w:cs="Arial" w:eastAsia="Arial" w:hAnsi="Arial"/>
                <w:sz w:val="17"/>
                <w:szCs w:val="17"/>
                <w:color w:val="auto"/>
              </w:rPr>
              <w:t>10.29*+</w:t>
            </w:r>
          </w:p>
        </w:tc>
        <w:tc>
          <w:tcPr>
            <w:tcW w:w="9700" w:type="dxa"/>
            <w:vAlign w:val="bottom"/>
            <w:tcBorders>
              <w:bottom w:val="single" w:sz="8" w:color="0000EE"/>
            </w:tcBorders>
            <w:gridSpan w:val="18"/>
          </w:tcPr>
          <w:p>
            <w:pPr>
              <w:spacing w:after="0"/>
              <w:rPr>
                <w:rFonts w:ascii="Arial" w:cs="Arial" w:eastAsia="Arial" w:hAnsi="Arial"/>
                <w:sz w:val="17"/>
                <w:szCs w:val="17"/>
                <w:color w:val="0000EE"/>
                <w:w w:val="99"/>
              </w:rPr>
            </w:pPr>
            <w:hyperlink w:anchor="page208">
              <w:r>
                <w:rPr>
                  <w:rFonts w:ascii="Arial" w:cs="Arial" w:eastAsia="Arial" w:hAnsi="Arial"/>
                  <w:sz w:val="17"/>
                  <w:szCs w:val="17"/>
                  <w:color w:val="0000EE"/>
                  <w:w w:val="99"/>
                </w:rPr>
                <w:t>Change in Control Severance Agreement, dated August 9, 2021, by and between Parsons Corporation and Charles L. Harrington.</w:t>
              </w:r>
            </w:hyperlink>
          </w:p>
        </w:tc>
        <w:tc>
          <w:tcPr>
            <w:tcW w:w="3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200" w:type="dxa"/>
            <w:vAlign w:val="bottom"/>
          </w:tcPr>
          <w:p>
            <w:pPr>
              <w:ind w:left="100"/>
              <w:spacing w:after="0"/>
              <w:rPr>
                <w:sz w:val="20"/>
                <w:szCs w:val="20"/>
                <w:color w:val="auto"/>
              </w:rPr>
            </w:pPr>
            <w:r>
              <w:rPr>
                <w:rFonts w:ascii="Arial" w:cs="Arial" w:eastAsia="Arial" w:hAnsi="Arial"/>
                <w:sz w:val="17"/>
                <w:szCs w:val="17"/>
                <w:color w:val="auto"/>
              </w:rPr>
              <w:t>10.30*+</w:t>
            </w:r>
          </w:p>
        </w:tc>
        <w:tc>
          <w:tcPr>
            <w:tcW w:w="8980" w:type="dxa"/>
            <w:vAlign w:val="bottom"/>
            <w:tcBorders>
              <w:bottom w:val="single" w:sz="8" w:color="0000EE"/>
            </w:tcBorders>
            <w:gridSpan w:val="8"/>
          </w:tcPr>
          <w:p>
            <w:pPr>
              <w:spacing w:after="0"/>
              <w:rPr>
                <w:rFonts w:ascii="Arial" w:cs="Arial" w:eastAsia="Arial" w:hAnsi="Arial"/>
                <w:sz w:val="17"/>
                <w:szCs w:val="17"/>
                <w:color w:val="0000EE"/>
                <w:w w:val="99"/>
              </w:rPr>
            </w:pPr>
            <w:hyperlink w:anchor="page223">
              <w:r>
                <w:rPr>
                  <w:rFonts w:ascii="Arial" w:cs="Arial" w:eastAsia="Arial" w:hAnsi="Arial"/>
                  <w:sz w:val="17"/>
                  <w:szCs w:val="17"/>
                  <w:color w:val="0000EE"/>
                  <w:w w:val="99"/>
                </w:rPr>
                <w:t>Change in Control Severance Agreement, dated August 6, 2021, by and between Parsons Corporation and George Ball</w:t>
              </w:r>
            </w:hyperlink>
          </w:p>
        </w:tc>
        <w:tc>
          <w:tcPr>
            <w:tcW w:w="10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200" w:type="dxa"/>
            <w:vAlign w:val="bottom"/>
          </w:tcPr>
          <w:p>
            <w:pPr>
              <w:ind w:left="100"/>
              <w:spacing w:after="0"/>
              <w:rPr>
                <w:sz w:val="20"/>
                <w:szCs w:val="20"/>
                <w:color w:val="auto"/>
              </w:rPr>
            </w:pPr>
            <w:r>
              <w:rPr>
                <w:rFonts w:ascii="Arial" w:cs="Arial" w:eastAsia="Arial" w:hAnsi="Arial"/>
                <w:sz w:val="17"/>
                <w:szCs w:val="17"/>
                <w:color w:val="auto"/>
              </w:rPr>
              <w:t>10.31*+</w:t>
            </w:r>
          </w:p>
        </w:tc>
        <w:tc>
          <w:tcPr>
            <w:tcW w:w="10040" w:type="dxa"/>
            <w:vAlign w:val="bottom"/>
            <w:gridSpan w:val="24"/>
          </w:tcPr>
          <w:p>
            <w:pPr>
              <w:spacing w:after="0"/>
              <w:rPr>
                <w:rFonts w:ascii="Arial" w:cs="Arial" w:eastAsia="Arial" w:hAnsi="Arial"/>
                <w:sz w:val="17"/>
                <w:szCs w:val="17"/>
                <w:color w:val="0000EE"/>
              </w:rPr>
            </w:pPr>
            <w:hyperlink w:anchor="page238">
              <w:r>
                <w:rPr>
                  <w:rFonts w:ascii="Arial" w:cs="Arial" w:eastAsia="Arial" w:hAnsi="Arial"/>
                  <w:sz w:val="17"/>
                  <w:szCs w:val="17"/>
                  <w:color w:val="0000EE"/>
                </w:rPr>
                <w:t>Change in Control Severance Agreement, dated August 6, 2021, by and between Parsons Corporation and Michael Kolloway</w:t>
              </w:r>
            </w:hyperlink>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322"/>
        </w:trPr>
        <w:tc>
          <w:tcPr>
            <w:tcW w:w="1200" w:type="dxa"/>
            <w:vAlign w:val="bottom"/>
          </w:tcPr>
          <w:p>
            <w:pPr>
              <w:ind w:left="100"/>
              <w:spacing w:after="0"/>
              <w:rPr>
                <w:sz w:val="20"/>
                <w:szCs w:val="20"/>
                <w:color w:val="auto"/>
              </w:rPr>
            </w:pPr>
            <w:r>
              <w:rPr>
                <w:rFonts w:ascii="Arial" w:cs="Arial" w:eastAsia="Arial" w:hAnsi="Arial"/>
                <w:sz w:val="17"/>
                <w:szCs w:val="17"/>
                <w:color w:val="auto"/>
              </w:rPr>
              <w:t>10.32*+</w:t>
            </w:r>
          </w:p>
        </w:tc>
        <w:tc>
          <w:tcPr>
            <w:tcW w:w="9340" w:type="dxa"/>
            <w:vAlign w:val="bottom"/>
            <w:tcBorders>
              <w:top w:val="single" w:sz="8" w:color="0000EE"/>
            </w:tcBorders>
            <w:gridSpan w:val="12"/>
          </w:tcPr>
          <w:p>
            <w:pPr>
              <w:spacing w:after="0"/>
              <w:rPr>
                <w:rFonts w:ascii="Arial" w:cs="Arial" w:eastAsia="Arial" w:hAnsi="Arial"/>
                <w:sz w:val="17"/>
                <w:szCs w:val="17"/>
                <w:color w:val="0000EE"/>
              </w:rPr>
            </w:pPr>
            <w:hyperlink w:anchor="page253">
              <w:r>
                <w:rPr>
                  <w:rFonts w:ascii="Arial" w:cs="Arial" w:eastAsia="Arial" w:hAnsi="Arial"/>
                  <w:sz w:val="17"/>
                  <w:szCs w:val="17"/>
                  <w:color w:val="0000EE"/>
                </w:rPr>
                <w:t>Change in Control Severance Agreement, dated August 6, 2021, by and between Parsons Corporation and David Spille</w:t>
              </w:r>
            </w:hyperlink>
            <w:r>
              <w:rPr>
                <w:rFonts w:ascii="Arial" w:cs="Arial" w:eastAsia="Arial" w:hAnsi="Arial"/>
                <w:sz w:val="17"/>
                <w:szCs w:val="17"/>
                <w:color w:val="000000"/>
              </w:rPr>
              <w:t>.</w:t>
            </w:r>
          </w:p>
        </w:tc>
        <w:tc>
          <w:tcPr>
            <w:tcW w:w="7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798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200" w:type="dxa"/>
            <w:vAlign w:val="bottom"/>
          </w:tcPr>
          <w:p>
            <w:pPr>
              <w:ind w:left="100"/>
              <w:spacing w:after="0"/>
              <w:rPr>
                <w:sz w:val="20"/>
                <w:szCs w:val="20"/>
                <w:color w:val="auto"/>
              </w:rPr>
            </w:pPr>
            <w:r>
              <w:rPr>
                <w:rFonts w:ascii="Arial" w:cs="Arial" w:eastAsia="Arial" w:hAnsi="Arial"/>
                <w:sz w:val="17"/>
                <w:szCs w:val="17"/>
                <w:color w:val="auto"/>
              </w:rPr>
              <w:t>10.33*+</w:t>
            </w:r>
          </w:p>
        </w:tc>
        <w:tc>
          <w:tcPr>
            <w:tcW w:w="10040" w:type="dxa"/>
            <w:vAlign w:val="bottom"/>
            <w:gridSpan w:val="24"/>
          </w:tcPr>
          <w:p>
            <w:pPr>
              <w:spacing w:after="0"/>
              <w:rPr>
                <w:rFonts w:ascii="Arial" w:cs="Arial" w:eastAsia="Arial" w:hAnsi="Arial"/>
                <w:sz w:val="17"/>
                <w:szCs w:val="17"/>
                <w:color w:val="0000EE"/>
              </w:rPr>
            </w:pPr>
            <w:hyperlink w:anchor="page268">
              <w:r>
                <w:rPr>
                  <w:rFonts w:ascii="Arial" w:cs="Arial" w:eastAsia="Arial" w:hAnsi="Arial"/>
                  <w:sz w:val="17"/>
                  <w:szCs w:val="17"/>
                  <w:color w:val="0000EE"/>
                </w:rPr>
                <w:t>Change in Control Severance Agreement, dated October 6, 2021, by and between Parsons Corporation and Matthew Ofilos</w:t>
              </w:r>
            </w:hyperlink>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2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200" w:type="dxa"/>
            <w:vAlign w:val="bottom"/>
          </w:tcPr>
          <w:p>
            <w:pPr>
              <w:ind w:left="100"/>
              <w:spacing w:after="0"/>
              <w:rPr>
                <w:sz w:val="20"/>
                <w:szCs w:val="20"/>
                <w:color w:val="auto"/>
              </w:rPr>
            </w:pPr>
            <w:r>
              <w:rPr>
                <w:rFonts w:ascii="Arial" w:cs="Arial" w:eastAsia="Arial" w:hAnsi="Arial"/>
                <w:sz w:val="17"/>
                <w:szCs w:val="17"/>
                <w:color w:val="auto"/>
              </w:rPr>
              <w:t>10.34#+</w:t>
            </w:r>
          </w:p>
        </w:tc>
        <w:tc>
          <w:tcPr>
            <w:tcW w:w="9740" w:type="dxa"/>
            <w:vAlign w:val="bottom"/>
            <w:tcBorders>
              <w:bottom w:val="single" w:sz="8" w:color="0000EE"/>
            </w:tcBorders>
            <w:gridSpan w:val="19"/>
          </w:tcPr>
          <w:p>
            <w:pPr>
              <w:spacing w:after="0"/>
              <w:rPr>
                <w:rFonts w:ascii="Arial" w:cs="Arial" w:eastAsia="Arial" w:hAnsi="Arial"/>
                <w:sz w:val="17"/>
                <w:szCs w:val="17"/>
                <w:color w:val="0000EE"/>
                <w:w w:val="99"/>
              </w:rPr>
            </w:pPr>
            <w:hyperlink r:id="rId140">
              <w:r>
                <w:rPr>
                  <w:rFonts w:ascii="Arial" w:cs="Arial" w:eastAsia="Arial" w:hAnsi="Arial"/>
                  <w:sz w:val="17"/>
                  <w:szCs w:val="17"/>
                  <w:color w:val="0000EE"/>
                  <w:w w:val="99"/>
                </w:rPr>
                <w:t>Form of Equity Award Amendment Letter Agreement, dated August 10, 2020, by and between Parsons Corporation and George L.</w:t>
              </w:r>
            </w:hyperlink>
          </w:p>
        </w:tc>
        <w:tc>
          <w:tcPr>
            <w:tcW w:w="3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0040" w:type="dxa"/>
            <w:vAlign w:val="bottom"/>
            <w:gridSpan w:val="24"/>
          </w:tcPr>
          <w:p>
            <w:pPr>
              <w:spacing w:after="0" w:line="170" w:lineRule="exact"/>
              <w:rPr>
                <w:rFonts w:ascii="Arial" w:cs="Arial" w:eastAsia="Arial" w:hAnsi="Arial"/>
                <w:sz w:val="17"/>
                <w:szCs w:val="17"/>
                <w:color w:val="0000EE"/>
              </w:rPr>
            </w:pPr>
            <w:hyperlink r:id="rId140">
              <w:r>
                <w:rPr>
                  <w:rFonts w:ascii="Arial" w:cs="Arial" w:eastAsia="Arial" w:hAnsi="Arial"/>
                  <w:sz w:val="17"/>
                  <w:szCs w:val="17"/>
                  <w:color w:val="0000EE"/>
                </w:rPr>
                <w:t>Ball</w:t>
              </w:r>
              <w:r>
                <w:rPr>
                  <w:rFonts w:ascii="Arial" w:cs="Arial" w:eastAsia="Arial" w:hAnsi="Arial"/>
                  <w:sz w:val="17"/>
                  <w:szCs w:val="17"/>
                  <w:u w:val="single" w:color="auto"/>
                  <w:color w:val="000000"/>
                </w:rPr>
                <w:t>.</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200" w:type="dxa"/>
            <w:vAlign w:val="bottom"/>
          </w:tcPr>
          <w:p>
            <w:pPr>
              <w:ind w:left="100"/>
              <w:spacing w:after="0"/>
              <w:rPr>
                <w:sz w:val="20"/>
                <w:szCs w:val="20"/>
                <w:color w:val="auto"/>
              </w:rPr>
            </w:pPr>
            <w:r>
              <w:rPr>
                <w:rFonts w:ascii="Arial" w:cs="Arial" w:eastAsia="Arial" w:hAnsi="Arial"/>
                <w:sz w:val="17"/>
                <w:szCs w:val="17"/>
                <w:color w:val="auto"/>
              </w:rPr>
              <w:t>10.35#+</w:t>
            </w:r>
          </w:p>
        </w:tc>
        <w:tc>
          <w:tcPr>
            <w:tcW w:w="10040" w:type="dxa"/>
            <w:vAlign w:val="bottom"/>
            <w:gridSpan w:val="24"/>
          </w:tcPr>
          <w:p>
            <w:pPr>
              <w:spacing w:after="0"/>
              <w:rPr>
                <w:rFonts w:ascii="Arial" w:cs="Arial" w:eastAsia="Arial" w:hAnsi="Arial"/>
                <w:sz w:val="17"/>
                <w:szCs w:val="17"/>
                <w:color w:val="0000EE"/>
              </w:rPr>
            </w:pPr>
            <w:hyperlink r:id="rId141">
              <w:r>
                <w:rPr>
                  <w:rFonts w:ascii="Arial" w:cs="Arial" w:eastAsia="Arial" w:hAnsi="Arial"/>
                  <w:sz w:val="17"/>
                  <w:szCs w:val="17"/>
                  <w:color w:val="0000EE"/>
                </w:rPr>
                <w:t>Form of Equity Award Amendment Letter Agreement, dated August 10, 2020, by and between Parsons Corporation and Charles L.</w:t>
              </w:r>
            </w:hyperlink>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9740" w:type="dxa"/>
            <w:vAlign w:val="bottom"/>
            <w:tcBorders>
              <w:top w:val="single" w:sz="8" w:color="0000EE"/>
            </w:tcBorders>
            <w:gridSpan w:val="19"/>
          </w:tcPr>
          <w:p>
            <w:pPr>
              <w:spacing w:after="0" w:line="170" w:lineRule="exact"/>
              <w:rPr>
                <w:rFonts w:ascii="Arial" w:cs="Arial" w:eastAsia="Arial" w:hAnsi="Arial"/>
                <w:sz w:val="17"/>
                <w:szCs w:val="17"/>
                <w:color w:val="0000EE"/>
              </w:rPr>
            </w:pPr>
            <w:hyperlink r:id="rId141">
              <w:r>
                <w:rPr>
                  <w:rFonts w:ascii="Arial" w:cs="Arial" w:eastAsia="Arial" w:hAnsi="Arial"/>
                  <w:sz w:val="17"/>
                  <w:szCs w:val="17"/>
                  <w:color w:val="0000EE"/>
                </w:rPr>
                <w:t>Harrington.</w:t>
              </w:r>
            </w:hyperlink>
          </w:p>
        </w:tc>
        <w:tc>
          <w:tcPr>
            <w:tcW w:w="3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8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200" w:type="dxa"/>
            <w:vAlign w:val="bottom"/>
          </w:tcPr>
          <w:p>
            <w:pPr>
              <w:ind w:left="100"/>
              <w:spacing w:after="0"/>
              <w:rPr>
                <w:sz w:val="20"/>
                <w:szCs w:val="20"/>
                <w:color w:val="auto"/>
              </w:rPr>
            </w:pPr>
            <w:r>
              <w:rPr>
                <w:rFonts w:ascii="Arial" w:cs="Arial" w:eastAsia="Arial" w:hAnsi="Arial"/>
                <w:sz w:val="17"/>
                <w:szCs w:val="17"/>
                <w:color w:val="auto"/>
              </w:rPr>
              <w:t>10.36#+</w:t>
            </w:r>
          </w:p>
        </w:tc>
        <w:tc>
          <w:tcPr>
            <w:tcW w:w="9640" w:type="dxa"/>
            <w:vAlign w:val="bottom"/>
            <w:tcBorders>
              <w:bottom w:val="single" w:sz="8" w:color="0000EE"/>
            </w:tcBorders>
            <w:gridSpan w:val="17"/>
          </w:tcPr>
          <w:p>
            <w:pPr>
              <w:spacing w:after="0"/>
              <w:rPr>
                <w:rFonts w:ascii="Arial" w:cs="Arial" w:eastAsia="Arial" w:hAnsi="Arial"/>
                <w:sz w:val="17"/>
                <w:szCs w:val="17"/>
                <w:color w:val="0000EE"/>
                <w:w w:val="99"/>
              </w:rPr>
            </w:pPr>
            <w:hyperlink r:id="rId142">
              <w:r>
                <w:rPr>
                  <w:rFonts w:ascii="Arial" w:cs="Arial" w:eastAsia="Arial" w:hAnsi="Arial"/>
                  <w:sz w:val="17"/>
                  <w:szCs w:val="17"/>
                  <w:color w:val="0000EE"/>
                  <w:w w:val="99"/>
                </w:rPr>
                <w:t>Form of Equity Award Amendment Letter Agreement, dated August 10, 2020, by and between Parsons Corporation and Carey A.</w:t>
              </w:r>
            </w:hyperlink>
          </w:p>
        </w:tc>
        <w:tc>
          <w:tcPr>
            <w:tcW w:w="400" w:type="dxa"/>
            <w:vAlign w:val="bottom"/>
            <w:gridSpan w:val="7"/>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0040" w:type="dxa"/>
            <w:vAlign w:val="bottom"/>
            <w:gridSpan w:val="24"/>
          </w:tcPr>
          <w:p>
            <w:pPr>
              <w:spacing w:after="0" w:line="170" w:lineRule="exact"/>
              <w:rPr>
                <w:rFonts w:ascii="Arial" w:cs="Arial" w:eastAsia="Arial" w:hAnsi="Arial"/>
                <w:sz w:val="17"/>
                <w:szCs w:val="17"/>
                <w:color w:val="0000EE"/>
              </w:rPr>
            </w:pPr>
            <w:hyperlink r:id="rId142">
              <w:r>
                <w:rPr>
                  <w:rFonts w:ascii="Arial" w:cs="Arial" w:eastAsia="Arial" w:hAnsi="Arial"/>
                  <w:sz w:val="17"/>
                  <w:szCs w:val="17"/>
                  <w:color w:val="0000EE"/>
                </w:rPr>
                <w:t>Smith</w:t>
              </w:r>
              <w:r>
                <w:rPr>
                  <w:rFonts w:ascii="Arial" w:cs="Arial" w:eastAsia="Arial" w:hAnsi="Arial"/>
                  <w:sz w:val="17"/>
                  <w:szCs w:val="17"/>
                  <w:color w:val="000000"/>
                </w:rPr>
                <w:t>.</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200" w:type="dxa"/>
            <w:vAlign w:val="bottom"/>
          </w:tcPr>
          <w:p>
            <w:pPr>
              <w:ind w:left="100"/>
              <w:spacing w:after="0"/>
              <w:rPr>
                <w:sz w:val="20"/>
                <w:szCs w:val="20"/>
                <w:color w:val="auto"/>
              </w:rPr>
            </w:pPr>
            <w:r>
              <w:rPr>
                <w:rFonts w:ascii="Arial" w:cs="Arial" w:eastAsia="Arial" w:hAnsi="Arial"/>
                <w:sz w:val="17"/>
                <w:szCs w:val="17"/>
                <w:color w:val="auto"/>
              </w:rPr>
              <w:t>10.37#+</w:t>
            </w:r>
          </w:p>
        </w:tc>
        <w:tc>
          <w:tcPr>
            <w:tcW w:w="9780" w:type="dxa"/>
            <w:vAlign w:val="bottom"/>
            <w:tcBorders>
              <w:bottom w:val="single" w:sz="8" w:color="0000EE"/>
            </w:tcBorders>
            <w:gridSpan w:val="20"/>
          </w:tcPr>
          <w:p>
            <w:pPr>
              <w:spacing w:after="0"/>
              <w:rPr>
                <w:rFonts w:ascii="Arial" w:cs="Arial" w:eastAsia="Arial" w:hAnsi="Arial"/>
                <w:sz w:val="17"/>
                <w:szCs w:val="17"/>
                <w:color w:val="0000EE"/>
                <w:w w:val="99"/>
              </w:rPr>
            </w:pPr>
            <w:hyperlink r:id="rId143">
              <w:r>
                <w:rPr>
                  <w:rFonts w:ascii="Arial" w:cs="Arial" w:eastAsia="Arial" w:hAnsi="Arial"/>
                  <w:sz w:val="17"/>
                  <w:szCs w:val="17"/>
                  <w:color w:val="0000EE"/>
                  <w:w w:val="99"/>
                </w:rPr>
                <w:t>Form of Equity Award Amendment Letter Agreement, dated August 10, 2020, by and between Parsons Corporation and Michael R.</w:t>
              </w:r>
            </w:hyperlink>
          </w:p>
        </w:tc>
        <w:tc>
          <w:tcPr>
            <w:tcW w:w="260" w:type="dxa"/>
            <w:vAlign w:val="bottom"/>
            <w:gridSpan w:val="4"/>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0040" w:type="dxa"/>
            <w:vAlign w:val="bottom"/>
            <w:gridSpan w:val="24"/>
          </w:tcPr>
          <w:p>
            <w:pPr>
              <w:spacing w:after="0" w:line="170" w:lineRule="exact"/>
              <w:rPr>
                <w:rFonts w:ascii="Arial" w:cs="Arial" w:eastAsia="Arial" w:hAnsi="Arial"/>
                <w:sz w:val="17"/>
                <w:szCs w:val="17"/>
                <w:color w:val="0000EE"/>
              </w:rPr>
            </w:pPr>
            <w:hyperlink r:id="rId143">
              <w:r>
                <w:rPr>
                  <w:rFonts w:ascii="Arial" w:cs="Arial" w:eastAsia="Arial" w:hAnsi="Arial"/>
                  <w:sz w:val="17"/>
                  <w:szCs w:val="17"/>
                  <w:color w:val="0000EE"/>
                </w:rPr>
                <w:t>Kolloway.</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200" w:type="dxa"/>
            <w:vAlign w:val="bottom"/>
          </w:tcPr>
          <w:p>
            <w:pPr>
              <w:ind w:left="100"/>
              <w:spacing w:after="0"/>
              <w:rPr>
                <w:sz w:val="20"/>
                <w:szCs w:val="20"/>
                <w:color w:val="auto"/>
              </w:rPr>
            </w:pPr>
            <w:r>
              <w:rPr>
                <w:rFonts w:ascii="Arial" w:cs="Arial" w:eastAsia="Arial" w:hAnsi="Arial"/>
                <w:sz w:val="17"/>
                <w:szCs w:val="17"/>
                <w:color w:val="auto"/>
              </w:rPr>
              <w:t>10.38#+</w:t>
            </w:r>
          </w:p>
        </w:tc>
        <w:tc>
          <w:tcPr>
            <w:tcW w:w="9880" w:type="dxa"/>
            <w:vAlign w:val="bottom"/>
            <w:tcBorders>
              <w:bottom w:val="single" w:sz="8" w:color="0000EE"/>
            </w:tcBorders>
            <w:gridSpan w:val="22"/>
          </w:tcPr>
          <w:p>
            <w:pPr>
              <w:spacing w:after="0"/>
              <w:rPr>
                <w:rFonts w:ascii="Arial" w:cs="Arial" w:eastAsia="Arial" w:hAnsi="Arial"/>
                <w:sz w:val="17"/>
                <w:szCs w:val="17"/>
                <w:color w:val="0000EE"/>
                <w:w w:val="99"/>
              </w:rPr>
            </w:pPr>
            <w:hyperlink r:id="rId144">
              <w:r>
                <w:rPr>
                  <w:rFonts w:ascii="Arial" w:cs="Arial" w:eastAsia="Arial" w:hAnsi="Arial"/>
                  <w:sz w:val="17"/>
                  <w:szCs w:val="17"/>
                  <w:color w:val="0000EE"/>
                  <w:w w:val="99"/>
                </w:rPr>
                <w:t>Form of Equity Award Amendment Letter Agreement, dated August 10, 2020, by and between Parsons Corporation and Debra Fiori.</w:t>
              </w:r>
            </w:hyperlink>
          </w:p>
        </w:tc>
        <w:tc>
          <w:tcPr>
            <w:tcW w:w="16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322"/>
        </w:trPr>
        <w:tc>
          <w:tcPr>
            <w:tcW w:w="1200" w:type="dxa"/>
            <w:vAlign w:val="bottom"/>
          </w:tcPr>
          <w:p>
            <w:pPr>
              <w:ind w:left="100"/>
              <w:spacing w:after="0"/>
              <w:rPr>
                <w:sz w:val="20"/>
                <w:szCs w:val="20"/>
                <w:color w:val="auto"/>
              </w:rPr>
            </w:pPr>
            <w:r>
              <w:rPr>
                <w:rFonts w:ascii="Arial" w:cs="Arial" w:eastAsia="Arial" w:hAnsi="Arial"/>
                <w:sz w:val="17"/>
                <w:szCs w:val="17"/>
                <w:color w:val="auto"/>
              </w:rPr>
              <w:t>10.39*+</w:t>
            </w:r>
          </w:p>
        </w:tc>
        <w:tc>
          <w:tcPr>
            <w:tcW w:w="10040" w:type="dxa"/>
            <w:vAlign w:val="bottom"/>
            <w:gridSpan w:val="24"/>
          </w:tcPr>
          <w:p>
            <w:pPr>
              <w:spacing w:after="0"/>
              <w:rPr>
                <w:rFonts w:ascii="Arial" w:cs="Arial" w:eastAsia="Arial" w:hAnsi="Arial"/>
                <w:sz w:val="17"/>
                <w:szCs w:val="17"/>
                <w:color w:val="0000EE"/>
              </w:rPr>
            </w:pPr>
            <w:hyperlink w:anchor="page283">
              <w:r>
                <w:rPr>
                  <w:rFonts w:ascii="Arial" w:cs="Arial" w:eastAsia="Arial" w:hAnsi="Arial"/>
                  <w:sz w:val="17"/>
                  <w:szCs w:val="17"/>
                  <w:color w:val="0000EE"/>
                </w:rPr>
                <w:t>Form of Performance Stock Unit Award Amendment, dated July 19, 2021, by and between Parsons Corporation and Carey A. Smith</w:t>
              </w:r>
            </w:hyperlink>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322"/>
        </w:trPr>
        <w:tc>
          <w:tcPr>
            <w:tcW w:w="1200" w:type="dxa"/>
            <w:vAlign w:val="bottom"/>
          </w:tcPr>
          <w:p>
            <w:pPr>
              <w:ind w:left="100"/>
              <w:spacing w:after="0"/>
              <w:rPr>
                <w:sz w:val="20"/>
                <w:szCs w:val="20"/>
                <w:color w:val="auto"/>
              </w:rPr>
            </w:pPr>
            <w:r>
              <w:rPr>
                <w:rFonts w:ascii="Arial" w:cs="Arial" w:eastAsia="Arial" w:hAnsi="Arial"/>
                <w:sz w:val="17"/>
                <w:szCs w:val="17"/>
                <w:color w:val="auto"/>
              </w:rPr>
              <w:t>10.40*+</w:t>
            </w:r>
          </w:p>
        </w:tc>
        <w:tc>
          <w:tcPr>
            <w:tcW w:w="9860" w:type="dxa"/>
            <w:vAlign w:val="bottom"/>
            <w:tcBorders>
              <w:top w:val="single" w:sz="8" w:color="0000EE"/>
            </w:tcBorders>
            <w:gridSpan w:val="21"/>
          </w:tcPr>
          <w:p>
            <w:pPr>
              <w:spacing w:after="0"/>
              <w:rPr>
                <w:rFonts w:ascii="Arial" w:cs="Arial" w:eastAsia="Arial" w:hAnsi="Arial"/>
                <w:sz w:val="17"/>
                <w:szCs w:val="17"/>
                <w:color w:val="0000EE"/>
              </w:rPr>
            </w:pPr>
            <w:hyperlink w:anchor="page289">
              <w:r>
                <w:rPr>
                  <w:rFonts w:ascii="Arial" w:cs="Arial" w:eastAsia="Arial" w:hAnsi="Arial"/>
                  <w:sz w:val="17"/>
                  <w:szCs w:val="17"/>
                  <w:color w:val="0000EE"/>
                </w:rPr>
                <w:t>Form of Restricted Stock Unit Award Amendment, dated July 19, 2021, by and between Parsons Corporation and Carey A. Smith</w:t>
              </w:r>
            </w:hyperlink>
            <w:r>
              <w:rPr>
                <w:rFonts w:ascii="Arial" w:cs="Arial" w:eastAsia="Arial" w:hAnsi="Arial"/>
                <w:sz w:val="17"/>
                <w:szCs w:val="17"/>
                <w:color w:val="000000"/>
              </w:rPr>
              <w:t>.</w:t>
            </w:r>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200" w:type="dxa"/>
            <w:vAlign w:val="bottom"/>
            <w:vMerge w:val="restart"/>
          </w:tcPr>
          <w:p>
            <w:pPr>
              <w:ind w:left="100"/>
              <w:spacing w:after="0"/>
              <w:rPr>
                <w:sz w:val="20"/>
                <w:szCs w:val="20"/>
                <w:color w:val="auto"/>
              </w:rPr>
            </w:pPr>
            <w:r>
              <w:rPr>
                <w:rFonts w:ascii="Arial" w:cs="Arial" w:eastAsia="Arial" w:hAnsi="Arial"/>
                <w:sz w:val="17"/>
                <w:szCs w:val="17"/>
                <w:color w:val="auto"/>
              </w:rPr>
              <w:t>10.41*+</w:t>
            </w:r>
          </w:p>
        </w:tc>
        <w:tc>
          <w:tcPr>
            <w:tcW w:w="9640" w:type="dxa"/>
            <w:vAlign w:val="bottom"/>
            <w:tcBorders>
              <w:top w:val="single" w:sz="8" w:color="0000EE"/>
            </w:tcBorders>
            <w:gridSpan w:val="17"/>
          </w:tcPr>
          <w:p>
            <w:pPr>
              <w:spacing w:after="0"/>
              <w:rPr>
                <w:rFonts w:ascii="Arial" w:cs="Arial" w:eastAsia="Arial" w:hAnsi="Arial"/>
                <w:sz w:val="17"/>
                <w:szCs w:val="17"/>
                <w:color w:val="0000EE"/>
              </w:rPr>
            </w:pPr>
            <w:hyperlink w:anchor="page295">
              <w:r>
                <w:rPr>
                  <w:rFonts w:ascii="Arial" w:cs="Arial" w:eastAsia="Arial" w:hAnsi="Arial"/>
                  <w:sz w:val="17"/>
                  <w:szCs w:val="17"/>
                  <w:color w:val="0000EE"/>
                </w:rPr>
                <w:t>Form of Performance Stock Unit Award Amendment, dated July 19, 2021, by and between Parsons Corporation and Charles L.</w:t>
              </w:r>
            </w:hyperlink>
          </w:p>
        </w:tc>
        <w:tc>
          <w:tcPr>
            <w:tcW w:w="4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200" w:type="dxa"/>
            <w:vAlign w:val="bottom"/>
            <w:vMerge w:val="continue"/>
          </w:tcPr>
          <w:p>
            <w:pPr>
              <w:spacing w:after="0"/>
              <w:rPr>
                <w:sz w:val="9"/>
                <w:szCs w:val="9"/>
                <w:color w:val="auto"/>
              </w:rPr>
            </w:pPr>
          </w:p>
        </w:tc>
        <w:tc>
          <w:tcPr>
            <w:tcW w:w="9480" w:type="dxa"/>
            <w:vAlign w:val="bottom"/>
            <w:tcBorders>
              <w:top w:val="single" w:sz="8" w:color="0000EE"/>
            </w:tcBorders>
            <w:gridSpan w:val="14"/>
            <w:vMerge w:val="restart"/>
          </w:tcPr>
          <w:p>
            <w:pPr>
              <w:spacing w:after="0" w:line="170" w:lineRule="exact"/>
              <w:rPr>
                <w:rFonts w:ascii="Arial" w:cs="Arial" w:eastAsia="Arial" w:hAnsi="Arial"/>
                <w:sz w:val="17"/>
                <w:szCs w:val="17"/>
                <w:color w:val="0000EE"/>
              </w:rPr>
            </w:pPr>
            <w:hyperlink w:anchor="page295">
              <w:r>
                <w:rPr>
                  <w:rFonts w:ascii="Arial" w:cs="Arial" w:eastAsia="Arial" w:hAnsi="Arial"/>
                  <w:sz w:val="17"/>
                  <w:szCs w:val="17"/>
                  <w:color w:val="0000EE"/>
                </w:rPr>
                <w:t>Harrington</w:t>
              </w:r>
              <w:r>
                <w:rPr>
                  <w:rFonts w:ascii="Arial" w:cs="Arial" w:eastAsia="Arial" w:hAnsi="Arial"/>
                  <w:sz w:val="17"/>
                  <w:szCs w:val="17"/>
                  <w:color w:val="000000"/>
                </w:rPr>
                <w:t>.</w:t>
              </w:r>
            </w:hyperlink>
          </w:p>
        </w:tc>
        <w:tc>
          <w:tcPr>
            <w:tcW w:w="560" w:type="dxa"/>
            <w:vAlign w:val="bottom"/>
            <w:gridSpan w:val="10"/>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200" w:type="dxa"/>
            <w:vAlign w:val="bottom"/>
          </w:tcPr>
          <w:p>
            <w:pPr>
              <w:spacing w:after="0"/>
              <w:rPr>
                <w:sz w:val="5"/>
                <w:szCs w:val="5"/>
                <w:color w:val="auto"/>
              </w:rPr>
            </w:pPr>
          </w:p>
        </w:tc>
        <w:tc>
          <w:tcPr>
            <w:tcW w:w="9480" w:type="dxa"/>
            <w:vAlign w:val="bottom"/>
            <w:gridSpan w:val="14"/>
            <w:vMerge w:val="continue"/>
          </w:tcPr>
          <w:p>
            <w:pPr>
              <w:spacing w:after="0"/>
              <w:rPr>
                <w:sz w:val="5"/>
                <w:szCs w:val="5"/>
                <w:color w:val="auto"/>
              </w:rPr>
            </w:pPr>
          </w:p>
        </w:tc>
        <w:tc>
          <w:tcPr>
            <w:tcW w:w="56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200" w:type="dxa"/>
            <w:vAlign w:val="bottom"/>
            <w:vMerge w:val="restart"/>
          </w:tcPr>
          <w:p>
            <w:pPr>
              <w:ind w:left="100"/>
              <w:spacing w:after="0"/>
              <w:rPr>
                <w:sz w:val="20"/>
                <w:szCs w:val="20"/>
                <w:color w:val="auto"/>
              </w:rPr>
            </w:pPr>
            <w:r>
              <w:rPr>
                <w:rFonts w:ascii="Arial" w:cs="Arial" w:eastAsia="Arial" w:hAnsi="Arial"/>
                <w:sz w:val="17"/>
                <w:szCs w:val="17"/>
                <w:color w:val="auto"/>
              </w:rPr>
              <w:t>10.42*+</w:t>
            </w:r>
          </w:p>
        </w:tc>
        <w:tc>
          <w:tcPr>
            <w:tcW w:w="9280" w:type="dxa"/>
            <w:vAlign w:val="bottom"/>
            <w:tcBorders>
              <w:bottom w:val="single" w:sz="8" w:color="0000EE"/>
            </w:tcBorders>
            <w:gridSpan w:val="10"/>
          </w:tcPr>
          <w:p>
            <w:pPr>
              <w:spacing w:after="0"/>
              <w:rPr>
                <w:rFonts w:ascii="Arial" w:cs="Arial" w:eastAsia="Arial" w:hAnsi="Arial"/>
                <w:sz w:val="17"/>
                <w:szCs w:val="17"/>
                <w:color w:val="0000EE"/>
                <w:w w:val="99"/>
              </w:rPr>
            </w:pPr>
            <w:hyperlink w:anchor="page299">
              <w:r>
                <w:rPr>
                  <w:rFonts w:ascii="Arial" w:cs="Arial" w:eastAsia="Arial" w:hAnsi="Arial"/>
                  <w:sz w:val="17"/>
                  <w:szCs w:val="17"/>
                  <w:color w:val="0000EE"/>
                  <w:w w:val="99"/>
                </w:rPr>
                <w:t>Form of Restricted Stock Unit Award Amendment, dated July 19, 2021, by and between Parsons Corporation and Charles L.</w:t>
              </w:r>
            </w:hyperlink>
          </w:p>
        </w:tc>
        <w:tc>
          <w:tcPr>
            <w:tcW w:w="7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200" w:type="dxa"/>
            <w:vAlign w:val="bottom"/>
            <w:vMerge w:val="continue"/>
          </w:tcPr>
          <w:p>
            <w:pPr>
              <w:spacing w:after="0"/>
              <w:rPr>
                <w:sz w:val="9"/>
                <w:szCs w:val="9"/>
                <w:color w:val="auto"/>
              </w:rPr>
            </w:pPr>
          </w:p>
        </w:tc>
        <w:tc>
          <w:tcPr>
            <w:tcW w:w="10040" w:type="dxa"/>
            <w:vAlign w:val="bottom"/>
            <w:gridSpan w:val="24"/>
            <w:vMerge w:val="restart"/>
          </w:tcPr>
          <w:p>
            <w:pPr>
              <w:spacing w:after="0" w:line="170" w:lineRule="exact"/>
              <w:rPr>
                <w:rFonts w:ascii="Arial" w:cs="Arial" w:eastAsia="Arial" w:hAnsi="Arial"/>
                <w:sz w:val="17"/>
                <w:szCs w:val="17"/>
                <w:color w:val="0000EE"/>
              </w:rPr>
            </w:pPr>
            <w:hyperlink w:anchor="page299">
              <w:r>
                <w:rPr>
                  <w:rFonts w:ascii="Arial" w:cs="Arial" w:eastAsia="Arial" w:hAnsi="Arial"/>
                  <w:sz w:val="17"/>
                  <w:szCs w:val="17"/>
                  <w:color w:val="0000EE"/>
                </w:rPr>
                <w:t>Harrington</w:t>
              </w:r>
              <w:r>
                <w:rPr>
                  <w:rFonts w:ascii="Arial" w:cs="Arial" w:eastAsia="Arial" w:hAnsi="Arial"/>
                  <w:sz w:val="17"/>
                  <w:szCs w:val="17"/>
                  <w:color w:val="000000"/>
                </w:rPr>
                <w:t>.</w:t>
              </w:r>
            </w:hyperlink>
          </w:p>
        </w:tc>
        <w:tc>
          <w:tcPr>
            <w:tcW w:w="0" w:type="dxa"/>
            <w:vAlign w:val="bottom"/>
          </w:tcPr>
          <w:p>
            <w:pPr>
              <w:spacing w:after="0"/>
              <w:rPr>
                <w:sz w:val="1"/>
                <w:szCs w:val="1"/>
                <w:color w:val="auto"/>
              </w:rPr>
            </w:pPr>
          </w:p>
        </w:tc>
      </w:tr>
      <w:tr>
        <w:trPr>
          <w:trHeight w:val="64"/>
        </w:trPr>
        <w:tc>
          <w:tcPr>
            <w:tcW w:w="1200" w:type="dxa"/>
            <w:vAlign w:val="bottom"/>
          </w:tcPr>
          <w:p>
            <w:pPr>
              <w:spacing w:after="0"/>
              <w:rPr>
                <w:sz w:val="5"/>
                <w:szCs w:val="5"/>
                <w:color w:val="auto"/>
              </w:rPr>
            </w:pPr>
          </w:p>
        </w:tc>
        <w:tc>
          <w:tcPr>
            <w:tcW w:w="10040" w:type="dxa"/>
            <w:vAlign w:val="bottom"/>
            <w:gridSpan w:val="2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3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1200" w:type="dxa"/>
            <w:vAlign w:val="bottom"/>
          </w:tcPr>
          <w:p>
            <w:pPr>
              <w:ind w:left="100"/>
              <w:spacing w:after="0"/>
              <w:rPr>
                <w:sz w:val="20"/>
                <w:szCs w:val="20"/>
                <w:color w:val="auto"/>
              </w:rPr>
            </w:pPr>
            <w:r>
              <w:rPr>
                <w:rFonts w:ascii="Arial" w:cs="Arial" w:eastAsia="Arial" w:hAnsi="Arial"/>
                <w:sz w:val="17"/>
                <w:szCs w:val="17"/>
                <w:color w:val="auto"/>
              </w:rPr>
              <w:t>10.43*+</w:t>
            </w:r>
          </w:p>
        </w:tc>
        <w:tc>
          <w:tcPr>
            <w:tcW w:w="10040" w:type="dxa"/>
            <w:vAlign w:val="bottom"/>
            <w:gridSpan w:val="24"/>
          </w:tcPr>
          <w:p>
            <w:pPr>
              <w:spacing w:after="0"/>
              <w:rPr>
                <w:rFonts w:ascii="Arial" w:cs="Arial" w:eastAsia="Arial" w:hAnsi="Arial"/>
                <w:sz w:val="17"/>
                <w:szCs w:val="17"/>
                <w:color w:val="0000EE"/>
              </w:rPr>
            </w:pPr>
            <w:hyperlink w:anchor="page303">
              <w:r>
                <w:rPr>
                  <w:rFonts w:ascii="Arial" w:cs="Arial" w:eastAsia="Arial" w:hAnsi="Arial"/>
                  <w:sz w:val="17"/>
                  <w:szCs w:val="17"/>
                  <w:color w:val="0000EE"/>
                </w:rPr>
                <w:t>Form of Performance Stock Unit Award Amendment, dated July 19, 2021, by and between Parsons Corporation and George Ball</w:t>
              </w:r>
            </w:hyperlink>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322"/>
        </w:trPr>
        <w:tc>
          <w:tcPr>
            <w:tcW w:w="1200" w:type="dxa"/>
            <w:vAlign w:val="bottom"/>
          </w:tcPr>
          <w:p>
            <w:pPr>
              <w:ind w:left="100"/>
              <w:spacing w:after="0"/>
              <w:rPr>
                <w:sz w:val="20"/>
                <w:szCs w:val="20"/>
                <w:color w:val="auto"/>
              </w:rPr>
            </w:pPr>
            <w:r>
              <w:rPr>
                <w:rFonts w:ascii="Arial" w:cs="Arial" w:eastAsia="Arial" w:hAnsi="Arial"/>
                <w:sz w:val="17"/>
                <w:szCs w:val="17"/>
                <w:color w:val="auto"/>
              </w:rPr>
              <w:t>10.44*+</w:t>
            </w:r>
          </w:p>
        </w:tc>
        <w:tc>
          <w:tcPr>
            <w:tcW w:w="9600" w:type="dxa"/>
            <w:vAlign w:val="bottom"/>
            <w:tcBorders>
              <w:top w:val="single" w:sz="8" w:color="0000EE"/>
            </w:tcBorders>
            <w:gridSpan w:val="16"/>
          </w:tcPr>
          <w:p>
            <w:pPr>
              <w:spacing w:after="0"/>
              <w:rPr>
                <w:rFonts w:ascii="Arial" w:cs="Arial" w:eastAsia="Arial" w:hAnsi="Arial"/>
                <w:sz w:val="17"/>
                <w:szCs w:val="17"/>
                <w:color w:val="0000EE"/>
              </w:rPr>
            </w:pPr>
            <w:hyperlink w:anchor="page307">
              <w:r>
                <w:rPr>
                  <w:rFonts w:ascii="Arial" w:cs="Arial" w:eastAsia="Arial" w:hAnsi="Arial"/>
                  <w:sz w:val="17"/>
                  <w:szCs w:val="17"/>
                  <w:color w:val="0000EE"/>
                </w:rPr>
                <w:t>Form of Restricted Stock Unit Award Amendment, dated July 19, 2021, by and between Parsons Corporation and George Ball</w:t>
              </w:r>
            </w:hyperlink>
            <w:r>
              <w:rPr>
                <w:rFonts w:ascii="Arial" w:cs="Arial" w:eastAsia="Arial" w:hAnsi="Arial"/>
                <w:sz w:val="17"/>
                <w:szCs w:val="17"/>
                <w:color w:val="000000"/>
              </w:rPr>
              <w:t>.</w:t>
            </w:r>
          </w:p>
        </w:tc>
        <w:tc>
          <w:tcPr>
            <w:tcW w:w="4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8340" w:type="dxa"/>
            <w:vAlign w:val="bottom"/>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200" w:type="dxa"/>
            <w:vAlign w:val="bottom"/>
            <w:vMerge w:val="restart"/>
          </w:tcPr>
          <w:p>
            <w:pPr>
              <w:ind w:left="100"/>
              <w:spacing w:after="0"/>
              <w:rPr>
                <w:sz w:val="20"/>
                <w:szCs w:val="20"/>
                <w:color w:val="auto"/>
              </w:rPr>
            </w:pPr>
            <w:r>
              <w:rPr>
                <w:rFonts w:ascii="Arial" w:cs="Arial" w:eastAsia="Arial" w:hAnsi="Arial"/>
                <w:sz w:val="17"/>
                <w:szCs w:val="17"/>
                <w:color w:val="auto"/>
              </w:rPr>
              <w:t>10.45*+</w:t>
            </w:r>
          </w:p>
        </w:tc>
        <w:tc>
          <w:tcPr>
            <w:tcW w:w="9520" w:type="dxa"/>
            <w:vAlign w:val="bottom"/>
            <w:tcBorders>
              <w:bottom w:val="single" w:sz="8" w:color="0000EE"/>
            </w:tcBorders>
            <w:gridSpan w:val="15"/>
          </w:tcPr>
          <w:p>
            <w:pPr>
              <w:spacing w:after="0"/>
              <w:rPr>
                <w:rFonts w:ascii="Arial" w:cs="Arial" w:eastAsia="Arial" w:hAnsi="Arial"/>
                <w:sz w:val="17"/>
                <w:szCs w:val="17"/>
                <w:color w:val="0000EE"/>
                <w:w w:val="99"/>
              </w:rPr>
            </w:pPr>
            <w:hyperlink w:anchor="page311">
              <w:r>
                <w:rPr>
                  <w:rFonts w:ascii="Arial" w:cs="Arial" w:eastAsia="Arial" w:hAnsi="Arial"/>
                  <w:sz w:val="17"/>
                  <w:szCs w:val="17"/>
                  <w:color w:val="0000EE"/>
                  <w:w w:val="99"/>
                </w:rPr>
                <w:t>Form of Performance Stock Unit Award Amendment, dated July 19, 2021, by and between Parsons Corporation and Michael R.</w:t>
              </w:r>
            </w:hyperlink>
          </w:p>
        </w:tc>
        <w:tc>
          <w:tcPr>
            <w:tcW w:w="5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200" w:type="dxa"/>
            <w:vAlign w:val="bottom"/>
            <w:vMerge w:val="continue"/>
          </w:tcPr>
          <w:p>
            <w:pPr>
              <w:spacing w:after="0"/>
              <w:rPr>
                <w:sz w:val="9"/>
                <w:szCs w:val="9"/>
                <w:color w:val="auto"/>
              </w:rPr>
            </w:pPr>
          </w:p>
        </w:tc>
        <w:tc>
          <w:tcPr>
            <w:tcW w:w="10040" w:type="dxa"/>
            <w:vAlign w:val="bottom"/>
            <w:gridSpan w:val="24"/>
            <w:vMerge w:val="restart"/>
          </w:tcPr>
          <w:p>
            <w:pPr>
              <w:spacing w:after="0" w:line="170" w:lineRule="exact"/>
              <w:rPr>
                <w:rFonts w:ascii="Arial" w:cs="Arial" w:eastAsia="Arial" w:hAnsi="Arial"/>
                <w:sz w:val="17"/>
                <w:szCs w:val="17"/>
                <w:color w:val="0000EE"/>
              </w:rPr>
            </w:pPr>
            <w:hyperlink w:anchor="page311">
              <w:r>
                <w:rPr>
                  <w:rFonts w:ascii="Arial" w:cs="Arial" w:eastAsia="Arial" w:hAnsi="Arial"/>
                  <w:sz w:val="17"/>
                  <w:szCs w:val="17"/>
                  <w:color w:val="0000EE"/>
                </w:rPr>
                <w:t>Kolloway</w:t>
              </w:r>
              <w:r>
                <w:rPr>
                  <w:rFonts w:ascii="Arial" w:cs="Arial" w:eastAsia="Arial" w:hAnsi="Arial"/>
                  <w:sz w:val="17"/>
                  <w:szCs w:val="17"/>
                  <w:color w:val="000000"/>
                </w:rPr>
                <w:t>.</w:t>
              </w:r>
            </w:hyperlink>
          </w:p>
        </w:tc>
        <w:tc>
          <w:tcPr>
            <w:tcW w:w="0" w:type="dxa"/>
            <w:vAlign w:val="bottom"/>
          </w:tcPr>
          <w:p>
            <w:pPr>
              <w:spacing w:after="0"/>
              <w:rPr>
                <w:sz w:val="1"/>
                <w:szCs w:val="1"/>
                <w:color w:val="auto"/>
              </w:rPr>
            </w:pPr>
          </w:p>
        </w:tc>
      </w:tr>
      <w:tr>
        <w:trPr>
          <w:trHeight w:val="64"/>
        </w:trPr>
        <w:tc>
          <w:tcPr>
            <w:tcW w:w="1200" w:type="dxa"/>
            <w:vAlign w:val="bottom"/>
          </w:tcPr>
          <w:p>
            <w:pPr>
              <w:spacing w:after="0"/>
              <w:rPr>
                <w:sz w:val="5"/>
                <w:szCs w:val="5"/>
                <w:color w:val="auto"/>
              </w:rPr>
            </w:pPr>
          </w:p>
        </w:tc>
        <w:tc>
          <w:tcPr>
            <w:tcW w:w="10040" w:type="dxa"/>
            <w:vAlign w:val="bottom"/>
            <w:gridSpan w:val="2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340" w:type="dxa"/>
            <w:vAlign w:val="bottom"/>
            <w:gridSpan w:val="6"/>
          </w:tcPr>
          <w:p>
            <w:pPr>
              <w:spacing w:after="0" w:line="20" w:lineRule="exact"/>
              <w:rPr>
                <w:sz w:val="1"/>
                <w:szCs w:val="1"/>
                <w:color w:val="auto"/>
              </w:rPr>
            </w:pPr>
          </w:p>
        </w:tc>
        <w:tc>
          <w:tcPr>
            <w:tcW w:w="600" w:type="dxa"/>
            <w:vAlign w:val="bottom"/>
            <w:gridSpan w:val="1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200" w:type="dxa"/>
            <w:vAlign w:val="bottom"/>
            <w:vMerge w:val="restart"/>
          </w:tcPr>
          <w:p>
            <w:pPr>
              <w:ind w:left="100"/>
              <w:spacing w:after="0"/>
              <w:rPr>
                <w:sz w:val="20"/>
                <w:szCs w:val="20"/>
                <w:color w:val="auto"/>
              </w:rPr>
            </w:pPr>
            <w:r>
              <w:rPr>
                <w:rFonts w:ascii="Arial" w:cs="Arial" w:eastAsia="Arial" w:hAnsi="Arial"/>
                <w:sz w:val="17"/>
                <w:szCs w:val="17"/>
                <w:color w:val="auto"/>
              </w:rPr>
              <w:t>10.46*+</w:t>
            </w:r>
          </w:p>
        </w:tc>
        <w:tc>
          <w:tcPr>
            <w:tcW w:w="10040" w:type="dxa"/>
            <w:vAlign w:val="bottom"/>
            <w:gridSpan w:val="24"/>
          </w:tcPr>
          <w:p>
            <w:pPr>
              <w:spacing w:after="0"/>
              <w:rPr>
                <w:rFonts w:ascii="Arial" w:cs="Arial" w:eastAsia="Arial" w:hAnsi="Arial"/>
                <w:sz w:val="17"/>
                <w:szCs w:val="17"/>
                <w:color w:val="0000EE"/>
              </w:rPr>
            </w:pPr>
            <w:hyperlink w:anchor="page315">
              <w:r>
                <w:rPr>
                  <w:rFonts w:ascii="Arial" w:cs="Arial" w:eastAsia="Arial" w:hAnsi="Arial"/>
                  <w:sz w:val="17"/>
                  <w:szCs w:val="17"/>
                  <w:color w:val="0000EE"/>
                </w:rPr>
                <w:t>Form of Restricted Stock Unit Award Amendment, dated July 19, 2021, by and between Parsons Corporation and Michael R.</w:t>
              </w:r>
            </w:hyperlink>
          </w:p>
        </w:tc>
        <w:tc>
          <w:tcPr>
            <w:tcW w:w="0" w:type="dxa"/>
            <w:vAlign w:val="bottom"/>
          </w:tcPr>
          <w:p>
            <w:pPr>
              <w:spacing w:after="0"/>
              <w:rPr>
                <w:sz w:val="1"/>
                <w:szCs w:val="1"/>
                <w:color w:val="auto"/>
              </w:rPr>
            </w:pPr>
          </w:p>
        </w:tc>
      </w:tr>
      <w:tr>
        <w:trPr>
          <w:trHeight w:val="106"/>
        </w:trPr>
        <w:tc>
          <w:tcPr>
            <w:tcW w:w="1200" w:type="dxa"/>
            <w:vAlign w:val="bottom"/>
            <w:vMerge w:val="continue"/>
          </w:tcPr>
          <w:p>
            <w:pPr>
              <w:spacing w:after="0"/>
              <w:rPr>
                <w:sz w:val="9"/>
                <w:szCs w:val="9"/>
                <w:color w:val="auto"/>
              </w:rPr>
            </w:pPr>
          </w:p>
        </w:tc>
        <w:tc>
          <w:tcPr>
            <w:tcW w:w="9300" w:type="dxa"/>
            <w:vAlign w:val="bottom"/>
            <w:tcBorders>
              <w:top w:val="single" w:sz="8" w:color="0000EE"/>
            </w:tcBorders>
            <w:gridSpan w:val="11"/>
            <w:vMerge w:val="restart"/>
          </w:tcPr>
          <w:p>
            <w:pPr>
              <w:spacing w:after="0" w:line="170" w:lineRule="exact"/>
              <w:rPr>
                <w:rFonts w:ascii="Arial" w:cs="Arial" w:eastAsia="Arial" w:hAnsi="Arial"/>
                <w:sz w:val="17"/>
                <w:szCs w:val="17"/>
                <w:color w:val="0000EE"/>
              </w:rPr>
            </w:pPr>
            <w:hyperlink w:anchor="page315">
              <w:r>
                <w:rPr>
                  <w:rFonts w:ascii="Arial" w:cs="Arial" w:eastAsia="Arial" w:hAnsi="Arial"/>
                  <w:sz w:val="17"/>
                  <w:szCs w:val="17"/>
                  <w:color w:val="0000EE"/>
                </w:rPr>
                <w:t>Kolloway</w:t>
              </w:r>
              <w:r>
                <w:rPr>
                  <w:rFonts w:ascii="Arial" w:cs="Arial" w:eastAsia="Arial" w:hAnsi="Arial"/>
                  <w:sz w:val="17"/>
                  <w:szCs w:val="17"/>
                  <w:color w:val="000000"/>
                </w:rPr>
                <w:t>.</w:t>
              </w:r>
            </w:hyperlink>
          </w:p>
        </w:tc>
        <w:tc>
          <w:tcPr>
            <w:tcW w:w="740" w:type="dxa"/>
            <w:vAlign w:val="bottom"/>
            <w:gridSpan w:val="13"/>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200" w:type="dxa"/>
            <w:vAlign w:val="bottom"/>
          </w:tcPr>
          <w:p>
            <w:pPr>
              <w:spacing w:after="0"/>
              <w:rPr>
                <w:sz w:val="5"/>
                <w:szCs w:val="5"/>
                <w:color w:val="auto"/>
              </w:rPr>
            </w:pPr>
          </w:p>
        </w:tc>
        <w:tc>
          <w:tcPr>
            <w:tcW w:w="9300" w:type="dxa"/>
            <w:vAlign w:val="bottom"/>
            <w:gridSpan w:val="11"/>
            <w:vMerge w:val="continue"/>
          </w:tcPr>
          <w:p>
            <w:pPr>
              <w:spacing w:after="0"/>
              <w:rPr>
                <w:sz w:val="5"/>
                <w:szCs w:val="5"/>
                <w:color w:val="auto"/>
              </w:rPr>
            </w:pPr>
          </w:p>
        </w:tc>
        <w:tc>
          <w:tcPr>
            <w:tcW w:w="740" w:type="dxa"/>
            <w:vAlign w:val="bottom"/>
            <w:gridSpan w:val="1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940" w:type="dxa"/>
            <w:vAlign w:val="bottom"/>
            <w:gridSpan w:val="1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1200" w:type="dxa"/>
            <w:vAlign w:val="bottom"/>
          </w:tcPr>
          <w:p>
            <w:pPr>
              <w:ind w:left="100"/>
              <w:spacing w:after="0"/>
              <w:rPr>
                <w:sz w:val="20"/>
                <w:szCs w:val="20"/>
                <w:color w:val="auto"/>
              </w:rPr>
            </w:pPr>
            <w:r>
              <w:rPr>
                <w:rFonts w:ascii="Arial" w:cs="Arial" w:eastAsia="Arial" w:hAnsi="Arial"/>
                <w:sz w:val="17"/>
                <w:szCs w:val="17"/>
                <w:color w:val="auto"/>
              </w:rPr>
              <w:t>10.47*+</w:t>
            </w:r>
          </w:p>
        </w:tc>
        <w:tc>
          <w:tcPr>
            <w:tcW w:w="10040" w:type="dxa"/>
            <w:vAlign w:val="bottom"/>
            <w:gridSpan w:val="24"/>
          </w:tcPr>
          <w:p>
            <w:pPr>
              <w:spacing w:after="0"/>
              <w:rPr>
                <w:rFonts w:ascii="Arial" w:cs="Arial" w:eastAsia="Arial" w:hAnsi="Arial"/>
                <w:sz w:val="17"/>
                <w:szCs w:val="17"/>
                <w:color w:val="0000EE"/>
              </w:rPr>
            </w:pPr>
            <w:hyperlink w:anchor="page319">
              <w:r>
                <w:rPr>
                  <w:rFonts w:ascii="Arial" w:cs="Arial" w:eastAsia="Arial" w:hAnsi="Arial"/>
                  <w:sz w:val="17"/>
                  <w:szCs w:val="17"/>
                  <w:color w:val="0000EE"/>
                </w:rPr>
                <w:t>Form of Performance Stock Unit Award Amendment, dated July 19, 2021, by and between Parsons Corporation and David Spille</w:t>
              </w:r>
            </w:hyperlink>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322"/>
        </w:trPr>
        <w:tc>
          <w:tcPr>
            <w:tcW w:w="1200" w:type="dxa"/>
            <w:vAlign w:val="bottom"/>
          </w:tcPr>
          <w:p>
            <w:pPr>
              <w:ind w:left="100"/>
              <w:spacing w:after="0"/>
              <w:rPr>
                <w:sz w:val="20"/>
                <w:szCs w:val="20"/>
                <w:color w:val="auto"/>
              </w:rPr>
            </w:pPr>
            <w:r>
              <w:rPr>
                <w:rFonts w:ascii="Arial" w:cs="Arial" w:eastAsia="Arial" w:hAnsi="Arial"/>
                <w:sz w:val="17"/>
                <w:szCs w:val="17"/>
                <w:color w:val="auto"/>
              </w:rPr>
              <w:t>10.48*+</w:t>
            </w:r>
          </w:p>
        </w:tc>
        <w:tc>
          <w:tcPr>
            <w:tcW w:w="9600" w:type="dxa"/>
            <w:vAlign w:val="bottom"/>
            <w:tcBorders>
              <w:top w:val="single" w:sz="8" w:color="0000EE"/>
            </w:tcBorders>
            <w:gridSpan w:val="16"/>
          </w:tcPr>
          <w:p>
            <w:pPr>
              <w:spacing w:after="0"/>
              <w:rPr>
                <w:rFonts w:ascii="Arial" w:cs="Arial" w:eastAsia="Arial" w:hAnsi="Arial"/>
                <w:sz w:val="17"/>
                <w:szCs w:val="17"/>
                <w:color w:val="0000EE"/>
              </w:rPr>
            </w:pPr>
            <w:hyperlink w:anchor="page323">
              <w:r>
                <w:rPr>
                  <w:rFonts w:ascii="Arial" w:cs="Arial" w:eastAsia="Arial" w:hAnsi="Arial"/>
                  <w:sz w:val="17"/>
                  <w:szCs w:val="17"/>
                  <w:color w:val="0000EE"/>
                </w:rPr>
                <w:t>Form of Restricted Stock Unit Award Amendment, dated July 19, 2021, by and between Parsons Corporation and David Spille</w:t>
              </w:r>
            </w:hyperlink>
            <w:r>
              <w:rPr>
                <w:rFonts w:ascii="Arial" w:cs="Arial" w:eastAsia="Arial" w:hAnsi="Arial"/>
                <w:sz w:val="17"/>
                <w:szCs w:val="17"/>
                <w:color w:val="000000"/>
              </w:rPr>
              <w:t>.</w:t>
            </w:r>
          </w:p>
        </w:tc>
        <w:tc>
          <w:tcPr>
            <w:tcW w:w="4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8440" w:type="dxa"/>
            <w:vAlign w:val="bottom"/>
            <w:gridSpan w:val="8"/>
            <w:shd w:val="clear" w:color="auto" w:fill="0000EE"/>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200" w:type="dxa"/>
            <w:vAlign w:val="bottom"/>
          </w:tcPr>
          <w:p>
            <w:pPr>
              <w:ind w:left="100"/>
              <w:spacing w:after="0"/>
              <w:rPr>
                <w:sz w:val="20"/>
                <w:szCs w:val="20"/>
                <w:color w:val="auto"/>
              </w:rPr>
            </w:pPr>
            <w:r>
              <w:rPr>
                <w:rFonts w:ascii="Arial" w:cs="Arial" w:eastAsia="Arial" w:hAnsi="Arial"/>
                <w:sz w:val="17"/>
                <w:szCs w:val="17"/>
                <w:color w:val="auto"/>
              </w:rPr>
              <w:t>10.49#</w:t>
            </w:r>
          </w:p>
        </w:tc>
        <w:tc>
          <w:tcPr>
            <w:tcW w:w="10040" w:type="dxa"/>
            <w:vAlign w:val="bottom"/>
            <w:gridSpan w:val="24"/>
          </w:tcPr>
          <w:p>
            <w:pPr>
              <w:spacing w:after="0"/>
              <w:rPr>
                <w:rFonts w:ascii="Arial" w:cs="Arial" w:eastAsia="Arial" w:hAnsi="Arial"/>
                <w:sz w:val="17"/>
                <w:szCs w:val="17"/>
                <w:color w:val="0000EE"/>
              </w:rPr>
            </w:pPr>
            <w:hyperlink r:id="rId145">
              <w:r>
                <w:rPr>
                  <w:rFonts w:ascii="Arial" w:cs="Arial" w:eastAsia="Arial" w:hAnsi="Arial"/>
                  <w:sz w:val="17"/>
                  <w:szCs w:val="17"/>
                  <w:color w:val="0000EE"/>
                </w:rPr>
                <w:t>Note Purchase Agreement, dated as of May 9, 2014, among Parsons Corporation and the purchasers party thereto, and the forms of</w:t>
              </w:r>
            </w:hyperlink>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9900" w:type="dxa"/>
            <w:vAlign w:val="bottom"/>
            <w:tcBorders>
              <w:top w:val="single" w:sz="8" w:color="0000EE"/>
            </w:tcBorders>
            <w:gridSpan w:val="23"/>
          </w:tcPr>
          <w:p>
            <w:pPr>
              <w:spacing w:after="0" w:line="170" w:lineRule="exact"/>
              <w:rPr>
                <w:rFonts w:ascii="Arial" w:cs="Arial" w:eastAsia="Arial" w:hAnsi="Arial"/>
                <w:sz w:val="17"/>
                <w:szCs w:val="17"/>
                <w:color w:val="0000EE"/>
              </w:rPr>
            </w:pPr>
            <w:hyperlink r:id="rId145">
              <w:r>
                <w:rPr>
                  <w:rFonts w:ascii="Arial" w:cs="Arial" w:eastAsia="Arial" w:hAnsi="Arial"/>
                  <w:sz w:val="17"/>
                  <w:szCs w:val="17"/>
                  <w:color w:val="0000EE"/>
                </w:rPr>
                <w:t>Senior Notes</w:t>
              </w:r>
              <w:r>
                <w:rPr>
                  <w:rFonts w:ascii="Arial" w:cs="Arial" w:eastAsia="Arial" w:hAnsi="Arial"/>
                  <w:sz w:val="17"/>
                  <w:szCs w:val="17"/>
                  <w:color w:val="000000"/>
                </w:rPr>
                <w:t>.</w:t>
              </w:r>
            </w:hyperlink>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4"/>
        </w:trPr>
        <w:tc>
          <w:tcPr>
            <w:tcW w:w="1200" w:type="dxa"/>
            <w:vAlign w:val="bottom"/>
          </w:tcPr>
          <w:p>
            <w:pPr>
              <w:spacing w:after="0"/>
              <w:rPr>
                <w:sz w:val="24"/>
                <w:szCs w:val="24"/>
                <w:color w:val="auto"/>
              </w:rPr>
            </w:pPr>
          </w:p>
        </w:tc>
        <w:tc>
          <w:tcPr>
            <w:tcW w:w="960" w:type="dxa"/>
            <w:vAlign w:val="bottom"/>
            <w:tcBorders>
              <w:top w:val="single" w:sz="8" w:color="0000EE"/>
            </w:tcBorders>
            <w:gridSpan w:val="5"/>
          </w:tcPr>
          <w:p>
            <w:pPr>
              <w:spacing w:after="0"/>
              <w:rPr>
                <w:sz w:val="24"/>
                <w:szCs w:val="24"/>
                <w:color w:val="auto"/>
              </w:rPr>
            </w:pPr>
          </w:p>
        </w:tc>
        <w:tc>
          <w:tcPr>
            <w:tcW w:w="7980" w:type="dxa"/>
            <w:vAlign w:val="bottom"/>
            <w:gridSpan w:val="2"/>
          </w:tcPr>
          <w:p>
            <w:pPr>
              <w:jc w:val="right"/>
              <w:ind w:right="4420"/>
              <w:spacing w:after="0"/>
              <w:rPr>
                <w:sz w:val="20"/>
                <w:szCs w:val="20"/>
                <w:color w:val="auto"/>
              </w:rPr>
            </w:pPr>
            <w:r>
              <w:rPr>
                <w:rFonts w:ascii="Arial" w:cs="Arial" w:eastAsia="Arial" w:hAnsi="Arial"/>
                <w:sz w:val="17"/>
                <w:szCs w:val="17"/>
                <w:color w:val="auto"/>
              </w:rPr>
              <w:t>87</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2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220" w:type="dxa"/>
            <w:vAlign w:val="bottom"/>
            <w:tcBorders>
              <w:bottom w:val="single" w:sz="8" w:color="9A9A9A"/>
            </w:tcBorders>
          </w:tcPr>
          <w:p>
            <w:pPr>
              <w:spacing w:after="0"/>
              <w:rPr>
                <w:sz w:val="8"/>
                <w:szCs w:val="8"/>
                <w:color w:val="auto"/>
              </w:rPr>
            </w:pPr>
          </w:p>
        </w:tc>
        <w:tc>
          <w:tcPr>
            <w:tcW w:w="47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95"/>
        </w:trPr>
        <w:tc>
          <w:tcPr>
            <w:tcW w:w="1200" w:type="dxa"/>
            <w:vAlign w:val="bottom"/>
          </w:tcPr>
          <w:p>
            <w:pPr>
              <w:ind w:left="100"/>
              <w:spacing w:after="0"/>
              <w:rPr>
                <w:sz w:val="20"/>
                <w:szCs w:val="20"/>
                <w:color w:val="auto"/>
              </w:rPr>
            </w:pPr>
            <w:r>
              <w:rPr>
                <w:rFonts w:ascii="Arial" w:cs="Arial" w:eastAsia="Arial" w:hAnsi="Arial"/>
                <w:sz w:val="17"/>
                <w:szCs w:val="17"/>
                <w:color w:val="auto"/>
              </w:rPr>
              <w:t>10.50#</w:t>
            </w:r>
          </w:p>
        </w:tc>
        <w:tc>
          <w:tcPr>
            <w:tcW w:w="9960" w:type="dxa"/>
            <w:vAlign w:val="bottom"/>
            <w:tcBorders>
              <w:bottom w:val="single" w:sz="8" w:color="0000EE"/>
            </w:tcBorders>
            <w:gridSpan w:val="33"/>
          </w:tcPr>
          <w:p>
            <w:pPr>
              <w:spacing w:after="0"/>
              <w:rPr>
                <w:rFonts w:ascii="Arial" w:cs="Arial" w:eastAsia="Arial" w:hAnsi="Arial"/>
                <w:sz w:val="17"/>
                <w:szCs w:val="17"/>
                <w:color w:val="0000EE"/>
                <w:w w:val="98"/>
              </w:rPr>
            </w:pPr>
            <w:hyperlink r:id="rId148">
              <w:r>
                <w:rPr>
                  <w:rFonts w:ascii="Arial" w:cs="Arial" w:eastAsia="Arial" w:hAnsi="Arial"/>
                  <w:sz w:val="17"/>
                  <w:szCs w:val="17"/>
                  <w:color w:val="0000EE"/>
                  <w:w w:val="98"/>
                </w:rPr>
                <w:t>Subsidiary Guaranty, dated as of July 1, 2014, by each of Parsons Constructors Inc., Parsons Engineering of New York, Inc., Parsons</w:t>
              </w:r>
            </w:hyperlink>
          </w:p>
        </w:tc>
        <w:tc>
          <w:tcPr>
            <w:tcW w:w="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9420" w:type="dxa"/>
            <w:vAlign w:val="bottom"/>
            <w:tcBorders>
              <w:bottom w:val="single" w:sz="8" w:color="0000EE"/>
            </w:tcBorders>
            <w:gridSpan w:val="17"/>
          </w:tcPr>
          <w:p>
            <w:pPr>
              <w:spacing w:after="0" w:line="170" w:lineRule="exact"/>
              <w:rPr>
                <w:rFonts w:ascii="Arial" w:cs="Arial" w:eastAsia="Arial" w:hAnsi="Arial"/>
                <w:sz w:val="17"/>
                <w:szCs w:val="17"/>
                <w:color w:val="0000EE"/>
                <w:w w:val="99"/>
              </w:rPr>
            </w:pPr>
            <w:hyperlink r:id="rId148">
              <w:r>
                <w:rPr>
                  <w:rFonts w:ascii="Arial" w:cs="Arial" w:eastAsia="Arial" w:hAnsi="Arial"/>
                  <w:sz w:val="17"/>
                  <w:szCs w:val="17"/>
                  <w:color w:val="0000EE"/>
                  <w:w w:val="99"/>
                </w:rPr>
                <w:t>Environment &amp; Infrastructure Group Inc., Parsons Government Services Inc., Parsons Government Services International Inc.,</w:t>
              </w:r>
            </w:hyperlink>
          </w:p>
        </w:tc>
        <w:tc>
          <w:tcPr>
            <w:tcW w:w="620" w:type="dxa"/>
            <w:vAlign w:val="bottom"/>
            <w:gridSpan w:val="18"/>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0040" w:type="dxa"/>
            <w:vAlign w:val="bottom"/>
            <w:gridSpan w:val="35"/>
          </w:tcPr>
          <w:p>
            <w:pPr>
              <w:spacing w:after="0" w:line="170" w:lineRule="exact"/>
              <w:rPr>
                <w:rFonts w:ascii="Arial" w:cs="Arial" w:eastAsia="Arial" w:hAnsi="Arial"/>
                <w:sz w:val="17"/>
                <w:szCs w:val="17"/>
                <w:color w:val="0000EE"/>
              </w:rPr>
            </w:pPr>
            <w:hyperlink r:id="rId148">
              <w:r>
                <w:rPr>
                  <w:rFonts w:ascii="Arial" w:cs="Arial" w:eastAsia="Arial" w:hAnsi="Arial"/>
                  <w:sz w:val="17"/>
                  <w:szCs w:val="17"/>
                  <w:color w:val="0000EE"/>
                </w:rPr>
                <w:t>Parsons International Limited, Parsons Technical Services Inc., Parsons Transportation Group Inc., Parsons Water &amp; Infrastructure</w:t>
              </w:r>
            </w:hyperlink>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9740" w:type="dxa"/>
            <w:vAlign w:val="bottom"/>
            <w:tcBorders>
              <w:top w:val="single" w:sz="8" w:color="0000EE"/>
            </w:tcBorders>
            <w:gridSpan w:val="25"/>
          </w:tcPr>
          <w:p>
            <w:pPr>
              <w:spacing w:after="0" w:line="170" w:lineRule="exact"/>
              <w:rPr>
                <w:rFonts w:ascii="Arial" w:cs="Arial" w:eastAsia="Arial" w:hAnsi="Arial"/>
                <w:sz w:val="17"/>
                <w:szCs w:val="17"/>
                <w:color w:val="0000EE"/>
              </w:rPr>
            </w:pPr>
            <w:hyperlink r:id="rId148">
              <w:r>
                <w:rPr>
                  <w:rFonts w:ascii="Arial" w:cs="Arial" w:eastAsia="Arial" w:hAnsi="Arial"/>
                  <w:sz w:val="17"/>
                  <w:szCs w:val="17"/>
                  <w:color w:val="0000EE"/>
                </w:rPr>
                <w:t>Inc., PTSI Managed Services Inc., Parsons RCI Inc. and each entity that may from time to time become a Guarantor thereunder</w:t>
              </w:r>
              <w:r>
                <w:rPr>
                  <w:rFonts w:ascii="Arial" w:cs="Arial" w:eastAsia="Arial" w:hAnsi="Arial"/>
                  <w:sz w:val="17"/>
                  <w:szCs w:val="17"/>
                  <w:color w:val="000000"/>
                </w:rPr>
                <w:t>.</w:t>
              </w:r>
            </w:hyperlink>
          </w:p>
        </w:tc>
        <w:tc>
          <w:tcPr>
            <w:tcW w:w="3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1200" w:type="dxa"/>
            <w:vAlign w:val="bottom"/>
          </w:tcPr>
          <w:p>
            <w:pPr>
              <w:ind w:left="100"/>
              <w:spacing w:after="0"/>
              <w:rPr>
                <w:sz w:val="20"/>
                <w:szCs w:val="20"/>
                <w:color w:val="auto"/>
              </w:rPr>
            </w:pPr>
            <w:r>
              <w:rPr>
                <w:rFonts w:ascii="Arial" w:cs="Arial" w:eastAsia="Arial" w:hAnsi="Arial"/>
                <w:sz w:val="17"/>
                <w:szCs w:val="17"/>
                <w:color w:val="auto"/>
              </w:rPr>
              <w:t>10.51#</w:t>
            </w:r>
          </w:p>
        </w:tc>
        <w:tc>
          <w:tcPr>
            <w:tcW w:w="9520" w:type="dxa"/>
            <w:vAlign w:val="bottom"/>
            <w:tcBorders>
              <w:top w:val="single" w:sz="8" w:color="0000EE"/>
            </w:tcBorders>
            <w:gridSpan w:val="19"/>
          </w:tcPr>
          <w:p>
            <w:pPr>
              <w:spacing w:after="0"/>
              <w:rPr>
                <w:rFonts w:ascii="Arial" w:cs="Arial" w:eastAsia="Arial" w:hAnsi="Arial"/>
                <w:sz w:val="17"/>
                <w:szCs w:val="17"/>
                <w:color w:val="0000EE"/>
                <w:w w:val="99"/>
              </w:rPr>
            </w:pPr>
            <w:hyperlink r:id="rId149">
              <w:r>
                <w:rPr>
                  <w:rFonts w:ascii="Arial" w:cs="Arial" w:eastAsia="Arial" w:hAnsi="Arial"/>
                  <w:sz w:val="17"/>
                  <w:szCs w:val="17"/>
                  <w:color w:val="0000EE"/>
                  <w:w w:val="99"/>
                </w:rPr>
                <w:t>First Amendment to the Note Purchase Agreement, dated as of August 10, 2018, by and between Parsons Corporation and the</w:t>
              </w:r>
            </w:hyperlink>
          </w:p>
        </w:tc>
        <w:tc>
          <w:tcPr>
            <w:tcW w:w="5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9480" w:type="dxa"/>
            <w:vAlign w:val="bottom"/>
            <w:tcBorders>
              <w:top w:val="single" w:sz="8" w:color="0000EE"/>
            </w:tcBorders>
            <w:gridSpan w:val="18"/>
          </w:tcPr>
          <w:p>
            <w:pPr>
              <w:spacing w:after="0" w:line="170" w:lineRule="exact"/>
              <w:rPr>
                <w:rFonts w:ascii="Arial" w:cs="Arial" w:eastAsia="Arial" w:hAnsi="Arial"/>
                <w:sz w:val="17"/>
                <w:szCs w:val="17"/>
                <w:color w:val="0000EE"/>
              </w:rPr>
            </w:pPr>
            <w:hyperlink r:id="rId149">
              <w:r>
                <w:rPr>
                  <w:rFonts w:ascii="Arial" w:cs="Arial" w:eastAsia="Arial" w:hAnsi="Arial"/>
                  <w:sz w:val="17"/>
                  <w:szCs w:val="17"/>
                  <w:color w:val="0000EE"/>
                </w:rPr>
                <w:t>purchasers party thereto</w:t>
              </w:r>
              <w:r>
                <w:rPr>
                  <w:rFonts w:ascii="Arial" w:cs="Arial" w:eastAsia="Arial" w:hAnsi="Arial"/>
                  <w:sz w:val="17"/>
                  <w:szCs w:val="17"/>
                  <w:color w:val="000000"/>
                </w:rPr>
                <w:t>.</w:t>
              </w:r>
            </w:hyperlink>
          </w:p>
        </w:tc>
        <w:tc>
          <w:tcPr>
            <w:tcW w:w="560" w:type="dxa"/>
            <w:vAlign w:val="bottom"/>
            <w:gridSpan w:val="1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200" w:type="dxa"/>
            <w:vAlign w:val="bottom"/>
          </w:tcPr>
          <w:p>
            <w:pPr>
              <w:ind w:left="100"/>
              <w:spacing w:after="0"/>
              <w:rPr>
                <w:sz w:val="20"/>
                <w:szCs w:val="20"/>
                <w:color w:val="auto"/>
              </w:rPr>
            </w:pPr>
            <w:r>
              <w:rPr>
                <w:rFonts w:ascii="Arial" w:cs="Arial" w:eastAsia="Arial" w:hAnsi="Arial"/>
                <w:sz w:val="17"/>
                <w:szCs w:val="17"/>
                <w:color w:val="auto"/>
              </w:rPr>
              <w:t>10.52#</w:t>
            </w:r>
          </w:p>
        </w:tc>
        <w:tc>
          <w:tcPr>
            <w:tcW w:w="9720" w:type="dxa"/>
            <w:vAlign w:val="bottom"/>
            <w:tcBorders>
              <w:bottom w:val="single" w:sz="8" w:color="0000EE"/>
            </w:tcBorders>
            <w:gridSpan w:val="24"/>
          </w:tcPr>
          <w:p>
            <w:pPr>
              <w:spacing w:after="0"/>
              <w:rPr>
                <w:rFonts w:ascii="Arial" w:cs="Arial" w:eastAsia="Arial" w:hAnsi="Arial"/>
                <w:sz w:val="17"/>
                <w:szCs w:val="17"/>
                <w:color w:val="0000EE"/>
                <w:w w:val="99"/>
              </w:rPr>
            </w:pPr>
            <w:hyperlink r:id="rId150">
              <w:r>
                <w:rPr>
                  <w:rFonts w:ascii="Arial" w:cs="Arial" w:eastAsia="Arial" w:hAnsi="Arial"/>
                  <w:sz w:val="17"/>
                  <w:szCs w:val="17"/>
                  <w:color w:val="0000EE"/>
                  <w:w w:val="99"/>
                </w:rPr>
                <w:t>Fifth Amended and Restated Credit Agreement, dated as of November 15, 2017, by and among Parsons Corporation, the lenders</w:t>
              </w:r>
            </w:hyperlink>
          </w:p>
        </w:tc>
        <w:tc>
          <w:tcPr>
            <w:tcW w:w="3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0020" w:type="dxa"/>
            <w:vAlign w:val="bottom"/>
            <w:tcBorders>
              <w:bottom w:val="single" w:sz="8" w:color="0000EE"/>
            </w:tcBorders>
            <w:gridSpan w:val="34"/>
          </w:tcPr>
          <w:p>
            <w:pPr>
              <w:spacing w:after="0" w:line="170" w:lineRule="exact"/>
              <w:rPr>
                <w:rFonts w:ascii="Arial" w:cs="Arial" w:eastAsia="Arial" w:hAnsi="Arial"/>
                <w:sz w:val="17"/>
                <w:szCs w:val="17"/>
                <w:color w:val="0000EE"/>
                <w:w w:val="98"/>
              </w:rPr>
            </w:pPr>
            <w:hyperlink r:id="rId150">
              <w:r>
                <w:rPr>
                  <w:rFonts w:ascii="Arial" w:cs="Arial" w:eastAsia="Arial" w:hAnsi="Arial"/>
                  <w:sz w:val="17"/>
                  <w:szCs w:val="17"/>
                  <w:color w:val="0000EE"/>
                  <w:w w:val="98"/>
                </w:rPr>
                <w:t>from time to time party thereto, The Bank of Tokyo-Mitsubishi UFJ, Ltd., as administrative agent, swing line bank and co-lead arranger,</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9660" w:type="dxa"/>
            <w:vAlign w:val="bottom"/>
            <w:tcBorders>
              <w:bottom w:val="single" w:sz="8" w:color="0000EE"/>
            </w:tcBorders>
            <w:gridSpan w:val="21"/>
          </w:tcPr>
          <w:p>
            <w:pPr>
              <w:spacing w:after="0" w:line="170" w:lineRule="exact"/>
              <w:rPr>
                <w:rFonts w:ascii="Arial" w:cs="Arial" w:eastAsia="Arial" w:hAnsi="Arial"/>
                <w:sz w:val="17"/>
                <w:szCs w:val="17"/>
                <w:color w:val="0000EE"/>
                <w:w w:val="99"/>
              </w:rPr>
            </w:pPr>
            <w:hyperlink r:id="rId150">
              <w:r>
                <w:rPr>
                  <w:rFonts w:ascii="Arial" w:cs="Arial" w:eastAsia="Arial" w:hAnsi="Arial"/>
                  <w:sz w:val="17"/>
                  <w:szCs w:val="17"/>
                  <w:color w:val="0000EE"/>
                  <w:w w:val="99"/>
                </w:rPr>
                <w:t>Wells Fargo Bank, National Association, as syndication agent, The Bank of Nova Scotia, JPMorgan Chase Bank, N.A., Sumitomo</w:t>
              </w:r>
            </w:hyperlink>
          </w:p>
        </w:tc>
        <w:tc>
          <w:tcPr>
            <w:tcW w:w="38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0040" w:type="dxa"/>
            <w:vAlign w:val="bottom"/>
            <w:gridSpan w:val="35"/>
          </w:tcPr>
          <w:p>
            <w:pPr>
              <w:spacing w:after="0" w:line="170" w:lineRule="exact"/>
              <w:rPr>
                <w:rFonts w:ascii="Arial" w:cs="Arial" w:eastAsia="Arial" w:hAnsi="Arial"/>
                <w:sz w:val="17"/>
                <w:szCs w:val="17"/>
                <w:color w:val="0000EE"/>
              </w:rPr>
            </w:pPr>
            <w:hyperlink r:id="rId150">
              <w:r>
                <w:rPr>
                  <w:rFonts w:ascii="Arial" w:cs="Arial" w:eastAsia="Arial" w:hAnsi="Arial"/>
                  <w:sz w:val="17"/>
                  <w:szCs w:val="17"/>
                  <w:color w:val="0000EE"/>
                </w:rPr>
                <w:t>Mitsui Banking Corporation and U.S. Bank National Association, as documentation agents, and Wells Fargo Securities, LLC, as co-</w:t>
              </w:r>
            </w:hyperlink>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9780" w:type="dxa"/>
            <w:vAlign w:val="bottom"/>
            <w:tcBorders>
              <w:top w:val="single" w:sz="8" w:color="0000EE"/>
            </w:tcBorders>
            <w:gridSpan w:val="27"/>
          </w:tcPr>
          <w:p>
            <w:pPr>
              <w:spacing w:after="0" w:line="170" w:lineRule="exact"/>
              <w:rPr>
                <w:rFonts w:ascii="Arial" w:cs="Arial" w:eastAsia="Arial" w:hAnsi="Arial"/>
                <w:sz w:val="17"/>
                <w:szCs w:val="17"/>
                <w:color w:val="0000EE"/>
              </w:rPr>
            </w:pPr>
            <w:hyperlink r:id="rId150">
              <w:r>
                <w:rPr>
                  <w:rFonts w:ascii="Arial" w:cs="Arial" w:eastAsia="Arial" w:hAnsi="Arial"/>
                  <w:sz w:val="17"/>
                  <w:szCs w:val="17"/>
                  <w:color w:val="0000EE"/>
                </w:rPr>
                <w:t>lead arranger</w:t>
              </w:r>
              <w:r>
                <w:rPr>
                  <w:rFonts w:ascii="Arial" w:cs="Arial" w:eastAsia="Arial" w:hAnsi="Arial"/>
                  <w:sz w:val="17"/>
                  <w:szCs w:val="17"/>
                  <w:color w:val="000000"/>
                </w:rPr>
                <w:t>.</w:t>
              </w:r>
            </w:hyperlink>
          </w:p>
        </w:tc>
        <w:tc>
          <w:tcPr>
            <w:tcW w:w="26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200" w:type="dxa"/>
            <w:vAlign w:val="bottom"/>
          </w:tcPr>
          <w:p>
            <w:pPr>
              <w:ind w:left="100"/>
              <w:spacing w:after="0"/>
              <w:rPr>
                <w:sz w:val="20"/>
                <w:szCs w:val="20"/>
                <w:color w:val="auto"/>
              </w:rPr>
            </w:pPr>
            <w:r>
              <w:rPr>
                <w:rFonts w:ascii="Arial" w:cs="Arial" w:eastAsia="Arial" w:hAnsi="Arial"/>
                <w:sz w:val="17"/>
                <w:szCs w:val="17"/>
                <w:color w:val="auto"/>
              </w:rPr>
              <w:t>10.53#</w:t>
            </w:r>
          </w:p>
        </w:tc>
        <w:tc>
          <w:tcPr>
            <w:tcW w:w="9340" w:type="dxa"/>
            <w:vAlign w:val="bottom"/>
            <w:tcBorders>
              <w:bottom w:val="single" w:sz="8" w:color="0000EE"/>
            </w:tcBorders>
            <w:gridSpan w:val="16"/>
          </w:tcPr>
          <w:p>
            <w:pPr>
              <w:spacing w:after="0"/>
              <w:rPr>
                <w:rFonts w:ascii="Arial" w:cs="Arial" w:eastAsia="Arial" w:hAnsi="Arial"/>
                <w:sz w:val="17"/>
                <w:szCs w:val="17"/>
                <w:color w:val="0000EE"/>
                <w:w w:val="99"/>
              </w:rPr>
            </w:pPr>
            <w:hyperlink r:id="rId151">
              <w:r>
                <w:rPr>
                  <w:rFonts w:ascii="Arial" w:cs="Arial" w:eastAsia="Arial" w:hAnsi="Arial"/>
                  <w:sz w:val="17"/>
                  <w:szCs w:val="17"/>
                  <w:color w:val="0000EE"/>
                  <w:w w:val="99"/>
                </w:rPr>
                <w:t>First Amendment to the Fifth Amended and Restated Credit Agreement, dated as of January 4, 2019, by and among Parsons</w:t>
              </w:r>
            </w:hyperlink>
          </w:p>
        </w:tc>
        <w:tc>
          <w:tcPr>
            <w:tcW w:w="70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0040" w:type="dxa"/>
            <w:vAlign w:val="bottom"/>
            <w:gridSpan w:val="35"/>
          </w:tcPr>
          <w:p>
            <w:pPr>
              <w:spacing w:after="0" w:line="170" w:lineRule="exact"/>
              <w:rPr>
                <w:rFonts w:ascii="Arial" w:cs="Arial" w:eastAsia="Arial" w:hAnsi="Arial"/>
                <w:sz w:val="17"/>
                <w:szCs w:val="17"/>
                <w:color w:val="0000EE"/>
              </w:rPr>
            </w:pPr>
            <w:hyperlink r:id="rId151">
              <w:r>
                <w:rPr>
                  <w:rFonts w:ascii="Arial" w:cs="Arial" w:eastAsia="Arial" w:hAnsi="Arial"/>
                  <w:sz w:val="17"/>
                  <w:szCs w:val="17"/>
                  <w:color w:val="0000EE"/>
                </w:rPr>
                <w:t>Corporation, the Banks party thereto and MUFG Bank Ltd, as administrative agent</w:t>
              </w:r>
              <w:r>
                <w:rPr>
                  <w:rFonts w:ascii="Arial" w:cs="Arial" w:eastAsia="Arial" w:hAnsi="Arial"/>
                  <w:sz w:val="17"/>
                  <w:szCs w:val="17"/>
                  <w:color w:val="000000"/>
                </w:rPr>
                <w:t>.</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8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200" w:type="dxa"/>
            <w:vAlign w:val="bottom"/>
          </w:tcPr>
          <w:p>
            <w:pPr>
              <w:ind w:left="100"/>
              <w:spacing w:after="0"/>
              <w:rPr>
                <w:sz w:val="20"/>
                <w:szCs w:val="20"/>
                <w:color w:val="auto"/>
              </w:rPr>
            </w:pPr>
            <w:r>
              <w:rPr>
                <w:rFonts w:ascii="Arial" w:cs="Arial" w:eastAsia="Arial" w:hAnsi="Arial"/>
                <w:sz w:val="17"/>
                <w:szCs w:val="17"/>
                <w:color w:val="auto"/>
              </w:rPr>
              <w:t>10.54#</w:t>
            </w:r>
          </w:p>
        </w:tc>
        <w:tc>
          <w:tcPr>
            <w:tcW w:w="9680" w:type="dxa"/>
            <w:vAlign w:val="bottom"/>
            <w:tcBorders>
              <w:bottom w:val="single" w:sz="8" w:color="0000EE"/>
            </w:tcBorders>
            <w:gridSpan w:val="22"/>
          </w:tcPr>
          <w:p>
            <w:pPr>
              <w:spacing w:after="0"/>
              <w:rPr>
                <w:rFonts w:ascii="Arial" w:cs="Arial" w:eastAsia="Arial" w:hAnsi="Arial"/>
                <w:sz w:val="17"/>
                <w:szCs w:val="17"/>
                <w:color w:val="0000EE"/>
                <w:w w:val="99"/>
              </w:rPr>
            </w:pPr>
            <w:hyperlink r:id="rId152">
              <w:r>
                <w:rPr>
                  <w:rFonts w:ascii="Arial" w:cs="Arial" w:eastAsia="Arial" w:hAnsi="Arial"/>
                  <w:sz w:val="17"/>
                  <w:szCs w:val="17"/>
                  <w:color w:val="0000EE"/>
                  <w:w w:val="99"/>
                </w:rPr>
                <w:t>Credit Agreement dated June 25, 2021, among Parsons Corporation, the Guarantors, the Lenders, and Bank of America, N.A., as</w:t>
              </w:r>
            </w:hyperlink>
          </w:p>
        </w:tc>
        <w:tc>
          <w:tcPr>
            <w:tcW w:w="3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0040" w:type="dxa"/>
            <w:vAlign w:val="bottom"/>
            <w:gridSpan w:val="35"/>
          </w:tcPr>
          <w:p>
            <w:pPr>
              <w:spacing w:after="0" w:line="170" w:lineRule="exact"/>
              <w:rPr>
                <w:rFonts w:ascii="Arial" w:cs="Arial" w:eastAsia="Arial" w:hAnsi="Arial"/>
                <w:sz w:val="17"/>
                <w:szCs w:val="17"/>
                <w:color w:val="0000EE"/>
              </w:rPr>
            </w:pPr>
            <w:hyperlink r:id="rId152">
              <w:r>
                <w:rPr>
                  <w:rFonts w:ascii="Arial" w:cs="Arial" w:eastAsia="Arial" w:hAnsi="Arial"/>
                  <w:sz w:val="17"/>
                  <w:szCs w:val="17"/>
                  <w:color w:val="0000EE"/>
                </w:rPr>
                <w:t>Administrative Agent, Swingline Lender, and an L/C Issuer.</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8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200" w:type="dxa"/>
            <w:vAlign w:val="bottom"/>
          </w:tcPr>
          <w:p>
            <w:pPr>
              <w:ind w:left="100"/>
              <w:spacing w:after="0"/>
              <w:rPr>
                <w:sz w:val="20"/>
                <w:szCs w:val="20"/>
                <w:color w:val="auto"/>
              </w:rPr>
            </w:pPr>
            <w:r>
              <w:rPr>
                <w:rFonts w:ascii="Arial" w:cs="Arial" w:eastAsia="Arial" w:hAnsi="Arial"/>
                <w:sz w:val="17"/>
                <w:szCs w:val="17"/>
                <w:color w:val="auto"/>
              </w:rPr>
              <w:t>10.55#</w:t>
            </w:r>
          </w:p>
        </w:tc>
        <w:tc>
          <w:tcPr>
            <w:tcW w:w="10040" w:type="dxa"/>
            <w:vAlign w:val="bottom"/>
            <w:gridSpan w:val="35"/>
          </w:tcPr>
          <w:p>
            <w:pPr>
              <w:spacing w:after="0"/>
              <w:rPr>
                <w:rFonts w:ascii="Arial" w:cs="Arial" w:eastAsia="Arial" w:hAnsi="Arial"/>
                <w:sz w:val="17"/>
                <w:szCs w:val="17"/>
                <w:color w:val="0000EE"/>
              </w:rPr>
            </w:pPr>
            <w:hyperlink r:id="rId153">
              <w:r>
                <w:rPr>
                  <w:rFonts w:ascii="Arial" w:cs="Arial" w:eastAsia="Arial" w:hAnsi="Arial"/>
                  <w:sz w:val="17"/>
                  <w:szCs w:val="17"/>
                  <w:color w:val="0000EE"/>
                </w:rPr>
                <w:t>Term Loan Agreement, dated as of January 4, 2019, among Parsons Corporation, MUFG Union Bank, N.A., as administrative agent,</w:t>
              </w:r>
            </w:hyperlink>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9920" w:type="dxa"/>
            <w:vAlign w:val="bottom"/>
            <w:tcBorders>
              <w:top w:val="single" w:sz="8" w:color="0000EE"/>
            </w:tcBorders>
            <w:gridSpan w:val="32"/>
          </w:tcPr>
          <w:p>
            <w:pPr>
              <w:spacing w:after="0" w:line="170" w:lineRule="exact"/>
              <w:rPr>
                <w:rFonts w:ascii="Arial" w:cs="Arial" w:eastAsia="Arial" w:hAnsi="Arial"/>
                <w:sz w:val="17"/>
                <w:szCs w:val="17"/>
                <w:color w:val="0000EE"/>
              </w:rPr>
            </w:pPr>
            <w:hyperlink r:id="rId153">
              <w:r>
                <w:rPr>
                  <w:rFonts w:ascii="Arial" w:cs="Arial" w:eastAsia="Arial" w:hAnsi="Arial"/>
                  <w:sz w:val="17"/>
                  <w:szCs w:val="17"/>
                  <w:color w:val="0000EE"/>
                </w:rPr>
                <w:t>The Bank of Nova Scotia, as syndication agent, the other financial institutions party thereto and MUFG Union Bank, N.A. and The</w:t>
              </w:r>
            </w:hyperlink>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9640" w:type="dxa"/>
            <w:vAlign w:val="bottom"/>
            <w:tcBorders>
              <w:top w:val="single" w:sz="8" w:color="0000EE"/>
            </w:tcBorders>
            <w:gridSpan w:val="20"/>
          </w:tcPr>
          <w:p>
            <w:pPr>
              <w:spacing w:after="0" w:line="170" w:lineRule="exact"/>
              <w:rPr>
                <w:rFonts w:ascii="Arial" w:cs="Arial" w:eastAsia="Arial" w:hAnsi="Arial"/>
                <w:sz w:val="17"/>
                <w:szCs w:val="17"/>
                <w:color w:val="0000EE"/>
              </w:rPr>
            </w:pPr>
            <w:hyperlink r:id="rId153">
              <w:r>
                <w:rPr>
                  <w:rFonts w:ascii="Arial" w:cs="Arial" w:eastAsia="Arial" w:hAnsi="Arial"/>
                  <w:sz w:val="17"/>
                  <w:szCs w:val="17"/>
                  <w:color w:val="0000EE"/>
                </w:rPr>
                <w:t>Bank of Nova Scotia, as co-lead arrangers</w:t>
              </w:r>
              <w:r>
                <w:rPr>
                  <w:rFonts w:ascii="Arial" w:cs="Arial" w:eastAsia="Arial" w:hAnsi="Arial"/>
                  <w:sz w:val="17"/>
                  <w:szCs w:val="17"/>
                  <w:color w:val="000000"/>
                </w:rPr>
                <w:t>.</w:t>
              </w:r>
            </w:hyperlink>
          </w:p>
        </w:tc>
        <w:tc>
          <w:tcPr>
            <w:tcW w:w="40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200" w:type="dxa"/>
            <w:vAlign w:val="bottom"/>
            <w:vMerge w:val="restart"/>
          </w:tcPr>
          <w:p>
            <w:pPr>
              <w:ind w:left="100"/>
              <w:spacing w:after="0"/>
              <w:rPr>
                <w:sz w:val="20"/>
                <w:szCs w:val="20"/>
                <w:color w:val="auto"/>
              </w:rPr>
            </w:pPr>
            <w:r>
              <w:rPr>
                <w:rFonts w:ascii="Arial" w:cs="Arial" w:eastAsia="Arial" w:hAnsi="Arial"/>
                <w:sz w:val="17"/>
                <w:szCs w:val="17"/>
                <w:color w:val="auto"/>
              </w:rPr>
              <w:t>10.56#</w:t>
            </w:r>
          </w:p>
        </w:tc>
        <w:tc>
          <w:tcPr>
            <w:tcW w:w="9760" w:type="dxa"/>
            <w:vAlign w:val="bottom"/>
            <w:tcBorders>
              <w:bottom w:val="single" w:sz="8" w:color="0000EE"/>
            </w:tcBorders>
            <w:gridSpan w:val="26"/>
          </w:tcPr>
          <w:p>
            <w:pPr>
              <w:spacing w:after="0"/>
              <w:rPr>
                <w:rFonts w:ascii="Arial" w:cs="Arial" w:eastAsia="Arial" w:hAnsi="Arial"/>
                <w:sz w:val="17"/>
                <w:szCs w:val="17"/>
                <w:color w:val="0000EE"/>
                <w:w w:val="99"/>
              </w:rPr>
            </w:pPr>
            <w:hyperlink r:id="rId154">
              <w:r>
                <w:rPr>
                  <w:rFonts w:ascii="Arial" w:cs="Arial" w:eastAsia="Arial" w:hAnsi="Arial"/>
                  <w:sz w:val="17"/>
                  <w:szCs w:val="17"/>
                  <w:color w:val="0000EE"/>
                  <w:w w:val="99"/>
                </w:rPr>
                <w:t>Form of Employee Stockownership Trust Agreement, dated as of June 8, 2020, by and between Parsons Corporation and Newport</w:t>
              </w:r>
            </w:hyperlink>
          </w:p>
        </w:tc>
        <w:tc>
          <w:tcPr>
            <w:tcW w:w="2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200" w:type="dxa"/>
            <w:vAlign w:val="bottom"/>
            <w:vMerge w:val="continue"/>
          </w:tcPr>
          <w:p>
            <w:pPr>
              <w:spacing w:after="0"/>
              <w:rPr>
                <w:sz w:val="9"/>
                <w:szCs w:val="9"/>
                <w:color w:val="auto"/>
              </w:rPr>
            </w:pPr>
          </w:p>
        </w:tc>
        <w:tc>
          <w:tcPr>
            <w:tcW w:w="1180" w:type="dxa"/>
            <w:vAlign w:val="bottom"/>
            <w:gridSpan w:val="3"/>
            <w:vMerge w:val="restart"/>
          </w:tcPr>
          <w:p>
            <w:pPr>
              <w:spacing w:after="0" w:line="170" w:lineRule="exact"/>
              <w:rPr>
                <w:rFonts w:ascii="Arial" w:cs="Arial" w:eastAsia="Arial" w:hAnsi="Arial"/>
                <w:sz w:val="17"/>
                <w:szCs w:val="17"/>
                <w:color w:val="0000EE"/>
                <w:w w:val="95"/>
              </w:rPr>
            </w:pPr>
            <w:hyperlink r:id="rId154">
              <w:r>
                <w:rPr>
                  <w:rFonts w:ascii="Arial" w:cs="Arial" w:eastAsia="Arial" w:hAnsi="Arial"/>
                  <w:sz w:val="17"/>
                  <w:szCs w:val="17"/>
                  <w:color w:val="0000EE"/>
                  <w:w w:val="95"/>
                </w:rPr>
                <w:t>Trust Company.</w:t>
              </w:r>
            </w:hyperlink>
          </w:p>
        </w:tc>
        <w:tc>
          <w:tcPr>
            <w:tcW w:w="8860" w:type="dxa"/>
            <w:vAlign w:val="bottom"/>
            <w:gridSpan w:val="32"/>
            <w:vMerge w:val="restart"/>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1200" w:type="dxa"/>
            <w:vAlign w:val="bottom"/>
          </w:tcPr>
          <w:p>
            <w:pPr>
              <w:spacing w:after="0"/>
              <w:rPr>
                <w:sz w:val="5"/>
                <w:szCs w:val="5"/>
                <w:color w:val="auto"/>
              </w:rPr>
            </w:pPr>
          </w:p>
        </w:tc>
        <w:tc>
          <w:tcPr>
            <w:tcW w:w="1180" w:type="dxa"/>
            <w:vAlign w:val="bottom"/>
            <w:tcBorders>
              <w:bottom w:val="single" w:sz="8" w:color="0000EE"/>
            </w:tcBorders>
            <w:gridSpan w:val="3"/>
            <w:vMerge w:val="continue"/>
          </w:tcPr>
          <w:p>
            <w:pPr>
              <w:spacing w:after="0"/>
              <w:rPr>
                <w:sz w:val="5"/>
                <w:szCs w:val="5"/>
                <w:color w:val="auto"/>
              </w:rPr>
            </w:pPr>
          </w:p>
        </w:tc>
        <w:tc>
          <w:tcPr>
            <w:tcW w:w="8860" w:type="dxa"/>
            <w:vAlign w:val="bottom"/>
            <w:gridSpan w:val="3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200" w:type="dxa"/>
            <w:vAlign w:val="bottom"/>
          </w:tcPr>
          <w:p>
            <w:pPr>
              <w:ind w:left="100"/>
              <w:spacing w:after="0"/>
              <w:rPr>
                <w:sz w:val="20"/>
                <w:szCs w:val="20"/>
                <w:color w:val="auto"/>
              </w:rPr>
            </w:pPr>
            <w:r>
              <w:rPr>
                <w:rFonts w:ascii="Arial" w:cs="Arial" w:eastAsia="Arial" w:hAnsi="Arial"/>
                <w:sz w:val="17"/>
                <w:szCs w:val="17"/>
                <w:color w:val="auto"/>
              </w:rPr>
              <w:t>10.57#</w:t>
            </w:r>
          </w:p>
        </w:tc>
        <w:tc>
          <w:tcPr>
            <w:tcW w:w="8000" w:type="dxa"/>
            <w:vAlign w:val="bottom"/>
            <w:tcBorders>
              <w:bottom w:val="single" w:sz="8" w:color="0000EE"/>
            </w:tcBorders>
            <w:gridSpan w:val="14"/>
          </w:tcPr>
          <w:p>
            <w:pPr>
              <w:spacing w:after="0"/>
              <w:rPr>
                <w:rFonts w:ascii="Arial" w:cs="Arial" w:eastAsia="Arial" w:hAnsi="Arial"/>
                <w:sz w:val="17"/>
                <w:szCs w:val="17"/>
                <w:color w:val="0000EE"/>
                <w:w w:val="98"/>
              </w:rPr>
            </w:pPr>
            <w:hyperlink r:id="rId155">
              <w:r>
                <w:rPr>
                  <w:rFonts w:ascii="Arial" w:cs="Arial" w:eastAsia="Arial" w:hAnsi="Arial"/>
                  <w:sz w:val="17"/>
                  <w:szCs w:val="17"/>
                  <w:color w:val="0000EE"/>
                  <w:w w:val="98"/>
                </w:rPr>
                <w:t>Form of Registration Rights Agreement by and between Parsons Corporation and Newport Trust Company.</w:t>
              </w:r>
            </w:hyperlink>
          </w:p>
        </w:tc>
        <w:tc>
          <w:tcPr>
            <w:tcW w:w="204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200" w:type="dxa"/>
            <w:vAlign w:val="bottom"/>
          </w:tcPr>
          <w:p>
            <w:pPr>
              <w:ind w:left="100"/>
              <w:spacing w:after="0"/>
              <w:rPr>
                <w:sz w:val="20"/>
                <w:szCs w:val="20"/>
                <w:color w:val="auto"/>
              </w:rPr>
            </w:pPr>
            <w:r>
              <w:rPr>
                <w:rFonts w:ascii="Arial" w:cs="Arial" w:eastAsia="Arial" w:hAnsi="Arial"/>
                <w:sz w:val="17"/>
                <w:szCs w:val="17"/>
                <w:color w:val="auto"/>
              </w:rPr>
              <w:t>10.58#</w:t>
            </w:r>
          </w:p>
        </w:tc>
        <w:tc>
          <w:tcPr>
            <w:tcW w:w="10040" w:type="dxa"/>
            <w:vAlign w:val="bottom"/>
            <w:gridSpan w:val="35"/>
          </w:tcPr>
          <w:p>
            <w:pPr>
              <w:spacing w:after="0"/>
              <w:rPr>
                <w:rFonts w:ascii="Arial" w:cs="Arial" w:eastAsia="Arial" w:hAnsi="Arial"/>
                <w:sz w:val="17"/>
                <w:szCs w:val="17"/>
                <w:color w:val="0000EE"/>
              </w:rPr>
            </w:pPr>
            <w:hyperlink r:id="rId156">
              <w:r>
                <w:rPr>
                  <w:rFonts w:ascii="Arial" w:cs="Arial" w:eastAsia="Arial" w:hAnsi="Arial"/>
                  <w:sz w:val="17"/>
                  <w:szCs w:val="17"/>
                  <w:color w:val="0000EE"/>
                </w:rPr>
                <w:t>Form of Fifth Amendment to the Parsons Corporation Retirement Savings Plan.</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gridSpan w:val="3"/>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gridSpan w:val="8"/>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1200" w:type="dxa"/>
            <w:vAlign w:val="bottom"/>
          </w:tcPr>
          <w:p>
            <w:pPr>
              <w:ind w:left="100"/>
              <w:spacing w:after="0"/>
              <w:rPr>
                <w:sz w:val="20"/>
                <w:szCs w:val="20"/>
                <w:color w:val="auto"/>
              </w:rPr>
            </w:pPr>
            <w:r>
              <w:rPr>
                <w:rFonts w:ascii="Arial" w:cs="Arial" w:eastAsia="Arial" w:hAnsi="Arial"/>
                <w:sz w:val="17"/>
                <w:szCs w:val="17"/>
                <w:color w:val="auto"/>
              </w:rPr>
              <w:t>10.59#+</w:t>
            </w:r>
          </w:p>
        </w:tc>
        <w:tc>
          <w:tcPr>
            <w:tcW w:w="10040" w:type="dxa"/>
            <w:vAlign w:val="bottom"/>
            <w:tcBorders>
              <w:bottom w:val="single" w:sz="8" w:color="0000EE"/>
            </w:tcBorders>
            <w:gridSpan w:val="35"/>
          </w:tcPr>
          <w:p>
            <w:pPr>
              <w:spacing w:after="0"/>
              <w:rPr>
                <w:rFonts w:ascii="Arial" w:cs="Arial" w:eastAsia="Arial" w:hAnsi="Arial"/>
                <w:sz w:val="17"/>
                <w:szCs w:val="17"/>
                <w:color w:val="0000EE"/>
                <w:w w:val="99"/>
              </w:rPr>
            </w:pPr>
            <w:hyperlink r:id="rId157">
              <w:r>
                <w:rPr>
                  <w:rFonts w:ascii="Arial" w:cs="Arial" w:eastAsia="Arial" w:hAnsi="Arial"/>
                  <w:sz w:val="17"/>
                  <w:szCs w:val="17"/>
                  <w:color w:val="0000EE"/>
                  <w:w w:val="99"/>
                </w:rPr>
                <w:t>Form of Fourth Amendment to the 2019 Amendment and Restatement of Parsons Employee Stock Ownership Plan, effective March 1,</w:t>
              </w:r>
            </w:hyperlink>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420" w:type="dxa"/>
            <w:vAlign w:val="bottom"/>
            <w:tcBorders>
              <w:bottom w:val="single" w:sz="8" w:color="0000EE"/>
            </w:tcBorders>
          </w:tcPr>
          <w:p>
            <w:pPr>
              <w:spacing w:after="0" w:line="170" w:lineRule="exact"/>
              <w:rPr>
                <w:rFonts w:ascii="Arial" w:cs="Arial" w:eastAsia="Arial" w:hAnsi="Arial"/>
                <w:sz w:val="17"/>
                <w:szCs w:val="17"/>
                <w:color w:val="0000EE"/>
                <w:w w:val="93"/>
              </w:rPr>
            </w:pPr>
            <w:hyperlink r:id="rId157">
              <w:r>
                <w:rPr>
                  <w:rFonts w:ascii="Arial" w:cs="Arial" w:eastAsia="Arial" w:hAnsi="Arial"/>
                  <w:sz w:val="17"/>
                  <w:szCs w:val="17"/>
                  <w:color w:val="0000EE"/>
                  <w:w w:val="93"/>
                </w:rPr>
                <w:t>2021.</w:t>
              </w:r>
            </w:hyperlink>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00" w:type="dxa"/>
            <w:vAlign w:val="bottom"/>
          </w:tcPr>
          <w:p>
            <w:pPr>
              <w:ind w:left="100"/>
              <w:spacing w:after="0"/>
              <w:rPr>
                <w:sz w:val="20"/>
                <w:szCs w:val="20"/>
                <w:color w:val="auto"/>
              </w:rPr>
            </w:pPr>
            <w:r>
              <w:rPr>
                <w:rFonts w:ascii="Arial" w:cs="Arial" w:eastAsia="Arial" w:hAnsi="Arial"/>
                <w:sz w:val="17"/>
                <w:szCs w:val="17"/>
                <w:color w:val="auto"/>
              </w:rPr>
              <w:t>10.60*+</w:t>
            </w:r>
          </w:p>
        </w:tc>
        <w:tc>
          <w:tcPr>
            <w:tcW w:w="9700" w:type="dxa"/>
            <w:vAlign w:val="bottom"/>
            <w:tcBorders>
              <w:bottom w:val="single" w:sz="8" w:color="0000EE"/>
            </w:tcBorders>
            <w:gridSpan w:val="23"/>
          </w:tcPr>
          <w:p>
            <w:pPr>
              <w:spacing w:after="0"/>
              <w:rPr>
                <w:rFonts w:ascii="Arial" w:cs="Arial" w:eastAsia="Arial" w:hAnsi="Arial"/>
                <w:sz w:val="17"/>
                <w:szCs w:val="17"/>
                <w:color w:val="0000EE"/>
                <w:w w:val="99"/>
              </w:rPr>
            </w:pPr>
            <w:hyperlink w:anchor="page327">
              <w:r>
                <w:rPr>
                  <w:rFonts w:ascii="Arial" w:cs="Arial" w:eastAsia="Arial" w:hAnsi="Arial"/>
                  <w:sz w:val="17"/>
                  <w:szCs w:val="17"/>
                  <w:color w:val="0000EE"/>
                  <w:w w:val="99"/>
                </w:rPr>
                <w:t>Fourth Amendment to the Parsons Employee Stock Ownership Plan 2019 Amendment and Restatement, effective March 1, 2021.</w:t>
              </w:r>
            </w:hyperlink>
          </w:p>
        </w:tc>
        <w:tc>
          <w:tcPr>
            <w:tcW w:w="3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200" w:type="dxa"/>
            <w:vAlign w:val="bottom"/>
          </w:tcPr>
          <w:p>
            <w:pPr>
              <w:ind w:left="100"/>
              <w:spacing w:after="0"/>
              <w:rPr>
                <w:sz w:val="20"/>
                <w:szCs w:val="20"/>
                <w:color w:val="auto"/>
              </w:rPr>
            </w:pPr>
            <w:r>
              <w:rPr>
                <w:rFonts w:ascii="Arial" w:cs="Arial" w:eastAsia="Arial" w:hAnsi="Arial"/>
                <w:sz w:val="17"/>
                <w:szCs w:val="17"/>
                <w:color w:val="auto"/>
              </w:rPr>
              <w:t>10.61#+</w:t>
            </w:r>
          </w:p>
        </w:tc>
        <w:tc>
          <w:tcPr>
            <w:tcW w:w="10040" w:type="dxa"/>
            <w:vAlign w:val="bottom"/>
            <w:gridSpan w:val="35"/>
          </w:tcPr>
          <w:p>
            <w:pPr>
              <w:spacing w:after="0"/>
              <w:rPr>
                <w:rFonts w:ascii="Arial" w:cs="Arial" w:eastAsia="Arial" w:hAnsi="Arial"/>
                <w:sz w:val="17"/>
                <w:szCs w:val="17"/>
                <w:color w:val="0000EE"/>
              </w:rPr>
            </w:pPr>
            <w:hyperlink r:id="rId158">
              <w:r>
                <w:rPr>
                  <w:rFonts w:ascii="Arial" w:cs="Arial" w:eastAsia="Arial" w:hAnsi="Arial"/>
                  <w:sz w:val="17"/>
                  <w:szCs w:val="17"/>
                  <w:color w:val="0000EE"/>
                </w:rPr>
                <w:t>Form of Indemnification Agreement between Parsons Corporation and certain of its directors and officers</w:t>
              </w:r>
            </w:hyperlink>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4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200" w:type="dxa"/>
            <w:vAlign w:val="bottom"/>
          </w:tcPr>
          <w:p>
            <w:pPr>
              <w:ind w:left="100"/>
              <w:spacing w:after="0"/>
              <w:rPr>
                <w:sz w:val="20"/>
                <w:szCs w:val="20"/>
                <w:color w:val="auto"/>
              </w:rPr>
            </w:pPr>
            <w:r>
              <w:rPr>
                <w:rFonts w:ascii="Arial" w:cs="Arial" w:eastAsia="Arial" w:hAnsi="Arial"/>
                <w:sz w:val="17"/>
                <w:szCs w:val="17"/>
                <w:color w:val="auto"/>
              </w:rPr>
              <w:t>10.62*+</w:t>
            </w:r>
          </w:p>
        </w:tc>
        <w:tc>
          <w:tcPr>
            <w:tcW w:w="10040" w:type="dxa"/>
            <w:vAlign w:val="bottom"/>
            <w:gridSpan w:val="35"/>
          </w:tcPr>
          <w:p>
            <w:pPr>
              <w:spacing w:after="0"/>
              <w:rPr>
                <w:rFonts w:ascii="Arial" w:cs="Arial" w:eastAsia="Arial" w:hAnsi="Arial"/>
                <w:sz w:val="17"/>
                <w:szCs w:val="17"/>
                <w:color w:val="0000EE"/>
              </w:rPr>
            </w:pPr>
            <w:hyperlink w:anchor="page329">
              <w:r>
                <w:rPr>
                  <w:rFonts w:ascii="Arial" w:cs="Arial" w:eastAsia="Arial" w:hAnsi="Arial"/>
                  <w:sz w:val="17"/>
                  <w:szCs w:val="17"/>
                  <w:color w:val="0000EE"/>
                </w:rPr>
                <w:t>Form of Transition Agreement, dated February 2022, by and between Parsons Corporation and Charles L. Harrington.</w:t>
              </w:r>
            </w:hyperlink>
          </w:p>
        </w:tc>
        <w:tc>
          <w:tcPr>
            <w:tcW w:w="0" w:type="dxa"/>
            <w:vAlign w:val="bottom"/>
          </w:tcPr>
          <w:p>
            <w:pPr>
              <w:spacing w:after="0"/>
              <w:rPr>
                <w:sz w:val="1"/>
                <w:szCs w:val="1"/>
                <w:color w:val="auto"/>
              </w:rPr>
            </w:pPr>
          </w:p>
        </w:tc>
      </w:tr>
      <w:tr>
        <w:trPr>
          <w:trHeight w:val="322"/>
        </w:trPr>
        <w:tc>
          <w:tcPr>
            <w:tcW w:w="1200" w:type="dxa"/>
            <w:vAlign w:val="bottom"/>
          </w:tcPr>
          <w:p>
            <w:pPr>
              <w:ind w:left="100"/>
              <w:spacing w:after="0"/>
              <w:rPr>
                <w:sz w:val="20"/>
                <w:szCs w:val="20"/>
                <w:color w:val="auto"/>
              </w:rPr>
            </w:pPr>
            <w:r>
              <w:rPr>
                <w:rFonts w:ascii="Arial" w:cs="Arial" w:eastAsia="Arial" w:hAnsi="Arial"/>
                <w:sz w:val="17"/>
                <w:szCs w:val="17"/>
                <w:color w:val="auto"/>
              </w:rPr>
              <w:t>21.1*</w:t>
            </w:r>
          </w:p>
        </w:tc>
        <w:tc>
          <w:tcPr>
            <w:tcW w:w="8800" w:type="dxa"/>
            <w:vAlign w:val="bottom"/>
            <w:tcBorders>
              <w:top w:val="single" w:sz="8" w:color="0000EE"/>
            </w:tcBorders>
            <w:gridSpan w:val="15"/>
          </w:tcPr>
          <w:p>
            <w:pPr>
              <w:spacing w:after="0"/>
              <w:rPr>
                <w:rFonts w:ascii="Arial" w:cs="Arial" w:eastAsia="Arial" w:hAnsi="Arial"/>
                <w:sz w:val="17"/>
                <w:szCs w:val="17"/>
                <w:color w:val="0000EE"/>
              </w:rPr>
            </w:pPr>
            <w:hyperlink w:anchor="page335">
              <w:r>
                <w:rPr>
                  <w:rFonts w:ascii="Arial" w:cs="Arial" w:eastAsia="Arial" w:hAnsi="Arial"/>
                  <w:sz w:val="17"/>
                  <w:szCs w:val="17"/>
                  <w:color w:val="0000EE"/>
                </w:rPr>
                <w:t>List of Subsidiaries of the Registrant.</w:t>
              </w:r>
            </w:hyperlink>
          </w:p>
        </w:tc>
        <w:tc>
          <w:tcPr>
            <w:tcW w:w="124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80" w:type="dxa"/>
            <w:vAlign w:val="bottom"/>
            <w:gridSpan w:val="1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200" w:type="dxa"/>
            <w:vAlign w:val="bottom"/>
          </w:tcPr>
          <w:p>
            <w:pPr>
              <w:ind w:left="100"/>
              <w:spacing w:after="0"/>
              <w:rPr>
                <w:sz w:val="20"/>
                <w:szCs w:val="20"/>
                <w:color w:val="auto"/>
              </w:rPr>
            </w:pPr>
            <w:r>
              <w:rPr>
                <w:rFonts w:ascii="Arial" w:cs="Arial" w:eastAsia="Arial" w:hAnsi="Arial"/>
                <w:sz w:val="17"/>
                <w:szCs w:val="17"/>
                <w:color w:val="auto"/>
              </w:rPr>
              <w:t>23.1*</w:t>
            </w:r>
          </w:p>
        </w:tc>
        <w:tc>
          <w:tcPr>
            <w:tcW w:w="10040" w:type="dxa"/>
            <w:vAlign w:val="bottom"/>
            <w:gridSpan w:val="35"/>
          </w:tcPr>
          <w:p>
            <w:pPr>
              <w:spacing w:after="0"/>
              <w:rPr>
                <w:rFonts w:ascii="Arial" w:cs="Arial" w:eastAsia="Arial" w:hAnsi="Arial"/>
                <w:sz w:val="17"/>
                <w:szCs w:val="17"/>
                <w:color w:val="0000EE"/>
              </w:rPr>
            </w:pPr>
            <w:hyperlink w:anchor="page340">
              <w:r>
                <w:rPr>
                  <w:rFonts w:ascii="Arial" w:cs="Arial" w:eastAsia="Arial" w:hAnsi="Arial"/>
                  <w:sz w:val="17"/>
                  <w:szCs w:val="17"/>
                  <w:color w:val="0000EE"/>
                </w:rPr>
                <w:t>Consent of PricewaterhouseCoopers LLP</w:t>
              </w:r>
            </w:hyperlink>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80" w:type="dxa"/>
            <w:vAlign w:val="bottom"/>
            <w:gridSpan w:val="1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200" w:type="dxa"/>
            <w:vAlign w:val="bottom"/>
          </w:tcPr>
          <w:p>
            <w:pPr>
              <w:ind w:left="100"/>
              <w:spacing w:after="0"/>
              <w:rPr>
                <w:sz w:val="20"/>
                <w:szCs w:val="20"/>
                <w:color w:val="auto"/>
              </w:rPr>
            </w:pPr>
            <w:r>
              <w:rPr>
                <w:rFonts w:ascii="Arial" w:cs="Arial" w:eastAsia="Arial" w:hAnsi="Arial"/>
                <w:sz w:val="17"/>
                <w:szCs w:val="17"/>
                <w:color w:val="auto"/>
              </w:rPr>
              <w:t>31.1*</w:t>
            </w:r>
          </w:p>
        </w:tc>
        <w:tc>
          <w:tcPr>
            <w:tcW w:w="10040" w:type="dxa"/>
            <w:vAlign w:val="bottom"/>
            <w:gridSpan w:val="35"/>
          </w:tcPr>
          <w:p>
            <w:pPr>
              <w:spacing w:after="0"/>
              <w:rPr>
                <w:rFonts w:ascii="Arial" w:cs="Arial" w:eastAsia="Arial" w:hAnsi="Arial"/>
                <w:sz w:val="17"/>
                <w:szCs w:val="17"/>
                <w:color w:val="0000EE"/>
              </w:rPr>
            </w:pPr>
            <w:hyperlink w:anchor="page341">
              <w:r>
                <w:rPr>
                  <w:rFonts w:ascii="Arial" w:cs="Arial" w:eastAsia="Arial" w:hAnsi="Arial"/>
                  <w:sz w:val="17"/>
                  <w:szCs w:val="17"/>
                  <w:color w:val="0000EE"/>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5160" w:type="dxa"/>
            <w:vAlign w:val="bottom"/>
            <w:tcBorders>
              <w:top w:val="single" w:sz="8" w:color="0000EE"/>
              <w:bottom w:val="single" w:sz="8" w:color="0000EE"/>
            </w:tcBorders>
            <w:gridSpan w:val="10"/>
          </w:tcPr>
          <w:p>
            <w:pPr>
              <w:spacing w:after="0" w:line="170" w:lineRule="exact"/>
              <w:rPr>
                <w:rFonts w:ascii="Arial" w:cs="Arial" w:eastAsia="Arial" w:hAnsi="Arial"/>
                <w:sz w:val="17"/>
                <w:szCs w:val="17"/>
                <w:color w:val="0000EE"/>
                <w:w w:val="99"/>
              </w:rPr>
            </w:pPr>
            <w:hyperlink w:anchor="page341">
              <w:r>
                <w:rPr>
                  <w:rFonts w:ascii="Arial" w:cs="Arial" w:eastAsia="Arial" w:hAnsi="Arial"/>
                  <w:sz w:val="17"/>
                  <w:szCs w:val="17"/>
                  <w:color w:val="0000EE"/>
                  <w:w w:val="99"/>
                </w:rPr>
                <w:t>Adopted Pursuant to Section 302 of the Sarbanes-Oxley Act of 2002.</w:t>
              </w:r>
            </w:hyperlink>
          </w:p>
        </w:tc>
        <w:tc>
          <w:tcPr>
            <w:tcW w:w="4720" w:type="dxa"/>
            <w:vAlign w:val="bottom"/>
            <w:tcBorders>
              <w:top w:val="single" w:sz="8" w:color="0000EE"/>
            </w:tcBorders>
            <w:gridSpan w:val="20"/>
          </w:tcPr>
          <w:p>
            <w:pPr>
              <w:spacing w:after="0"/>
              <w:rPr>
                <w:sz w:val="14"/>
                <w:szCs w:val="14"/>
                <w:color w:val="auto"/>
              </w:rPr>
            </w:pPr>
          </w:p>
        </w:tc>
        <w:tc>
          <w:tcPr>
            <w:tcW w:w="16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1200" w:type="dxa"/>
            <w:vAlign w:val="bottom"/>
          </w:tcPr>
          <w:p>
            <w:pPr>
              <w:ind w:left="100"/>
              <w:spacing w:after="0"/>
              <w:rPr>
                <w:sz w:val="20"/>
                <w:szCs w:val="20"/>
                <w:color w:val="auto"/>
              </w:rPr>
            </w:pPr>
            <w:r>
              <w:rPr>
                <w:rFonts w:ascii="Arial" w:cs="Arial" w:eastAsia="Arial" w:hAnsi="Arial"/>
                <w:sz w:val="17"/>
                <w:szCs w:val="17"/>
                <w:color w:val="auto"/>
              </w:rPr>
              <w:t>31.2*</w:t>
            </w:r>
          </w:p>
        </w:tc>
        <w:tc>
          <w:tcPr>
            <w:tcW w:w="9840" w:type="dxa"/>
            <w:vAlign w:val="bottom"/>
            <w:tcBorders>
              <w:bottom w:val="single" w:sz="8" w:color="0000EE"/>
            </w:tcBorders>
            <w:gridSpan w:val="28"/>
          </w:tcPr>
          <w:p>
            <w:pPr>
              <w:spacing w:after="0"/>
              <w:rPr>
                <w:rFonts w:ascii="Arial" w:cs="Arial" w:eastAsia="Arial" w:hAnsi="Arial"/>
                <w:sz w:val="17"/>
                <w:szCs w:val="17"/>
                <w:color w:val="0000EE"/>
                <w:w w:val="99"/>
              </w:rPr>
            </w:pPr>
            <w:hyperlink w:anchor="page342">
              <w:r>
                <w:rPr>
                  <w:rFonts w:ascii="Arial" w:cs="Arial" w:eastAsia="Arial" w:hAnsi="Arial"/>
                  <w:sz w:val="17"/>
                  <w:szCs w:val="17"/>
                  <w:color w:val="0000EE"/>
                  <w:w w:val="99"/>
                </w:rPr>
                <w:t>Certification of Principal Financial Officer Pursuant to Rules 13a-14(a) and 15d-14(a) under the Securities Exchange Act of 1934, as</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0040" w:type="dxa"/>
            <w:vAlign w:val="bottom"/>
            <w:gridSpan w:val="35"/>
          </w:tcPr>
          <w:p>
            <w:pPr>
              <w:spacing w:after="0" w:line="170" w:lineRule="exact"/>
              <w:rPr>
                <w:rFonts w:ascii="Arial" w:cs="Arial" w:eastAsia="Arial" w:hAnsi="Arial"/>
                <w:sz w:val="17"/>
                <w:szCs w:val="17"/>
                <w:color w:val="0000EE"/>
              </w:rPr>
            </w:pPr>
            <w:hyperlink w:anchor="page342">
              <w:r>
                <w:rPr>
                  <w:rFonts w:ascii="Arial" w:cs="Arial" w:eastAsia="Arial" w:hAnsi="Arial"/>
                  <w:sz w:val="17"/>
                  <w:szCs w:val="17"/>
                  <w:color w:val="0000EE"/>
                </w:rPr>
                <w:t>Adopted Pursuant to Section 302 of the Sarbanes-Oxley Act of 2002</w:t>
              </w:r>
              <w:r>
                <w:rPr>
                  <w:rFonts w:ascii="Arial" w:cs="Arial" w:eastAsia="Arial" w:hAnsi="Arial"/>
                  <w:sz w:val="17"/>
                  <w:szCs w:val="17"/>
                  <w:color w:val="000000"/>
                </w:rPr>
                <w:t>.</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760" w:type="dxa"/>
            <w:vAlign w:val="bottom"/>
            <w:gridSpan w:val="5"/>
            <w:shd w:val="clear" w:color="auto" w:fill="0000EE"/>
          </w:tcPr>
          <w:p>
            <w:pPr>
              <w:spacing w:after="0" w:line="20" w:lineRule="exact"/>
              <w:rPr>
                <w:sz w:val="1"/>
                <w:szCs w:val="1"/>
                <w:color w:val="auto"/>
              </w:rPr>
            </w:pPr>
          </w:p>
        </w:tc>
        <w:tc>
          <w:tcPr>
            <w:tcW w:w="4760" w:type="dxa"/>
            <w:vAlign w:val="bottom"/>
            <w:gridSpan w:val="2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200" w:type="dxa"/>
            <w:vAlign w:val="bottom"/>
          </w:tcPr>
          <w:p>
            <w:pPr>
              <w:ind w:left="100"/>
              <w:spacing w:after="0"/>
              <w:rPr>
                <w:sz w:val="20"/>
                <w:szCs w:val="20"/>
                <w:color w:val="auto"/>
              </w:rPr>
            </w:pPr>
            <w:r>
              <w:rPr>
                <w:rFonts w:ascii="Arial" w:cs="Arial" w:eastAsia="Arial" w:hAnsi="Arial"/>
                <w:sz w:val="17"/>
                <w:szCs w:val="17"/>
                <w:color w:val="auto"/>
              </w:rPr>
              <w:t>32.1*</w:t>
            </w:r>
          </w:p>
        </w:tc>
        <w:tc>
          <w:tcPr>
            <w:tcW w:w="10040" w:type="dxa"/>
            <w:vAlign w:val="bottom"/>
            <w:gridSpan w:val="35"/>
          </w:tcPr>
          <w:p>
            <w:pPr>
              <w:spacing w:after="0"/>
              <w:rPr>
                <w:rFonts w:ascii="Arial" w:cs="Arial" w:eastAsia="Arial" w:hAnsi="Arial"/>
                <w:sz w:val="17"/>
                <w:szCs w:val="17"/>
                <w:color w:val="0000EE"/>
              </w:rPr>
            </w:pPr>
            <w:hyperlink w:anchor="page343">
              <w:r>
                <w:rPr>
                  <w:rFonts w:ascii="Arial" w:cs="Arial" w:eastAsia="Arial" w:hAnsi="Arial"/>
                  <w:sz w:val="17"/>
                  <w:szCs w:val="17"/>
                  <w:color w:val="0000EE"/>
                </w:rPr>
                <w:t>Certification of Principal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9900" w:type="dxa"/>
            <w:vAlign w:val="bottom"/>
            <w:tcBorders>
              <w:top w:val="single" w:sz="8" w:color="0000EE"/>
            </w:tcBorders>
            <w:gridSpan w:val="31"/>
          </w:tcPr>
          <w:p>
            <w:pPr>
              <w:spacing w:after="0" w:line="170" w:lineRule="exact"/>
              <w:rPr>
                <w:rFonts w:ascii="Arial" w:cs="Arial" w:eastAsia="Arial" w:hAnsi="Arial"/>
                <w:sz w:val="17"/>
                <w:szCs w:val="17"/>
                <w:color w:val="0000EE"/>
              </w:rPr>
            </w:pPr>
            <w:hyperlink w:anchor="page343">
              <w:r>
                <w:rPr>
                  <w:rFonts w:ascii="Arial" w:cs="Arial" w:eastAsia="Arial" w:hAnsi="Arial"/>
                  <w:sz w:val="17"/>
                  <w:szCs w:val="17"/>
                  <w:color w:val="0000EE"/>
                </w:rPr>
                <w:t>Oxley Act of 2002</w:t>
              </w:r>
              <w:r>
                <w:rPr>
                  <w:rFonts w:ascii="Arial" w:cs="Arial" w:eastAsia="Arial" w:hAnsi="Arial"/>
                  <w:sz w:val="17"/>
                  <w:szCs w:val="17"/>
                  <w:color w:val="000000"/>
                </w:rPr>
                <w:t>.</w:t>
              </w:r>
            </w:hyperlink>
          </w:p>
        </w:tc>
        <w:tc>
          <w:tcPr>
            <w:tcW w:w="14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8520" w:type="dxa"/>
            <w:vAlign w:val="bottom"/>
            <w:gridSpan w:val="25"/>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200" w:type="dxa"/>
            <w:vAlign w:val="bottom"/>
          </w:tcPr>
          <w:p>
            <w:pPr>
              <w:ind w:left="100"/>
              <w:spacing w:after="0"/>
              <w:rPr>
                <w:sz w:val="20"/>
                <w:szCs w:val="20"/>
                <w:color w:val="auto"/>
              </w:rPr>
            </w:pPr>
            <w:r>
              <w:rPr>
                <w:rFonts w:ascii="Arial" w:cs="Arial" w:eastAsia="Arial" w:hAnsi="Arial"/>
                <w:sz w:val="17"/>
                <w:szCs w:val="17"/>
                <w:color w:val="auto"/>
              </w:rPr>
              <w:t>32.2*</w:t>
            </w:r>
          </w:p>
        </w:tc>
        <w:tc>
          <w:tcPr>
            <w:tcW w:w="9860" w:type="dxa"/>
            <w:vAlign w:val="bottom"/>
            <w:tcBorders>
              <w:bottom w:val="single" w:sz="8" w:color="0000EE"/>
            </w:tcBorders>
            <w:gridSpan w:val="29"/>
          </w:tcPr>
          <w:p>
            <w:pPr>
              <w:spacing w:after="0"/>
              <w:rPr>
                <w:rFonts w:ascii="Arial" w:cs="Arial" w:eastAsia="Arial" w:hAnsi="Arial"/>
                <w:sz w:val="17"/>
                <w:szCs w:val="17"/>
                <w:color w:val="0000EE"/>
                <w:w w:val="99"/>
              </w:rPr>
            </w:pPr>
            <w:hyperlink w:anchor="page343">
              <w:r>
                <w:rPr>
                  <w:rFonts w:ascii="Arial" w:cs="Arial" w:eastAsia="Arial" w:hAnsi="Arial"/>
                  <w:sz w:val="17"/>
                  <w:szCs w:val="17"/>
                  <w:color w:val="0000EE"/>
                  <w:w w:val="99"/>
                </w:rPr>
                <w:t>Certification of Principal Financial Officer Pursuant to 18 U.S.C. Section 1350, as Adopted Pursuant to Section 906 of the Sarbanes-</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0040" w:type="dxa"/>
            <w:vAlign w:val="bottom"/>
            <w:gridSpan w:val="35"/>
          </w:tcPr>
          <w:p>
            <w:pPr>
              <w:spacing w:after="0" w:line="170" w:lineRule="exact"/>
              <w:rPr>
                <w:rFonts w:ascii="Arial" w:cs="Arial" w:eastAsia="Arial" w:hAnsi="Arial"/>
                <w:sz w:val="17"/>
                <w:szCs w:val="17"/>
                <w:color w:val="0000EE"/>
              </w:rPr>
            </w:pPr>
            <w:hyperlink w:anchor="page343">
              <w:r>
                <w:rPr>
                  <w:rFonts w:ascii="Arial" w:cs="Arial" w:eastAsia="Arial" w:hAnsi="Arial"/>
                  <w:sz w:val="17"/>
                  <w:szCs w:val="17"/>
                  <w:color w:val="0000EE"/>
                </w:rPr>
                <w:t>Oxley Act of 2002</w:t>
              </w:r>
              <w:r>
                <w:rPr>
                  <w:rFonts w:ascii="Arial" w:cs="Arial" w:eastAsia="Arial" w:hAnsi="Arial"/>
                  <w:sz w:val="17"/>
                  <w:szCs w:val="17"/>
                  <w:color w:val="000000"/>
                </w:rPr>
                <w:t>.</w:t>
              </w:r>
            </w:hyperlink>
          </w:p>
        </w:tc>
        <w:tc>
          <w:tcPr>
            <w:tcW w:w="0" w:type="dxa"/>
            <w:vAlign w:val="bottom"/>
          </w:tcPr>
          <w:p>
            <w:pPr>
              <w:spacing w:after="0"/>
              <w:rPr>
                <w:sz w:val="1"/>
                <w:szCs w:val="1"/>
                <w:color w:val="auto"/>
              </w:rPr>
            </w:pPr>
          </w:p>
        </w:tc>
      </w:tr>
      <w:tr>
        <w:trPr>
          <w:trHeight w:val="524"/>
        </w:trPr>
        <w:tc>
          <w:tcPr>
            <w:tcW w:w="1200" w:type="dxa"/>
            <w:vAlign w:val="bottom"/>
          </w:tcPr>
          <w:p>
            <w:pPr>
              <w:spacing w:after="0"/>
              <w:rPr>
                <w:sz w:val="24"/>
                <w:szCs w:val="24"/>
                <w:color w:val="auto"/>
              </w:rPr>
            </w:pPr>
          </w:p>
        </w:tc>
        <w:tc>
          <w:tcPr>
            <w:tcW w:w="1340" w:type="dxa"/>
            <w:vAlign w:val="bottom"/>
            <w:tcBorders>
              <w:top w:val="single" w:sz="8" w:color="0000EE"/>
            </w:tcBorders>
            <w:gridSpan w:val="4"/>
          </w:tcPr>
          <w:p>
            <w:pPr>
              <w:spacing w:after="0"/>
              <w:rPr>
                <w:sz w:val="24"/>
                <w:szCs w:val="24"/>
                <w:color w:val="auto"/>
              </w:rPr>
            </w:pPr>
          </w:p>
        </w:tc>
        <w:tc>
          <w:tcPr>
            <w:tcW w:w="3760" w:type="dxa"/>
            <w:vAlign w:val="bottom"/>
            <w:gridSpan w:val="5"/>
          </w:tcPr>
          <w:p>
            <w:pPr>
              <w:jc w:val="right"/>
              <w:ind w:right="580"/>
              <w:spacing w:after="0"/>
              <w:rPr>
                <w:sz w:val="20"/>
                <w:szCs w:val="20"/>
                <w:color w:val="auto"/>
              </w:rPr>
            </w:pPr>
            <w:r>
              <w:rPr>
                <w:rFonts w:ascii="Arial" w:cs="Arial" w:eastAsia="Arial" w:hAnsi="Arial"/>
                <w:sz w:val="17"/>
                <w:szCs w:val="17"/>
                <w:color w:val="auto"/>
              </w:rPr>
              <w:t>88</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2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0">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95"/>
        </w:trPr>
        <w:tc>
          <w:tcPr>
            <w:tcW w:w="460" w:type="dxa"/>
            <w:vAlign w:val="bottom"/>
          </w:tcPr>
          <w:p>
            <w:pPr>
              <w:spacing w:after="0"/>
              <w:rPr>
                <w:sz w:val="20"/>
                <w:szCs w:val="20"/>
                <w:color w:val="auto"/>
              </w:rPr>
            </w:pPr>
            <w:r>
              <w:rPr>
                <w:rFonts w:ascii="Arial" w:cs="Arial" w:eastAsia="Arial" w:hAnsi="Arial"/>
                <w:sz w:val="17"/>
                <w:szCs w:val="17"/>
                <w:color w:val="auto"/>
              </w:rPr>
              <w:t>101*</w:t>
            </w:r>
          </w:p>
        </w:tc>
        <w:tc>
          <w:tcPr>
            <w:tcW w:w="10780" w:type="dxa"/>
            <w:vAlign w:val="bottom"/>
            <w:gridSpan w:val="2"/>
          </w:tcPr>
          <w:p>
            <w:pPr>
              <w:ind w:left="740"/>
              <w:spacing w:after="0"/>
              <w:rPr>
                <w:sz w:val="20"/>
                <w:szCs w:val="20"/>
                <w:color w:val="auto"/>
              </w:rPr>
            </w:pPr>
            <w:r>
              <w:rPr>
                <w:rFonts w:ascii="Arial" w:cs="Arial" w:eastAsia="Arial" w:hAnsi="Arial"/>
                <w:sz w:val="17"/>
                <w:szCs w:val="17"/>
                <w:color w:val="auto"/>
              </w:rPr>
              <w:t>The following financial statements from the Company’s Annual Report on Form 10-K for the year ended December 31, 2021,</w:t>
            </w:r>
          </w:p>
        </w:tc>
      </w:tr>
      <w:tr>
        <w:trPr>
          <w:trHeight w:val="190"/>
        </w:trPr>
        <w:tc>
          <w:tcPr>
            <w:tcW w:w="460" w:type="dxa"/>
            <w:vAlign w:val="bottom"/>
          </w:tcPr>
          <w:p>
            <w:pPr>
              <w:spacing w:after="0"/>
              <w:rPr>
                <w:sz w:val="16"/>
                <w:szCs w:val="16"/>
                <w:color w:val="auto"/>
              </w:rPr>
            </w:pPr>
          </w:p>
        </w:tc>
        <w:tc>
          <w:tcPr>
            <w:tcW w:w="10780" w:type="dxa"/>
            <w:vAlign w:val="bottom"/>
            <w:gridSpan w:val="2"/>
          </w:tcPr>
          <w:p>
            <w:pPr>
              <w:ind w:left="740"/>
              <w:spacing w:after="0" w:line="190" w:lineRule="exact"/>
              <w:rPr>
                <w:sz w:val="20"/>
                <w:szCs w:val="20"/>
                <w:color w:val="auto"/>
              </w:rPr>
            </w:pPr>
            <w:r>
              <w:rPr>
                <w:rFonts w:ascii="Arial" w:cs="Arial" w:eastAsia="Arial" w:hAnsi="Arial"/>
                <w:sz w:val="17"/>
                <w:szCs w:val="17"/>
                <w:color w:val="auto"/>
              </w:rPr>
              <w:t>formatted in Inline XBRL: (i) Consolidated Balance Sheets, (ii)</w:t>
            </w:r>
          </w:p>
        </w:tc>
      </w:tr>
      <w:tr>
        <w:trPr>
          <w:trHeight w:val="190"/>
        </w:trPr>
        <w:tc>
          <w:tcPr>
            <w:tcW w:w="460" w:type="dxa"/>
            <w:vAlign w:val="bottom"/>
          </w:tcPr>
          <w:p>
            <w:pPr>
              <w:spacing w:after="0"/>
              <w:rPr>
                <w:sz w:val="16"/>
                <w:szCs w:val="16"/>
                <w:color w:val="auto"/>
              </w:rPr>
            </w:pPr>
          </w:p>
        </w:tc>
        <w:tc>
          <w:tcPr>
            <w:tcW w:w="10780" w:type="dxa"/>
            <w:vAlign w:val="bottom"/>
            <w:gridSpan w:val="2"/>
          </w:tcPr>
          <w:p>
            <w:pPr>
              <w:ind w:left="740"/>
              <w:spacing w:after="0" w:line="190" w:lineRule="exact"/>
              <w:rPr>
                <w:sz w:val="20"/>
                <w:szCs w:val="20"/>
                <w:color w:val="auto"/>
              </w:rPr>
            </w:pPr>
            <w:r>
              <w:rPr>
                <w:rFonts w:ascii="Arial" w:cs="Arial" w:eastAsia="Arial" w:hAnsi="Arial"/>
                <w:sz w:val="17"/>
                <w:szCs w:val="17"/>
                <w:color w:val="auto"/>
                <w:w w:val="99"/>
              </w:rPr>
              <w:t>Consolidated Statements of Earnings, (iii) Consolidated Statements of Comprehensive Income (Loss), (iv) Consolidated Statements of</w:t>
            </w:r>
          </w:p>
        </w:tc>
      </w:tr>
      <w:tr>
        <w:trPr>
          <w:trHeight w:val="190"/>
        </w:trPr>
        <w:tc>
          <w:tcPr>
            <w:tcW w:w="460" w:type="dxa"/>
            <w:vAlign w:val="bottom"/>
          </w:tcPr>
          <w:p>
            <w:pPr>
              <w:spacing w:after="0"/>
              <w:rPr>
                <w:sz w:val="16"/>
                <w:szCs w:val="16"/>
                <w:color w:val="auto"/>
              </w:rPr>
            </w:pPr>
          </w:p>
        </w:tc>
        <w:tc>
          <w:tcPr>
            <w:tcW w:w="10780" w:type="dxa"/>
            <w:vAlign w:val="bottom"/>
            <w:gridSpan w:val="2"/>
          </w:tcPr>
          <w:p>
            <w:pPr>
              <w:ind w:left="740"/>
              <w:spacing w:after="0" w:line="190" w:lineRule="exact"/>
              <w:rPr>
                <w:sz w:val="20"/>
                <w:szCs w:val="20"/>
                <w:color w:val="auto"/>
              </w:rPr>
            </w:pPr>
            <w:r>
              <w:rPr>
                <w:rFonts w:ascii="Arial" w:cs="Arial" w:eastAsia="Arial" w:hAnsi="Arial"/>
                <w:sz w:val="17"/>
                <w:szCs w:val="17"/>
                <w:color w:val="auto"/>
              </w:rPr>
              <w:t>Stockholders’ Equity, (v) Consolidated Statements of Cash Flows and (vi) Notes to Consolidated Financial Statements, tagged as</w:t>
            </w:r>
          </w:p>
        </w:tc>
      </w:tr>
      <w:tr>
        <w:trPr>
          <w:trHeight w:val="203"/>
        </w:trPr>
        <w:tc>
          <w:tcPr>
            <w:tcW w:w="460" w:type="dxa"/>
            <w:vAlign w:val="bottom"/>
          </w:tcPr>
          <w:p>
            <w:pPr>
              <w:spacing w:after="0"/>
              <w:rPr>
                <w:sz w:val="17"/>
                <w:szCs w:val="17"/>
                <w:color w:val="auto"/>
              </w:rPr>
            </w:pPr>
          </w:p>
        </w:tc>
        <w:tc>
          <w:tcPr>
            <w:tcW w:w="10780" w:type="dxa"/>
            <w:vAlign w:val="bottom"/>
            <w:gridSpan w:val="2"/>
          </w:tcPr>
          <w:p>
            <w:pPr>
              <w:ind w:left="740"/>
              <w:spacing w:after="0"/>
              <w:rPr>
                <w:sz w:val="20"/>
                <w:szCs w:val="20"/>
                <w:color w:val="auto"/>
              </w:rPr>
            </w:pPr>
            <w:r>
              <w:rPr>
                <w:rFonts w:ascii="Arial" w:cs="Arial" w:eastAsia="Arial" w:hAnsi="Arial"/>
                <w:sz w:val="17"/>
                <w:szCs w:val="17"/>
                <w:color w:val="auto"/>
              </w:rPr>
              <w:t>blocks of text and including detailed tags.</w:t>
            </w:r>
          </w:p>
        </w:tc>
      </w:tr>
      <w:tr>
        <w:trPr>
          <w:trHeight w:val="304"/>
        </w:trPr>
        <w:tc>
          <w:tcPr>
            <w:tcW w:w="460" w:type="dxa"/>
            <w:vAlign w:val="bottom"/>
          </w:tcPr>
          <w:p>
            <w:pPr>
              <w:spacing w:after="0"/>
              <w:rPr>
                <w:sz w:val="20"/>
                <w:szCs w:val="20"/>
                <w:color w:val="auto"/>
              </w:rPr>
            </w:pPr>
            <w:r>
              <w:rPr>
                <w:rFonts w:ascii="Arial" w:cs="Arial" w:eastAsia="Arial" w:hAnsi="Arial"/>
                <w:sz w:val="17"/>
                <w:szCs w:val="17"/>
                <w:color w:val="auto"/>
              </w:rPr>
              <w:t>104*</w:t>
            </w:r>
          </w:p>
        </w:tc>
        <w:tc>
          <w:tcPr>
            <w:tcW w:w="10780" w:type="dxa"/>
            <w:vAlign w:val="bottom"/>
            <w:gridSpan w:val="2"/>
          </w:tcPr>
          <w:p>
            <w:pPr>
              <w:ind w:left="740"/>
              <w:spacing w:after="0"/>
              <w:rPr>
                <w:sz w:val="20"/>
                <w:szCs w:val="20"/>
                <w:color w:val="auto"/>
              </w:rPr>
            </w:pPr>
            <w:r>
              <w:rPr>
                <w:rFonts w:ascii="Arial" w:cs="Arial" w:eastAsia="Arial" w:hAnsi="Arial"/>
                <w:sz w:val="17"/>
                <w:szCs w:val="17"/>
                <w:color w:val="auto"/>
                <w:w w:val="99"/>
              </w:rPr>
              <w:t>Cover Page Interactive Data File (formatted as inline XBRL with applicable taxonomy extension information contained in Exhibits 101).</w:t>
            </w:r>
          </w:p>
        </w:tc>
      </w:tr>
      <w:tr>
        <w:trPr>
          <w:trHeight w:val="609"/>
        </w:trPr>
        <w:tc>
          <w:tcPr>
            <w:tcW w:w="460" w:type="dxa"/>
            <w:vAlign w:val="bottom"/>
          </w:tcPr>
          <w:p>
            <w:pPr>
              <w:spacing w:after="0"/>
              <w:rPr>
                <w:sz w:val="24"/>
                <w:szCs w:val="24"/>
                <w:color w:val="auto"/>
              </w:rPr>
            </w:pPr>
          </w:p>
        </w:tc>
        <w:tc>
          <w:tcPr>
            <w:tcW w:w="10780" w:type="dxa"/>
            <w:vAlign w:val="bottom"/>
            <w:gridSpan w:val="2"/>
          </w:tcPr>
          <w:p>
            <w:pPr>
              <w:spacing w:after="0"/>
              <w:rPr>
                <w:sz w:val="24"/>
                <w:szCs w:val="24"/>
                <w:color w:val="auto"/>
              </w:rPr>
            </w:pPr>
          </w:p>
        </w:tc>
      </w:tr>
      <w:tr>
        <w:trPr>
          <w:trHeight w:val="182"/>
        </w:trPr>
        <w:tc>
          <w:tcPr>
            <w:tcW w:w="46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ind w:left="120"/>
              <w:spacing w:after="0" w:line="182" w:lineRule="exact"/>
              <w:rPr>
                <w:sz w:val="20"/>
                <w:szCs w:val="20"/>
                <w:color w:val="auto"/>
              </w:rPr>
            </w:pPr>
            <w:r>
              <w:rPr>
                <w:rFonts w:ascii="Arial" w:cs="Arial" w:eastAsia="Arial" w:hAnsi="Arial"/>
                <w:sz w:val="17"/>
                <w:szCs w:val="17"/>
                <w:color w:val="auto"/>
              </w:rPr>
              <w:t>Filed herewith.</w:t>
            </w:r>
          </w:p>
        </w:tc>
        <w:tc>
          <w:tcPr>
            <w:tcW w:w="9520" w:type="dxa"/>
            <w:vAlign w:val="bottom"/>
          </w:tcPr>
          <w:p>
            <w:pPr>
              <w:spacing w:after="0"/>
              <w:rPr>
                <w:sz w:val="15"/>
                <w:szCs w:val="15"/>
                <w:color w:val="auto"/>
              </w:rPr>
            </w:pPr>
          </w:p>
        </w:tc>
      </w:tr>
      <w:tr>
        <w:trPr>
          <w:trHeight w:val="190"/>
        </w:trPr>
        <w:tc>
          <w:tcPr>
            <w:tcW w:w="460" w:type="dxa"/>
            <w:vAlign w:val="bottom"/>
          </w:tcPr>
          <w:p>
            <w:pPr>
              <w:spacing w:after="0" w:line="190" w:lineRule="exact"/>
              <w:rPr>
                <w:sz w:val="20"/>
                <w:szCs w:val="20"/>
                <w:color w:val="auto"/>
              </w:rPr>
            </w:pPr>
            <w:r>
              <w:rPr>
                <w:rFonts w:ascii="Arial" w:cs="Arial" w:eastAsia="Arial" w:hAnsi="Arial"/>
                <w:sz w:val="17"/>
                <w:szCs w:val="17"/>
                <w:color w:val="auto"/>
              </w:rPr>
              <w:t>#</w:t>
            </w:r>
          </w:p>
        </w:tc>
        <w:tc>
          <w:tcPr>
            <w:tcW w:w="10780" w:type="dxa"/>
            <w:vAlign w:val="bottom"/>
            <w:gridSpan w:val="2"/>
          </w:tcPr>
          <w:p>
            <w:pPr>
              <w:ind w:left="120"/>
              <w:spacing w:after="0" w:line="190" w:lineRule="exact"/>
              <w:rPr>
                <w:sz w:val="20"/>
                <w:szCs w:val="20"/>
                <w:color w:val="auto"/>
              </w:rPr>
            </w:pPr>
            <w:r>
              <w:rPr>
                <w:rFonts w:ascii="Arial" w:cs="Arial" w:eastAsia="Arial" w:hAnsi="Arial"/>
                <w:sz w:val="17"/>
                <w:szCs w:val="17"/>
                <w:color w:val="auto"/>
              </w:rPr>
              <w:t>Previously filed.</w:t>
            </w:r>
          </w:p>
        </w:tc>
      </w:tr>
      <w:tr>
        <w:trPr>
          <w:trHeight w:val="203"/>
        </w:trPr>
        <w:tc>
          <w:tcPr>
            <w:tcW w:w="460" w:type="dxa"/>
            <w:vAlign w:val="bottom"/>
          </w:tcPr>
          <w:p>
            <w:pPr>
              <w:spacing w:after="0"/>
              <w:rPr>
                <w:sz w:val="20"/>
                <w:szCs w:val="20"/>
                <w:color w:val="auto"/>
              </w:rPr>
            </w:pPr>
            <w:r>
              <w:rPr>
                <w:rFonts w:ascii="Arial" w:cs="Arial" w:eastAsia="Arial" w:hAnsi="Arial"/>
                <w:sz w:val="17"/>
                <w:szCs w:val="17"/>
                <w:color w:val="auto"/>
              </w:rPr>
              <w:t>+</w:t>
            </w:r>
          </w:p>
        </w:tc>
        <w:tc>
          <w:tcPr>
            <w:tcW w:w="10780" w:type="dxa"/>
            <w:vAlign w:val="bottom"/>
            <w:gridSpan w:val="2"/>
          </w:tcPr>
          <w:p>
            <w:pPr>
              <w:ind w:left="120"/>
              <w:spacing w:after="0"/>
              <w:rPr>
                <w:sz w:val="20"/>
                <w:szCs w:val="20"/>
                <w:color w:val="auto"/>
              </w:rPr>
            </w:pPr>
            <w:r>
              <w:rPr>
                <w:rFonts w:ascii="Arial" w:cs="Arial" w:eastAsia="Arial" w:hAnsi="Arial"/>
                <w:sz w:val="17"/>
                <w:szCs w:val="17"/>
                <w:color w:val="auto"/>
              </w:rPr>
              <w:t>Indicates a management contract or compensatory plan or arrangement.</w:t>
            </w:r>
          </w:p>
        </w:tc>
      </w:tr>
      <w:tr>
        <w:trPr>
          <w:trHeight w:val="393"/>
        </w:trPr>
        <w:tc>
          <w:tcPr>
            <w:tcW w:w="460" w:type="dxa"/>
            <w:vAlign w:val="bottom"/>
          </w:tcPr>
          <w:p>
            <w:pPr>
              <w:spacing w:after="0"/>
              <w:rPr>
                <w:sz w:val="24"/>
                <w:szCs w:val="24"/>
                <w:color w:val="auto"/>
              </w:rPr>
            </w:pPr>
          </w:p>
        </w:tc>
        <w:tc>
          <w:tcPr>
            <w:tcW w:w="10780" w:type="dxa"/>
            <w:vAlign w:val="bottom"/>
            <w:gridSpan w:val="2"/>
          </w:tcPr>
          <w:p>
            <w:pPr>
              <w:ind w:left="5080"/>
              <w:spacing w:after="0"/>
              <w:rPr>
                <w:sz w:val="20"/>
                <w:szCs w:val="20"/>
                <w:color w:val="auto"/>
              </w:rPr>
            </w:pPr>
            <w:r>
              <w:rPr>
                <w:rFonts w:ascii="Arial" w:cs="Arial" w:eastAsia="Arial" w:hAnsi="Arial"/>
                <w:sz w:val="17"/>
                <w:szCs w:val="17"/>
                <w:color w:val="auto"/>
              </w:rPr>
              <w:t>89</w:t>
            </w:r>
          </w:p>
        </w:tc>
      </w:tr>
      <w:tr>
        <w:trPr>
          <w:trHeight w:val="95"/>
        </w:trPr>
        <w:tc>
          <w:tcPr>
            <w:tcW w:w="4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95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2">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7"/>
          <w:szCs w:val="17"/>
          <w:b w:val="1"/>
          <w:bCs w:val="1"/>
          <w:color w:val="auto"/>
        </w:rPr>
        <w:t>SIGNATURES</w:t>
      </w:r>
    </w:p>
    <w:p>
      <w:pPr>
        <w:spacing w:after="0" w:line="218" w:lineRule="exact"/>
        <w:rPr>
          <w:sz w:val="20"/>
          <w:szCs w:val="20"/>
          <w:color w:val="auto"/>
        </w:rPr>
      </w:pPr>
    </w:p>
    <w:p>
      <w:pPr>
        <w:ind w:right="100" w:firstLine="589"/>
        <w:spacing w:after="0" w:line="242"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7"/>
          <w:szCs w:val="17"/>
          <w:b w:val="1"/>
          <w:bCs w:val="1"/>
          <w:color w:val="auto"/>
        </w:rPr>
        <w: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3440" w:type="dxa"/>
            <w:vAlign w:val="bottom"/>
            <w:gridSpan w:val="2"/>
          </w:tcPr>
          <w:p>
            <w:pPr>
              <w:ind w:left="1880"/>
              <w:spacing w:after="0"/>
              <w:rPr>
                <w:sz w:val="20"/>
                <w:szCs w:val="20"/>
                <w:color w:val="auto"/>
              </w:rPr>
            </w:pPr>
            <w:r>
              <w:rPr>
                <w:rFonts w:ascii="Arial" w:cs="Arial" w:eastAsia="Arial" w:hAnsi="Arial"/>
                <w:sz w:val="17"/>
                <w:szCs w:val="17"/>
                <w:color w:val="auto"/>
              </w:rPr>
              <w:t>Company Name</w:t>
            </w:r>
          </w:p>
        </w:tc>
        <w:tc>
          <w:tcPr>
            <w:tcW w:w="4080" w:type="dxa"/>
            <w:vAlign w:val="bottom"/>
          </w:tcPr>
          <w:p>
            <w:pPr>
              <w:spacing w:after="0"/>
              <w:rPr>
                <w:sz w:val="17"/>
                <w:szCs w:val="17"/>
                <w:color w:val="auto"/>
              </w:rPr>
            </w:pPr>
          </w:p>
        </w:tc>
      </w:tr>
      <w:tr>
        <w:trPr>
          <w:trHeight w:val="394"/>
        </w:trPr>
        <w:tc>
          <w:tcPr>
            <w:tcW w:w="3720" w:type="dxa"/>
            <w:vAlign w:val="bottom"/>
          </w:tcPr>
          <w:p>
            <w:pPr>
              <w:spacing w:after="0"/>
              <w:rPr>
                <w:sz w:val="20"/>
                <w:szCs w:val="20"/>
                <w:color w:val="auto"/>
              </w:rPr>
            </w:pPr>
            <w:r>
              <w:rPr>
                <w:rFonts w:ascii="Arial" w:cs="Arial" w:eastAsia="Arial" w:hAnsi="Arial"/>
                <w:sz w:val="17"/>
                <w:szCs w:val="17"/>
                <w:color w:val="auto"/>
              </w:rPr>
              <w:t>Date: February 23, 2022</w:t>
            </w:r>
          </w:p>
        </w:tc>
        <w:tc>
          <w:tcPr>
            <w:tcW w:w="3440" w:type="dxa"/>
            <w:vAlign w:val="bottom"/>
            <w:gridSpan w:val="2"/>
          </w:tcPr>
          <w:p>
            <w:pPr>
              <w:ind w:left="1880"/>
              <w:spacing w:after="0"/>
              <w:rPr>
                <w:sz w:val="20"/>
                <w:szCs w:val="20"/>
                <w:color w:val="auto"/>
              </w:rPr>
            </w:pPr>
            <w:r>
              <w:rPr>
                <w:rFonts w:ascii="Arial" w:cs="Arial" w:eastAsia="Arial" w:hAnsi="Arial"/>
                <w:sz w:val="17"/>
                <w:szCs w:val="17"/>
                <w:color w:val="auto"/>
              </w:rPr>
              <w:t>By:</w:t>
            </w:r>
          </w:p>
        </w:tc>
        <w:tc>
          <w:tcPr>
            <w:tcW w:w="4080" w:type="dxa"/>
            <w:vAlign w:val="bottom"/>
          </w:tcPr>
          <w:p>
            <w:pPr>
              <w:jc w:val="center"/>
              <w:ind w:right="1236"/>
              <w:spacing w:after="0"/>
              <w:rPr>
                <w:sz w:val="20"/>
                <w:szCs w:val="20"/>
                <w:color w:val="auto"/>
              </w:rPr>
            </w:pPr>
            <w:r>
              <w:rPr>
                <w:rFonts w:ascii="Arial" w:cs="Arial" w:eastAsia="Arial" w:hAnsi="Arial"/>
                <w:sz w:val="17"/>
                <w:szCs w:val="17"/>
                <w:color w:val="auto"/>
                <w:w w:val="99"/>
              </w:rPr>
              <w:t>/s/ Carey A. Smith</w:t>
            </w:r>
          </w:p>
        </w:tc>
      </w:tr>
      <w:tr>
        <w:trPr>
          <w:trHeight w:val="207"/>
        </w:trPr>
        <w:tc>
          <w:tcPr>
            <w:tcW w:w="37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4080" w:type="dxa"/>
            <w:vAlign w:val="bottom"/>
            <w:tcBorders>
              <w:top w:val="single" w:sz="8" w:color="auto"/>
            </w:tcBorders>
          </w:tcPr>
          <w:p>
            <w:pPr>
              <w:jc w:val="center"/>
              <w:ind w:right="1216"/>
              <w:spacing w:after="0"/>
              <w:rPr>
                <w:sz w:val="20"/>
                <w:szCs w:val="20"/>
                <w:color w:val="auto"/>
              </w:rPr>
            </w:pPr>
            <w:r>
              <w:rPr>
                <w:rFonts w:ascii="Arial" w:cs="Arial" w:eastAsia="Arial" w:hAnsi="Arial"/>
                <w:sz w:val="17"/>
                <w:szCs w:val="17"/>
                <w:color w:val="auto"/>
                <w:w w:val="99"/>
              </w:rPr>
              <w:t>Carey A. Smith</w:t>
            </w:r>
          </w:p>
        </w:tc>
      </w:tr>
      <w:tr>
        <w:trPr>
          <w:trHeight w:val="241"/>
        </w:trPr>
        <w:tc>
          <w:tcPr>
            <w:tcW w:w="37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80" w:type="dxa"/>
            <w:vAlign w:val="bottom"/>
          </w:tcPr>
          <w:p>
            <w:pPr>
              <w:jc w:val="center"/>
              <w:ind w:right="1236"/>
              <w:spacing w:after="0"/>
              <w:rPr>
                <w:sz w:val="20"/>
                <w:szCs w:val="20"/>
                <w:color w:val="auto"/>
              </w:rPr>
            </w:pPr>
            <w:r>
              <w:rPr>
                <w:rFonts w:ascii="Arial" w:cs="Arial" w:eastAsia="Arial" w:hAnsi="Arial"/>
                <w:sz w:val="17"/>
                <w:szCs w:val="17"/>
                <w:color w:val="auto"/>
                <w:w w:val="99"/>
              </w:rPr>
              <w:t>Chief Executive Officer</w:t>
            </w:r>
          </w:p>
        </w:tc>
      </w:tr>
      <w:tr>
        <w:trPr>
          <w:trHeight w:val="203"/>
        </w:trPr>
        <w:tc>
          <w:tcPr>
            <w:tcW w:w="37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80" w:type="dxa"/>
            <w:vAlign w:val="bottom"/>
          </w:tcPr>
          <w:p>
            <w:pPr>
              <w:jc w:val="center"/>
              <w:ind w:right="1236"/>
              <w:spacing w:after="0"/>
              <w:rPr>
                <w:sz w:val="20"/>
                <w:szCs w:val="20"/>
                <w:color w:val="auto"/>
              </w:rPr>
            </w:pPr>
            <w:r>
              <w:rPr>
                <w:rFonts w:ascii="Arial" w:cs="Arial" w:eastAsia="Arial" w:hAnsi="Arial"/>
                <w:sz w:val="17"/>
                <w:szCs w:val="17"/>
                <w:color w:val="auto"/>
                <w:w w:val="99"/>
              </w:rPr>
              <w:t>(Principal Executive Officer)</w:t>
            </w:r>
          </w:p>
        </w:tc>
      </w:tr>
    </w:tbl>
    <w:p>
      <w:pPr>
        <w:spacing w:after="0" w:line="215" w:lineRule="exact"/>
        <w:rPr>
          <w:sz w:val="20"/>
          <w:szCs w:val="20"/>
          <w:color w:val="auto"/>
        </w:rPr>
      </w:pPr>
    </w:p>
    <w:p>
      <w:pPr>
        <w:ind w:right="580" w:firstLine="589"/>
        <w:spacing w:after="0" w:line="242" w:lineRule="auto"/>
        <w:rPr>
          <w:sz w:val="20"/>
          <w:szCs w:val="20"/>
          <w:color w:val="auto"/>
        </w:rPr>
      </w:pPr>
      <w:r>
        <w:rPr>
          <w:rFonts w:ascii="Arial" w:cs="Arial" w:eastAsia="Arial" w:hAnsi="Arial"/>
          <w:sz w:val="17"/>
          <w:szCs w:val="17"/>
          <w:color w:val="auto"/>
        </w:rPr>
        <w:t>Pursuant to the requirements of the Securities Exchange Act of 1934, as amended, this Report has been signed below by the following persons on behalf of the Registrant in the capacities and on the dates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Name</w:t>
            </w:r>
          </w:p>
        </w:tc>
        <w:tc>
          <w:tcPr>
            <w:tcW w:w="120" w:type="dxa"/>
            <w:vAlign w:val="bottom"/>
          </w:tcPr>
          <w:p>
            <w:pPr>
              <w:spacing w:after="0"/>
              <w:rPr>
                <w:sz w:val="16"/>
                <w:szCs w:val="16"/>
                <w:color w:val="auto"/>
              </w:rPr>
            </w:pPr>
          </w:p>
        </w:tc>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Title</w:t>
            </w:r>
          </w:p>
        </w:tc>
        <w:tc>
          <w:tcPr>
            <w:tcW w:w="120" w:type="dxa"/>
            <w:vAlign w:val="bottom"/>
          </w:tcPr>
          <w:p>
            <w:pPr>
              <w:spacing w:after="0"/>
              <w:rPr>
                <w:sz w:val="16"/>
                <w:szCs w:val="16"/>
                <w:color w:val="auto"/>
              </w:rPr>
            </w:pPr>
          </w:p>
        </w:tc>
        <w:tc>
          <w:tcPr>
            <w:tcW w:w="2680" w:type="dxa"/>
            <w:vAlign w:val="bottom"/>
            <w:tcBorders>
              <w:bottom w:val="single" w:sz="8" w:color="auto"/>
            </w:tcBorders>
          </w:tcPr>
          <w:p>
            <w:pPr>
              <w:ind w:left="1160"/>
              <w:spacing w:after="0"/>
              <w:rPr>
                <w:sz w:val="20"/>
                <w:szCs w:val="20"/>
                <w:color w:val="auto"/>
              </w:rPr>
            </w:pPr>
            <w:r>
              <w:rPr>
                <w:rFonts w:ascii="Arial" w:cs="Arial" w:eastAsia="Arial" w:hAnsi="Arial"/>
                <w:sz w:val="17"/>
                <w:szCs w:val="17"/>
                <w:color w:val="auto"/>
              </w:rPr>
              <w:t>Date</w:t>
            </w:r>
          </w:p>
        </w:tc>
      </w:tr>
      <w:tr>
        <w:trPr>
          <w:trHeight w:val="284"/>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/s/ Carey A. Smith</w:t>
            </w:r>
          </w:p>
        </w:tc>
        <w:tc>
          <w:tcPr>
            <w:tcW w:w="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Arial" w:cs="Arial" w:eastAsia="Arial" w:hAnsi="Arial"/>
                <w:sz w:val="17"/>
                <w:szCs w:val="17"/>
                <w:color w:val="auto"/>
                <w:w w:val="99"/>
              </w:rPr>
              <w:t>Chief Executive Officer and Director</w:t>
            </w:r>
          </w:p>
        </w:tc>
        <w:tc>
          <w:tcPr>
            <w:tcW w:w="2800" w:type="dxa"/>
            <w:vAlign w:val="bottom"/>
            <w:gridSpan w:val="2"/>
          </w:tcPr>
          <w:p>
            <w:pPr>
              <w:ind w:left="120"/>
              <w:spacing w:after="0"/>
              <w:rPr>
                <w:sz w:val="20"/>
                <w:szCs w:val="20"/>
                <w:color w:val="auto"/>
              </w:rPr>
            </w:pPr>
            <w:r>
              <w:rPr>
                <w:rFonts w:ascii="Arial" w:cs="Arial" w:eastAsia="Arial" w:hAnsi="Arial"/>
                <w:sz w:val="17"/>
                <w:szCs w:val="17"/>
                <w:color w:val="auto"/>
              </w:rPr>
              <w:t>February 23, 2022</w:t>
            </w:r>
          </w:p>
        </w:tc>
      </w:tr>
      <w:tr>
        <w:trPr>
          <w:trHeight w:val="207"/>
        </w:trPr>
        <w:tc>
          <w:tcPr>
            <w:tcW w:w="2700" w:type="dxa"/>
            <w:vAlign w:val="bottom"/>
          </w:tcPr>
          <w:p>
            <w:pPr>
              <w:jc w:val="center"/>
              <w:spacing w:after="0"/>
              <w:rPr>
                <w:sz w:val="20"/>
                <w:szCs w:val="20"/>
                <w:color w:val="auto"/>
              </w:rPr>
            </w:pPr>
            <w:r>
              <w:rPr>
                <w:rFonts w:ascii="Arial" w:cs="Arial" w:eastAsia="Arial" w:hAnsi="Arial"/>
                <w:sz w:val="17"/>
                <w:szCs w:val="17"/>
                <w:color w:val="auto"/>
                <w:w w:val="99"/>
              </w:rPr>
              <w:t>Carey A. Smith</w:t>
            </w:r>
          </w:p>
        </w:tc>
        <w:tc>
          <w:tcPr>
            <w:tcW w:w="12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Arial" w:cs="Arial" w:eastAsia="Arial" w:hAnsi="Arial"/>
                <w:sz w:val="17"/>
                <w:szCs w:val="17"/>
                <w:color w:val="auto"/>
                <w:w w:val="99"/>
              </w:rPr>
              <w:t>(Principal Executive Officer)</w:t>
            </w: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80"/>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/s/ George L. Ball</w:t>
            </w:r>
          </w:p>
        </w:tc>
        <w:tc>
          <w:tcPr>
            <w:tcW w:w="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Arial" w:cs="Arial" w:eastAsia="Arial" w:hAnsi="Arial"/>
                <w:sz w:val="17"/>
                <w:szCs w:val="17"/>
                <w:color w:val="auto"/>
                <w:w w:val="99"/>
              </w:rPr>
              <w:t>Chief Financial Officer</w:t>
            </w:r>
          </w:p>
        </w:tc>
        <w:tc>
          <w:tcPr>
            <w:tcW w:w="2800" w:type="dxa"/>
            <w:vAlign w:val="bottom"/>
            <w:gridSpan w:val="2"/>
          </w:tcPr>
          <w:p>
            <w:pPr>
              <w:ind w:left="120"/>
              <w:spacing w:after="0"/>
              <w:rPr>
                <w:sz w:val="20"/>
                <w:szCs w:val="20"/>
                <w:color w:val="auto"/>
              </w:rPr>
            </w:pPr>
            <w:r>
              <w:rPr>
                <w:rFonts w:ascii="Arial" w:cs="Arial" w:eastAsia="Arial" w:hAnsi="Arial"/>
                <w:sz w:val="17"/>
                <w:szCs w:val="17"/>
                <w:color w:val="auto"/>
              </w:rPr>
              <w:t>February 23, 2022</w:t>
            </w:r>
          </w:p>
        </w:tc>
      </w:tr>
      <w:tr>
        <w:trPr>
          <w:trHeight w:val="207"/>
        </w:trPr>
        <w:tc>
          <w:tcPr>
            <w:tcW w:w="2700" w:type="dxa"/>
            <w:vAlign w:val="bottom"/>
          </w:tcPr>
          <w:p>
            <w:pPr>
              <w:jc w:val="center"/>
              <w:spacing w:after="0"/>
              <w:rPr>
                <w:sz w:val="20"/>
                <w:szCs w:val="20"/>
                <w:color w:val="auto"/>
              </w:rPr>
            </w:pPr>
            <w:r>
              <w:rPr>
                <w:rFonts w:ascii="Arial" w:cs="Arial" w:eastAsia="Arial" w:hAnsi="Arial"/>
                <w:sz w:val="17"/>
                <w:szCs w:val="17"/>
                <w:color w:val="auto"/>
                <w:w w:val="99"/>
              </w:rPr>
              <w:t>George L. Ball</w:t>
            </w:r>
          </w:p>
        </w:tc>
        <w:tc>
          <w:tcPr>
            <w:tcW w:w="12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Arial" w:cs="Arial" w:eastAsia="Arial" w:hAnsi="Arial"/>
                <w:sz w:val="17"/>
                <w:szCs w:val="17"/>
                <w:color w:val="auto"/>
                <w:w w:val="99"/>
              </w:rPr>
              <w:t>(Principal Financial and Accounting Officer)</w:t>
            </w: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368"/>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/s/ Charles L. Harrington</w:t>
            </w:r>
          </w:p>
        </w:tc>
        <w:tc>
          <w:tcPr>
            <w:tcW w:w="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Arial" w:cs="Arial" w:eastAsia="Arial" w:hAnsi="Arial"/>
                <w:sz w:val="17"/>
                <w:szCs w:val="17"/>
                <w:color w:val="auto"/>
              </w:rPr>
              <w:t>Director</w:t>
            </w:r>
          </w:p>
        </w:tc>
        <w:tc>
          <w:tcPr>
            <w:tcW w:w="2800" w:type="dxa"/>
            <w:vAlign w:val="bottom"/>
            <w:gridSpan w:val="2"/>
          </w:tcPr>
          <w:p>
            <w:pPr>
              <w:ind w:left="120"/>
              <w:spacing w:after="0"/>
              <w:rPr>
                <w:sz w:val="20"/>
                <w:szCs w:val="20"/>
                <w:color w:val="auto"/>
              </w:rPr>
            </w:pPr>
            <w:r>
              <w:rPr>
                <w:rFonts w:ascii="Arial" w:cs="Arial" w:eastAsia="Arial" w:hAnsi="Arial"/>
                <w:sz w:val="17"/>
                <w:szCs w:val="17"/>
                <w:color w:val="auto"/>
              </w:rPr>
              <w:t>February 23, 2022</w:t>
            </w:r>
          </w:p>
        </w:tc>
      </w:tr>
      <w:tr>
        <w:trPr>
          <w:trHeight w:val="246"/>
        </w:trPr>
        <w:tc>
          <w:tcPr>
            <w:tcW w:w="2700" w:type="dxa"/>
            <w:vAlign w:val="bottom"/>
          </w:tcPr>
          <w:p>
            <w:pPr>
              <w:jc w:val="center"/>
              <w:spacing w:after="0"/>
              <w:rPr>
                <w:sz w:val="20"/>
                <w:szCs w:val="20"/>
                <w:color w:val="auto"/>
              </w:rPr>
            </w:pPr>
            <w:r>
              <w:rPr>
                <w:rFonts w:ascii="Arial" w:cs="Arial" w:eastAsia="Arial" w:hAnsi="Arial"/>
                <w:sz w:val="17"/>
                <w:szCs w:val="17"/>
                <w:color w:val="auto"/>
                <w:w w:val="99"/>
              </w:rPr>
              <w:t>Charles L. Harrington</w:t>
            </w:r>
          </w:p>
        </w:tc>
        <w:tc>
          <w:tcPr>
            <w:tcW w:w="12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Pr>
          <w:p>
            <w:pPr>
              <w:spacing w:after="0"/>
              <w:rPr>
                <w:sz w:val="21"/>
                <w:szCs w:val="21"/>
                <w:color w:val="auto"/>
              </w:rPr>
            </w:pPr>
          </w:p>
        </w:tc>
      </w:tr>
      <w:tr>
        <w:trPr>
          <w:trHeight w:val="280"/>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/s/ Mark K. Holdsworth</w:t>
            </w:r>
          </w:p>
        </w:tc>
        <w:tc>
          <w:tcPr>
            <w:tcW w:w="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Arial" w:cs="Arial" w:eastAsia="Arial" w:hAnsi="Arial"/>
                <w:sz w:val="17"/>
                <w:szCs w:val="17"/>
                <w:color w:val="auto"/>
              </w:rPr>
              <w:t>Director</w:t>
            </w:r>
          </w:p>
        </w:tc>
        <w:tc>
          <w:tcPr>
            <w:tcW w:w="2800" w:type="dxa"/>
            <w:vAlign w:val="bottom"/>
            <w:gridSpan w:val="2"/>
          </w:tcPr>
          <w:p>
            <w:pPr>
              <w:ind w:left="120"/>
              <w:spacing w:after="0"/>
              <w:rPr>
                <w:sz w:val="20"/>
                <w:szCs w:val="20"/>
                <w:color w:val="auto"/>
              </w:rPr>
            </w:pPr>
            <w:r>
              <w:rPr>
                <w:rFonts w:ascii="Arial" w:cs="Arial" w:eastAsia="Arial" w:hAnsi="Arial"/>
                <w:sz w:val="17"/>
                <w:szCs w:val="17"/>
                <w:color w:val="auto"/>
              </w:rPr>
              <w:t>February 23, 2022</w:t>
            </w:r>
          </w:p>
        </w:tc>
      </w:tr>
      <w:tr>
        <w:trPr>
          <w:trHeight w:val="246"/>
        </w:trPr>
        <w:tc>
          <w:tcPr>
            <w:tcW w:w="2700" w:type="dxa"/>
            <w:vAlign w:val="bottom"/>
          </w:tcPr>
          <w:p>
            <w:pPr>
              <w:jc w:val="center"/>
              <w:spacing w:after="0"/>
              <w:rPr>
                <w:sz w:val="20"/>
                <w:szCs w:val="20"/>
                <w:color w:val="auto"/>
              </w:rPr>
            </w:pPr>
            <w:r>
              <w:rPr>
                <w:rFonts w:ascii="Arial" w:cs="Arial" w:eastAsia="Arial" w:hAnsi="Arial"/>
                <w:sz w:val="17"/>
                <w:szCs w:val="17"/>
                <w:color w:val="auto"/>
                <w:w w:val="99"/>
              </w:rPr>
              <w:t>Mark K. Holdsworth</w:t>
            </w:r>
          </w:p>
        </w:tc>
        <w:tc>
          <w:tcPr>
            <w:tcW w:w="12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Pr>
          <w:p>
            <w:pPr>
              <w:spacing w:after="0"/>
              <w:rPr>
                <w:sz w:val="21"/>
                <w:szCs w:val="21"/>
                <w:color w:val="auto"/>
              </w:rPr>
            </w:pPr>
          </w:p>
        </w:tc>
      </w:tr>
      <w:tr>
        <w:trPr>
          <w:trHeight w:val="280"/>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/s/ Steven F. Leer</w:t>
            </w:r>
          </w:p>
        </w:tc>
        <w:tc>
          <w:tcPr>
            <w:tcW w:w="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Arial" w:cs="Arial" w:eastAsia="Arial" w:hAnsi="Arial"/>
                <w:sz w:val="17"/>
                <w:szCs w:val="17"/>
                <w:color w:val="auto"/>
              </w:rPr>
              <w:t>Director</w:t>
            </w:r>
          </w:p>
        </w:tc>
        <w:tc>
          <w:tcPr>
            <w:tcW w:w="2800" w:type="dxa"/>
            <w:vAlign w:val="bottom"/>
            <w:gridSpan w:val="2"/>
          </w:tcPr>
          <w:p>
            <w:pPr>
              <w:ind w:left="120"/>
              <w:spacing w:after="0"/>
              <w:rPr>
                <w:sz w:val="20"/>
                <w:szCs w:val="20"/>
                <w:color w:val="auto"/>
              </w:rPr>
            </w:pPr>
            <w:r>
              <w:rPr>
                <w:rFonts w:ascii="Arial" w:cs="Arial" w:eastAsia="Arial" w:hAnsi="Arial"/>
                <w:sz w:val="17"/>
                <w:szCs w:val="17"/>
                <w:color w:val="auto"/>
              </w:rPr>
              <w:t>February 23, 2022</w:t>
            </w:r>
          </w:p>
        </w:tc>
      </w:tr>
      <w:tr>
        <w:trPr>
          <w:trHeight w:val="246"/>
        </w:trPr>
        <w:tc>
          <w:tcPr>
            <w:tcW w:w="2700" w:type="dxa"/>
            <w:vAlign w:val="bottom"/>
          </w:tcPr>
          <w:p>
            <w:pPr>
              <w:jc w:val="center"/>
              <w:spacing w:after="0"/>
              <w:rPr>
                <w:sz w:val="20"/>
                <w:szCs w:val="20"/>
                <w:color w:val="auto"/>
              </w:rPr>
            </w:pPr>
            <w:r>
              <w:rPr>
                <w:rFonts w:ascii="Arial" w:cs="Arial" w:eastAsia="Arial" w:hAnsi="Arial"/>
                <w:sz w:val="17"/>
                <w:szCs w:val="17"/>
                <w:color w:val="auto"/>
                <w:w w:val="98"/>
              </w:rPr>
              <w:t>Steven F. Leer</w:t>
            </w:r>
          </w:p>
        </w:tc>
        <w:tc>
          <w:tcPr>
            <w:tcW w:w="12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Pr>
          <w:p>
            <w:pPr>
              <w:spacing w:after="0"/>
              <w:rPr>
                <w:sz w:val="21"/>
                <w:szCs w:val="21"/>
                <w:color w:val="auto"/>
              </w:rPr>
            </w:pPr>
          </w:p>
        </w:tc>
      </w:tr>
      <w:tr>
        <w:trPr>
          <w:trHeight w:val="280"/>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/s/ Letitia A. Long</w:t>
            </w:r>
          </w:p>
        </w:tc>
        <w:tc>
          <w:tcPr>
            <w:tcW w:w="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Arial" w:cs="Arial" w:eastAsia="Arial" w:hAnsi="Arial"/>
                <w:sz w:val="17"/>
                <w:szCs w:val="17"/>
                <w:color w:val="auto"/>
              </w:rPr>
              <w:t>Director</w:t>
            </w:r>
          </w:p>
        </w:tc>
        <w:tc>
          <w:tcPr>
            <w:tcW w:w="2800" w:type="dxa"/>
            <w:vAlign w:val="bottom"/>
            <w:gridSpan w:val="2"/>
          </w:tcPr>
          <w:p>
            <w:pPr>
              <w:ind w:left="120"/>
              <w:spacing w:after="0"/>
              <w:rPr>
                <w:sz w:val="20"/>
                <w:szCs w:val="20"/>
                <w:color w:val="auto"/>
              </w:rPr>
            </w:pPr>
            <w:r>
              <w:rPr>
                <w:rFonts w:ascii="Arial" w:cs="Arial" w:eastAsia="Arial" w:hAnsi="Arial"/>
                <w:sz w:val="17"/>
                <w:szCs w:val="17"/>
                <w:color w:val="auto"/>
              </w:rPr>
              <w:t>February 23, 2022</w:t>
            </w:r>
          </w:p>
        </w:tc>
      </w:tr>
      <w:tr>
        <w:trPr>
          <w:trHeight w:val="246"/>
        </w:trPr>
        <w:tc>
          <w:tcPr>
            <w:tcW w:w="2700" w:type="dxa"/>
            <w:vAlign w:val="bottom"/>
          </w:tcPr>
          <w:p>
            <w:pPr>
              <w:jc w:val="center"/>
              <w:spacing w:after="0"/>
              <w:rPr>
                <w:sz w:val="20"/>
                <w:szCs w:val="20"/>
                <w:color w:val="auto"/>
              </w:rPr>
            </w:pPr>
            <w:r>
              <w:rPr>
                <w:rFonts w:ascii="Arial" w:cs="Arial" w:eastAsia="Arial" w:hAnsi="Arial"/>
                <w:sz w:val="17"/>
                <w:szCs w:val="17"/>
                <w:color w:val="auto"/>
                <w:w w:val="99"/>
              </w:rPr>
              <w:t>Letitia A. Long</w:t>
            </w:r>
          </w:p>
        </w:tc>
        <w:tc>
          <w:tcPr>
            <w:tcW w:w="12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Pr>
          <w:p>
            <w:pPr>
              <w:spacing w:after="0"/>
              <w:rPr>
                <w:sz w:val="21"/>
                <w:szCs w:val="21"/>
                <w:color w:val="auto"/>
              </w:rPr>
            </w:pPr>
          </w:p>
        </w:tc>
      </w:tr>
      <w:tr>
        <w:trPr>
          <w:trHeight w:val="280"/>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/s/ Darren W. McDew</w:t>
            </w:r>
          </w:p>
        </w:tc>
        <w:tc>
          <w:tcPr>
            <w:tcW w:w="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Arial" w:cs="Arial" w:eastAsia="Arial" w:hAnsi="Arial"/>
                <w:sz w:val="17"/>
                <w:szCs w:val="17"/>
                <w:color w:val="auto"/>
              </w:rPr>
              <w:t>Director</w:t>
            </w:r>
          </w:p>
        </w:tc>
        <w:tc>
          <w:tcPr>
            <w:tcW w:w="2800" w:type="dxa"/>
            <w:vAlign w:val="bottom"/>
            <w:gridSpan w:val="2"/>
          </w:tcPr>
          <w:p>
            <w:pPr>
              <w:ind w:left="120"/>
              <w:spacing w:after="0"/>
              <w:rPr>
                <w:sz w:val="20"/>
                <w:szCs w:val="20"/>
                <w:color w:val="auto"/>
              </w:rPr>
            </w:pPr>
            <w:r>
              <w:rPr>
                <w:rFonts w:ascii="Arial" w:cs="Arial" w:eastAsia="Arial" w:hAnsi="Arial"/>
                <w:sz w:val="17"/>
                <w:szCs w:val="17"/>
                <w:color w:val="auto"/>
              </w:rPr>
              <w:t>February 23, 2022</w:t>
            </w:r>
          </w:p>
        </w:tc>
      </w:tr>
      <w:tr>
        <w:trPr>
          <w:trHeight w:val="246"/>
        </w:trPr>
        <w:tc>
          <w:tcPr>
            <w:tcW w:w="2700" w:type="dxa"/>
            <w:vAlign w:val="bottom"/>
          </w:tcPr>
          <w:p>
            <w:pPr>
              <w:jc w:val="center"/>
              <w:spacing w:after="0"/>
              <w:rPr>
                <w:sz w:val="20"/>
                <w:szCs w:val="20"/>
                <w:color w:val="auto"/>
              </w:rPr>
            </w:pPr>
            <w:r>
              <w:rPr>
                <w:rFonts w:ascii="Arial" w:cs="Arial" w:eastAsia="Arial" w:hAnsi="Arial"/>
                <w:sz w:val="17"/>
                <w:szCs w:val="17"/>
                <w:color w:val="auto"/>
                <w:w w:val="99"/>
              </w:rPr>
              <w:t>Darren W. McDew</w:t>
            </w:r>
          </w:p>
        </w:tc>
        <w:tc>
          <w:tcPr>
            <w:tcW w:w="12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Pr>
          <w:p>
            <w:pPr>
              <w:spacing w:after="0"/>
              <w:rPr>
                <w:sz w:val="21"/>
                <w:szCs w:val="21"/>
                <w:color w:val="auto"/>
              </w:rPr>
            </w:pPr>
          </w:p>
        </w:tc>
      </w:tr>
      <w:tr>
        <w:trPr>
          <w:trHeight w:val="280"/>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/s/ James F. McGovern</w:t>
            </w:r>
          </w:p>
        </w:tc>
        <w:tc>
          <w:tcPr>
            <w:tcW w:w="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Arial" w:cs="Arial" w:eastAsia="Arial" w:hAnsi="Arial"/>
                <w:sz w:val="17"/>
                <w:szCs w:val="17"/>
                <w:color w:val="auto"/>
              </w:rPr>
              <w:t>Director</w:t>
            </w:r>
          </w:p>
        </w:tc>
        <w:tc>
          <w:tcPr>
            <w:tcW w:w="2800" w:type="dxa"/>
            <w:vAlign w:val="bottom"/>
            <w:gridSpan w:val="2"/>
          </w:tcPr>
          <w:p>
            <w:pPr>
              <w:ind w:left="120"/>
              <w:spacing w:after="0"/>
              <w:rPr>
                <w:sz w:val="20"/>
                <w:szCs w:val="20"/>
                <w:color w:val="auto"/>
              </w:rPr>
            </w:pPr>
            <w:r>
              <w:rPr>
                <w:rFonts w:ascii="Arial" w:cs="Arial" w:eastAsia="Arial" w:hAnsi="Arial"/>
                <w:sz w:val="17"/>
                <w:szCs w:val="17"/>
                <w:color w:val="auto"/>
              </w:rPr>
              <w:t>February 23, 2022</w:t>
            </w:r>
          </w:p>
        </w:tc>
      </w:tr>
      <w:tr>
        <w:trPr>
          <w:trHeight w:val="246"/>
        </w:trPr>
        <w:tc>
          <w:tcPr>
            <w:tcW w:w="2700" w:type="dxa"/>
            <w:vAlign w:val="bottom"/>
          </w:tcPr>
          <w:p>
            <w:pPr>
              <w:jc w:val="center"/>
              <w:spacing w:after="0"/>
              <w:rPr>
                <w:sz w:val="20"/>
                <w:szCs w:val="20"/>
                <w:color w:val="auto"/>
              </w:rPr>
            </w:pPr>
            <w:r>
              <w:rPr>
                <w:rFonts w:ascii="Arial" w:cs="Arial" w:eastAsia="Arial" w:hAnsi="Arial"/>
                <w:sz w:val="17"/>
                <w:szCs w:val="17"/>
                <w:color w:val="auto"/>
                <w:w w:val="97"/>
              </w:rPr>
              <w:t>James F. McGovern</w:t>
            </w:r>
          </w:p>
        </w:tc>
        <w:tc>
          <w:tcPr>
            <w:tcW w:w="12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Pr>
          <w:p>
            <w:pPr>
              <w:spacing w:after="0"/>
              <w:rPr>
                <w:sz w:val="21"/>
                <w:szCs w:val="21"/>
                <w:color w:val="auto"/>
              </w:rPr>
            </w:pPr>
          </w:p>
        </w:tc>
      </w:tr>
      <w:tr>
        <w:trPr>
          <w:trHeight w:val="280"/>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/s/ Harry T. McMahon</w:t>
            </w:r>
          </w:p>
        </w:tc>
        <w:tc>
          <w:tcPr>
            <w:tcW w:w="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Arial" w:cs="Arial" w:eastAsia="Arial" w:hAnsi="Arial"/>
                <w:sz w:val="17"/>
                <w:szCs w:val="17"/>
                <w:color w:val="auto"/>
              </w:rPr>
              <w:t>Director</w:t>
            </w:r>
          </w:p>
        </w:tc>
        <w:tc>
          <w:tcPr>
            <w:tcW w:w="2800" w:type="dxa"/>
            <w:vAlign w:val="bottom"/>
            <w:gridSpan w:val="2"/>
          </w:tcPr>
          <w:p>
            <w:pPr>
              <w:ind w:left="120"/>
              <w:spacing w:after="0"/>
              <w:rPr>
                <w:sz w:val="20"/>
                <w:szCs w:val="20"/>
                <w:color w:val="auto"/>
              </w:rPr>
            </w:pPr>
            <w:r>
              <w:rPr>
                <w:rFonts w:ascii="Arial" w:cs="Arial" w:eastAsia="Arial" w:hAnsi="Arial"/>
                <w:sz w:val="17"/>
                <w:szCs w:val="17"/>
                <w:color w:val="auto"/>
              </w:rPr>
              <w:t>February 23, 2022</w:t>
            </w:r>
          </w:p>
        </w:tc>
      </w:tr>
      <w:tr>
        <w:trPr>
          <w:trHeight w:val="246"/>
        </w:trPr>
        <w:tc>
          <w:tcPr>
            <w:tcW w:w="2700" w:type="dxa"/>
            <w:vAlign w:val="bottom"/>
          </w:tcPr>
          <w:p>
            <w:pPr>
              <w:jc w:val="center"/>
              <w:spacing w:after="0"/>
              <w:rPr>
                <w:sz w:val="20"/>
                <w:szCs w:val="20"/>
                <w:color w:val="auto"/>
              </w:rPr>
            </w:pPr>
            <w:r>
              <w:rPr>
                <w:rFonts w:ascii="Arial" w:cs="Arial" w:eastAsia="Arial" w:hAnsi="Arial"/>
                <w:sz w:val="17"/>
                <w:szCs w:val="17"/>
                <w:color w:val="auto"/>
                <w:w w:val="98"/>
              </w:rPr>
              <w:t>Harry T. McMahon</w:t>
            </w:r>
          </w:p>
        </w:tc>
        <w:tc>
          <w:tcPr>
            <w:tcW w:w="12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Pr>
          <w:p>
            <w:pPr>
              <w:spacing w:after="0"/>
              <w:rPr>
                <w:sz w:val="21"/>
                <w:szCs w:val="21"/>
                <w:color w:val="auto"/>
              </w:rPr>
            </w:pPr>
          </w:p>
        </w:tc>
      </w:tr>
      <w:tr>
        <w:trPr>
          <w:trHeight w:val="280"/>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/s/ M. Christian Mitchell</w:t>
            </w:r>
          </w:p>
        </w:tc>
        <w:tc>
          <w:tcPr>
            <w:tcW w:w="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Arial" w:cs="Arial" w:eastAsia="Arial" w:hAnsi="Arial"/>
                <w:sz w:val="17"/>
                <w:szCs w:val="17"/>
                <w:color w:val="auto"/>
              </w:rPr>
              <w:t>Director</w:t>
            </w:r>
          </w:p>
        </w:tc>
        <w:tc>
          <w:tcPr>
            <w:tcW w:w="2800" w:type="dxa"/>
            <w:vAlign w:val="bottom"/>
            <w:gridSpan w:val="2"/>
          </w:tcPr>
          <w:p>
            <w:pPr>
              <w:ind w:left="120"/>
              <w:spacing w:after="0"/>
              <w:rPr>
                <w:sz w:val="20"/>
                <w:szCs w:val="20"/>
                <w:color w:val="auto"/>
              </w:rPr>
            </w:pPr>
            <w:r>
              <w:rPr>
                <w:rFonts w:ascii="Arial" w:cs="Arial" w:eastAsia="Arial" w:hAnsi="Arial"/>
                <w:sz w:val="17"/>
                <w:szCs w:val="17"/>
                <w:color w:val="auto"/>
              </w:rPr>
              <w:t>February 23, 2022</w:t>
            </w:r>
          </w:p>
        </w:tc>
      </w:tr>
      <w:tr>
        <w:trPr>
          <w:trHeight w:val="246"/>
        </w:trPr>
        <w:tc>
          <w:tcPr>
            <w:tcW w:w="2700" w:type="dxa"/>
            <w:vAlign w:val="bottom"/>
          </w:tcPr>
          <w:p>
            <w:pPr>
              <w:jc w:val="center"/>
              <w:spacing w:after="0"/>
              <w:rPr>
                <w:sz w:val="20"/>
                <w:szCs w:val="20"/>
                <w:color w:val="auto"/>
              </w:rPr>
            </w:pPr>
            <w:r>
              <w:rPr>
                <w:rFonts w:ascii="Arial" w:cs="Arial" w:eastAsia="Arial" w:hAnsi="Arial"/>
                <w:sz w:val="17"/>
                <w:szCs w:val="17"/>
                <w:color w:val="auto"/>
                <w:w w:val="99"/>
              </w:rPr>
              <w:t>M. Christian Mitchell</w:t>
            </w:r>
          </w:p>
        </w:tc>
        <w:tc>
          <w:tcPr>
            <w:tcW w:w="12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Pr>
          <w:p>
            <w:pPr>
              <w:spacing w:after="0"/>
              <w:rPr>
                <w:sz w:val="21"/>
                <w:szCs w:val="21"/>
                <w:color w:val="auto"/>
              </w:rPr>
            </w:pPr>
          </w:p>
        </w:tc>
      </w:tr>
      <w:tr>
        <w:trPr>
          <w:trHeight w:val="280"/>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/s/ Suzanne M. Vautrinot</w:t>
            </w:r>
          </w:p>
        </w:tc>
        <w:tc>
          <w:tcPr>
            <w:tcW w:w="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Arial" w:cs="Arial" w:eastAsia="Arial" w:hAnsi="Arial"/>
                <w:sz w:val="17"/>
                <w:szCs w:val="17"/>
                <w:color w:val="auto"/>
              </w:rPr>
              <w:t>Director</w:t>
            </w:r>
          </w:p>
        </w:tc>
        <w:tc>
          <w:tcPr>
            <w:tcW w:w="2800" w:type="dxa"/>
            <w:vAlign w:val="bottom"/>
            <w:gridSpan w:val="2"/>
          </w:tcPr>
          <w:p>
            <w:pPr>
              <w:ind w:left="120"/>
              <w:spacing w:after="0"/>
              <w:rPr>
                <w:sz w:val="20"/>
                <w:szCs w:val="20"/>
                <w:color w:val="auto"/>
              </w:rPr>
            </w:pPr>
            <w:r>
              <w:rPr>
                <w:rFonts w:ascii="Arial" w:cs="Arial" w:eastAsia="Arial" w:hAnsi="Arial"/>
                <w:sz w:val="17"/>
                <w:szCs w:val="17"/>
                <w:color w:val="auto"/>
              </w:rPr>
              <w:t>February 23, 2022</w:t>
            </w:r>
          </w:p>
        </w:tc>
      </w:tr>
      <w:tr>
        <w:trPr>
          <w:trHeight w:val="246"/>
        </w:trPr>
        <w:tc>
          <w:tcPr>
            <w:tcW w:w="2700" w:type="dxa"/>
            <w:vAlign w:val="bottom"/>
          </w:tcPr>
          <w:p>
            <w:pPr>
              <w:jc w:val="center"/>
              <w:spacing w:after="0"/>
              <w:rPr>
                <w:sz w:val="20"/>
                <w:szCs w:val="20"/>
                <w:color w:val="auto"/>
              </w:rPr>
            </w:pPr>
            <w:r>
              <w:rPr>
                <w:rFonts w:ascii="Arial" w:cs="Arial" w:eastAsia="Arial" w:hAnsi="Arial"/>
                <w:sz w:val="17"/>
                <w:szCs w:val="17"/>
                <w:color w:val="auto"/>
                <w:w w:val="99"/>
              </w:rPr>
              <w:t>Suzanne M. Vautrinot</w:t>
            </w:r>
          </w:p>
        </w:tc>
        <w:tc>
          <w:tcPr>
            <w:tcW w:w="12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Pr>
          <w:p>
            <w:pPr>
              <w:spacing w:after="0"/>
              <w:rPr>
                <w:sz w:val="21"/>
                <w:szCs w:val="21"/>
                <w:color w:val="auto"/>
              </w:rPr>
            </w:pPr>
          </w:p>
        </w:tc>
      </w:tr>
      <w:tr>
        <w:trPr>
          <w:trHeight w:val="280"/>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/s/ David C. Wajsgras</w:t>
            </w:r>
          </w:p>
        </w:tc>
        <w:tc>
          <w:tcPr>
            <w:tcW w:w="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Arial" w:cs="Arial" w:eastAsia="Arial" w:hAnsi="Arial"/>
                <w:sz w:val="17"/>
                <w:szCs w:val="17"/>
                <w:color w:val="auto"/>
              </w:rPr>
              <w:t>Director</w:t>
            </w:r>
          </w:p>
        </w:tc>
        <w:tc>
          <w:tcPr>
            <w:tcW w:w="2800" w:type="dxa"/>
            <w:vAlign w:val="bottom"/>
            <w:gridSpan w:val="2"/>
          </w:tcPr>
          <w:p>
            <w:pPr>
              <w:ind w:left="120"/>
              <w:spacing w:after="0"/>
              <w:rPr>
                <w:sz w:val="20"/>
                <w:szCs w:val="20"/>
                <w:color w:val="auto"/>
              </w:rPr>
            </w:pPr>
            <w:r>
              <w:rPr>
                <w:rFonts w:ascii="Arial" w:cs="Arial" w:eastAsia="Arial" w:hAnsi="Arial"/>
                <w:sz w:val="17"/>
                <w:szCs w:val="17"/>
                <w:color w:val="auto"/>
              </w:rPr>
              <w:t>February 23, 2022</w:t>
            </w:r>
          </w:p>
        </w:tc>
      </w:tr>
      <w:tr>
        <w:trPr>
          <w:trHeight w:val="246"/>
        </w:trPr>
        <w:tc>
          <w:tcPr>
            <w:tcW w:w="2700" w:type="dxa"/>
            <w:vAlign w:val="bottom"/>
          </w:tcPr>
          <w:p>
            <w:pPr>
              <w:jc w:val="center"/>
              <w:spacing w:after="0"/>
              <w:rPr>
                <w:sz w:val="20"/>
                <w:szCs w:val="20"/>
                <w:color w:val="auto"/>
              </w:rPr>
            </w:pPr>
            <w:r>
              <w:rPr>
                <w:rFonts w:ascii="Arial" w:cs="Arial" w:eastAsia="Arial" w:hAnsi="Arial"/>
                <w:sz w:val="17"/>
                <w:szCs w:val="17"/>
                <w:color w:val="auto"/>
                <w:w w:val="99"/>
              </w:rPr>
              <w:t>David C. Wajsgras</w:t>
            </w:r>
          </w:p>
        </w:tc>
        <w:tc>
          <w:tcPr>
            <w:tcW w:w="12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Pr>
          <w:p>
            <w:pPr>
              <w:spacing w:after="0"/>
              <w:rPr>
                <w:sz w:val="21"/>
                <w:szCs w:val="21"/>
                <w:color w:val="auto"/>
              </w:rPr>
            </w:pPr>
          </w:p>
        </w:tc>
      </w:tr>
      <w:tr>
        <w:trPr>
          <w:trHeight w:val="824"/>
        </w:trPr>
        <w:tc>
          <w:tcPr>
            <w:tcW w:w="2700" w:type="dxa"/>
            <w:vAlign w:val="bottom"/>
          </w:tcPr>
          <w:p>
            <w:pPr>
              <w:spacing w:after="0"/>
              <w:rPr>
                <w:sz w:val="24"/>
                <w:szCs w:val="24"/>
                <w:color w:val="auto"/>
              </w:rPr>
            </w:pPr>
          </w:p>
        </w:tc>
        <w:tc>
          <w:tcPr>
            <w:tcW w:w="5740" w:type="dxa"/>
            <w:vAlign w:val="bottom"/>
            <w:gridSpan w:val="2"/>
          </w:tcPr>
          <w:p>
            <w:pPr>
              <w:jc w:val="center"/>
              <w:ind w:left="36"/>
              <w:spacing w:after="0"/>
              <w:rPr>
                <w:sz w:val="20"/>
                <w:szCs w:val="20"/>
                <w:color w:val="auto"/>
              </w:rPr>
            </w:pPr>
            <w:r>
              <w:rPr>
                <w:rFonts w:ascii="Arial" w:cs="Arial" w:eastAsia="Arial" w:hAnsi="Arial"/>
                <w:sz w:val="17"/>
                <w:szCs w:val="17"/>
                <w:color w:val="auto"/>
                <w:w w:val="94"/>
              </w:rPr>
              <w:t>90</w:t>
            </w: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95"/>
        </w:trPr>
        <w:tc>
          <w:tcPr>
            <w:tcW w:w="27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6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4">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4" w:name="page95"/>
    <w:bookmarkEnd w:id="94"/>
    <w:p>
      <w:pPr>
        <w:ind w:left="3760"/>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94" w:lineRule="exact"/>
        <w:rPr>
          <w:sz w:val="20"/>
          <w:szCs w:val="20"/>
          <w:color w:val="auto"/>
        </w:rPr>
      </w:pPr>
    </w:p>
    <w:p>
      <w:pPr>
        <w:ind w:right="4380"/>
        <w:spacing w:after="0" w:line="429" w:lineRule="auto"/>
        <w:rPr>
          <w:rFonts w:ascii="Arial" w:cs="Arial" w:eastAsia="Arial" w:hAnsi="Arial"/>
          <w:sz w:val="16"/>
          <w:szCs w:val="16"/>
          <w:u w:val="single" w:color="auto"/>
          <w:color w:val="0000EE"/>
        </w:rPr>
      </w:pPr>
      <w:hyperlink w:anchor="page96">
        <w:r>
          <w:rPr>
            <w:rFonts w:ascii="Arial" w:cs="Arial" w:eastAsia="Arial" w:hAnsi="Arial"/>
            <w:sz w:val="16"/>
            <w:szCs w:val="16"/>
            <w:u w:val="single" w:color="auto"/>
            <w:color w:val="0000EE"/>
          </w:rPr>
          <w:t>Report of Independent Registered Public Accounting Firm</w:t>
        </w:r>
        <w:r>
          <w:rPr>
            <w:rFonts w:ascii="Arial" w:cs="Arial" w:eastAsia="Arial" w:hAnsi="Arial"/>
            <w:sz w:val="16"/>
            <w:szCs w:val="16"/>
            <w:color w:val="0000EE"/>
          </w:rPr>
          <w:t xml:space="preserve"> </w:t>
        </w:r>
      </w:hyperlink>
      <w:r>
        <w:rPr>
          <w:rFonts w:ascii="Arial" w:cs="Arial" w:eastAsia="Arial" w:hAnsi="Arial"/>
          <w:sz w:val="16"/>
          <w:szCs w:val="16"/>
          <w:color w:val="000000"/>
        </w:rPr>
        <w:t>(PCAOB</w:t>
      </w:r>
      <w:r>
        <w:rPr>
          <w:rFonts w:ascii="Arial" w:cs="Arial" w:eastAsia="Arial" w:hAnsi="Arial"/>
          <w:sz w:val="16"/>
          <w:szCs w:val="16"/>
          <w:color w:val="0000EE"/>
        </w:rPr>
        <w:t xml:space="preserve"> </w:t>
      </w:r>
      <w:r>
        <w:rPr>
          <w:rFonts w:ascii="Arial" w:cs="Arial" w:eastAsia="Arial" w:hAnsi="Arial"/>
          <w:sz w:val="16"/>
          <w:szCs w:val="16"/>
          <w:color w:val="000000"/>
        </w:rPr>
        <w:t>ID 238)</w:t>
      </w:r>
      <w:r>
        <w:rPr>
          <w:rFonts w:ascii="Arial" w:cs="Arial" w:eastAsia="Arial" w:hAnsi="Arial"/>
          <w:sz w:val="16"/>
          <w:szCs w:val="16"/>
          <w:color w:val="0000EE"/>
        </w:rPr>
        <w:t xml:space="preserve"> </w:t>
      </w:r>
      <w:hyperlink w:anchor="page100">
        <w:r>
          <w:rPr>
            <w:rFonts w:ascii="Arial" w:cs="Arial" w:eastAsia="Arial" w:hAnsi="Arial"/>
            <w:sz w:val="16"/>
            <w:szCs w:val="16"/>
            <w:u w:val="single" w:color="auto"/>
            <w:color w:val="0000EE"/>
          </w:rPr>
          <w:t>Consolidated Balance Sheets as of December 31, 2021 and December 31, 2020</w:t>
        </w:r>
      </w:hyperlink>
    </w:p>
    <w:p>
      <w:pPr>
        <w:spacing w:after="0" w:line="1" w:lineRule="exact"/>
        <w:rPr>
          <w:sz w:val="20"/>
          <w:szCs w:val="20"/>
          <w:color w:val="auto"/>
        </w:rPr>
      </w:pPr>
    </w:p>
    <w:p>
      <w:pPr>
        <w:ind w:right="3100"/>
        <w:spacing w:after="0" w:line="242" w:lineRule="auto"/>
        <w:rPr>
          <w:rFonts w:ascii="Arial" w:cs="Arial" w:eastAsia="Arial" w:hAnsi="Arial"/>
          <w:sz w:val="17"/>
          <w:szCs w:val="17"/>
          <w:u w:val="single" w:color="auto"/>
          <w:color w:val="0000EE"/>
        </w:rPr>
      </w:pPr>
      <w:hyperlink w:anchor="page101">
        <w:r>
          <w:rPr>
            <w:rFonts w:ascii="Arial" w:cs="Arial" w:eastAsia="Arial" w:hAnsi="Arial"/>
            <w:sz w:val="17"/>
            <w:szCs w:val="17"/>
            <w:u w:val="single" w:color="auto"/>
            <w:color w:val="0000EE"/>
          </w:rPr>
          <w:t>Consolidated Statements of Income for the Years ended December 31, 2021, December 31, 2020</w:t>
        </w:r>
      </w:hyperlink>
      <w:r>
        <w:rPr>
          <w:rFonts w:ascii="Arial" w:cs="Arial" w:eastAsia="Arial" w:hAnsi="Arial"/>
          <w:sz w:val="17"/>
          <w:szCs w:val="17"/>
          <w:u w:val="single" w:color="auto"/>
          <w:color w:val="0000EE"/>
        </w:rPr>
        <w:t xml:space="preserve"> </w:t>
      </w:r>
      <w:hyperlink w:anchor="page101">
        <w:r>
          <w:rPr>
            <w:rFonts w:ascii="Arial" w:cs="Arial" w:eastAsia="Arial" w:hAnsi="Arial"/>
            <w:sz w:val="17"/>
            <w:szCs w:val="17"/>
            <w:u w:val="single" w:color="auto"/>
            <w:color w:val="0000EE"/>
          </w:rPr>
          <w:t>and December 31, 2019</w:t>
        </w:r>
      </w:hyperlink>
    </w:p>
    <w:p>
      <w:pPr>
        <w:spacing w:after="0" w:line="126" w:lineRule="exact"/>
        <w:rPr>
          <w:sz w:val="20"/>
          <w:szCs w:val="20"/>
          <w:color w:val="auto"/>
        </w:rPr>
      </w:pPr>
    </w:p>
    <w:p>
      <w:pPr>
        <w:spacing w:after="0"/>
        <w:rPr>
          <w:rFonts w:ascii="Arial" w:cs="Arial" w:eastAsia="Arial" w:hAnsi="Arial"/>
          <w:sz w:val="16"/>
          <w:szCs w:val="16"/>
          <w:u w:val="single" w:color="auto"/>
          <w:color w:val="0000EE"/>
        </w:rPr>
      </w:pPr>
      <w:hyperlink w:anchor="page102">
        <w:r>
          <w:rPr>
            <w:rFonts w:ascii="Arial" w:cs="Arial" w:eastAsia="Arial" w:hAnsi="Arial"/>
            <w:sz w:val="16"/>
            <w:szCs w:val="16"/>
            <w:u w:val="single" w:color="auto"/>
            <w:color w:val="0000EE"/>
          </w:rPr>
          <w:t>Consolidated Statements of Comprehensive Income for the Years ended December 31, 2021, December 31, 2020 and December 31, 2019</w:t>
        </w:r>
      </w:hyperlink>
    </w:p>
    <w:p>
      <w:pPr>
        <w:spacing w:after="0" w:line="146" w:lineRule="exact"/>
        <w:rPr>
          <w:sz w:val="20"/>
          <w:szCs w:val="20"/>
          <w:color w:val="auto"/>
        </w:rPr>
      </w:pPr>
    </w:p>
    <w:p>
      <w:pPr>
        <w:ind w:right="20"/>
        <w:spacing w:after="0" w:line="242" w:lineRule="auto"/>
        <w:rPr>
          <w:rFonts w:ascii="Arial" w:cs="Arial" w:eastAsia="Arial" w:hAnsi="Arial"/>
          <w:sz w:val="17"/>
          <w:szCs w:val="17"/>
          <w:u w:val="single" w:color="auto"/>
          <w:color w:val="0000EE"/>
        </w:rPr>
      </w:pPr>
      <w:hyperlink w:anchor="page103">
        <w:r>
          <w:rPr>
            <w:rFonts w:ascii="Arial" w:cs="Arial" w:eastAsia="Arial" w:hAnsi="Arial"/>
            <w:sz w:val="17"/>
            <w:szCs w:val="17"/>
            <w:u w:val="single" w:color="auto"/>
            <w:color w:val="0000EE"/>
          </w:rPr>
          <w:t>Consolidated Statements of Changes in Redeemable Common Stock and Shareholders’ Equity (Deficit) for the Years ended December 31,</w:t>
        </w:r>
      </w:hyperlink>
      <w:r>
        <w:rPr>
          <w:rFonts w:ascii="Arial" w:cs="Arial" w:eastAsia="Arial" w:hAnsi="Arial"/>
          <w:sz w:val="17"/>
          <w:szCs w:val="17"/>
          <w:u w:val="single" w:color="auto"/>
          <w:color w:val="0000EE"/>
        </w:rPr>
        <w:t xml:space="preserve"> </w:t>
      </w:r>
      <w:hyperlink w:anchor="page103">
        <w:r>
          <w:rPr>
            <w:rFonts w:ascii="Arial" w:cs="Arial" w:eastAsia="Arial" w:hAnsi="Arial"/>
            <w:sz w:val="17"/>
            <w:szCs w:val="17"/>
            <w:u w:val="single" w:color="auto"/>
            <w:color w:val="0000EE"/>
          </w:rPr>
          <w:t>2021, December 31, 2020 and December 31, 2019</w:t>
        </w:r>
      </w:hyperlink>
    </w:p>
    <w:p>
      <w:pPr>
        <w:spacing w:after="0" w:line="126" w:lineRule="exact"/>
        <w:rPr>
          <w:sz w:val="20"/>
          <w:szCs w:val="20"/>
          <w:color w:val="auto"/>
        </w:rPr>
      </w:pPr>
    </w:p>
    <w:p>
      <w:pPr>
        <w:ind w:right="4300"/>
        <w:spacing w:after="0" w:line="242" w:lineRule="auto"/>
        <w:rPr>
          <w:rFonts w:ascii="Arial" w:cs="Arial" w:eastAsia="Arial" w:hAnsi="Arial"/>
          <w:sz w:val="17"/>
          <w:szCs w:val="17"/>
          <w:u w:val="single" w:color="auto"/>
          <w:color w:val="0000EE"/>
        </w:rPr>
      </w:pPr>
      <w:hyperlink w:anchor="page104">
        <w:r>
          <w:rPr>
            <w:rFonts w:ascii="Arial" w:cs="Arial" w:eastAsia="Arial" w:hAnsi="Arial"/>
            <w:sz w:val="17"/>
            <w:szCs w:val="17"/>
            <w:u w:val="single" w:color="auto"/>
            <w:color w:val="0000EE"/>
          </w:rPr>
          <w:t>Consolidated Statements of Cash Flows for the Years ended December 31, 2021,</w:t>
        </w:r>
      </w:hyperlink>
      <w:r>
        <w:rPr>
          <w:rFonts w:ascii="Arial" w:cs="Arial" w:eastAsia="Arial" w:hAnsi="Arial"/>
          <w:sz w:val="17"/>
          <w:szCs w:val="17"/>
          <w:u w:val="single" w:color="auto"/>
          <w:color w:val="0000EE"/>
        </w:rPr>
        <w:t xml:space="preserve"> </w:t>
      </w:r>
      <w:hyperlink w:anchor="page104">
        <w:r>
          <w:rPr>
            <w:rFonts w:ascii="Arial" w:cs="Arial" w:eastAsia="Arial" w:hAnsi="Arial"/>
            <w:sz w:val="17"/>
            <w:szCs w:val="17"/>
            <w:u w:val="single" w:color="auto"/>
            <w:color w:val="0000EE"/>
          </w:rPr>
          <w:t>December 31, 2020 and December 31, 2019</w:t>
        </w:r>
      </w:hyperlink>
    </w:p>
    <w:p>
      <w:pPr>
        <w:spacing w:after="0" w:line="126" w:lineRule="exact"/>
        <w:rPr>
          <w:sz w:val="20"/>
          <w:szCs w:val="20"/>
          <w:color w:val="auto"/>
        </w:rPr>
      </w:pPr>
    </w:p>
    <w:p>
      <w:pPr>
        <w:spacing w:after="0"/>
        <w:rPr>
          <w:rFonts w:ascii="Arial" w:cs="Arial" w:eastAsia="Arial" w:hAnsi="Arial"/>
          <w:sz w:val="17"/>
          <w:szCs w:val="17"/>
          <w:u w:val="single" w:color="auto"/>
          <w:color w:val="0000EE"/>
        </w:rPr>
      </w:pPr>
      <w:hyperlink w:anchor="page105">
        <w:r>
          <w:rPr>
            <w:rFonts w:ascii="Arial" w:cs="Arial" w:eastAsia="Arial" w:hAnsi="Arial"/>
            <w:sz w:val="17"/>
            <w:szCs w:val="17"/>
            <w:u w:val="single" w:color="auto"/>
            <w:color w:val="0000EE"/>
          </w:rPr>
          <w:t>Notes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860"/>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F-2</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F-6</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F-7</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F-8</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F-9</w:t>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F-10</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F-11</w:t>
      </w:r>
    </w:p>
    <w:p>
      <w:pPr>
        <w:sectPr>
          <w:pgSz w:w="11900" w:h="16838" w:orient="portrait"/>
          <w:cols w:equalWidth="0" w:num="2">
            <w:col w:w="10400" w:space="480"/>
            <w:col w:w="360"/>
          </w:cols>
          <w:pgMar w:left="320" w:top="321" w:right="339" w:bottom="1440" w:gutter="0" w:footer="0" w:header="0"/>
        </w:sectPr>
      </w:pPr>
    </w:p>
    <w:bookmarkStart w:id="95" w:name="page96"/>
    <w:bookmarkEnd w:id="95"/>
    <w:p>
      <w:pPr>
        <w:ind w:left="350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 Parsons Corporation</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Opinions on the Financial Statements and Internal Control over Financial Reporting</w:t>
      </w:r>
    </w:p>
    <w:p>
      <w:pPr>
        <w:spacing w:after="0" w:line="236"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 xml:space="preserve">We have audited the accompanying consolidated balance sheets of Parsons Corporation and its subsidiaries (the “Company”) as of December 31, 2021 and 2020, and the related consolidated statements of income, of comprehensive income, of changes in redeemable common stock and shareholders’ equity (deficit) and of cash flows for each of the three years in the period ended December 31, 2021, including the related notes and financial statement schedule listed in the index appearing under Item 15(a)(2) (collectively referred to as the “consolidated financial statements”). We also have audited the Company's internal control over financial reporting as of December 31, 2021,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209" w:lineRule="exact"/>
        <w:rPr>
          <w:sz w:val="20"/>
          <w:szCs w:val="20"/>
          <w:color w:val="auto"/>
        </w:rPr>
      </w:pPr>
    </w:p>
    <w:p>
      <w:pPr>
        <w:ind w:right="220"/>
        <w:spacing w:after="0" w:line="301" w:lineRule="auto"/>
        <w:rPr>
          <w:sz w:val="20"/>
          <w:szCs w:val="20"/>
          <w:color w:val="auto"/>
        </w:rPr>
      </w:pPr>
      <w:r>
        <w:rPr>
          <w:rFonts w:ascii="Arial" w:cs="Arial" w:eastAsia="Arial" w:hAnsi="Arial"/>
          <w:sz w:val="15"/>
          <w:szCs w:val="15"/>
          <w:color w:val="auto"/>
        </w:rPr>
        <w:t>In our opinion, the consolidated financial statements referred to above present fairly, in all material respects, the financial position of the Company as of December 31, 2021 and 2020</w:t>
      </w:r>
      <w:r>
        <w:rPr>
          <w:rFonts w:ascii="Arial" w:cs="Arial" w:eastAsia="Arial" w:hAnsi="Arial"/>
          <w:sz w:val="15"/>
          <w:szCs w:val="15"/>
          <w:b w:val="1"/>
          <w:bCs w:val="1"/>
          <w:color w:val="auto"/>
        </w:rPr>
        <w:t>,</w:t>
      </w:r>
      <w:r>
        <w:rPr>
          <w:rFonts w:ascii="Arial" w:cs="Arial" w:eastAsia="Arial" w:hAnsi="Arial"/>
          <w:sz w:val="15"/>
          <w:szCs w:val="15"/>
          <w:color w:val="auto"/>
        </w:rPr>
        <w:t xml:space="preserve">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COSO.</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Accounting Principles</w:t>
      </w:r>
    </w:p>
    <w:p>
      <w:pPr>
        <w:spacing w:after="0" w:line="23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discussed in Note 2 to the consolidated financial statements, the Company changed the manner in which it accounts for convertible instruments and contracts in an entity’s own equity in 2021 and the manner in which it accounts for leases in 2019.</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236"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1" w:lineRule="exact"/>
        <w:rPr>
          <w:sz w:val="20"/>
          <w:szCs w:val="20"/>
          <w:color w:val="auto"/>
        </w:rPr>
      </w:pPr>
    </w:p>
    <w:p>
      <w:pPr>
        <w:ind w:right="280"/>
        <w:spacing w:after="0" w:line="293" w:lineRule="auto"/>
        <w:rPr>
          <w:sz w:val="20"/>
          <w:szCs w:val="20"/>
          <w:color w:val="auto"/>
        </w:rPr>
      </w:pPr>
      <w:r>
        <w:rPr>
          <w:rFonts w:ascii="Arial" w:cs="Arial" w:eastAsia="Arial" w:hAnsi="Arial"/>
          <w:sz w:val="15"/>
          <w:szCs w:val="15"/>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96" w:name="page97"/>
    <w:bookmarkEnd w:id="96"/>
    <w:p>
      <w:pPr>
        <w:spacing w:after="0"/>
        <w:rPr>
          <w:sz w:val="20"/>
          <w:szCs w:val="20"/>
          <w:color w:val="auto"/>
        </w:rPr>
      </w:pPr>
      <w:r>
        <w:rPr>
          <w:rFonts w:ascii="Arial" w:cs="Arial" w:eastAsia="Arial" w:hAnsi="Arial"/>
          <w:sz w:val="17"/>
          <w:szCs w:val="17"/>
          <w:color w:val="auto"/>
        </w:rPr>
        <w:t>such other procedures as we considered necessary in the circumstances. We believe that our audits provide a reasonable basis for our opinions.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236" w:lineRule="exact"/>
        <w:rPr>
          <w:sz w:val="20"/>
          <w:szCs w:val="20"/>
          <w:color w:val="auto"/>
        </w:rPr>
      </w:pPr>
    </w:p>
    <w:p>
      <w:pPr>
        <w:ind w:right="160"/>
        <w:spacing w:after="0" w:line="292"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Audit Matters</w:t>
      </w:r>
    </w:p>
    <w:p>
      <w:pPr>
        <w:spacing w:after="0" w:line="236"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8" w:lineRule="exact"/>
        <w:rPr>
          <w:sz w:val="20"/>
          <w:szCs w:val="20"/>
          <w:color w:val="auto"/>
        </w:rPr>
      </w:pPr>
    </w:p>
    <w:p>
      <w:pPr>
        <w:ind w:right="480"/>
        <w:spacing w:after="0" w:line="272" w:lineRule="auto"/>
        <w:rPr>
          <w:sz w:val="20"/>
          <w:szCs w:val="20"/>
          <w:color w:val="auto"/>
        </w:rPr>
      </w:pPr>
      <w:r>
        <w:rPr>
          <w:rFonts w:ascii="Arial" w:cs="Arial" w:eastAsia="Arial" w:hAnsi="Arial"/>
          <w:sz w:val="17"/>
          <w:szCs w:val="17"/>
          <w:i w:val="1"/>
          <w:iCs w:val="1"/>
          <w:color w:val="auto"/>
        </w:rPr>
        <w:t>Revenue Recognition – Determination of Estimated Contract Cost and Variable Consideration related to Estimated Claims Revenue for Fixed-Price Contracts Recognized Over Time</w:t>
      </w:r>
    </w:p>
    <w:p>
      <w:pPr>
        <w:spacing w:after="0" w:line="165"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As described in Notes 2 and 4 to the consolidated financial statements, revenue is derived from long-term contracts with customers whereby the Company provides planning, design, engineering, technical, and construction and program management services. The Company enters into cost-plus, time-and-materials, and fixed-price contracts with its customers. Fixed-price contract revenue recognized was $1.0 billion for the year ended December 31, 2021, which accounts for approximately 26% of the Company’s total consolidated revenue. Fixed-price contract revenue is recognized over time using an input measure (i.e., costs incurred to date relative to total estimated costs at completion) to measure progress. Under the cost-to-cost measure of progress method, the extent of progress towards completion is measured based on the ratio of total costs incurred to-date to the total estimated costs at completion of the performance obligation. Revenues, including estimated fees or profits, are recorded proportionally as costs are incurred. Management includes variable consideration, such as claims revenue, in the estimated transaction price to the extent it is probable that a significant reversal of cumulative revenue recognized will not occur or when the uncertainty associated with the variable consideration is resolved. Contract costs consist of direct costs on contracts, including labor and materials, amounts payable to subcontractors, direct overhead costs and equipment expense (primarily depreciation, fuel, maintenance and repairs). Changes to estimated contract costs, either due to unexpected events or revisions to management’s initial estimates, for a given project are recognized in the period in which they are determined. Recognition of profit on long-term contracts requires the use of assumptions and estimates related to total contract revenue and in particular estimated claims revenue, total estimated cost at completion, and the measurement of progress towards completion. Management’s estimates are continually evaluated as work progresses and are revised when necessary.</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330" w:right="359" w:bottom="1440" w:gutter="0" w:footer="0" w:header="0"/>
        </w:sectPr>
      </w:pPr>
    </w:p>
    <w:bookmarkStart w:id="97" w:name="page98"/>
    <w:bookmarkEnd w:id="97"/>
    <w:p>
      <w:pPr>
        <w:ind w:right="260"/>
        <w:spacing w:after="0" w:line="274" w:lineRule="auto"/>
        <w:rPr>
          <w:sz w:val="20"/>
          <w:szCs w:val="20"/>
          <w:color w:val="auto"/>
        </w:rPr>
      </w:pPr>
      <w:r>
        <w:rPr>
          <w:rFonts w:ascii="Arial" w:cs="Arial" w:eastAsia="Arial" w:hAnsi="Arial"/>
          <w:sz w:val="16"/>
          <w:szCs w:val="16"/>
          <w:color w:val="auto"/>
        </w:rPr>
        <w:t>The principal considerations for our determination that performing procedures relating to revenue recognition, specifically the determination of estimated contract cost and variable consideration related to estimated claims revenue for fixed-price contracts recognized over time is a critical audit matter are (i) the significant judgment by management in determining the estimated contract cost and variable consideration related to estimated claims revenue for fixed-price contracts; (ii) a high degree of auditor judgment, subjectivity, and effort in performing procedures and evaluating audit evidence for the estimated contract cost and variable consideration related to estimated claims revenue for fixed-price contracts recognized over time.</w:t>
      </w:r>
    </w:p>
    <w:p>
      <w:pPr>
        <w:spacing w:after="0" w:line="19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determination of estimated contract cost and variable consideration related to estimated claims revenue for fixed-price contracts recognized over time. These procedures also included, among others, for a selection of fixed-price contracts, (i) evaluating and testing management’s process for determining the estimated contract cost and variable consideration related to estimated claims revenue, which included testing of contracts and other documents related to the estimates, and testing of underlying incurred and estimated contract costs; (ii) assessing management’s ability to reasonably estimate total contract costs by performing a comparison of the actual estimated contract cost as compared with prior period estimates, including evaluating the timely identification of circumstances that may warrant a modification to the estimated contract cost; and (iii) evaluating estimated claims revenue by inquiry with external legal counsel regarding the underlying claim and agreeing estimated claims revenue to documents related to those estimates.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Acquisition of BlackHorse Solutions, Inc. - Valuation of the Customer Relationships Intangible Asset</w:t>
      </w:r>
    </w:p>
    <w:p>
      <w:pPr>
        <w:spacing w:after="0" w:line="236"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As described in Notes 2 and 3 to the consolidated financial statements, on July 6, 2021, the Company acquired a 100% ownership interest in BlackHorse Solutions, Inc. (“BlackHorse”), a privately-owned company, for $205.0 million which resulted in $64.0 million of intangible assets being recorded, of which, $39.0 million related to a customer relationships intangible asset. Management accounts for business combinations using the acquisition method, under which the purchase price of an acquired company is allocated to the tangible and intangible assets acquired and the liabilities assumed on the basis of their fair values at the date of acquisition. The determination of fair values of assets acquired and liabilities assumed requires management to make estimates and use valuation techniques when a market value is not readily available. Management’s determination of the fair value of the intangible assets acquired involved the use of significant estimates and assumptions related to discount rates, revenue growth rates, projected margins, and customer revenue attrition rates.</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principal considerations for our determination that performing procedures relating to the valuation of the customer relationships intangible asset acquired in the acquisition of BlackHorse is a critical audit matter are (i) the significant judgment by management when determining the fair value of the customer relationships intangible asset acquired; (ii) a high degree of auditor judgment, subjectivity, and effort in performing procedures and evaluating management’s significant assumptions related to the discount rates, revenue growth rates, projected margins, and the customer revenue attrition rate; and (iii) the audit effort involved the use of professionals with specialized skill and knowledge.</w:t>
      </w:r>
    </w:p>
    <w:p>
      <w:pPr>
        <w:spacing w:after="0" w:line="208"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Addressing the matter involved performing procedures and evaluating audit evidence in connection with forming our overall opinion on the consolidated financial statements. These procedures included testing the effectiveness of controls relating to acquisition accounting, including controls over the significant assumptions used in management’s valuation of the customer relationships intangible asset. These procedures also included, among others (i) reading the purchase agreement; (ii) testing management’s process for determining the fair value of the customer relationships intangible asset; (iii) evaluating the appropriateness of the valuation technique; (iv) testing the completeness and accuracy of the underlying data used in the valuation technique; and (v) evaluating the reasonableness of significant assumptions related to the discount rates, revenue growth rates, projected margins, and the customer revenue attrition rate. Evaluating the reasonableness of management’s significant assumptions related to the revenue growth rates and projected margins involved considering (i) the current and past performance of the acquired business; (ii) the consistency with external market and industry data; and (iii) whether these assumptions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330" w:right="359" w:bottom="1440" w:gutter="0" w:footer="0" w:header="0"/>
        </w:sectPr>
      </w:pPr>
    </w:p>
    <w:bookmarkStart w:id="98" w:name="page99"/>
    <w:bookmarkEnd w:id="98"/>
    <w:p>
      <w:pPr>
        <w:ind w:right="40"/>
        <w:spacing w:after="0" w:line="340" w:lineRule="auto"/>
        <w:rPr>
          <w:sz w:val="20"/>
          <w:szCs w:val="20"/>
          <w:color w:val="auto"/>
        </w:rPr>
      </w:pPr>
      <w:r>
        <w:rPr>
          <w:rFonts w:ascii="Arial" w:cs="Arial" w:eastAsia="Arial" w:hAnsi="Arial"/>
          <w:sz w:val="15"/>
          <w:szCs w:val="15"/>
          <w:color w:val="auto"/>
        </w:rPr>
        <w:t>were consistent with evidence obtained in other areas of the audit. Professionals with specialized skill and knowledge were used to assist in the evaluation of (i) the appropriateness of management’s valuation technique and (ii) the reasonableness of the discount rate and customer revenue attrition rate significant assumptions.</w:t>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Los Angeles, California</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February 23, 2022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We have served as the Company’s auditor since at least 1969. We have not been able to determine the specific year we began serving as the auditor of the Company.</w:t>
      </w:r>
    </w:p>
    <w:p>
      <w:pPr>
        <w:spacing w:after="0" w:line="24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00"/>
          </w:cols>
          <w:pgMar w:left="320" w:top="330" w:right="479" w:bottom="1440" w:gutter="0" w:footer="0" w:header="0"/>
        </w:sectPr>
      </w:pPr>
    </w:p>
    <w:bookmarkStart w:id="99" w:name="page100"/>
    <w:bookmarkEnd w:id="99"/>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jc w:val="center"/>
        <w:spacing w:after="0"/>
        <w:rPr>
          <w:sz w:val="20"/>
          <w:szCs w:val="20"/>
          <w:color w:val="auto"/>
        </w:rPr>
      </w:pPr>
      <w:r>
        <w:rPr>
          <w:rFonts w:ascii="Arial" w:cs="Arial" w:eastAsia="Arial" w:hAnsi="Arial"/>
          <w:sz w:val="17"/>
          <w:szCs w:val="17"/>
          <w:i w:val="1"/>
          <w:iCs w:val="1"/>
          <w:color w:val="auto"/>
        </w:rPr>
        <w:t>(in thousands, except shares and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71405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4"/>
                <w:szCs w:val="14"/>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 2020</w:t>
            </w:r>
          </w:p>
        </w:tc>
      </w:tr>
      <w:tr>
        <w:trPr>
          <w:trHeight w:val="157"/>
        </w:trPr>
        <w:tc>
          <w:tcPr>
            <w:tcW w:w="7500" w:type="dxa"/>
            <w:vAlign w:val="bottom"/>
            <w:tcBorders>
              <w:top w:val="single" w:sz="8" w:color="CFF0FC"/>
            </w:tcBorders>
            <w:shd w:val="clear" w:color="auto" w:fill="CFF0FC"/>
          </w:tcPr>
          <w:p>
            <w:pPr>
              <w:spacing w:after="0" w:line="157" w:lineRule="exact"/>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shd w:val="clear" w:color="auto" w:fill="CFF0FC"/>
          </w:tcPr>
          <w:p>
            <w:pPr>
              <w:spacing w:after="0"/>
              <w:rPr>
                <w:sz w:val="13"/>
                <w:szCs w:val="13"/>
                <w:color w:val="auto"/>
              </w:rPr>
            </w:pPr>
          </w:p>
        </w:tc>
        <w:tc>
          <w:tcPr>
            <w:tcW w:w="156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5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r>
      <w:tr>
        <w:trPr>
          <w:trHeight w:val="165"/>
        </w:trPr>
        <w:tc>
          <w:tcPr>
            <w:tcW w:w="7500" w:type="dxa"/>
            <w:vAlign w:val="bottom"/>
          </w:tcPr>
          <w:p>
            <w:pPr>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7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 (including $78,514 and $75,220 Cash of consolidated joint ventures)</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342,608</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2"/>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483,609</w:t>
            </w:r>
          </w:p>
        </w:tc>
        <w:tc>
          <w:tcPr>
            <w:tcW w:w="100" w:type="dxa"/>
            <w:vAlign w:val="bottom"/>
            <w:shd w:val="clear" w:color="auto" w:fill="CFF0FC"/>
          </w:tcPr>
          <w:p>
            <w:pPr>
              <w:spacing w:after="0"/>
              <w:rPr>
                <w:sz w:val="14"/>
                <w:szCs w:val="14"/>
                <w:color w:val="auto"/>
              </w:rPr>
            </w:pPr>
          </w:p>
        </w:tc>
      </w:tr>
      <w:tr>
        <w:trPr>
          <w:trHeight w:val="165"/>
        </w:trPr>
        <w:tc>
          <w:tcPr>
            <w:tcW w:w="7500" w:type="dxa"/>
            <w:vAlign w:val="bottom"/>
          </w:tcPr>
          <w:p>
            <w:pPr>
              <w:ind w:left="260"/>
              <w:spacing w:after="0"/>
              <w:rPr>
                <w:sz w:val="20"/>
                <w:szCs w:val="20"/>
                <w:color w:val="auto"/>
              </w:rPr>
            </w:pPr>
            <w:r>
              <w:rPr>
                <w:rFonts w:ascii="Arial" w:cs="Arial" w:eastAsia="Arial" w:hAnsi="Arial"/>
                <w:sz w:val="14"/>
                <w:szCs w:val="14"/>
                <w:color w:val="auto"/>
              </w:rPr>
              <w:t>Restricted cash and investments</w:t>
            </w: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1,275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3,606</w:t>
            </w:r>
          </w:p>
        </w:tc>
        <w:tc>
          <w:tcPr>
            <w:tcW w:w="100" w:type="dxa"/>
            <w:vAlign w:val="bottom"/>
          </w:tcPr>
          <w:p>
            <w:pPr>
              <w:spacing w:after="0"/>
              <w:rPr>
                <w:sz w:val="14"/>
                <w:szCs w:val="14"/>
                <w:color w:val="auto"/>
              </w:rPr>
            </w:pPr>
          </w:p>
        </w:tc>
      </w:tr>
      <w:tr>
        <w:trPr>
          <w:trHeight w:val="165"/>
        </w:trPr>
        <w:tc>
          <w:tcPr>
            <w:tcW w:w="7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receivable, net (including $140,266 and $190,643 Accounts receivable of consolidated joint ventures, net)</w:t>
            </w:r>
          </w:p>
        </w:tc>
        <w:tc>
          <w:tcPr>
            <w:tcW w:w="14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598,311</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698,578</w:t>
            </w:r>
          </w:p>
        </w:tc>
        <w:tc>
          <w:tcPr>
            <w:tcW w:w="100" w:type="dxa"/>
            <w:vAlign w:val="bottom"/>
            <w:shd w:val="clear" w:color="auto" w:fill="CFF0FC"/>
          </w:tcPr>
          <w:p>
            <w:pPr>
              <w:spacing w:after="0"/>
              <w:rPr>
                <w:sz w:val="14"/>
                <w:szCs w:val="14"/>
                <w:color w:val="auto"/>
              </w:rPr>
            </w:pPr>
          </w:p>
        </w:tc>
      </w:tr>
      <w:tr>
        <w:trPr>
          <w:trHeight w:val="165"/>
        </w:trPr>
        <w:tc>
          <w:tcPr>
            <w:tcW w:w="7500" w:type="dxa"/>
            <w:vAlign w:val="bottom"/>
          </w:tcPr>
          <w:p>
            <w:pPr>
              <w:ind w:left="260"/>
              <w:spacing w:after="0"/>
              <w:rPr>
                <w:sz w:val="20"/>
                <w:szCs w:val="20"/>
                <w:color w:val="auto"/>
              </w:rPr>
            </w:pPr>
            <w:r>
              <w:rPr>
                <w:rFonts w:ascii="Arial" w:cs="Arial" w:eastAsia="Arial" w:hAnsi="Arial"/>
                <w:sz w:val="14"/>
                <w:szCs w:val="14"/>
                <w:color w:val="auto"/>
              </w:rPr>
              <w:t>Contract assets (including $8,779 and $23,498 Contract assets of consolidated joint ventures)</w:t>
            </w: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579,216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576,568</w:t>
            </w:r>
          </w:p>
        </w:tc>
        <w:tc>
          <w:tcPr>
            <w:tcW w:w="100" w:type="dxa"/>
            <w:vAlign w:val="bottom"/>
          </w:tcPr>
          <w:p>
            <w:pPr>
              <w:spacing w:after="0"/>
              <w:rPr>
                <w:sz w:val="14"/>
                <w:szCs w:val="14"/>
                <w:color w:val="auto"/>
              </w:rPr>
            </w:pPr>
          </w:p>
        </w:tc>
      </w:tr>
      <w:tr>
        <w:trPr>
          <w:trHeight w:val="169"/>
        </w:trPr>
        <w:tc>
          <w:tcPr>
            <w:tcW w:w="7500" w:type="dxa"/>
            <w:vAlign w:val="bottom"/>
            <w:shd w:val="clear" w:color="auto" w:fill="CFF0FC"/>
          </w:tcPr>
          <w:p>
            <w:pPr>
              <w:ind w:left="260"/>
              <w:spacing w:after="0"/>
              <w:rPr>
                <w:sz w:val="20"/>
                <w:szCs w:val="20"/>
                <w:color w:val="auto"/>
              </w:rPr>
            </w:pPr>
            <w:r>
              <w:rPr>
                <w:rFonts w:ascii="Arial" w:cs="Arial" w:eastAsia="Arial" w:hAnsi="Arial"/>
                <w:sz w:val="14"/>
                <w:szCs w:val="14"/>
                <w:color w:val="auto"/>
                <w:w w:val="98"/>
              </w:rPr>
              <w:t>Prepaid expenses and other current assets (including $18,783 and $3,045 Prepaid expenses and other current assets</w:t>
            </w:r>
          </w:p>
        </w:tc>
        <w:tc>
          <w:tcPr>
            <w:tcW w:w="14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8"/>
        </w:trPr>
        <w:tc>
          <w:tcPr>
            <w:tcW w:w="7500" w:type="dxa"/>
            <w:vAlign w:val="bottom"/>
            <w:shd w:val="clear" w:color="auto" w:fill="CFF0FC"/>
          </w:tcPr>
          <w:p>
            <w:pPr>
              <w:ind w:left="260"/>
              <w:spacing w:after="0" w:line="148" w:lineRule="exact"/>
              <w:rPr>
                <w:sz w:val="20"/>
                <w:szCs w:val="20"/>
                <w:color w:val="auto"/>
              </w:rPr>
            </w:pPr>
            <w:r>
              <w:rPr>
                <w:rFonts w:ascii="Arial" w:cs="Arial" w:eastAsia="Arial" w:hAnsi="Arial"/>
                <w:sz w:val="14"/>
                <w:szCs w:val="14"/>
                <w:color w:val="auto"/>
              </w:rPr>
              <w:t>of consolidated joint ventures)</w:t>
            </w:r>
          </w:p>
        </w:tc>
        <w:tc>
          <w:tcPr>
            <w:tcW w:w="140" w:type="dxa"/>
            <w:vAlign w:val="bottom"/>
            <w:tcBorders>
              <w:bottom w:val="single" w:sz="8" w:color="auto"/>
            </w:tcBorders>
            <w:shd w:val="clear" w:color="auto" w:fill="CFF0FC"/>
          </w:tcPr>
          <w:p>
            <w:pPr>
              <w:spacing w:after="0"/>
              <w:rPr>
                <w:sz w:val="12"/>
                <w:szCs w:val="12"/>
                <w:color w:val="auto"/>
              </w:rPr>
            </w:pPr>
          </w:p>
        </w:tc>
        <w:tc>
          <w:tcPr>
            <w:tcW w:w="156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4"/>
                <w:szCs w:val="14"/>
                <w:color w:val="auto"/>
              </w:rPr>
              <w:t>110,941</w:t>
            </w:r>
          </w:p>
        </w:tc>
        <w:tc>
          <w:tcPr>
            <w:tcW w:w="24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54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4"/>
                <w:szCs w:val="14"/>
                <w:color w:val="auto"/>
              </w:rPr>
              <w:t>80,769</w:t>
            </w:r>
          </w:p>
        </w:tc>
        <w:tc>
          <w:tcPr>
            <w:tcW w:w="100" w:type="dxa"/>
            <w:vAlign w:val="bottom"/>
            <w:shd w:val="clear" w:color="auto" w:fill="CFF0FC"/>
          </w:tcPr>
          <w:p>
            <w:pPr>
              <w:spacing w:after="0"/>
              <w:rPr>
                <w:sz w:val="12"/>
                <w:szCs w:val="12"/>
                <w:color w:val="auto"/>
              </w:rPr>
            </w:pPr>
          </w:p>
        </w:tc>
      </w:tr>
      <w:tr>
        <w:trPr>
          <w:trHeight w:val="157"/>
        </w:trPr>
        <w:tc>
          <w:tcPr>
            <w:tcW w:w="7500" w:type="dxa"/>
            <w:vAlign w:val="bottom"/>
            <w:tcBorders>
              <w:bottom w:val="single" w:sz="8" w:color="CFF0FC"/>
            </w:tcBorders>
          </w:tcPr>
          <w:p>
            <w:pPr>
              <w:ind w:left="480"/>
              <w:spacing w:after="0" w:line="157" w:lineRule="exact"/>
              <w:rPr>
                <w:sz w:val="20"/>
                <w:szCs w:val="20"/>
                <w:color w:val="auto"/>
              </w:rPr>
            </w:pPr>
            <w:r>
              <w:rPr>
                <w:rFonts w:ascii="Arial" w:cs="Arial" w:eastAsia="Arial" w:hAnsi="Arial"/>
                <w:sz w:val="14"/>
                <w:szCs w:val="14"/>
                <w:color w:val="auto"/>
              </w:rPr>
              <w:t>Total current assets</w:t>
            </w: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1,632,351</w:t>
            </w:r>
          </w:p>
        </w:tc>
        <w:tc>
          <w:tcPr>
            <w:tcW w:w="2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1,843,130</w:t>
            </w:r>
          </w:p>
        </w:tc>
        <w:tc>
          <w:tcPr>
            <w:tcW w:w="100" w:type="dxa"/>
            <w:vAlign w:val="bottom"/>
            <w:tcBorders>
              <w:bottom w:val="single" w:sz="8" w:color="CFF0FC"/>
            </w:tcBorders>
          </w:tcPr>
          <w:p>
            <w:pPr>
              <w:spacing w:after="0"/>
              <w:rPr>
                <w:sz w:val="13"/>
                <w:szCs w:val="13"/>
                <w:color w:val="auto"/>
              </w:rPr>
            </w:pPr>
          </w:p>
        </w:tc>
      </w:tr>
      <w:tr>
        <w:trPr>
          <w:trHeight w:val="157"/>
        </w:trPr>
        <w:tc>
          <w:tcPr>
            <w:tcW w:w="75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5"/>
        </w:trPr>
        <w:tc>
          <w:tcPr>
            <w:tcW w:w="7500" w:type="dxa"/>
            <w:vAlign w:val="bottom"/>
          </w:tcPr>
          <w:p>
            <w:pPr>
              <w:ind w:left="260"/>
              <w:spacing w:after="0"/>
              <w:rPr>
                <w:sz w:val="20"/>
                <w:szCs w:val="20"/>
                <w:color w:val="auto"/>
              </w:rPr>
            </w:pPr>
            <w:r>
              <w:rPr>
                <w:rFonts w:ascii="Arial" w:cs="Arial" w:eastAsia="Arial" w:hAnsi="Arial"/>
                <w:sz w:val="14"/>
                <w:szCs w:val="14"/>
                <w:color w:val="auto"/>
                <w:w w:val="98"/>
              </w:rPr>
              <w:t>Property and equipment, net (including $1,721 and $2,629 Property and equipment of consolidated joint ventures, net)</w:t>
            </w: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104,196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121,027</w:t>
            </w:r>
          </w:p>
        </w:tc>
        <w:tc>
          <w:tcPr>
            <w:tcW w:w="100" w:type="dxa"/>
            <w:vAlign w:val="bottom"/>
          </w:tcPr>
          <w:p>
            <w:pPr>
              <w:spacing w:after="0"/>
              <w:rPr>
                <w:sz w:val="14"/>
                <w:szCs w:val="14"/>
                <w:color w:val="auto"/>
              </w:rPr>
            </w:pPr>
          </w:p>
        </w:tc>
      </w:tr>
      <w:tr>
        <w:trPr>
          <w:trHeight w:val="165"/>
        </w:trPr>
        <w:tc>
          <w:tcPr>
            <w:tcW w:w="7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Right of use assets, operating leases</w:t>
            </w:r>
          </w:p>
        </w:tc>
        <w:tc>
          <w:tcPr>
            <w:tcW w:w="14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182,672</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210,398</w:t>
            </w:r>
          </w:p>
        </w:tc>
        <w:tc>
          <w:tcPr>
            <w:tcW w:w="100" w:type="dxa"/>
            <w:vAlign w:val="bottom"/>
            <w:shd w:val="clear" w:color="auto" w:fill="CFF0FC"/>
          </w:tcPr>
          <w:p>
            <w:pPr>
              <w:spacing w:after="0"/>
              <w:rPr>
                <w:sz w:val="14"/>
                <w:szCs w:val="14"/>
                <w:color w:val="auto"/>
              </w:rPr>
            </w:pPr>
          </w:p>
        </w:tc>
      </w:tr>
      <w:tr>
        <w:trPr>
          <w:trHeight w:val="165"/>
        </w:trPr>
        <w:tc>
          <w:tcPr>
            <w:tcW w:w="7500" w:type="dxa"/>
            <w:vAlign w:val="bottom"/>
          </w:tcPr>
          <w:p>
            <w:pPr>
              <w:ind w:left="26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1,412,690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1,261,978</w:t>
            </w:r>
          </w:p>
        </w:tc>
        <w:tc>
          <w:tcPr>
            <w:tcW w:w="100" w:type="dxa"/>
            <w:vAlign w:val="bottom"/>
          </w:tcPr>
          <w:p>
            <w:pPr>
              <w:spacing w:after="0"/>
              <w:rPr>
                <w:sz w:val="14"/>
                <w:szCs w:val="14"/>
                <w:color w:val="auto"/>
              </w:rPr>
            </w:pPr>
          </w:p>
        </w:tc>
      </w:tr>
      <w:tr>
        <w:trPr>
          <w:trHeight w:val="165"/>
        </w:trPr>
        <w:tc>
          <w:tcPr>
            <w:tcW w:w="7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Investments in and advances to unconsolidated joint ventures</w:t>
            </w:r>
          </w:p>
        </w:tc>
        <w:tc>
          <w:tcPr>
            <w:tcW w:w="14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110,688</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68,975</w:t>
            </w:r>
          </w:p>
        </w:tc>
        <w:tc>
          <w:tcPr>
            <w:tcW w:w="100" w:type="dxa"/>
            <w:vAlign w:val="bottom"/>
            <w:shd w:val="clear" w:color="auto" w:fill="CFF0FC"/>
          </w:tcPr>
          <w:p>
            <w:pPr>
              <w:spacing w:after="0"/>
              <w:rPr>
                <w:sz w:val="14"/>
                <w:szCs w:val="14"/>
                <w:color w:val="auto"/>
              </w:rPr>
            </w:pPr>
          </w:p>
        </w:tc>
      </w:tr>
      <w:tr>
        <w:trPr>
          <w:trHeight w:val="165"/>
        </w:trPr>
        <w:tc>
          <w:tcPr>
            <w:tcW w:w="7500" w:type="dxa"/>
            <w:vAlign w:val="bottom"/>
          </w:tcPr>
          <w:p>
            <w:pPr>
              <w:ind w:left="260"/>
              <w:spacing w:after="0"/>
              <w:rPr>
                <w:sz w:val="20"/>
                <w:szCs w:val="20"/>
                <w:color w:val="auto"/>
              </w:rPr>
            </w:pPr>
            <w:r>
              <w:rPr>
                <w:rFonts w:ascii="Arial" w:cs="Arial" w:eastAsia="Arial" w:hAnsi="Arial"/>
                <w:sz w:val="14"/>
                <w:szCs w:val="14"/>
                <w:color w:val="auto"/>
              </w:rPr>
              <w:t>Intangible assets, net</w:t>
            </w: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207,821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245,958</w:t>
            </w:r>
          </w:p>
        </w:tc>
        <w:tc>
          <w:tcPr>
            <w:tcW w:w="100" w:type="dxa"/>
            <w:vAlign w:val="bottom"/>
          </w:tcPr>
          <w:p>
            <w:pPr>
              <w:spacing w:after="0"/>
              <w:rPr>
                <w:sz w:val="14"/>
                <w:szCs w:val="14"/>
                <w:color w:val="auto"/>
              </w:rPr>
            </w:pPr>
          </w:p>
        </w:tc>
      </w:tr>
      <w:tr>
        <w:trPr>
          <w:trHeight w:val="165"/>
        </w:trPr>
        <w:tc>
          <w:tcPr>
            <w:tcW w:w="7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tax assets</w:t>
            </w:r>
          </w:p>
        </w:tc>
        <w:tc>
          <w:tcPr>
            <w:tcW w:w="14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134,393</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130,200</w:t>
            </w:r>
          </w:p>
        </w:tc>
        <w:tc>
          <w:tcPr>
            <w:tcW w:w="100" w:type="dxa"/>
            <w:vAlign w:val="bottom"/>
            <w:shd w:val="clear" w:color="auto" w:fill="CFF0FC"/>
          </w:tcPr>
          <w:p>
            <w:pPr>
              <w:spacing w:after="0"/>
              <w:rPr>
                <w:sz w:val="14"/>
                <w:szCs w:val="14"/>
                <w:color w:val="auto"/>
              </w:rPr>
            </w:pPr>
          </w:p>
        </w:tc>
      </w:tr>
      <w:tr>
        <w:trPr>
          <w:trHeight w:val="165"/>
        </w:trPr>
        <w:tc>
          <w:tcPr>
            <w:tcW w:w="75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noncurrent assets</w:t>
            </w: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46,129</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56,038</w:t>
            </w:r>
          </w:p>
        </w:tc>
        <w:tc>
          <w:tcPr>
            <w:tcW w:w="100" w:type="dxa"/>
            <w:vAlign w:val="bottom"/>
            <w:tcBorders>
              <w:bottom w:val="single" w:sz="8" w:color="CFF0FC"/>
            </w:tcBorders>
          </w:tcPr>
          <w:p>
            <w:pPr>
              <w:spacing w:after="0"/>
              <w:rPr>
                <w:sz w:val="14"/>
                <w:szCs w:val="14"/>
                <w:color w:val="auto"/>
              </w:rPr>
            </w:pPr>
          </w:p>
        </w:tc>
      </w:tr>
      <w:tr>
        <w:trPr>
          <w:trHeight w:val="157"/>
        </w:trPr>
        <w:tc>
          <w:tcPr>
            <w:tcW w:w="7500" w:type="dxa"/>
            <w:vAlign w:val="bottom"/>
            <w:tcBorders>
              <w:bottom w:val="single" w:sz="8" w:color="CFF0FC"/>
            </w:tcBorders>
            <w:shd w:val="clear" w:color="auto" w:fill="CFF0FC"/>
          </w:tcPr>
          <w:p>
            <w:pPr>
              <w:ind w:left="480"/>
              <w:spacing w:after="0" w:line="157" w:lineRule="exact"/>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3,830,940</w:t>
            </w:r>
          </w:p>
        </w:tc>
        <w:tc>
          <w:tcPr>
            <w:tcW w:w="2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12"/>
              <w:spacing w:after="0" w:line="157"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3,937,704</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20"/>
        </w:trPr>
        <w:tc>
          <w:tcPr>
            <w:tcW w:w="7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7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75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14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5"/>
        </w:trPr>
        <w:tc>
          <w:tcPr>
            <w:tcW w:w="7500" w:type="dxa"/>
            <w:vAlign w:val="bottom"/>
          </w:tcPr>
          <w:p>
            <w:pPr>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7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payable (including $78,558 and $97,810 Accounts payable of consolidated joint ventures)</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196,286</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2"/>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225,679</w:t>
            </w:r>
          </w:p>
        </w:tc>
        <w:tc>
          <w:tcPr>
            <w:tcW w:w="100" w:type="dxa"/>
            <w:vAlign w:val="bottom"/>
            <w:shd w:val="clear" w:color="auto" w:fill="CFF0FC"/>
          </w:tcPr>
          <w:p>
            <w:pPr>
              <w:spacing w:after="0"/>
              <w:rPr>
                <w:sz w:val="14"/>
                <w:szCs w:val="14"/>
                <w:color w:val="auto"/>
              </w:rPr>
            </w:pPr>
          </w:p>
        </w:tc>
      </w:tr>
      <w:tr>
        <w:trPr>
          <w:trHeight w:val="169"/>
        </w:trPr>
        <w:tc>
          <w:tcPr>
            <w:tcW w:w="7500" w:type="dxa"/>
            <w:vAlign w:val="bottom"/>
          </w:tcPr>
          <w:p>
            <w:pPr>
              <w:ind w:left="260"/>
              <w:spacing w:after="0"/>
              <w:rPr>
                <w:sz w:val="20"/>
                <w:szCs w:val="20"/>
                <w:color w:val="auto"/>
              </w:rPr>
            </w:pPr>
            <w:r>
              <w:rPr>
                <w:rFonts w:ascii="Arial" w:cs="Arial" w:eastAsia="Arial" w:hAnsi="Arial"/>
                <w:sz w:val="14"/>
                <w:szCs w:val="14"/>
                <w:color w:val="auto"/>
              </w:rPr>
              <w:t>Accrued expenses and other current liabilities (including $82,746 and $68,801 Accrued expenses and other current</w:t>
            </w: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7500" w:type="dxa"/>
            <w:vAlign w:val="bottom"/>
          </w:tcPr>
          <w:p>
            <w:pPr>
              <w:ind w:left="260"/>
              <w:spacing w:after="0" w:line="148" w:lineRule="exact"/>
              <w:rPr>
                <w:sz w:val="20"/>
                <w:szCs w:val="20"/>
                <w:color w:val="auto"/>
              </w:rPr>
            </w:pPr>
            <w:r>
              <w:rPr>
                <w:rFonts w:ascii="Arial" w:cs="Arial" w:eastAsia="Arial" w:hAnsi="Arial"/>
                <w:sz w:val="14"/>
                <w:szCs w:val="14"/>
                <w:color w:val="auto"/>
              </w:rPr>
              <w:t>liabilities of consolidated joint ventures)</w:t>
            </w:r>
          </w:p>
        </w:tc>
        <w:tc>
          <w:tcPr>
            <w:tcW w:w="140" w:type="dxa"/>
            <w:vAlign w:val="bottom"/>
          </w:tcPr>
          <w:p>
            <w:pPr>
              <w:spacing w:after="0"/>
              <w:rPr>
                <w:sz w:val="12"/>
                <w:szCs w:val="12"/>
                <w:color w:val="auto"/>
              </w:rPr>
            </w:pPr>
          </w:p>
        </w:tc>
        <w:tc>
          <w:tcPr>
            <w:tcW w:w="1560" w:type="dxa"/>
            <w:vAlign w:val="bottom"/>
          </w:tcPr>
          <w:p>
            <w:pPr>
              <w:jc w:val="right"/>
              <w:spacing w:after="0" w:line="148" w:lineRule="exact"/>
              <w:rPr>
                <w:sz w:val="20"/>
                <w:szCs w:val="20"/>
                <w:color w:val="auto"/>
              </w:rPr>
            </w:pPr>
            <w:r>
              <w:rPr>
                <w:rFonts w:ascii="Arial" w:cs="Arial" w:eastAsia="Arial" w:hAnsi="Arial"/>
                <w:sz w:val="14"/>
                <w:szCs w:val="14"/>
                <w:color w:val="auto"/>
              </w:rPr>
              <w:t>599,089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right"/>
              <w:spacing w:after="0" w:line="148" w:lineRule="exact"/>
              <w:rPr>
                <w:sz w:val="20"/>
                <w:szCs w:val="20"/>
                <w:color w:val="auto"/>
              </w:rPr>
            </w:pPr>
            <w:r>
              <w:rPr>
                <w:rFonts w:ascii="Arial" w:cs="Arial" w:eastAsia="Arial" w:hAnsi="Arial"/>
                <w:sz w:val="14"/>
                <w:szCs w:val="14"/>
                <w:color w:val="auto"/>
              </w:rPr>
              <w:t>650,753</w:t>
            </w:r>
          </w:p>
        </w:tc>
        <w:tc>
          <w:tcPr>
            <w:tcW w:w="100" w:type="dxa"/>
            <w:vAlign w:val="bottom"/>
          </w:tcPr>
          <w:p>
            <w:pPr>
              <w:spacing w:after="0"/>
              <w:rPr>
                <w:sz w:val="12"/>
                <w:szCs w:val="12"/>
                <w:color w:val="auto"/>
              </w:rPr>
            </w:pPr>
          </w:p>
        </w:tc>
      </w:tr>
      <w:tr>
        <w:trPr>
          <w:trHeight w:val="165"/>
        </w:trPr>
        <w:tc>
          <w:tcPr>
            <w:tcW w:w="7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Contract liabilities (including $14,333 and $33,922 Contract liabilities of consolidated joint ventures)</w:t>
            </w:r>
          </w:p>
        </w:tc>
        <w:tc>
          <w:tcPr>
            <w:tcW w:w="14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171,671</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201,864</w:t>
            </w:r>
          </w:p>
        </w:tc>
        <w:tc>
          <w:tcPr>
            <w:tcW w:w="100" w:type="dxa"/>
            <w:vAlign w:val="bottom"/>
            <w:shd w:val="clear" w:color="auto" w:fill="CFF0FC"/>
          </w:tcPr>
          <w:p>
            <w:pPr>
              <w:spacing w:after="0"/>
              <w:rPr>
                <w:sz w:val="14"/>
                <w:szCs w:val="14"/>
                <w:color w:val="auto"/>
              </w:rPr>
            </w:pPr>
          </w:p>
        </w:tc>
      </w:tr>
      <w:tr>
        <w:trPr>
          <w:trHeight w:val="165"/>
        </w:trPr>
        <w:tc>
          <w:tcPr>
            <w:tcW w:w="7500" w:type="dxa"/>
            <w:vAlign w:val="bottom"/>
          </w:tcPr>
          <w:p>
            <w:pPr>
              <w:ind w:left="260"/>
              <w:spacing w:after="0"/>
              <w:rPr>
                <w:sz w:val="20"/>
                <w:szCs w:val="20"/>
                <w:color w:val="auto"/>
              </w:rPr>
            </w:pPr>
            <w:r>
              <w:rPr>
                <w:rFonts w:ascii="Arial" w:cs="Arial" w:eastAsia="Arial" w:hAnsi="Arial"/>
                <w:sz w:val="14"/>
                <w:szCs w:val="14"/>
                <w:color w:val="auto"/>
              </w:rPr>
              <w:t>Short-term lease liabilities, operating leases</w:t>
            </w: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55,902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54,133</w:t>
            </w:r>
          </w:p>
        </w:tc>
        <w:tc>
          <w:tcPr>
            <w:tcW w:w="100" w:type="dxa"/>
            <w:vAlign w:val="bottom"/>
          </w:tcPr>
          <w:p>
            <w:pPr>
              <w:spacing w:after="0"/>
              <w:rPr>
                <w:sz w:val="14"/>
                <w:szCs w:val="14"/>
                <w:color w:val="auto"/>
              </w:rPr>
            </w:pPr>
          </w:p>
        </w:tc>
      </w:tr>
      <w:tr>
        <w:trPr>
          <w:trHeight w:val="165"/>
        </w:trPr>
        <w:tc>
          <w:tcPr>
            <w:tcW w:w="7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Income taxes payable</w:t>
            </w:r>
          </w:p>
        </w:tc>
        <w:tc>
          <w:tcPr>
            <w:tcW w:w="14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7,836</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4,980</w:t>
            </w:r>
          </w:p>
        </w:tc>
        <w:tc>
          <w:tcPr>
            <w:tcW w:w="100" w:type="dxa"/>
            <w:vAlign w:val="bottom"/>
            <w:shd w:val="clear" w:color="auto" w:fill="CFF0FC"/>
          </w:tcPr>
          <w:p>
            <w:pPr>
              <w:spacing w:after="0"/>
              <w:rPr>
                <w:sz w:val="14"/>
                <w:szCs w:val="14"/>
                <w:color w:val="auto"/>
              </w:rPr>
            </w:pPr>
          </w:p>
        </w:tc>
      </w:tr>
      <w:tr>
        <w:trPr>
          <w:trHeight w:val="165"/>
        </w:trPr>
        <w:tc>
          <w:tcPr>
            <w:tcW w:w="75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Short-term debt</w:t>
            </w: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Borders>
              <w:bottom w:val="single" w:sz="8" w:color="CFF0FC"/>
            </w:tcBorders>
          </w:tcPr>
          <w:p>
            <w:pPr>
              <w:spacing w:after="0"/>
              <w:rPr>
                <w:sz w:val="14"/>
                <w:szCs w:val="14"/>
                <w:color w:val="auto"/>
              </w:rPr>
            </w:pPr>
          </w:p>
        </w:tc>
      </w:tr>
      <w:tr>
        <w:trPr>
          <w:trHeight w:val="157"/>
        </w:trPr>
        <w:tc>
          <w:tcPr>
            <w:tcW w:w="7500" w:type="dxa"/>
            <w:vAlign w:val="bottom"/>
            <w:shd w:val="clear" w:color="auto" w:fill="CFF0FC"/>
          </w:tcPr>
          <w:p>
            <w:pPr>
              <w:ind w:left="480"/>
              <w:spacing w:after="0" w:line="157" w:lineRule="exact"/>
              <w:rPr>
                <w:sz w:val="20"/>
                <w:szCs w:val="20"/>
                <w:color w:val="auto"/>
              </w:rPr>
            </w:pPr>
            <w:r>
              <w:rPr>
                <w:rFonts w:ascii="Arial" w:cs="Arial" w:eastAsia="Arial" w:hAnsi="Arial"/>
                <w:sz w:val="14"/>
                <w:szCs w:val="14"/>
                <w:color w:val="auto"/>
              </w:rPr>
              <w:t>Total current liabilities</w:t>
            </w:r>
          </w:p>
        </w:tc>
        <w:tc>
          <w:tcPr>
            <w:tcW w:w="140" w:type="dxa"/>
            <w:vAlign w:val="bottom"/>
            <w:tcBorders>
              <w:bottom w:val="single" w:sz="8" w:color="auto"/>
            </w:tcBorders>
            <w:shd w:val="clear" w:color="auto" w:fill="CFF0FC"/>
          </w:tcPr>
          <w:p>
            <w:pPr>
              <w:spacing w:after="0"/>
              <w:rPr>
                <w:sz w:val="13"/>
                <w:szCs w:val="13"/>
                <w:color w:val="auto"/>
              </w:rPr>
            </w:pPr>
          </w:p>
        </w:tc>
        <w:tc>
          <w:tcPr>
            <w:tcW w:w="156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1,030,784</w:t>
            </w:r>
          </w:p>
        </w:tc>
        <w:tc>
          <w:tcPr>
            <w:tcW w:w="24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1,187,409</w:t>
            </w:r>
          </w:p>
        </w:tc>
        <w:tc>
          <w:tcPr>
            <w:tcW w:w="100" w:type="dxa"/>
            <w:vAlign w:val="bottom"/>
            <w:shd w:val="clear" w:color="auto" w:fill="CFF0FC"/>
          </w:tcPr>
          <w:p>
            <w:pPr>
              <w:spacing w:after="0"/>
              <w:rPr>
                <w:sz w:val="13"/>
                <w:szCs w:val="13"/>
                <w:color w:val="auto"/>
              </w:rPr>
            </w:pPr>
          </w:p>
        </w:tc>
      </w:tr>
      <w:tr>
        <w:trPr>
          <w:trHeight w:val="157"/>
        </w:trPr>
        <w:tc>
          <w:tcPr>
            <w:tcW w:w="7500" w:type="dxa"/>
            <w:vAlign w:val="bottom"/>
          </w:tcPr>
          <w:p>
            <w:pPr>
              <w:ind w:left="260"/>
              <w:spacing w:after="0" w:line="157" w:lineRule="exact"/>
              <w:rPr>
                <w:sz w:val="20"/>
                <w:szCs w:val="20"/>
                <w:color w:val="auto"/>
              </w:rPr>
            </w:pPr>
            <w:r>
              <w:rPr>
                <w:rFonts w:ascii="Arial" w:cs="Arial" w:eastAsia="Arial" w:hAnsi="Arial"/>
                <w:sz w:val="14"/>
                <w:szCs w:val="14"/>
                <w:color w:val="auto"/>
              </w:rPr>
              <w:t>Long-term employee incentives</w:t>
            </w:r>
          </w:p>
        </w:tc>
        <w:tc>
          <w:tcPr>
            <w:tcW w:w="140" w:type="dxa"/>
            <w:vAlign w:val="bottom"/>
          </w:tcPr>
          <w:p>
            <w:pPr>
              <w:spacing w:after="0"/>
              <w:rPr>
                <w:sz w:val="13"/>
                <w:szCs w:val="13"/>
                <w:color w:val="auto"/>
              </w:rPr>
            </w:pPr>
          </w:p>
        </w:tc>
        <w:tc>
          <w:tcPr>
            <w:tcW w:w="1560" w:type="dxa"/>
            <w:vAlign w:val="bottom"/>
          </w:tcPr>
          <w:p>
            <w:pPr>
              <w:jc w:val="right"/>
              <w:spacing w:after="0" w:line="157" w:lineRule="exact"/>
              <w:rPr>
                <w:sz w:val="20"/>
                <w:szCs w:val="20"/>
                <w:color w:val="auto"/>
              </w:rPr>
            </w:pPr>
            <w:r>
              <w:rPr>
                <w:rFonts w:ascii="Arial" w:cs="Arial" w:eastAsia="Arial" w:hAnsi="Arial"/>
                <w:sz w:val="14"/>
                <w:szCs w:val="14"/>
                <w:color w:val="auto"/>
              </w:rPr>
              <w:t>15,997</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jc w:val="right"/>
              <w:spacing w:after="0" w:line="157" w:lineRule="exact"/>
              <w:rPr>
                <w:sz w:val="20"/>
                <w:szCs w:val="20"/>
                <w:color w:val="auto"/>
              </w:rPr>
            </w:pPr>
            <w:r>
              <w:rPr>
                <w:rFonts w:ascii="Arial" w:cs="Arial" w:eastAsia="Arial" w:hAnsi="Arial"/>
                <w:sz w:val="14"/>
                <w:szCs w:val="14"/>
                <w:color w:val="auto"/>
              </w:rPr>
              <w:t>21,828</w:t>
            </w:r>
          </w:p>
        </w:tc>
        <w:tc>
          <w:tcPr>
            <w:tcW w:w="100" w:type="dxa"/>
            <w:vAlign w:val="bottom"/>
          </w:tcPr>
          <w:p>
            <w:pPr>
              <w:spacing w:after="0"/>
              <w:rPr>
                <w:sz w:val="13"/>
                <w:szCs w:val="13"/>
                <w:color w:val="auto"/>
              </w:rPr>
            </w:pPr>
          </w:p>
        </w:tc>
      </w:tr>
      <w:tr>
        <w:trPr>
          <w:trHeight w:val="165"/>
        </w:trPr>
        <w:tc>
          <w:tcPr>
            <w:tcW w:w="7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Long-term debt</w:t>
            </w:r>
          </w:p>
        </w:tc>
        <w:tc>
          <w:tcPr>
            <w:tcW w:w="14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591,922</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539,998</w:t>
            </w:r>
          </w:p>
        </w:tc>
        <w:tc>
          <w:tcPr>
            <w:tcW w:w="100" w:type="dxa"/>
            <w:vAlign w:val="bottom"/>
            <w:shd w:val="clear" w:color="auto" w:fill="CFF0FC"/>
          </w:tcPr>
          <w:p>
            <w:pPr>
              <w:spacing w:after="0"/>
              <w:rPr>
                <w:sz w:val="14"/>
                <w:szCs w:val="14"/>
                <w:color w:val="auto"/>
              </w:rPr>
            </w:pPr>
          </w:p>
        </w:tc>
      </w:tr>
      <w:tr>
        <w:trPr>
          <w:trHeight w:val="165"/>
        </w:trPr>
        <w:tc>
          <w:tcPr>
            <w:tcW w:w="7500" w:type="dxa"/>
            <w:vAlign w:val="bottom"/>
          </w:tcPr>
          <w:p>
            <w:pPr>
              <w:ind w:left="260"/>
              <w:spacing w:after="0"/>
              <w:rPr>
                <w:sz w:val="20"/>
                <w:szCs w:val="20"/>
                <w:color w:val="auto"/>
              </w:rPr>
            </w:pPr>
            <w:r>
              <w:rPr>
                <w:rFonts w:ascii="Arial" w:cs="Arial" w:eastAsia="Arial" w:hAnsi="Arial"/>
                <w:sz w:val="14"/>
                <w:szCs w:val="14"/>
                <w:color w:val="auto"/>
              </w:rPr>
              <w:t>Long-term lease liabilities, operating leases</w:t>
            </w: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148,893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182,467</w:t>
            </w:r>
          </w:p>
        </w:tc>
        <w:tc>
          <w:tcPr>
            <w:tcW w:w="100" w:type="dxa"/>
            <w:vAlign w:val="bottom"/>
          </w:tcPr>
          <w:p>
            <w:pPr>
              <w:spacing w:after="0"/>
              <w:rPr>
                <w:sz w:val="14"/>
                <w:szCs w:val="14"/>
                <w:color w:val="auto"/>
              </w:rPr>
            </w:pPr>
          </w:p>
        </w:tc>
      </w:tr>
      <w:tr>
        <w:trPr>
          <w:trHeight w:val="165"/>
        </w:trPr>
        <w:tc>
          <w:tcPr>
            <w:tcW w:w="7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tax liabilities</w:t>
            </w:r>
          </w:p>
        </w:tc>
        <w:tc>
          <w:tcPr>
            <w:tcW w:w="14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11,400</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12,285</w:t>
            </w:r>
          </w:p>
        </w:tc>
        <w:tc>
          <w:tcPr>
            <w:tcW w:w="100" w:type="dxa"/>
            <w:vAlign w:val="bottom"/>
            <w:shd w:val="clear" w:color="auto" w:fill="CFF0FC"/>
          </w:tcPr>
          <w:p>
            <w:pPr>
              <w:spacing w:after="0"/>
              <w:rPr>
                <w:sz w:val="14"/>
                <w:szCs w:val="14"/>
                <w:color w:val="auto"/>
              </w:rPr>
            </w:pPr>
          </w:p>
        </w:tc>
      </w:tr>
      <w:tr>
        <w:trPr>
          <w:trHeight w:val="165"/>
        </w:trPr>
        <w:tc>
          <w:tcPr>
            <w:tcW w:w="75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long-term liabilities</w:t>
            </w: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94,832</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132,300</w:t>
            </w:r>
          </w:p>
        </w:tc>
        <w:tc>
          <w:tcPr>
            <w:tcW w:w="100" w:type="dxa"/>
            <w:vAlign w:val="bottom"/>
            <w:tcBorders>
              <w:bottom w:val="single" w:sz="8" w:color="CFF0FC"/>
            </w:tcBorders>
          </w:tcPr>
          <w:p>
            <w:pPr>
              <w:spacing w:after="0"/>
              <w:rPr>
                <w:sz w:val="14"/>
                <w:szCs w:val="14"/>
                <w:color w:val="auto"/>
              </w:rPr>
            </w:pPr>
          </w:p>
        </w:tc>
      </w:tr>
      <w:tr>
        <w:trPr>
          <w:trHeight w:val="157"/>
        </w:trPr>
        <w:tc>
          <w:tcPr>
            <w:tcW w:w="7500" w:type="dxa"/>
            <w:vAlign w:val="bottom"/>
            <w:shd w:val="clear" w:color="auto" w:fill="CFF0FC"/>
          </w:tcPr>
          <w:p>
            <w:pPr>
              <w:ind w:left="480"/>
              <w:spacing w:after="0" w:line="157" w:lineRule="exact"/>
              <w:rPr>
                <w:sz w:val="20"/>
                <w:szCs w:val="20"/>
                <w:color w:val="auto"/>
              </w:rPr>
            </w:pPr>
            <w:r>
              <w:rPr>
                <w:rFonts w:ascii="Arial" w:cs="Arial" w:eastAsia="Arial" w:hAnsi="Arial"/>
                <w:sz w:val="14"/>
                <w:szCs w:val="14"/>
                <w:color w:val="auto"/>
              </w:rPr>
              <w:t>Total liabilities</w:t>
            </w:r>
          </w:p>
        </w:tc>
        <w:tc>
          <w:tcPr>
            <w:tcW w:w="140" w:type="dxa"/>
            <w:vAlign w:val="bottom"/>
            <w:tcBorders>
              <w:bottom w:val="single" w:sz="8" w:color="auto"/>
            </w:tcBorders>
            <w:shd w:val="clear" w:color="auto" w:fill="CFF0FC"/>
          </w:tcPr>
          <w:p>
            <w:pPr>
              <w:spacing w:after="0"/>
              <w:rPr>
                <w:sz w:val="13"/>
                <w:szCs w:val="13"/>
                <w:color w:val="auto"/>
              </w:rPr>
            </w:pPr>
          </w:p>
        </w:tc>
        <w:tc>
          <w:tcPr>
            <w:tcW w:w="156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1,893,828</w:t>
            </w:r>
          </w:p>
        </w:tc>
        <w:tc>
          <w:tcPr>
            <w:tcW w:w="24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2,076,287</w:t>
            </w:r>
          </w:p>
        </w:tc>
        <w:tc>
          <w:tcPr>
            <w:tcW w:w="100" w:type="dxa"/>
            <w:vAlign w:val="bottom"/>
            <w:shd w:val="clear" w:color="auto" w:fill="CFF0FC"/>
          </w:tcPr>
          <w:p>
            <w:pPr>
              <w:spacing w:after="0"/>
              <w:rPr>
                <w:sz w:val="13"/>
                <w:szCs w:val="13"/>
                <w:color w:val="auto"/>
              </w:rPr>
            </w:pPr>
          </w:p>
        </w:tc>
      </w:tr>
      <w:tr>
        <w:trPr>
          <w:trHeight w:val="157"/>
        </w:trPr>
        <w:tc>
          <w:tcPr>
            <w:tcW w:w="7500" w:type="dxa"/>
            <w:vAlign w:val="bottom"/>
          </w:tcPr>
          <w:p>
            <w:pPr>
              <w:spacing w:after="0" w:line="157" w:lineRule="exact"/>
              <w:rPr>
                <w:sz w:val="20"/>
                <w:szCs w:val="20"/>
                <w:color w:val="auto"/>
              </w:rPr>
            </w:pPr>
            <w:r>
              <w:rPr>
                <w:rFonts w:ascii="Arial" w:cs="Arial" w:eastAsia="Arial" w:hAnsi="Arial"/>
                <w:sz w:val="14"/>
                <w:szCs w:val="14"/>
                <w:color w:val="auto"/>
              </w:rPr>
              <w:t>Contingencies (Note 15)</w:t>
            </w: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7500" w:type="dxa"/>
            <w:vAlign w:val="bottom"/>
            <w:shd w:val="clear" w:color="auto" w:fill="CFF0FC"/>
          </w:tcPr>
          <w:p>
            <w:pPr>
              <w:spacing w:after="0"/>
              <w:rPr>
                <w:sz w:val="20"/>
                <w:szCs w:val="20"/>
                <w:color w:val="auto"/>
              </w:rPr>
            </w:pPr>
            <w:r>
              <w:rPr>
                <w:rFonts w:ascii="Arial" w:cs="Arial" w:eastAsia="Arial" w:hAnsi="Arial"/>
                <w:sz w:val="14"/>
                <w:szCs w:val="14"/>
                <w:color w:val="auto"/>
              </w:rPr>
              <w:t>Shareholders' equity:</w:t>
            </w:r>
          </w:p>
        </w:tc>
        <w:tc>
          <w:tcPr>
            <w:tcW w:w="14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9"/>
        </w:trPr>
        <w:tc>
          <w:tcPr>
            <w:tcW w:w="7500" w:type="dxa"/>
            <w:vAlign w:val="bottom"/>
          </w:tcPr>
          <w:p>
            <w:pPr>
              <w:ind w:left="260"/>
              <w:spacing w:after="0"/>
              <w:rPr>
                <w:sz w:val="20"/>
                <w:szCs w:val="20"/>
                <w:color w:val="auto"/>
              </w:rPr>
            </w:pPr>
            <w:r>
              <w:rPr>
                <w:rFonts w:ascii="Arial" w:cs="Arial" w:eastAsia="Arial" w:hAnsi="Arial"/>
                <w:sz w:val="14"/>
                <w:szCs w:val="14"/>
                <w:color w:val="auto"/>
              </w:rPr>
              <w:t>Common stock, $1 par value; authorized 1,000,000,000 shares; 146,276,880 and 146,609,288 shares issued;</w:t>
            </w: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7500" w:type="dxa"/>
            <w:vAlign w:val="bottom"/>
          </w:tcPr>
          <w:p>
            <w:pPr>
              <w:ind w:left="260"/>
              <w:spacing w:after="0" w:line="148" w:lineRule="exact"/>
              <w:rPr>
                <w:sz w:val="20"/>
                <w:szCs w:val="20"/>
                <w:color w:val="auto"/>
              </w:rPr>
            </w:pPr>
            <w:r>
              <w:rPr>
                <w:rFonts w:ascii="Arial" w:cs="Arial" w:eastAsia="Arial" w:hAnsi="Arial"/>
                <w:sz w:val="14"/>
                <w:szCs w:val="14"/>
                <w:color w:val="auto"/>
              </w:rPr>
              <w:t>33,331,494 and 25,719,350 public shares outstanding; 70,328,237 and 76,641,312 ESOP shares outstanding</w:t>
            </w:r>
          </w:p>
        </w:tc>
        <w:tc>
          <w:tcPr>
            <w:tcW w:w="140" w:type="dxa"/>
            <w:vAlign w:val="bottom"/>
          </w:tcPr>
          <w:p>
            <w:pPr>
              <w:spacing w:after="0"/>
              <w:rPr>
                <w:sz w:val="12"/>
                <w:szCs w:val="12"/>
                <w:color w:val="auto"/>
              </w:rPr>
            </w:pPr>
          </w:p>
        </w:tc>
        <w:tc>
          <w:tcPr>
            <w:tcW w:w="1560" w:type="dxa"/>
            <w:vAlign w:val="bottom"/>
          </w:tcPr>
          <w:p>
            <w:pPr>
              <w:jc w:val="right"/>
              <w:spacing w:after="0" w:line="148" w:lineRule="exact"/>
              <w:rPr>
                <w:sz w:val="20"/>
                <w:szCs w:val="20"/>
                <w:color w:val="auto"/>
              </w:rPr>
            </w:pPr>
            <w:r>
              <w:rPr>
                <w:rFonts w:ascii="Arial" w:cs="Arial" w:eastAsia="Arial" w:hAnsi="Arial"/>
                <w:sz w:val="14"/>
                <w:szCs w:val="14"/>
                <w:color w:val="auto"/>
              </w:rPr>
              <w:t>146,277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right"/>
              <w:spacing w:after="0" w:line="148" w:lineRule="exact"/>
              <w:rPr>
                <w:sz w:val="20"/>
                <w:szCs w:val="20"/>
                <w:color w:val="auto"/>
              </w:rPr>
            </w:pPr>
            <w:r>
              <w:rPr>
                <w:rFonts w:ascii="Arial" w:cs="Arial" w:eastAsia="Arial" w:hAnsi="Arial"/>
                <w:sz w:val="14"/>
                <w:szCs w:val="14"/>
                <w:color w:val="auto"/>
              </w:rPr>
              <w:t>146,609</w:t>
            </w:r>
          </w:p>
        </w:tc>
        <w:tc>
          <w:tcPr>
            <w:tcW w:w="100" w:type="dxa"/>
            <w:vAlign w:val="bottom"/>
          </w:tcPr>
          <w:p>
            <w:pPr>
              <w:spacing w:after="0"/>
              <w:rPr>
                <w:sz w:val="12"/>
                <w:szCs w:val="12"/>
                <w:color w:val="auto"/>
              </w:rPr>
            </w:pPr>
          </w:p>
        </w:tc>
      </w:tr>
      <w:tr>
        <w:trPr>
          <w:trHeight w:val="165"/>
        </w:trPr>
        <w:tc>
          <w:tcPr>
            <w:tcW w:w="7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Treasury stock, 42,617,149 shares at cost</w:t>
            </w:r>
          </w:p>
        </w:tc>
        <w:tc>
          <w:tcPr>
            <w:tcW w:w="140" w:type="dxa"/>
            <w:vAlign w:val="bottom"/>
            <w:shd w:val="clear" w:color="auto" w:fill="CFF0FC"/>
          </w:tcPr>
          <w:p>
            <w:pPr>
              <w:spacing w:after="0"/>
              <w:rPr>
                <w:sz w:val="14"/>
                <w:szCs w:val="14"/>
                <w:color w:val="auto"/>
              </w:rPr>
            </w:pPr>
          </w:p>
        </w:tc>
        <w:tc>
          <w:tcPr>
            <w:tcW w:w="18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(867,391)</w:t>
            </w:r>
          </w:p>
        </w:tc>
        <w:tc>
          <w:tcPr>
            <w:tcW w:w="16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(899,328)</w:t>
            </w:r>
          </w:p>
        </w:tc>
      </w:tr>
      <w:tr>
        <w:trPr>
          <w:trHeight w:val="179"/>
        </w:trPr>
        <w:tc>
          <w:tcPr>
            <w:tcW w:w="750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2,684,979</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2,700,925</w:t>
            </w:r>
          </w:p>
        </w:tc>
        <w:tc>
          <w:tcPr>
            <w:tcW w:w="100" w:type="dxa"/>
            <w:vAlign w:val="bottom"/>
          </w:tcPr>
          <w:p>
            <w:pPr>
              <w:spacing w:after="0"/>
              <w:rPr>
                <w:sz w:val="15"/>
                <w:szCs w:val="15"/>
                <w:color w:val="auto"/>
              </w:rPr>
            </w:pPr>
          </w:p>
        </w:tc>
      </w:tr>
      <w:tr>
        <w:trPr>
          <w:trHeight w:val="150"/>
        </w:trPr>
        <w:tc>
          <w:tcPr>
            <w:tcW w:w="7500" w:type="dxa"/>
            <w:vAlign w:val="bottom"/>
          </w:tcPr>
          <w:p>
            <w:pPr>
              <w:ind w:left="260"/>
              <w:spacing w:after="0" w:line="150" w:lineRule="exact"/>
              <w:rPr>
                <w:sz w:val="20"/>
                <w:szCs w:val="20"/>
                <w:color w:val="auto"/>
              </w:rPr>
            </w:pPr>
            <w:r>
              <w:rPr>
                <w:rFonts w:ascii="Arial" w:cs="Arial" w:eastAsia="Arial" w:hAnsi="Arial"/>
                <w:sz w:val="14"/>
                <w:szCs w:val="14"/>
                <w:color w:val="auto"/>
              </w:rPr>
              <w:t>Accumulated deficit</w:t>
            </w:r>
          </w:p>
        </w:tc>
        <w:tc>
          <w:tcPr>
            <w:tcW w:w="140" w:type="dxa"/>
            <w:vAlign w:val="bottom"/>
          </w:tcPr>
          <w:p>
            <w:pPr>
              <w:spacing w:after="0"/>
              <w:rPr>
                <w:sz w:val="13"/>
                <w:szCs w:val="13"/>
                <w:color w:val="auto"/>
              </w:rPr>
            </w:pPr>
          </w:p>
        </w:tc>
        <w:tc>
          <w:tcPr>
            <w:tcW w:w="1800" w:type="dxa"/>
            <w:vAlign w:val="bottom"/>
            <w:gridSpan w:val="2"/>
          </w:tcPr>
          <w:p>
            <w:pPr>
              <w:jc w:val="right"/>
              <w:ind w:right="200"/>
              <w:spacing w:after="0" w:line="150" w:lineRule="exact"/>
              <w:rPr>
                <w:sz w:val="20"/>
                <w:szCs w:val="20"/>
                <w:color w:val="auto"/>
              </w:rPr>
            </w:pPr>
            <w:r>
              <w:rPr>
                <w:rFonts w:ascii="Arial" w:cs="Arial" w:eastAsia="Arial" w:hAnsi="Arial"/>
                <w:sz w:val="14"/>
                <w:szCs w:val="14"/>
                <w:color w:val="auto"/>
              </w:rPr>
              <w:t>(53,529)</w:t>
            </w:r>
          </w:p>
        </w:tc>
        <w:tc>
          <w:tcPr>
            <w:tcW w:w="160" w:type="dxa"/>
            <w:vAlign w:val="bottom"/>
          </w:tcPr>
          <w:p>
            <w:pPr>
              <w:spacing w:after="0"/>
              <w:rPr>
                <w:sz w:val="13"/>
                <w:szCs w:val="13"/>
                <w:color w:val="auto"/>
              </w:rPr>
            </w:pPr>
          </w:p>
        </w:tc>
        <w:tc>
          <w:tcPr>
            <w:tcW w:w="1640" w:type="dxa"/>
            <w:vAlign w:val="bottom"/>
            <w:gridSpan w:val="2"/>
          </w:tcPr>
          <w:p>
            <w:pPr>
              <w:jc w:val="right"/>
              <w:ind w:right="40"/>
              <w:spacing w:after="0" w:line="150" w:lineRule="exact"/>
              <w:rPr>
                <w:sz w:val="20"/>
                <w:szCs w:val="20"/>
                <w:color w:val="auto"/>
              </w:rPr>
            </w:pPr>
            <w:r>
              <w:rPr>
                <w:rFonts w:ascii="Arial" w:cs="Arial" w:eastAsia="Arial" w:hAnsi="Arial"/>
                <w:sz w:val="14"/>
                <w:szCs w:val="14"/>
                <w:color w:val="auto"/>
              </w:rPr>
              <w:t>(120,569)</w:t>
            </w:r>
          </w:p>
        </w:tc>
      </w:tr>
      <w:tr>
        <w:trPr>
          <w:trHeight w:val="165"/>
        </w:trPr>
        <w:tc>
          <w:tcPr>
            <w:tcW w:w="7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Accumulated other comprehensive loss</w:t>
            </w:r>
          </w:p>
        </w:tc>
        <w:tc>
          <w:tcPr>
            <w:tcW w:w="140" w:type="dxa"/>
            <w:vAlign w:val="bottom"/>
            <w:shd w:val="clear" w:color="auto" w:fill="CFF0FC"/>
          </w:tcPr>
          <w:p>
            <w:pPr>
              <w:spacing w:after="0"/>
              <w:rPr>
                <w:sz w:val="14"/>
                <w:szCs w:val="14"/>
                <w:color w:val="auto"/>
              </w:rPr>
            </w:pPr>
          </w:p>
        </w:tc>
        <w:tc>
          <w:tcPr>
            <w:tcW w:w="18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(9,568)</w:t>
            </w:r>
          </w:p>
        </w:tc>
        <w:tc>
          <w:tcPr>
            <w:tcW w:w="16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(13,865)</w:t>
            </w:r>
          </w:p>
        </w:tc>
      </w:tr>
      <w:tr>
        <w:trPr>
          <w:trHeight w:val="157"/>
        </w:trPr>
        <w:tc>
          <w:tcPr>
            <w:tcW w:w="7500" w:type="dxa"/>
            <w:vAlign w:val="bottom"/>
          </w:tcPr>
          <w:p>
            <w:pPr>
              <w:ind w:left="260"/>
              <w:spacing w:after="0" w:line="157" w:lineRule="exact"/>
              <w:rPr>
                <w:sz w:val="20"/>
                <w:szCs w:val="20"/>
                <w:color w:val="auto"/>
              </w:rPr>
            </w:pPr>
            <w:r>
              <w:rPr>
                <w:rFonts w:ascii="Arial" w:cs="Arial" w:eastAsia="Arial" w:hAnsi="Arial"/>
                <w:sz w:val="14"/>
                <w:szCs w:val="14"/>
                <w:color w:val="auto"/>
              </w:rPr>
              <w:t>Total Parsons Corporation shareholders' equity</w:t>
            </w:r>
          </w:p>
        </w:tc>
        <w:tc>
          <w:tcPr>
            <w:tcW w:w="14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1,900,768</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1,813,772</w:t>
            </w:r>
          </w:p>
        </w:tc>
        <w:tc>
          <w:tcPr>
            <w:tcW w:w="100" w:type="dxa"/>
            <w:vAlign w:val="bottom"/>
          </w:tcPr>
          <w:p>
            <w:pPr>
              <w:spacing w:after="0"/>
              <w:rPr>
                <w:sz w:val="13"/>
                <w:szCs w:val="13"/>
                <w:color w:val="auto"/>
              </w:rPr>
            </w:pPr>
          </w:p>
        </w:tc>
      </w:tr>
      <w:tr>
        <w:trPr>
          <w:trHeight w:val="165"/>
        </w:trPr>
        <w:tc>
          <w:tcPr>
            <w:tcW w:w="7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Noncontrolling interests</w:t>
            </w:r>
          </w:p>
        </w:tc>
        <w:tc>
          <w:tcPr>
            <w:tcW w:w="140" w:type="dxa"/>
            <w:vAlign w:val="bottom"/>
            <w:tcBorders>
              <w:bottom w:val="single" w:sz="8" w:color="auto"/>
            </w:tcBorders>
            <w:shd w:val="clear" w:color="auto" w:fill="CFF0FC"/>
          </w:tcPr>
          <w:p>
            <w:pPr>
              <w:spacing w:after="0"/>
              <w:rPr>
                <w:sz w:val="14"/>
                <w:szCs w:val="14"/>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36,344</w:t>
            </w:r>
          </w:p>
        </w:tc>
        <w:tc>
          <w:tcPr>
            <w:tcW w:w="24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47,645</w:t>
            </w:r>
          </w:p>
        </w:tc>
        <w:tc>
          <w:tcPr>
            <w:tcW w:w="100" w:type="dxa"/>
            <w:vAlign w:val="bottom"/>
            <w:shd w:val="clear" w:color="auto" w:fill="CFF0FC"/>
          </w:tcPr>
          <w:p>
            <w:pPr>
              <w:spacing w:after="0"/>
              <w:rPr>
                <w:sz w:val="14"/>
                <w:szCs w:val="14"/>
                <w:color w:val="auto"/>
              </w:rPr>
            </w:pPr>
          </w:p>
        </w:tc>
      </w:tr>
      <w:tr>
        <w:trPr>
          <w:trHeight w:val="157"/>
        </w:trPr>
        <w:tc>
          <w:tcPr>
            <w:tcW w:w="7500" w:type="dxa"/>
            <w:vAlign w:val="bottom"/>
            <w:tcBorders>
              <w:bottom w:val="single" w:sz="8" w:color="CFF0FC"/>
            </w:tcBorders>
          </w:tcPr>
          <w:p>
            <w:pPr>
              <w:ind w:left="260"/>
              <w:spacing w:after="0" w:line="157" w:lineRule="exact"/>
              <w:rPr>
                <w:sz w:val="20"/>
                <w:szCs w:val="20"/>
                <w:color w:val="auto"/>
              </w:rPr>
            </w:pPr>
            <w:r>
              <w:rPr>
                <w:rFonts w:ascii="Arial" w:cs="Arial" w:eastAsia="Arial" w:hAnsi="Arial"/>
                <w:sz w:val="14"/>
                <w:szCs w:val="14"/>
                <w:color w:val="auto"/>
              </w:rPr>
              <w:t>Total shareholders' equity</w:t>
            </w: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1,937,112</w:t>
            </w:r>
          </w:p>
        </w:tc>
        <w:tc>
          <w:tcPr>
            <w:tcW w:w="2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1,861,417</w:t>
            </w:r>
          </w:p>
        </w:tc>
        <w:tc>
          <w:tcPr>
            <w:tcW w:w="100" w:type="dxa"/>
            <w:vAlign w:val="bottom"/>
            <w:tcBorders>
              <w:bottom w:val="single" w:sz="8" w:color="CFF0FC"/>
            </w:tcBorders>
          </w:tcPr>
          <w:p>
            <w:pPr>
              <w:spacing w:after="0"/>
              <w:rPr>
                <w:sz w:val="13"/>
                <w:szCs w:val="13"/>
                <w:color w:val="auto"/>
              </w:rPr>
            </w:pPr>
          </w:p>
        </w:tc>
      </w:tr>
      <w:tr>
        <w:trPr>
          <w:trHeight w:val="157"/>
        </w:trPr>
        <w:tc>
          <w:tcPr>
            <w:tcW w:w="7500" w:type="dxa"/>
            <w:vAlign w:val="bottom"/>
            <w:tcBorders>
              <w:bottom w:val="single" w:sz="8" w:color="CFF0FC"/>
            </w:tcBorders>
            <w:shd w:val="clear" w:color="auto" w:fill="CFF0FC"/>
          </w:tcPr>
          <w:p>
            <w:pPr>
              <w:ind w:left="260"/>
              <w:spacing w:after="0" w:line="157" w:lineRule="exact"/>
              <w:rPr>
                <w:sz w:val="20"/>
                <w:szCs w:val="20"/>
                <w:color w:val="auto"/>
              </w:rPr>
            </w:pPr>
            <w:r>
              <w:rPr>
                <w:rFonts w:ascii="Arial" w:cs="Arial" w:eastAsia="Arial" w:hAnsi="Arial"/>
                <w:sz w:val="14"/>
                <w:szCs w:val="14"/>
                <w:color w:val="auto"/>
              </w:rPr>
              <w:t>Total liabilities and shareholders' equity</w:t>
            </w: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3,830,940</w:t>
            </w:r>
          </w:p>
        </w:tc>
        <w:tc>
          <w:tcPr>
            <w:tcW w:w="2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12"/>
              <w:spacing w:after="0" w:line="157"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3,937,704</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20"/>
        </w:trPr>
        <w:tc>
          <w:tcPr>
            <w:tcW w:w="7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Income</w:t>
      </w:r>
    </w:p>
    <w:p>
      <w:pPr>
        <w:jc w:val="center"/>
        <w:spacing w:after="0" w:line="233" w:lineRule="auto"/>
        <w:rPr>
          <w:sz w:val="20"/>
          <w:szCs w:val="20"/>
          <w:color w:val="auto"/>
        </w:rPr>
      </w:pPr>
      <w:r>
        <w:rPr>
          <w:rFonts w:ascii="Arial" w:cs="Arial" w:eastAsia="Arial" w:hAnsi="Arial"/>
          <w:sz w:val="17"/>
          <w:szCs w:val="17"/>
          <w:b w:val="1"/>
          <w:bCs w:val="1"/>
          <w:color w:val="auto"/>
        </w:rPr>
        <w:t>Years Ended December 31, 2021, December 31, 2020 and December 31, 2019</w:t>
      </w:r>
    </w:p>
    <w:p>
      <w:pPr>
        <w:jc w:val="center"/>
        <w:spacing w:after="0"/>
        <w:rPr>
          <w:sz w:val="20"/>
          <w:szCs w:val="20"/>
          <w:color w:val="auto"/>
        </w:rPr>
      </w:pPr>
      <w:r>
        <w:rPr>
          <w:rFonts w:ascii="Arial" w:cs="Arial" w:eastAsia="Arial" w:hAnsi="Arial"/>
          <w:sz w:val="17"/>
          <w:szCs w:val="17"/>
          <w:i w:val="1"/>
          <w:iCs w:val="1"/>
          <w:color w:val="auto"/>
        </w:rPr>
        <w:t>(in thousands, except for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71405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220" w:type="dxa"/>
            <w:vAlign w:val="bottom"/>
            <w:tcBorders>
              <w:bottom w:val="single" w:sz="8" w:color="CFF0FC"/>
            </w:tcBorders>
          </w:tcPr>
          <w:p>
            <w:pPr>
              <w:spacing w:after="0"/>
              <w:rPr>
                <w:sz w:val="14"/>
                <w:szCs w:val="14"/>
                <w:color w:val="auto"/>
              </w:rPr>
            </w:pPr>
          </w:p>
        </w:tc>
        <w:tc>
          <w:tcPr>
            <w:tcW w:w="14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196"/>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3,660,771</w:t>
            </w:r>
          </w:p>
        </w:tc>
        <w:tc>
          <w:tcPr>
            <w:tcW w:w="16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3,918,946</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3,954,812</w:t>
            </w:r>
          </w:p>
        </w:tc>
        <w:tc>
          <w:tcPr>
            <w:tcW w:w="100" w:type="dxa"/>
            <w:vAlign w:val="bottom"/>
            <w:shd w:val="clear" w:color="auto" w:fill="CFF0FC"/>
          </w:tcPr>
          <w:p>
            <w:pPr>
              <w:spacing w:after="0"/>
              <w:rPr>
                <w:sz w:val="17"/>
                <w:szCs w:val="17"/>
                <w:color w:val="auto"/>
              </w:rPr>
            </w:pPr>
          </w:p>
        </w:tc>
      </w:tr>
      <w:tr>
        <w:trPr>
          <w:trHeight w:val="203"/>
        </w:trPr>
        <w:tc>
          <w:tcPr>
            <w:tcW w:w="5220" w:type="dxa"/>
            <w:vAlign w:val="bottom"/>
          </w:tcPr>
          <w:p>
            <w:pPr>
              <w:spacing w:after="0"/>
              <w:rPr>
                <w:sz w:val="20"/>
                <w:szCs w:val="20"/>
                <w:color w:val="auto"/>
              </w:rPr>
            </w:pPr>
            <w:r>
              <w:rPr>
                <w:rFonts w:ascii="Arial" w:cs="Arial" w:eastAsia="Arial" w:hAnsi="Arial"/>
                <w:sz w:val="17"/>
                <w:szCs w:val="17"/>
                <w:color w:val="auto"/>
              </w:rPr>
              <w:t>Direct cost of contracts</w:t>
            </w: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2,807,950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3,042,087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3,123,062</w:t>
            </w:r>
          </w:p>
        </w:tc>
        <w:tc>
          <w:tcPr>
            <w:tcW w:w="100" w:type="dxa"/>
            <w:vAlign w:val="bottom"/>
          </w:tcPr>
          <w:p>
            <w:pPr>
              <w:spacing w:after="0"/>
              <w:rPr>
                <w:sz w:val="17"/>
                <w:szCs w:val="17"/>
                <w:color w:val="auto"/>
              </w:rPr>
            </w:pPr>
          </w:p>
        </w:tc>
      </w:tr>
      <w:tr>
        <w:trPr>
          <w:trHeight w:val="203"/>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Equity in earnings of unconsolidated joint ventures</w:t>
            </w:r>
          </w:p>
        </w:tc>
        <w:tc>
          <w:tcPr>
            <w:tcW w:w="1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36,862</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30,059</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41,721</w:t>
            </w:r>
          </w:p>
        </w:tc>
        <w:tc>
          <w:tcPr>
            <w:tcW w:w="100" w:type="dxa"/>
            <w:vAlign w:val="bottom"/>
            <w:shd w:val="clear" w:color="auto" w:fill="CFF0FC"/>
          </w:tcPr>
          <w:p>
            <w:pPr>
              <w:spacing w:after="0"/>
              <w:rPr>
                <w:sz w:val="17"/>
                <w:szCs w:val="17"/>
                <w:color w:val="auto"/>
              </w:rPr>
            </w:pPr>
          </w:p>
        </w:tc>
      </w:tr>
      <w:tr>
        <w:trPr>
          <w:trHeight w:val="203"/>
        </w:trPr>
        <w:tc>
          <w:tcPr>
            <w:tcW w:w="52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Selling, general and administrative expenses</w:t>
            </w:r>
          </w:p>
        </w:tc>
        <w:tc>
          <w:tcPr>
            <w:tcW w:w="14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757,237</w:t>
            </w:r>
          </w:p>
        </w:tc>
        <w:tc>
          <w:tcPr>
            <w:tcW w:w="1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729,103</w:t>
            </w:r>
          </w:p>
        </w:tc>
        <w:tc>
          <w:tcPr>
            <w:tcW w:w="2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781,408</w:t>
            </w:r>
          </w:p>
        </w:tc>
        <w:tc>
          <w:tcPr>
            <w:tcW w:w="100" w:type="dxa"/>
            <w:vAlign w:val="bottom"/>
            <w:tcBorders>
              <w:bottom w:val="single" w:sz="8" w:color="CFF0FC"/>
            </w:tcBorders>
          </w:tcPr>
          <w:p>
            <w:pPr>
              <w:spacing w:after="0"/>
              <w:rPr>
                <w:sz w:val="17"/>
                <w:szCs w:val="17"/>
                <w:color w:val="auto"/>
              </w:rPr>
            </w:pPr>
          </w:p>
        </w:tc>
      </w:tr>
      <w:tr>
        <w:trPr>
          <w:trHeight w:val="196"/>
        </w:trPr>
        <w:tc>
          <w:tcPr>
            <w:tcW w:w="52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Operating income</w:t>
            </w:r>
          </w:p>
        </w:tc>
        <w:tc>
          <w:tcPr>
            <w:tcW w:w="14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132,446</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177,815</w:t>
            </w:r>
          </w:p>
        </w:tc>
        <w:tc>
          <w:tcPr>
            <w:tcW w:w="2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92,063</w:t>
            </w:r>
          </w:p>
        </w:tc>
        <w:tc>
          <w:tcPr>
            <w:tcW w:w="100" w:type="dxa"/>
            <w:vAlign w:val="bottom"/>
            <w:shd w:val="clear" w:color="auto" w:fill="CFF0FC"/>
          </w:tcPr>
          <w:p>
            <w:pPr>
              <w:spacing w:after="0"/>
              <w:rPr>
                <w:sz w:val="17"/>
                <w:szCs w:val="17"/>
                <w:color w:val="auto"/>
              </w:rPr>
            </w:pPr>
          </w:p>
        </w:tc>
      </w:tr>
      <w:tr>
        <w:trPr>
          <w:trHeight w:val="196"/>
        </w:trPr>
        <w:tc>
          <w:tcPr>
            <w:tcW w:w="5220" w:type="dxa"/>
            <w:vAlign w:val="bottom"/>
          </w:tcPr>
          <w:p>
            <w:pPr>
              <w:spacing w:after="0"/>
              <w:rPr>
                <w:sz w:val="20"/>
                <w:szCs w:val="20"/>
                <w:color w:val="auto"/>
              </w:rPr>
            </w:pPr>
            <w:r>
              <w:rPr>
                <w:rFonts w:ascii="Arial" w:cs="Arial" w:eastAsia="Arial" w:hAnsi="Arial"/>
                <w:sz w:val="17"/>
                <w:szCs w:val="17"/>
                <w:color w:val="auto"/>
              </w:rPr>
              <w:t>Interest income</w:t>
            </w: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396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787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1,300</w:t>
            </w:r>
          </w:p>
        </w:tc>
        <w:tc>
          <w:tcPr>
            <w:tcW w:w="100" w:type="dxa"/>
            <w:vAlign w:val="bottom"/>
          </w:tcPr>
          <w:p>
            <w:pPr>
              <w:spacing w:after="0"/>
              <w:rPr>
                <w:sz w:val="17"/>
                <w:szCs w:val="17"/>
                <w:color w:val="auto"/>
              </w:rPr>
            </w:pPr>
          </w:p>
        </w:tc>
      </w:tr>
      <w:tr>
        <w:trPr>
          <w:trHeight w:val="203"/>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Interest expense</w:t>
            </w:r>
          </w:p>
        </w:tc>
        <w:tc>
          <w:tcPr>
            <w:tcW w:w="1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(17,697)</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(20,956)</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(23,729)</w:t>
            </w:r>
          </w:p>
        </w:tc>
      </w:tr>
      <w:tr>
        <w:trPr>
          <w:trHeight w:val="203"/>
        </w:trPr>
        <w:tc>
          <w:tcPr>
            <w:tcW w:w="522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(2,557)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3,767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(2,392)</w:t>
            </w:r>
          </w:p>
        </w:tc>
      </w:tr>
      <w:tr>
        <w:trPr>
          <w:trHeight w:val="20"/>
        </w:trPr>
        <w:tc>
          <w:tcPr>
            <w:tcW w:w="522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2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other (expense) income</w:t>
            </w:r>
          </w:p>
        </w:tc>
        <w:tc>
          <w:tcPr>
            <w:tcW w:w="1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(19,858)</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(16,402)</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(24,821)</w:t>
            </w:r>
          </w:p>
        </w:tc>
      </w:tr>
      <w:tr>
        <w:trPr>
          <w:trHeight w:val="196"/>
        </w:trPr>
        <w:tc>
          <w:tcPr>
            <w:tcW w:w="5220" w:type="dxa"/>
            <w:vAlign w:val="bottom"/>
          </w:tcPr>
          <w:p>
            <w:pPr>
              <w:ind w:left="240"/>
              <w:spacing w:after="0"/>
              <w:rPr>
                <w:sz w:val="20"/>
                <w:szCs w:val="20"/>
                <w:color w:val="auto"/>
              </w:rPr>
            </w:pPr>
            <w:r>
              <w:rPr>
                <w:rFonts w:ascii="Arial" w:cs="Arial" w:eastAsia="Arial" w:hAnsi="Arial"/>
                <w:sz w:val="17"/>
                <w:szCs w:val="17"/>
                <w:color w:val="auto"/>
              </w:rPr>
              <w:t>Income before income tax expense</w:t>
            </w:r>
          </w:p>
        </w:tc>
        <w:tc>
          <w:tcPr>
            <w:tcW w:w="14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112,588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161,413</w:t>
            </w: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67,242</w:t>
            </w:r>
          </w:p>
        </w:tc>
        <w:tc>
          <w:tcPr>
            <w:tcW w:w="100" w:type="dxa"/>
            <w:vAlign w:val="bottom"/>
          </w:tcPr>
          <w:p>
            <w:pPr>
              <w:spacing w:after="0"/>
              <w:rPr>
                <w:sz w:val="17"/>
                <w:szCs w:val="17"/>
                <w:color w:val="auto"/>
              </w:rPr>
            </w:pPr>
          </w:p>
        </w:tc>
      </w:tr>
      <w:tr>
        <w:trPr>
          <w:trHeight w:val="203"/>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Income tax (expense) benefit</w:t>
            </w:r>
          </w:p>
        </w:tc>
        <w:tc>
          <w:tcPr>
            <w:tcW w:w="1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(23,636)</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(42,492)</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69,886</w:t>
            </w:r>
          </w:p>
        </w:tc>
        <w:tc>
          <w:tcPr>
            <w:tcW w:w="100" w:type="dxa"/>
            <w:vAlign w:val="bottom"/>
            <w:shd w:val="clear" w:color="auto" w:fill="CFF0FC"/>
          </w:tcPr>
          <w:p>
            <w:pPr>
              <w:spacing w:after="0"/>
              <w:rPr>
                <w:sz w:val="17"/>
                <w:szCs w:val="17"/>
                <w:color w:val="auto"/>
              </w:rPr>
            </w:pPr>
          </w:p>
        </w:tc>
      </w:tr>
      <w:tr>
        <w:trPr>
          <w:trHeight w:val="196"/>
        </w:trPr>
        <w:tc>
          <w:tcPr>
            <w:tcW w:w="5220" w:type="dxa"/>
            <w:vAlign w:val="bottom"/>
          </w:tcPr>
          <w:p>
            <w:pPr>
              <w:ind w:left="240"/>
              <w:spacing w:after="0"/>
              <w:rPr>
                <w:sz w:val="20"/>
                <w:szCs w:val="20"/>
                <w:color w:val="auto"/>
              </w:rPr>
            </w:pPr>
            <w:r>
              <w:rPr>
                <w:rFonts w:ascii="Arial" w:cs="Arial" w:eastAsia="Arial" w:hAnsi="Arial"/>
                <w:sz w:val="17"/>
                <w:szCs w:val="17"/>
                <w:color w:val="auto"/>
              </w:rPr>
              <w:t>Net income including noncontrolling interests</w:t>
            </w:r>
          </w:p>
        </w:tc>
        <w:tc>
          <w:tcPr>
            <w:tcW w:w="14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88,952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118,921</w:t>
            </w: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137,128</w:t>
            </w:r>
          </w:p>
        </w:tc>
        <w:tc>
          <w:tcPr>
            <w:tcW w:w="100" w:type="dxa"/>
            <w:vAlign w:val="bottom"/>
          </w:tcPr>
          <w:p>
            <w:pPr>
              <w:spacing w:after="0"/>
              <w:rPr>
                <w:sz w:val="17"/>
                <w:szCs w:val="17"/>
                <w:color w:val="auto"/>
              </w:rPr>
            </w:pPr>
          </w:p>
        </w:tc>
      </w:tr>
      <w:tr>
        <w:trPr>
          <w:trHeight w:val="203"/>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Net income attributable to noncontrolling interests</w:t>
            </w:r>
          </w:p>
        </w:tc>
        <w:tc>
          <w:tcPr>
            <w:tcW w:w="1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(24,880)</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(20,380)</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(16,594)</w:t>
            </w:r>
          </w:p>
        </w:tc>
      </w:tr>
      <w:tr>
        <w:trPr>
          <w:trHeight w:val="20"/>
        </w:trPr>
        <w:tc>
          <w:tcPr>
            <w:tcW w:w="5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220" w:type="dxa"/>
            <w:vAlign w:val="bottom"/>
          </w:tcPr>
          <w:p>
            <w:pPr>
              <w:ind w:left="240"/>
              <w:spacing w:after="0"/>
              <w:rPr>
                <w:sz w:val="20"/>
                <w:szCs w:val="20"/>
                <w:color w:val="auto"/>
              </w:rPr>
            </w:pPr>
            <w:r>
              <w:rPr>
                <w:rFonts w:ascii="Arial" w:cs="Arial" w:eastAsia="Arial" w:hAnsi="Arial"/>
                <w:sz w:val="17"/>
                <w:szCs w:val="17"/>
                <w:color w:val="auto"/>
              </w:rPr>
              <w:t>Net income attributable to Parsons Corporation</w:t>
            </w:r>
          </w:p>
        </w:tc>
        <w:tc>
          <w:tcPr>
            <w:tcW w:w="1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64,072</w:t>
            </w:r>
          </w:p>
        </w:tc>
        <w:tc>
          <w:tcPr>
            <w:tcW w:w="16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98,541</w:t>
            </w:r>
          </w:p>
        </w:tc>
        <w:tc>
          <w:tcPr>
            <w:tcW w:w="260" w:type="dxa"/>
            <w:vAlign w:val="bottom"/>
          </w:tcPr>
          <w:p>
            <w:pPr>
              <w:spacing w:after="0"/>
              <w:rPr>
                <w:sz w:val="20"/>
                <w:szCs w:val="20"/>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120,534</w:t>
            </w:r>
          </w:p>
        </w:tc>
        <w:tc>
          <w:tcPr>
            <w:tcW w:w="100" w:type="dxa"/>
            <w:vAlign w:val="bottom"/>
          </w:tcPr>
          <w:p>
            <w:pPr>
              <w:spacing w:after="0"/>
              <w:rPr>
                <w:sz w:val="20"/>
                <w:szCs w:val="20"/>
                <w:color w:val="auto"/>
              </w:rPr>
            </w:pPr>
          </w:p>
        </w:tc>
      </w:tr>
      <w:tr>
        <w:trPr>
          <w:trHeight w:val="181"/>
        </w:trPr>
        <w:tc>
          <w:tcPr>
            <w:tcW w:w="5220" w:type="dxa"/>
            <w:vAlign w:val="bottom"/>
            <w:tcBorders>
              <w:top w:val="single" w:sz="8" w:color="CFF0FC"/>
            </w:tcBorders>
            <w:shd w:val="clear" w:color="auto" w:fill="CFF0FC"/>
          </w:tcPr>
          <w:p>
            <w:pPr>
              <w:spacing w:after="0" w:line="181" w:lineRule="exact"/>
              <w:rPr>
                <w:sz w:val="20"/>
                <w:szCs w:val="20"/>
                <w:color w:val="auto"/>
              </w:rPr>
            </w:pPr>
            <w:r>
              <w:rPr>
                <w:rFonts w:ascii="Arial" w:cs="Arial" w:eastAsia="Arial" w:hAnsi="Arial"/>
                <w:sz w:val="17"/>
                <w:szCs w:val="17"/>
                <w:color w:val="auto"/>
              </w:rPr>
              <w:t>Earnings per share:</w:t>
            </w:r>
          </w:p>
        </w:tc>
        <w:tc>
          <w:tcPr>
            <w:tcW w:w="144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r>
      <w:tr>
        <w:trPr>
          <w:trHeight w:val="223"/>
        </w:trPr>
        <w:tc>
          <w:tcPr>
            <w:tcW w:w="5220" w:type="dxa"/>
            <w:vAlign w:val="bottom"/>
          </w:tcPr>
          <w:p>
            <w:pPr>
              <w:ind w:left="240"/>
              <w:spacing w:after="0"/>
              <w:rPr>
                <w:sz w:val="20"/>
                <w:szCs w:val="20"/>
                <w:color w:val="auto"/>
              </w:rPr>
            </w:pPr>
            <w:r>
              <w:rPr>
                <w:rFonts w:ascii="Arial" w:cs="Arial" w:eastAsia="Arial" w:hAnsi="Arial"/>
                <w:sz w:val="17"/>
                <w:szCs w:val="17"/>
                <w:color w:val="auto"/>
              </w:rPr>
              <w:t>Basic earnings per share</w:t>
            </w:r>
          </w:p>
        </w:tc>
        <w:tc>
          <w:tcPr>
            <w:tcW w:w="1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0.62</w:t>
            </w:r>
          </w:p>
        </w:tc>
        <w:tc>
          <w:tcPr>
            <w:tcW w:w="160" w:type="dxa"/>
            <w:vAlign w:val="bottom"/>
          </w:tcPr>
          <w:p>
            <w:pPr>
              <w:spacing w:after="0"/>
              <w:rPr>
                <w:sz w:val="19"/>
                <w:szCs w:val="19"/>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0.98</w:t>
            </w:r>
          </w:p>
        </w:tc>
        <w:tc>
          <w:tcPr>
            <w:tcW w:w="260" w:type="dxa"/>
            <w:vAlign w:val="bottom"/>
          </w:tcPr>
          <w:p>
            <w:pPr>
              <w:spacing w:after="0"/>
              <w:rPr>
                <w:sz w:val="19"/>
                <w:szCs w:val="19"/>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9"/>
                <w:szCs w:val="19"/>
                <w:color w:val="auto"/>
              </w:rPr>
            </w:pP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81"/>
        </w:trPr>
        <w:tc>
          <w:tcPr>
            <w:tcW w:w="5220" w:type="dxa"/>
            <w:vAlign w:val="bottom"/>
            <w:shd w:val="clear" w:color="auto" w:fill="CFF0FC"/>
          </w:tcPr>
          <w:p>
            <w:pPr>
              <w:ind w:left="240"/>
              <w:spacing w:after="0" w:line="181" w:lineRule="exact"/>
              <w:rPr>
                <w:sz w:val="20"/>
                <w:szCs w:val="20"/>
                <w:color w:val="auto"/>
              </w:rPr>
            </w:pPr>
            <w:r>
              <w:rPr>
                <w:rFonts w:ascii="Arial" w:cs="Arial" w:eastAsia="Arial" w:hAnsi="Arial"/>
                <w:sz w:val="17"/>
                <w:szCs w:val="17"/>
                <w:color w:val="auto"/>
              </w:rPr>
              <w:t>Diluted earnings per share</w:t>
            </w:r>
          </w:p>
        </w:tc>
        <w:tc>
          <w:tcPr>
            <w:tcW w:w="1740" w:type="dxa"/>
            <w:vAlign w:val="bottom"/>
            <w:gridSpan w:val="2"/>
            <w:shd w:val="clear" w:color="auto" w:fill="CFF0FC"/>
          </w:tcPr>
          <w:p>
            <w:pPr>
              <w:jc w:val="right"/>
              <w:ind w:right="200"/>
              <w:spacing w:after="0" w:line="181" w:lineRule="exact"/>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line="181" w:lineRule="exact"/>
              <w:rPr>
                <w:sz w:val="20"/>
                <w:szCs w:val="20"/>
                <w:color w:val="auto"/>
              </w:rPr>
            </w:pPr>
            <w:r>
              <w:rPr>
                <w:rFonts w:ascii="Arial" w:cs="Arial" w:eastAsia="Arial" w:hAnsi="Arial"/>
                <w:sz w:val="17"/>
                <w:szCs w:val="17"/>
                <w:color w:val="auto"/>
              </w:rPr>
              <w:t>0.59</w:t>
            </w:r>
          </w:p>
        </w:tc>
        <w:tc>
          <w:tcPr>
            <w:tcW w:w="16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20"/>
              <w:spacing w:after="0" w:line="181" w:lineRule="exact"/>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line="181" w:lineRule="exact"/>
              <w:rPr>
                <w:sz w:val="20"/>
                <w:szCs w:val="20"/>
                <w:color w:val="auto"/>
              </w:rPr>
            </w:pPr>
            <w:r>
              <w:rPr>
                <w:rFonts w:ascii="Arial" w:cs="Arial" w:eastAsia="Arial" w:hAnsi="Arial"/>
                <w:sz w:val="17"/>
                <w:szCs w:val="17"/>
                <w:color w:val="auto"/>
              </w:rPr>
              <w:t>0.97</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line="181" w:lineRule="exact"/>
              <w:rPr>
                <w:sz w:val="20"/>
                <w:szCs w:val="20"/>
                <w:color w:val="auto"/>
              </w:rPr>
            </w:pPr>
            <w:r>
              <w:rPr>
                <w:rFonts w:ascii="Arial" w:cs="Arial" w:eastAsia="Arial" w:hAnsi="Arial"/>
                <w:sz w:val="17"/>
                <w:szCs w:val="17"/>
                <w:color w:val="auto"/>
              </w:rPr>
              <w:t>1.30</w:t>
            </w:r>
          </w:p>
        </w:tc>
        <w:tc>
          <w:tcPr>
            <w:tcW w:w="100" w:type="dxa"/>
            <w:vAlign w:val="bottom"/>
            <w:shd w:val="clear" w:color="auto" w:fill="CFF0FC"/>
          </w:tcPr>
          <w:p>
            <w:pPr>
              <w:spacing w:after="0"/>
              <w:rPr>
                <w:sz w:val="15"/>
                <w:szCs w:val="15"/>
                <w:color w:val="auto"/>
              </w:rPr>
            </w:pP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01" w:name="page102"/>
    <w:bookmarkEnd w:id="101"/>
    <w:p>
      <w:pPr>
        <w:jc w:val="center"/>
        <w:spacing w:after="0" w:line="245" w:lineRule="auto"/>
        <w:rPr>
          <w:sz w:val="20"/>
          <w:szCs w:val="20"/>
          <w:color w:val="auto"/>
        </w:rPr>
      </w:pPr>
      <w:r>
        <w:rPr>
          <w:rFonts w:ascii="Arial" w:cs="Arial" w:eastAsia="Arial" w:hAnsi="Arial"/>
          <w:sz w:val="17"/>
          <w:szCs w:val="17"/>
          <w:b w:val="1"/>
          <w:bCs w:val="1"/>
          <w:color w:val="auto"/>
        </w:rPr>
        <w:t xml:space="preserve">PARSONS CORPORATION AND SUBSIDIARIES Consolidated Statements of Comprehensive Income Years Ended December 31, 2021, December 31, 2020 and December 31, 2019 </w:t>
      </w:r>
      <w:r>
        <w:rPr>
          <w:rFonts w:ascii="Arial" w:cs="Arial" w:eastAsia="Arial" w:hAnsi="Arial"/>
          <w:sz w:val="17"/>
          <w:szCs w:val="17"/>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148590</wp:posOffset>
            </wp:positionV>
            <wp:extent cx="71405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04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196"/>
        </w:trPr>
        <w:tc>
          <w:tcPr>
            <w:tcW w:w="6040" w:type="dxa"/>
            <w:vAlign w:val="bottom"/>
            <w:shd w:val="clear" w:color="auto" w:fill="CFF0FC"/>
          </w:tcPr>
          <w:p>
            <w:pPr>
              <w:spacing w:after="0"/>
              <w:rPr>
                <w:sz w:val="20"/>
                <w:szCs w:val="20"/>
                <w:color w:val="auto"/>
              </w:rPr>
            </w:pPr>
            <w:r>
              <w:rPr>
                <w:rFonts w:ascii="Arial" w:cs="Arial" w:eastAsia="Arial" w:hAnsi="Arial"/>
                <w:sz w:val="17"/>
                <w:szCs w:val="17"/>
                <w:color w:val="auto"/>
              </w:rPr>
              <w:t>Net income including noncontrolling interests</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88,952</w:t>
            </w:r>
          </w:p>
        </w:tc>
        <w:tc>
          <w:tcPr>
            <w:tcW w:w="16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118,921</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137,128</w:t>
            </w:r>
          </w:p>
        </w:tc>
        <w:tc>
          <w:tcPr>
            <w:tcW w:w="100" w:type="dxa"/>
            <w:vAlign w:val="bottom"/>
            <w:shd w:val="clear" w:color="auto" w:fill="CFF0FC"/>
          </w:tcPr>
          <w:p>
            <w:pPr>
              <w:spacing w:after="0"/>
              <w:rPr>
                <w:sz w:val="17"/>
                <w:szCs w:val="17"/>
                <w:color w:val="auto"/>
              </w:rPr>
            </w:pPr>
          </w:p>
        </w:tc>
      </w:tr>
      <w:tr>
        <w:trPr>
          <w:trHeight w:val="203"/>
        </w:trPr>
        <w:tc>
          <w:tcPr>
            <w:tcW w:w="6040" w:type="dxa"/>
            <w:vAlign w:val="bottom"/>
          </w:tcPr>
          <w:p>
            <w:pPr>
              <w:spacing w:after="0"/>
              <w:rPr>
                <w:sz w:val="20"/>
                <w:szCs w:val="20"/>
                <w:color w:val="auto"/>
              </w:rPr>
            </w:pPr>
            <w:r>
              <w:rPr>
                <w:rFonts w:ascii="Arial" w:cs="Arial" w:eastAsia="Arial" w:hAnsi="Arial"/>
                <w:sz w:val="17"/>
                <w:szCs w:val="17"/>
                <w:color w:val="auto"/>
              </w:rPr>
              <w:t>Other comprehensive income (loss), net of tax</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0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Foreign currency translation adjustment, net of tax</w:t>
            </w: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3,834</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484</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8,418</w:t>
            </w:r>
          </w:p>
        </w:tc>
        <w:tc>
          <w:tcPr>
            <w:tcW w:w="100" w:type="dxa"/>
            <w:vAlign w:val="bottom"/>
            <w:shd w:val="clear" w:color="auto" w:fill="CFF0FC"/>
          </w:tcPr>
          <w:p>
            <w:pPr>
              <w:spacing w:after="0"/>
              <w:rPr>
                <w:sz w:val="17"/>
                <w:szCs w:val="17"/>
                <w:color w:val="auto"/>
              </w:rPr>
            </w:pPr>
          </w:p>
        </w:tc>
      </w:tr>
      <w:tr>
        <w:trPr>
          <w:trHeight w:val="203"/>
        </w:trPr>
        <w:tc>
          <w:tcPr>
            <w:tcW w:w="6040" w:type="dxa"/>
            <w:vAlign w:val="bottom"/>
          </w:tcPr>
          <w:p>
            <w:pPr>
              <w:ind w:left="240"/>
              <w:spacing w:after="0"/>
              <w:rPr>
                <w:sz w:val="20"/>
                <w:szCs w:val="20"/>
                <w:color w:val="auto"/>
              </w:rPr>
            </w:pPr>
            <w:r>
              <w:rPr>
                <w:rFonts w:ascii="Arial" w:cs="Arial" w:eastAsia="Arial" w:hAnsi="Arial"/>
                <w:sz w:val="17"/>
                <w:szCs w:val="17"/>
                <w:color w:val="auto"/>
              </w:rPr>
              <w:t>Pension adjustments, net of tax</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460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(88)</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281</w:t>
            </w:r>
          </w:p>
        </w:tc>
        <w:tc>
          <w:tcPr>
            <w:tcW w:w="100" w:type="dxa"/>
            <w:vAlign w:val="bottom"/>
          </w:tcPr>
          <w:p>
            <w:pPr>
              <w:spacing w:after="0"/>
              <w:rPr>
                <w:sz w:val="17"/>
                <w:szCs w:val="17"/>
                <w:color w:val="auto"/>
              </w:rPr>
            </w:pPr>
          </w:p>
        </w:tc>
      </w:tr>
      <w:tr>
        <w:trPr>
          <w:trHeight w:val="195"/>
        </w:trPr>
        <w:tc>
          <w:tcPr>
            <w:tcW w:w="6040" w:type="dxa"/>
            <w:vAlign w:val="bottom"/>
            <w:tcBorders>
              <w:top w:val="single" w:sz="8" w:color="CFF0FC"/>
            </w:tcBorders>
            <w:shd w:val="clear" w:color="auto" w:fill="CFF0FC"/>
          </w:tcPr>
          <w:p>
            <w:pPr>
              <w:ind w:left="460"/>
              <w:spacing w:after="0"/>
              <w:rPr>
                <w:sz w:val="20"/>
                <w:szCs w:val="20"/>
                <w:color w:val="auto"/>
              </w:rPr>
            </w:pPr>
            <w:r>
              <w:rPr>
                <w:rFonts w:ascii="Arial" w:cs="Arial" w:eastAsia="Arial" w:hAnsi="Arial"/>
                <w:sz w:val="17"/>
                <w:szCs w:val="17"/>
                <w:color w:val="auto"/>
              </w:rPr>
              <w:t>Comprehensive income including noncontrolling</w:t>
            </w:r>
          </w:p>
        </w:tc>
        <w:tc>
          <w:tcPr>
            <w:tcW w:w="62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191"/>
        </w:trPr>
        <w:tc>
          <w:tcPr>
            <w:tcW w:w="6040" w:type="dxa"/>
            <w:vAlign w:val="bottom"/>
            <w:shd w:val="clear" w:color="auto" w:fill="CFF0FC"/>
          </w:tcPr>
          <w:p>
            <w:pPr>
              <w:ind w:left="600"/>
              <w:spacing w:after="0" w:line="191" w:lineRule="exact"/>
              <w:rPr>
                <w:sz w:val="20"/>
                <w:szCs w:val="20"/>
                <w:color w:val="auto"/>
              </w:rPr>
            </w:pPr>
            <w:r>
              <w:rPr>
                <w:rFonts w:ascii="Arial" w:cs="Arial" w:eastAsia="Arial" w:hAnsi="Arial"/>
                <w:sz w:val="17"/>
                <w:szCs w:val="17"/>
                <w:color w:val="auto"/>
              </w:rPr>
              <w:t>interests, net of tax</w:t>
            </w:r>
          </w:p>
        </w:tc>
        <w:tc>
          <w:tcPr>
            <w:tcW w:w="6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91" w:lineRule="exact"/>
              <w:rPr>
                <w:sz w:val="20"/>
                <w:szCs w:val="20"/>
                <w:color w:val="auto"/>
              </w:rPr>
            </w:pPr>
            <w:r>
              <w:rPr>
                <w:rFonts w:ascii="Arial" w:cs="Arial" w:eastAsia="Arial" w:hAnsi="Arial"/>
                <w:sz w:val="17"/>
                <w:szCs w:val="17"/>
                <w:color w:val="auto"/>
              </w:rPr>
              <w:t>93,246</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91" w:lineRule="exact"/>
              <w:rPr>
                <w:sz w:val="20"/>
                <w:szCs w:val="20"/>
                <w:color w:val="auto"/>
              </w:rPr>
            </w:pPr>
            <w:r>
              <w:rPr>
                <w:rFonts w:ascii="Arial" w:cs="Arial" w:eastAsia="Arial" w:hAnsi="Arial"/>
                <w:sz w:val="17"/>
                <w:szCs w:val="17"/>
                <w:color w:val="auto"/>
              </w:rPr>
              <w:t>119,317</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91" w:lineRule="exact"/>
              <w:rPr>
                <w:sz w:val="20"/>
                <w:szCs w:val="20"/>
                <w:color w:val="auto"/>
              </w:rPr>
            </w:pPr>
            <w:r>
              <w:rPr>
                <w:rFonts w:ascii="Arial" w:cs="Arial" w:eastAsia="Arial" w:hAnsi="Arial"/>
                <w:sz w:val="17"/>
                <w:szCs w:val="17"/>
                <w:color w:val="auto"/>
              </w:rPr>
              <w:t>145,827</w:t>
            </w:r>
          </w:p>
        </w:tc>
        <w:tc>
          <w:tcPr>
            <w:tcW w:w="100" w:type="dxa"/>
            <w:vAlign w:val="bottom"/>
            <w:shd w:val="clear" w:color="auto" w:fill="CFF0FC"/>
          </w:tcPr>
          <w:p>
            <w:pPr>
              <w:spacing w:after="0"/>
              <w:rPr>
                <w:sz w:val="16"/>
                <w:szCs w:val="16"/>
                <w:color w:val="auto"/>
              </w:rPr>
            </w:pPr>
          </w:p>
        </w:tc>
      </w:tr>
      <w:tr>
        <w:trPr>
          <w:trHeight w:val="203"/>
        </w:trPr>
        <w:tc>
          <w:tcPr>
            <w:tcW w:w="6040" w:type="dxa"/>
            <w:vAlign w:val="bottom"/>
          </w:tcPr>
          <w:p>
            <w:pPr>
              <w:spacing w:after="0"/>
              <w:rPr>
                <w:sz w:val="20"/>
                <w:szCs w:val="20"/>
                <w:color w:val="auto"/>
              </w:rPr>
            </w:pPr>
            <w:r>
              <w:rPr>
                <w:rFonts w:ascii="Arial" w:cs="Arial" w:eastAsia="Arial" w:hAnsi="Arial"/>
                <w:sz w:val="17"/>
                <w:szCs w:val="17"/>
                <w:color w:val="auto"/>
              </w:rPr>
              <w:t>Comprehensive income attributable to noncontrolling interests, net of tax</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(24,877)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(20,380)</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(16,597)</w:t>
            </w:r>
          </w:p>
        </w:tc>
      </w:tr>
      <w:tr>
        <w:trPr>
          <w:trHeight w:val="195"/>
        </w:trPr>
        <w:tc>
          <w:tcPr>
            <w:tcW w:w="6040" w:type="dxa"/>
            <w:vAlign w:val="bottom"/>
            <w:tcBorders>
              <w:top w:val="single" w:sz="8" w:color="CFF0FC"/>
            </w:tcBorders>
            <w:shd w:val="clear" w:color="auto" w:fill="CFF0FC"/>
          </w:tcPr>
          <w:p>
            <w:pPr>
              <w:ind w:left="460"/>
              <w:spacing w:after="0"/>
              <w:rPr>
                <w:sz w:val="20"/>
                <w:szCs w:val="20"/>
                <w:color w:val="auto"/>
              </w:rPr>
            </w:pPr>
            <w:r>
              <w:rPr>
                <w:rFonts w:ascii="Arial" w:cs="Arial" w:eastAsia="Arial" w:hAnsi="Arial"/>
                <w:sz w:val="17"/>
                <w:szCs w:val="17"/>
                <w:color w:val="auto"/>
              </w:rPr>
              <w:t>Comprehensive income attributable to Parsons</w:t>
            </w:r>
          </w:p>
        </w:tc>
        <w:tc>
          <w:tcPr>
            <w:tcW w:w="62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191"/>
        </w:trPr>
        <w:tc>
          <w:tcPr>
            <w:tcW w:w="6040" w:type="dxa"/>
            <w:vAlign w:val="bottom"/>
            <w:shd w:val="clear" w:color="auto" w:fill="CFF0FC"/>
          </w:tcPr>
          <w:p>
            <w:pPr>
              <w:ind w:left="600"/>
              <w:spacing w:after="0" w:line="191" w:lineRule="exact"/>
              <w:rPr>
                <w:sz w:val="20"/>
                <w:szCs w:val="20"/>
                <w:color w:val="auto"/>
              </w:rPr>
            </w:pPr>
            <w:r>
              <w:rPr>
                <w:rFonts w:ascii="Arial" w:cs="Arial" w:eastAsia="Arial" w:hAnsi="Arial"/>
                <w:sz w:val="17"/>
                <w:szCs w:val="17"/>
                <w:color w:val="auto"/>
              </w:rPr>
              <w:t>Corporation, net of tax</w:t>
            </w:r>
          </w:p>
        </w:tc>
        <w:tc>
          <w:tcPr>
            <w:tcW w:w="920" w:type="dxa"/>
            <w:vAlign w:val="bottom"/>
            <w:gridSpan w:val="2"/>
            <w:shd w:val="clear" w:color="auto" w:fill="CFF0FC"/>
          </w:tcPr>
          <w:p>
            <w:pPr>
              <w:jc w:val="right"/>
              <w:ind w:right="200"/>
              <w:spacing w:after="0" w:line="191" w:lineRule="exact"/>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line="191" w:lineRule="exact"/>
              <w:rPr>
                <w:sz w:val="20"/>
                <w:szCs w:val="20"/>
                <w:color w:val="auto"/>
              </w:rPr>
            </w:pPr>
            <w:r>
              <w:rPr>
                <w:rFonts w:ascii="Arial" w:cs="Arial" w:eastAsia="Arial" w:hAnsi="Arial"/>
                <w:sz w:val="17"/>
                <w:szCs w:val="17"/>
                <w:color w:val="auto"/>
              </w:rPr>
              <w:t>68,369</w:t>
            </w:r>
          </w:p>
        </w:tc>
        <w:tc>
          <w:tcPr>
            <w:tcW w:w="16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ind w:right="220"/>
              <w:spacing w:after="0" w:line="191" w:lineRule="exact"/>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line="191" w:lineRule="exact"/>
              <w:rPr>
                <w:sz w:val="20"/>
                <w:szCs w:val="20"/>
                <w:color w:val="auto"/>
              </w:rPr>
            </w:pPr>
            <w:r>
              <w:rPr>
                <w:rFonts w:ascii="Arial" w:cs="Arial" w:eastAsia="Arial" w:hAnsi="Arial"/>
                <w:sz w:val="17"/>
                <w:szCs w:val="17"/>
                <w:color w:val="auto"/>
              </w:rPr>
              <w:t>98,937</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line="191" w:lineRule="exact"/>
              <w:rPr>
                <w:sz w:val="20"/>
                <w:szCs w:val="20"/>
                <w:color w:val="auto"/>
              </w:rPr>
            </w:pPr>
            <w:r>
              <w:rPr>
                <w:rFonts w:ascii="Arial" w:cs="Arial" w:eastAsia="Arial" w:hAnsi="Arial"/>
                <w:sz w:val="17"/>
                <w:szCs w:val="17"/>
                <w:color w:val="auto"/>
              </w:rPr>
              <w:t>129,230</w:t>
            </w:r>
          </w:p>
        </w:tc>
        <w:tc>
          <w:tcPr>
            <w:tcW w:w="100" w:type="dxa"/>
            <w:vAlign w:val="bottom"/>
            <w:shd w:val="clear" w:color="auto" w:fill="CFF0FC"/>
          </w:tcPr>
          <w:p>
            <w:pPr>
              <w:spacing w:after="0"/>
              <w:rPr>
                <w:sz w:val="16"/>
                <w:szCs w:val="16"/>
                <w:color w:val="auto"/>
              </w:rPr>
            </w:pPr>
          </w:p>
        </w:tc>
      </w:tr>
      <w:tr>
        <w:trPr>
          <w:trHeight w:val="20"/>
        </w:trPr>
        <w:tc>
          <w:tcPr>
            <w:tcW w:w="60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4"/>
          <w:szCs w:val="14"/>
          <w:b w:val="1"/>
          <w:bCs w:val="1"/>
          <w:color w:val="auto"/>
        </w:rPr>
        <w:t>PARSONS CORPORATION AND SUBSIDIARIES</w:t>
      </w:r>
    </w:p>
    <w:p>
      <w:pPr>
        <w:jc w:val="center"/>
        <w:spacing w:after="0" w:line="237" w:lineRule="auto"/>
        <w:rPr>
          <w:sz w:val="20"/>
          <w:szCs w:val="20"/>
          <w:color w:val="auto"/>
        </w:rPr>
      </w:pPr>
      <w:r>
        <w:rPr>
          <w:rFonts w:ascii="Arial" w:cs="Arial" w:eastAsia="Arial" w:hAnsi="Arial"/>
          <w:sz w:val="14"/>
          <w:szCs w:val="14"/>
          <w:b w:val="1"/>
          <w:bCs w:val="1"/>
          <w:color w:val="auto"/>
        </w:rPr>
        <w:t>Consolidated Statements of Changes in Redeemable Common Stock and Shareholders’ Equity (Deficit)</w:t>
      </w:r>
    </w:p>
    <w:p>
      <w:pPr>
        <w:jc w:val="center"/>
        <w:spacing w:after="0"/>
        <w:rPr>
          <w:sz w:val="20"/>
          <w:szCs w:val="20"/>
          <w:color w:val="auto"/>
        </w:rPr>
      </w:pPr>
      <w:r>
        <w:rPr>
          <w:rFonts w:ascii="Arial" w:cs="Arial" w:eastAsia="Arial" w:hAnsi="Arial"/>
          <w:sz w:val="14"/>
          <w:szCs w:val="14"/>
          <w:b w:val="1"/>
          <w:bCs w:val="1"/>
          <w:color w:val="auto"/>
        </w:rPr>
        <w:t>Years Ended 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7140575" cy="57880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6">
                      <a:extLst>
                        <a:ext uri="{28A0092B-C50C-407E-A947-70E740481C1C}"/>
                      </a:extLst>
                    </a:blip>
                    <a:srcRect/>
                    <a:stretch>
                      <a:fillRect/>
                    </a:stretch>
                  </pic:blipFill>
                  <pic:spPr bwMode="auto">
                    <a:xfrm>
                      <a:off x="0" y="0"/>
                      <a:ext cx="7140575" cy="57880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5"/>
        </w:trPr>
        <w:tc>
          <w:tcPr>
            <w:tcW w:w="2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Accumulated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Additional</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Other</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1"/>
              </w:rPr>
              <w:t>Total</w:t>
            </w: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Redeemable</w:t>
            </w:r>
          </w:p>
        </w:tc>
        <w:tc>
          <w:tcPr>
            <w:tcW w:w="160" w:type="dxa"/>
            <w:vAlign w:val="bottom"/>
          </w:tcPr>
          <w:p>
            <w:pPr>
              <w:spacing w:after="0"/>
              <w:rPr>
                <w:sz w:val="9"/>
                <w:szCs w:val="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w w:val="96"/>
              </w:rPr>
              <w:t>Common</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Treasury</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Paid-in</w:t>
            </w:r>
          </w:p>
        </w:tc>
        <w:tc>
          <w:tcPr>
            <w:tcW w:w="940" w:type="dxa"/>
            <w:vAlign w:val="bottom"/>
            <w:gridSpan w:val="3"/>
          </w:tcPr>
          <w:p>
            <w:pPr>
              <w:jc w:val="right"/>
              <w:ind w:right="240"/>
              <w:spacing w:after="0"/>
              <w:rPr>
                <w:sz w:val="20"/>
                <w:szCs w:val="20"/>
                <w:color w:val="auto"/>
              </w:rPr>
            </w:pPr>
            <w:r>
              <w:rPr>
                <w:rFonts w:ascii="Arial" w:cs="Arial" w:eastAsia="Arial" w:hAnsi="Arial"/>
                <w:sz w:val="10"/>
                <w:szCs w:val="10"/>
                <w:b w:val="1"/>
                <w:bCs w:val="1"/>
                <w:color w:val="auto"/>
              </w:rPr>
              <w:t>Accumulated</w:t>
            </w:r>
          </w:p>
        </w:tc>
        <w:tc>
          <w:tcPr>
            <w:tcW w:w="96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rPr>
              <w:t>Comprehensive</w:t>
            </w:r>
          </w:p>
        </w:tc>
        <w:tc>
          <w:tcPr>
            <w:tcW w:w="80" w:type="dxa"/>
            <w:vAlign w:val="bottom"/>
          </w:tcPr>
          <w:p>
            <w:pPr>
              <w:spacing w:after="0"/>
              <w:rPr>
                <w:sz w:val="9"/>
                <w:szCs w:val="9"/>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0"/>
                <w:szCs w:val="10"/>
                <w:b w:val="1"/>
                <w:bCs w:val="1"/>
                <w:color w:val="auto"/>
              </w:rPr>
              <w:t>Parsons Equity</w:t>
            </w:r>
          </w:p>
        </w:tc>
        <w:tc>
          <w:tcPr>
            <w:tcW w:w="60" w:type="dxa"/>
            <w:vAlign w:val="bottom"/>
          </w:tcPr>
          <w:p>
            <w:pPr>
              <w:spacing w:after="0"/>
              <w:rPr>
                <w:sz w:val="9"/>
                <w:szCs w:val="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98"/>
              </w:rPr>
              <w:t>Noncontrolling</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600" w:type="dxa"/>
            <w:vAlign w:val="bottom"/>
            <w:tcBorders>
              <w:bottom w:val="single" w:sz="8" w:color="CFF0FC"/>
            </w:tcBorders>
          </w:tcPr>
          <w:p>
            <w:pPr>
              <w:spacing w:after="0"/>
              <w:rPr>
                <w:sz w:val="20"/>
                <w:szCs w:val="20"/>
                <w:color w:val="auto"/>
              </w:rPr>
            </w:pPr>
            <w:r>
              <w:rPr>
                <w:rFonts w:ascii="Arial" w:cs="Arial" w:eastAsia="Arial" w:hAnsi="Arial"/>
                <w:sz w:val="10"/>
                <w:szCs w:val="10"/>
                <w:i w:val="1"/>
                <w:iCs w:val="1"/>
                <w:color w:val="auto"/>
              </w:rPr>
              <w:t>(in thousands)</w:t>
            </w:r>
          </w:p>
        </w:tc>
        <w:tc>
          <w:tcPr>
            <w:tcW w:w="84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0"/>
                <w:szCs w:val="10"/>
                <w:b w:val="1"/>
                <w:bCs w:val="1"/>
                <w:color w:val="auto"/>
              </w:rPr>
              <w:t>Common Stock</w:t>
            </w:r>
          </w:p>
        </w:tc>
        <w:tc>
          <w:tcPr>
            <w:tcW w:w="120" w:type="dxa"/>
            <w:vAlign w:val="bottom"/>
            <w:tcBorders>
              <w:bottom w:val="single" w:sz="8" w:color="CFF0FC"/>
            </w:tcBorders>
          </w:tcPr>
          <w:p>
            <w:pPr>
              <w:spacing w:after="0"/>
              <w:rPr>
                <w:sz w:val="11"/>
                <w:szCs w:val="11"/>
                <w:color w:val="auto"/>
              </w:rPr>
            </w:pPr>
          </w:p>
        </w:tc>
        <w:tc>
          <w:tcPr>
            <w:tcW w:w="160" w:type="dxa"/>
            <w:vAlign w:val="bottom"/>
            <w:tcBorders>
              <w:bottom w:val="single" w:sz="8" w:color="CFF0FC"/>
            </w:tcBorders>
          </w:tcPr>
          <w:p>
            <w:pPr>
              <w:spacing w:after="0"/>
              <w:rPr>
                <w:sz w:val="11"/>
                <w:szCs w:val="11"/>
                <w:color w:val="auto"/>
              </w:rPr>
            </w:pPr>
          </w:p>
        </w:tc>
        <w:tc>
          <w:tcPr>
            <w:tcW w:w="500" w:type="dxa"/>
            <w:vAlign w:val="bottom"/>
            <w:tcBorders>
              <w:bottom w:val="single" w:sz="8" w:color="auto"/>
            </w:tcBorders>
          </w:tcPr>
          <w:p>
            <w:pPr>
              <w:jc w:val="right"/>
              <w:ind w:right="105"/>
              <w:spacing w:after="0"/>
              <w:rPr>
                <w:sz w:val="20"/>
                <w:szCs w:val="20"/>
                <w:color w:val="auto"/>
              </w:rPr>
            </w:pPr>
            <w:r>
              <w:rPr>
                <w:rFonts w:ascii="Arial" w:cs="Arial" w:eastAsia="Arial" w:hAnsi="Arial"/>
                <w:sz w:val="10"/>
                <w:szCs w:val="10"/>
                <w:b w:val="1"/>
                <w:bCs w:val="1"/>
                <w:color w:val="auto"/>
              </w:rPr>
              <w:t>Stock</w:t>
            </w:r>
          </w:p>
        </w:tc>
        <w:tc>
          <w:tcPr>
            <w:tcW w:w="10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65"/>
              <w:spacing w:after="0"/>
              <w:rPr>
                <w:sz w:val="20"/>
                <w:szCs w:val="20"/>
                <w:color w:val="auto"/>
              </w:rPr>
            </w:pPr>
            <w:r>
              <w:rPr>
                <w:rFonts w:ascii="Arial" w:cs="Arial" w:eastAsia="Arial" w:hAnsi="Arial"/>
                <w:sz w:val="10"/>
                <w:szCs w:val="10"/>
                <w:b w:val="1"/>
                <w:bCs w:val="1"/>
                <w:color w:val="auto"/>
              </w:rPr>
              <w:t>Stock</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65"/>
              <w:spacing w:after="0"/>
              <w:rPr>
                <w:sz w:val="20"/>
                <w:szCs w:val="20"/>
                <w:color w:val="auto"/>
              </w:rPr>
            </w:pPr>
            <w:r>
              <w:rPr>
                <w:rFonts w:ascii="Arial" w:cs="Arial" w:eastAsia="Arial" w:hAnsi="Arial"/>
                <w:sz w:val="10"/>
                <w:szCs w:val="10"/>
                <w:b w:val="1"/>
                <w:bCs w:val="1"/>
                <w:color w:val="auto"/>
              </w:rPr>
              <w:t>Capital</w:t>
            </w:r>
          </w:p>
        </w:tc>
        <w:tc>
          <w:tcPr>
            <w:tcW w:w="180" w:type="dxa"/>
            <w:vAlign w:val="bottom"/>
            <w:tcBorders>
              <w:bottom w:val="single" w:sz="8" w:color="CFF0F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65"/>
              <w:spacing w:after="0"/>
              <w:rPr>
                <w:sz w:val="20"/>
                <w:szCs w:val="20"/>
                <w:color w:val="auto"/>
              </w:rPr>
            </w:pPr>
            <w:r>
              <w:rPr>
                <w:rFonts w:ascii="Arial" w:cs="Arial" w:eastAsia="Arial" w:hAnsi="Arial"/>
                <w:sz w:val="10"/>
                <w:szCs w:val="10"/>
                <w:b w:val="1"/>
                <w:bCs w:val="1"/>
                <w:color w:val="auto"/>
              </w:rPr>
              <w:t>Deficit</w:t>
            </w:r>
          </w:p>
        </w:tc>
        <w:tc>
          <w:tcPr>
            <w:tcW w:w="1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25"/>
              <w:spacing w:after="0"/>
              <w:rPr>
                <w:sz w:val="20"/>
                <w:szCs w:val="20"/>
                <w:color w:val="auto"/>
              </w:rPr>
            </w:pPr>
            <w:r>
              <w:rPr>
                <w:rFonts w:ascii="Arial" w:cs="Arial" w:eastAsia="Arial" w:hAnsi="Arial"/>
                <w:sz w:val="10"/>
                <w:szCs w:val="10"/>
                <w:b w:val="1"/>
                <w:bCs w:val="1"/>
                <w:color w:val="auto"/>
              </w:rPr>
              <w:t>(Loss) Income</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05"/>
              <w:spacing w:after="0"/>
              <w:rPr>
                <w:sz w:val="20"/>
                <w:szCs w:val="20"/>
                <w:color w:val="auto"/>
              </w:rPr>
            </w:pPr>
            <w:r>
              <w:rPr>
                <w:rFonts w:ascii="Arial" w:cs="Arial" w:eastAsia="Arial" w:hAnsi="Arial"/>
                <w:sz w:val="10"/>
                <w:szCs w:val="10"/>
                <w:b w:val="1"/>
                <w:bCs w:val="1"/>
                <w:color w:val="auto"/>
              </w:rPr>
              <w:t>(Deficit)</w:t>
            </w:r>
          </w:p>
        </w:tc>
        <w:tc>
          <w:tcPr>
            <w:tcW w:w="20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85"/>
              <w:spacing w:after="0"/>
              <w:rPr>
                <w:sz w:val="20"/>
                <w:szCs w:val="20"/>
                <w:color w:val="auto"/>
              </w:rPr>
            </w:pPr>
            <w:r>
              <w:rPr>
                <w:rFonts w:ascii="Arial" w:cs="Arial" w:eastAsia="Arial" w:hAnsi="Arial"/>
                <w:sz w:val="10"/>
                <w:szCs w:val="10"/>
                <w:b w:val="1"/>
                <w:bCs w:val="1"/>
                <w:color w:val="auto"/>
              </w:rPr>
              <w:t>Interests</w:t>
            </w:r>
          </w:p>
        </w:tc>
        <w:tc>
          <w:tcPr>
            <w:tcW w:w="10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85"/>
              <w:spacing w:after="0"/>
              <w:rPr>
                <w:sz w:val="20"/>
                <w:szCs w:val="20"/>
                <w:color w:val="auto"/>
              </w:rPr>
            </w:pPr>
            <w:r>
              <w:rPr>
                <w:rFonts w:ascii="Arial" w:cs="Arial" w:eastAsia="Arial" w:hAnsi="Arial"/>
                <w:sz w:val="10"/>
                <w:szCs w:val="10"/>
                <w:b w:val="1"/>
                <w:bCs w:val="1"/>
                <w:color w:val="auto"/>
              </w:rPr>
              <w:t>Total</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6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Balances at December 31, 2018</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1,876,309</w:t>
            </w:r>
          </w:p>
        </w:tc>
        <w:tc>
          <w:tcPr>
            <w:tcW w:w="12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(957,025 )</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12,445</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(22,957)</w:t>
            </w:r>
          </w:p>
        </w:tc>
        <w:tc>
          <w:tcPr>
            <w:tcW w:w="220" w:type="dxa"/>
            <w:vAlign w:val="bottom"/>
            <w:gridSpan w:val="2"/>
            <w:shd w:val="clear" w:color="auto" w:fill="CFF0FC"/>
          </w:tcPr>
          <w:p>
            <w:pPr>
              <w:jc w:val="right"/>
              <w:ind w:right="29"/>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(967,537)</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46,461</w:t>
            </w:r>
          </w:p>
        </w:tc>
        <w:tc>
          <w:tcPr>
            <w:tcW w:w="10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(921,076)</w:t>
            </w:r>
          </w:p>
        </w:tc>
        <w:tc>
          <w:tcPr>
            <w:tcW w:w="0" w:type="dxa"/>
            <w:vAlign w:val="bottom"/>
          </w:tcPr>
          <w:p>
            <w:pPr>
              <w:spacing w:after="0"/>
              <w:rPr>
                <w:sz w:val="1"/>
                <w:szCs w:val="1"/>
                <w:color w:val="auto"/>
              </w:rPr>
            </w:pPr>
          </w:p>
        </w:tc>
      </w:tr>
      <w:tr>
        <w:trPr>
          <w:trHeight w:val="132"/>
        </w:trPr>
        <w:tc>
          <w:tcPr>
            <w:tcW w:w="2600" w:type="dxa"/>
            <w:vAlign w:val="bottom"/>
          </w:tcPr>
          <w:p>
            <w:pPr>
              <w:spacing w:after="0"/>
              <w:rPr>
                <w:sz w:val="20"/>
                <w:szCs w:val="20"/>
                <w:color w:val="auto"/>
              </w:rPr>
            </w:pPr>
            <w:r>
              <w:rPr>
                <w:rFonts w:ascii="Arial" w:cs="Arial" w:eastAsia="Arial" w:hAnsi="Arial"/>
                <w:sz w:val="11"/>
                <w:szCs w:val="11"/>
                <w:color w:val="auto"/>
              </w:rPr>
              <w:t>Comprehensive income</w:t>
            </w: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600" w:type="dxa"/>
            <w:vAlign w:val="bottom"/>
            <w:shd w:val="clear" w:color="auto" w:fill="CFF0FC"/>
          </w:tcPr>
          <w:p>
            <w:pPr>
              <w:ind w:left="240"/>
              <w:spacing w:after="0"/>
              <w:rPr>
                <w:sz w:val="20"/>
                <w:szCs w:val="20"/>
                <w:color w:val="auto"/>
              </w:rPr>
            </w:pPr>
            <w:r>
              <w:rPr>
                <w:rFonts w:ascii="Arial" w:cs="Arial" w:eastAsia="Arial" w:hAnsi="Arial"/>
                <w:sz w:val="11"/>
                <w:szCs w:val="11"/>
                <w:color w:val="auto"/>
              </w:rPr>
              <w:t>Net income</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120,534</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120,534</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16,594</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137,128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0" w:type="dxa"/>
            <w:vAlign w:val="bottom"/>
          </w:tcPr>
          <w:p>
            <w:pPr>
              <w:ind w:left="240"/>
              <w:spacing w:after="0"/>
              <w:rPr>
                <w:sz w:val="20"/>
                <w:szCs w:val="20"/>
                <w:color w:val="auto"/>
              </w:rPr>
            </w:pPr>
            <w:r>
              <w:rPr>
                <w:rFonts w:ascii="Arial" w:cs="Arial" w:eastAsia="Arial" w:hAnsi="Arial"/>
                <w:sz w:val="11"/>
                <w:szCs w:val="11"/>
                <w:color w:val="auto"/>
              </w:rPr>
              <w:t>Foreign currency</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600" w:type="dxa"/>
            <w:vAlign w:val="bottom"/>
          </w:tcPr>
          <w:p>
            <w:pPr>
              <w:ind w:left="320"/>
              <w:spacing w:after="0" w:line="125" w:lineRule="exact"/>
              <w:rPr>
                <w:sz w:val="20"/>
                <w:szCs w:val="20"/>
                <w:color w:val="auto"/>
              </w:rPr>
            </w:pPr>
            <w:r>
              <w:rPr>
                <w:rFonts w:ascii="Arial" w:cs="Arial" w:eastAsia="Arial" w:hAnsi="Arial"/>
                <w:sz w:val="11"/>
                <w:szCs w:val="11"/>
                <w:color w:val="auto"/>
              </w:rPr>
              <w:t>translation gain</w:t>
            </w:r>
          </w:p>
        </w:tc>
        <w:tc>
          <w:tcPr>
            <w:tcW w:w="80" w:type="dxa"/>
            <w:vAlign w:val="bottom"/>
          </w:tcPr>
          <w:p>
            <w:pPr>
              <w:spacing w:after="0"/>
              <w:rPr>
                <w:sz w:val="10"/>
                <w:szCs w:val="10"/>
                <w:color w:val="auto"/>
              </w:rPr>
            </w:pPr>
          </w:p>
        </w:tc>
        <w:tc>
          <w:tcPr>
            <w:tcW w:w="88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00" w:type="dxa"/>
            <w:vAlign w:val="bottom"/>
            <w:gridSpan w:val="2"/>
          </w:tcPr>
          <w:p>
            <w:pPr>
              <w:jc w:val="right"/>
              <w:ind w:right="100"/>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200"/>
              <w:spacing w:after="0" w:line="12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0" w:type="dxa"/>
            <w:vAlign w:val="bottom"/>
            <w:gridSpan w:val="2"/>
          </w:tcPr>
          <w:p>
            <w:pPr>
              <w:jc w:val="right"/>
              <w:ind w:right="20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60" w:type="dxa"/>
            <w:vAlign w:val="bottom"/>
          </w:tcPr>
          <w:p>
            <w:pPr>
              <w:jc w:val="right"/>
              <w:spacing w:after="0" w:line="125" w:lineRule="exact"/>
              <w:rPr>
                <w:sz w:val="20"/>
                <w:szCs w:val="20"/>
                <w:color w:val="auto"/>
              </w:rPr>
            </w:pPr>
            <w:r>
              <w:rPr>
                <w:rFonts w:ascii="Arial" w:cs="Arial" w:eastAsia="Arial" w:hAnsi="Arial"/>
                <w:sz w:val="11"/>
                <w:szCs w:val="11"/>
                <w:color w:val="auto"/>
              </w:rPr>
              <w:t>8,415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8,415</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5" w:lineRule="exact"/>
              <w:rPr>
                <w:sz w:val="20"/>
                <w:szCs w:val="20"/>
                <w:color w:val="auto"/>
              </w:rPr>
            </w:pPr>
            <w:r>
              <w:rPr>
                <w:rFonts w:ascii="Arial" w:cs="Arial" w:eastAsia="Arial" w:hAnsi="Arial"/>
                <w:sz w:val="11"/>
                <w:szCs w:val="11"/>
                <w:color w:val="auto"/>
              </w:rPr>
              <w:t>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8,418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600" w:type="dxa"/>
            <w:vAlign w:val="bottom"/>
            <w:shd w:val="clear" w:color="auto" w:fill="CFF0FC"/>
          </w:tcPr>
          <w:p>
            <w:pPr>
              <w:ind w:left="240"/>
              <w:spacing w:after="0"/>
              <w:rPr>
                <w:sz w:val="20"/>
                <w:szCs w:val="20"/>
                <w:color w:val="auto"/>
              </w:rPr>
            </w:pPr>
            <w:r>
              <w:rPr>
                <w:rFonts w:ascii="Arial" w:cs="Arial" w:eastAsia="Arial" w:hAnsi="Arial"/>
                <w:sz w:val="11"/>
                <w:szCs w:val="11"/>
                <w:color w:val="auto"/>
              </w:rPr>
              <w:t>Pension adjustments</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281</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281</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20"/>
                <w:szCs w:val="20"/>
                <w:color w:val="auto"/>
              </w:rPr>
            </w:pPr>
            <w:r>
              <w:rPr>
                <w:rFonts w:ascii="Arial" w:cs="Arial" w:eastAsia="Arial" w:hAnsi="Arial"/>
                <w:sz w:val="11"/>
                <w:szCs w:val="11"/>
                <w:color w:val="auto"/>
              </w:rPr>
              <w:t>ASC 842 transition</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600" w:type="dxa"/>
            <w:vAlign w:val="bottom"/>
          </w:tcPr>
          <w:p>
            <w:pPr>
              <w:ind w:left="100"/>
              <w:spacing w:after="0" w:line="125" w:lineRule="exact"/>
              <w:rPr>
                <w:sz w:val="20"/>
                <w:szCs w:val="20"/>
                <w:color w:val="auto"/>
              </w:rPr>
            </w:pPr>
            <w:r>
              <w:rPr>
                <w:rFonts w:ascii="Arial" w:cs="Arial" w:eastAsia="Arial" w:hAnsi="Arial"/>
                <w:sz w:val="11"/>
                <w:szCs w:val="11"/>
                <w:color w:val="auto"/>
              </w:rPr>
              <w:t>adjustment</w:t>
            </w:r>
          </w:p>
        </w:tc>
        <w:tc>
          <w:tcPr>
            <w:tcW w:w="80" w:type="dxa"/>
            <w:vAlign w:val="bottom"/>
          </w:tcPr>
          <w:p>
            <w:pPr>
              <w:spacing w:after="0"/>
              <w:rPr>
                <w:sz w:val="10"/>
                <w:szCs w:val="10"/>
                <w:color w:val="auto"/>
              </w:rPr>
            </w:pPr>
          </w:p>
        </w:tc>
        <w:tc>
          <w:tcPr>
            <w:tcW w:w="88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00" w:type="dxa"/>
            <w:vAlign w:val="bottom"/>
            <w:gridSpan w:val="2"/>
          </w:tcPr>
          <w:p>
            <w:pPr>
              <w:jc w:val="right"/>
              <w:ind w:right="100"/>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200"/>
              <w:spacing w:after="0" w:line="12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Arial" w:cs="Arial" w:eastAsia="Arial" w:hAnsi="Arial"/>
                <w:sz w:val="11"/>
                <w:szCs w:val="11"/>
                <w:color w:val="auto"/>
              </w:rPr>
              <w:t>52,608</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52,608</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52,608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600" w:type="dxa"/>
            <w:vAlign w:val="bottom"/>
            <w:shd w:val="clear" w:color="auto" w:fill="CFF0FC"/>
          </w:tcPr>
          <w:p>
            <w:pPr>
              <w:spacing w:after="0"/>
              <w:rPr>
                <w:sz w:val="20"/>
                <w:szCs w:val="20"/>
                <w:color w:val="auto"/>
              </w:rPr>
            </w:pPr>
            <w:r>
              <w:rPr>
                <w:rFonts w:ascii="Arial" w:cs="Arial" w:eastAsia="Arial" w:hAnsi="Arial"/>
                <w:sz w:val="11"/>
                <w:szCs w:val="11"/>
                <w:color w:val="auto"/>
              </w:rPr>
              <w:t>Purchase of treasury stock</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(6,219)</w:t>
            </w:r>
          </w:p>
        </w:tc>
        <w:tc>
          <w:tcPr>
            <w:tcW w:w="160" w:type="dxa"/>
            <w:vAlign w:val="bottom"/>
            <w:tcBorders>
              <w:right w:val="single" w:sz="8" w:color="CFF0FC"/>
            </w:tcBorders>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(6,272)</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6,219</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(53)</w:t>
            </w: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(53)</w:t>
            </w:r>
          </w:p>
        </w:tc>
        <w:tc>
          <w:tcPr>
            <w:tcW w:w="0" w:type="dxa"/>
            <w:vAlign w:val="bottom"/>
          </w:tcPr>
          <w:p>
            <w:pPr>
              <w:spacing w:after="0"/>
              <w:rPr>
                <w:sz w:val="1"/>
                <w:szCs w:val="1"/>
                <w:color w:val="auto"/>
              </w:rPr>
            </w:pPr>
          </w:p>
        </w:tc>
      </w:tr>
      <w:tr>
        <w:trPr>
          <w:trHeight w:val="142"/>
        </w:trPr>
        <w:tc>
          <w:tcPr>
            <w:tcW w:w="2600" w:type="dxa"/>
            <w:vAlign w:val="bottom"/>
          </w:tcPr>
          <w:p>
            <w:pPr>
              <w:spacing w:after="0"/>
              <w:rPr>
                <w:sz w:val="20"/>
                <w:szCs w:val="20"/>
                <w:color w:val="auto"/>
              </w:rPr>
            </w:pPr>
            <w:r>
              <w:rPr>
                <w:rFonts w:ascii="Arial" w:cs="Arial" w:eastAsia="Arial" w:hAnsi="Arial"/>
                <w:sz w:val="11"/>
                <w:szCs w:val="11"/>
                <w:color w:val="auto"/>
              </w:rPr>
              <w:t>Contributions of treasury</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600" w:type="dxa"/>
            <w:vAlign w:val="bottom"/>
          </w:tcPr>
          <w:p>
            <w:pPr>
              <w:ind w:left="100"/>
              <w:spacing w:after="0" w:line="125" w:lineRule="exact"/>
              <w:rPr>
                <w:sz w:val="20"/>
                <w:szCs w:val="20"/>
                <w:color w:val="auto"/>
              </w:rPr>
            </w:pPr>
            <w:r>
              <w:rPr>
                <w:rFonts w:ascii="Arial" w:cs="Arial" w:eastAsia="Arial" w:hAnsi="Arial"/>
                <w:sz w:val="11"/>
                <w:szCs w:val="11"/>
                <w:color w:val="auto"/>
              </w:rPr>
              <w:t>stock to ESOP</w:t>
            </w:r>
          </w:p>
        </w:tc>
        <w:tc>
          <w:tcPr>
            <w:tcW w:w="80" w:type="dxa"/>
            <w:vAlign w:val="bottom"/>
          </w:tcPr>
          <w:p>
            <w:pPr>
              <w:spacing w:after="0"/>
              <w:rPr>
                <w:sz w:val="10"/>
                <w:szCs w:val="10"/>
                <w:color w:val="auto"/>
              </w:rPr>
            </w:pPr>
          </w:p>
        </w:tc>
        <w:tc>
          <w:tcPr>
            <w:tcW w:w="88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00" w:type="dxa"/>
            <w:vAlign w:val="bottom"/>
            <w:gridSpan w:val="2"/>
          </w:tcPr>
          <w:p>
            <w:pPr>
              <w:jc w:val="right"/>
              <w:ind w:right="100"/>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1"/>
                <w:szCs w:val="11"/>
                <w:color w:val="auto"/>
              </w:rPr>
              <w:t>29,057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5" w:lineRule="exact"/>
              <w:rPr>
                <w:sz w:val="20"/>
                <w:szCs w:val="20"/>
                <w:color w:val="auto"/>
              </w:rPr>
            </w:pPr>
            <w:r>
              <w:rPr>
                <w:rFonts w:ascii="Arial" w:cs="Arial" w:eastAsia="Arial" w:hAnsi="Arial"/>
                <w:sz w:val="11"/>
                <w:szCs w:val="11"/>
                <w:color w:val="auto"/>
              </w:rPr>
              <w:t>24,587</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right"/>
              <w:ind w:right="20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80" w:type="dxa"/>
            <w:vAlign w:val="bottom"/>
            <w:gridSpan w:val="2"/>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53,644</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53,644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600" w:type="dxa"/>
            <w:vAlign w:val="bottom"/>
            <w:shd w:val="clear" w:color="auto" w:fill="CFF0FC"/>
          </w:tcPr>
          <w:p>
            <w:pPr>
              <w:spacing w:after="0"/>
              <w:rPr>
                <w:sz w:val="20"/>
                <w:szCs w:val="20"/>
                <w:color w:val="auto"/>
              </w:rPr>
            </w:pPr>
            <w:r>
              <w:rPr>
                <w:rFonts w:ascii="Arial" w:cs="Arial" w:eastAsia="Arial" w:hAnsi="Arial"/>
                <w:sz w:val="11"/>
                <w:szCs w:val="11"/>
                <w:color w:val="auto"/>
              </w:rPr>
              <w:t>Contributions</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10,093</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600" w:type="dxa"/>
            <w:vAlign w:val="bottom"/>
          </w:tcPr>
          <w:p>
            <w:pPr>
              <w:spacing w:after="0"/>
              <w:rPr>
                <w:sz w:val="20"/>
                <w:szCs w:val="20"/>
                <w:color w:val="auto"/>
              </w:rPr>
            </w:pPr>
            <w:r>
              <w:rPr>
                <w:rFonts w:ascii="Arial" w:cs="Arial" w:eastAsia="Arial" w:hAnsi="Arial"/>
                <w:sz w:val="11"/>
                <w:szCs w:val="11"/>
                <w:color w:val="auto"/>
              </w:rPr>
              <w:t>Distributions</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1"/>
                <w:szCs w:val="11"/>
                <w:color w:val="auto"/>
              </w:rPr>
              <w:t>(42,285)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(42,285)</w:t>
            </w:r>
          </w:p>
        </w:tc>
        <w:tc>
          <w:tcPr>
            <w:tcW w:w="0" w:type="dxa"/>
            <w:vAlign w:val="bottom"/>
          </w:tcPr>
          <w:p>
            <w:pPr>
              <w:spacing w:after="0"/>
              <w:rPr>
                <w:sz w:val="1"/>
                <w:szCs w:val="1"/>
                <w:color w:val="auto"/>
              </w:rPr>
            </w:pPr>
          </w:p>
        </w:tc>
      </w:tr>
      <w:tr>
        <w:trPr>
          <w:trHeight w:val="139"/>
        </w:trPr>
        <w:tc>
          <w:tcPr>
            <w:tcW w:w="2600" w:type="dxa"/>
            <w:vAlign w:val="bottom"/>
            <w:shd w:val="clear" w:color="auto" w:fill="CFF0FC"/>
          </w:tcPr>
          <w:p>
            <w:pPr>
              <w:spacing w:after="0"/>
              <w:rPr>
                <w:sz w:val="20"/>
                <w:szCs w:val="20"/>
                <w:color w:val="auto"/>
              </w:rPr>
            </w:pPr>
            <w:r>
              <w:rPr>
                <w:rFonts w:ascii="Arial" w:cs="Arial" w:eastAsia="Arial" w:hAnsi="Arial"/>
                <w:sz w:val="11"/>
                <w:szCs w:val="11"/>
                <w:color w:val="auto"/>
              </w:rPr>
              <w:t>Dividend paid</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(52,093)</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(52,093)</w:t>
            </w: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(52,093)</w:t>
            </w:r>
          </w:p>
        </w:tc>
        <w:tc>
          <w:tcPr>
            <w:tcW w:w="0" w:type="dxa"/>
            <w:vAlign w:val="bottom"/>
          </w:tcPr>
          <w:p>
            <w:pPr>
              <w:spacing w:after="0"/>
              <w:rPr>
                <w:sz w:val="1"/>
                <w:szCs w:val="1"/>
                <w:color w:val="auto"/>
              </w:rPr>
            </w:pPr>
          </w:p>
        </w:tc>
      </w:tr>
      <w:tr>
        <w:trPr>
          <w:trHeight w:val="139"/>
        </w:trPr>
        <w:tc>
          <w:tcPr>
            <w:tcW w:w="2600" w:type="dxa"/>
            <w:vAlign w:val="bottom"/>
          </w:tcPr>
          <w:p>
            <w:pPr>
              <w:spacing w:after="0"/>
              <w:rPr>
                <w:sz w:val="20"/>
                <w:szCs w:val="20"/>
                <w:color w:val="auto"/>
              </w:rPr>
            </w:pPr>
            <w:r>
              <w:rPr>
                <w:rFonts w:ascii="Arial" w:cs="Arial" w:eastAsia="Arial" w:hAnsi="Arial"/>
                <w:sz w:val="11"/>
                <w:szCs w:val="11"/>
                <w:color w:val="auto"/>
              </w:rPr>
              <w:t>Stock-based compensation</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8,272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8,272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8,272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0" w:type="dxa"/>
            <w:vAlign w:val="bottom"/>
            <w:shd w:val="clear" w:color="auto" w:fill="CFF0FC"/>
          </w:tcPr>
          <w:p>
            <w:pPr>
              <w:spacing w:after="0"/>
              <w:rPr>
                <w:sz w:val="20"/>
                <w:szCs w:val="20"/>
                <w:color w:val="auto"/>
              </w:rPr>
            </w:pPr>
            <w:r>
              <w:rPr>
                <w:rFonts w:ascii="Arial" w:cs="Arial" w:eastAsia="Arial" w:hAnsi="Arial"/>
                <w:sz w:val="11"/>
                <w:szCs w:val="11"/>
                <w:color w:val="auto"/>
              </w:rPr>
              <w:t>Issuance of equity securities,</w:t>
            </w: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600" w:type="dxa"/>
            <w:vAlign w:val="bottom"/>
            <w:shd w:val="clear" w:color="auto" w:fill="CFF0FC"/>
          </w:tcPr>
          <w:p>
            <w:pPr>
              <w:ind w:left="100"/>
              <w:spacing w:after="0" w:line="125" w:lineRule="exact"/>
              <w:rPr>
                <w:sz w:val="20"/>
                <w:szCs w:val="20"/>
                <w:color w:val="auto"/>
              </w:rPr>
            </w:pPr>
            <w:r>
              <w:rPr>
                <w:rFonts w:ascii="Arial" w:cs="Arial" w:eastAsia="Arial" w:hAnsi="Arial"/>
                <w:sz w:val="11"/>
                <w:szCs w:val="11"/>
                <w:color w:val="auto"/>
              </w:rPr>
              <w:t>net of retirements</w:t>
            </w:r>
          </w:p>
        </w:tc>
        <w:tc>
          <w:tcPr>
            <w:tcW w:w="8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5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47</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140"/>
              <w:spacing w:after="0" w:line="125" w:lineRule="exact"/>
              <w:rPr>
                <w:sz w:val="20"/>
                <w:szCs w:val="20"/>
                <w:color w:val="auto"/>
              </w:rPr>
            </w:pPr>
            <w:r>
              <w:rPr>
                <w:rFonts w:ascii="Arial" w:cs="Arial" w:eastAsia="Arial" w:hAnsi="Arial"/>
                <w:sz w:val="11"/>
                <w:szCs w:val="11"/>
                <w:color w:val="auto"/>
              </w:rPr>
              <w:t>(999)</w:t>
            </w:r>
          </w:p>
        </w:tc>
        <w:tc>
          <w:tcPr>
            <w:tcW w:w="14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140"/>
              <w:spacing w:after="0" w:line="125" w:lineRule="exact"/>
              <w:rPr>
                <w:sz w:val="20"/>
                <w:szCs w:val="20"/>
                <w:color w:val="auto"/>
              </w:rPr>
            </w:pPr>
            <w:r>
              <w:rPr>
                <w:rFonts w:ascii="Arial" w:cs="Arial" w:eastAsia="Arial" w:hAnsi="Arial"/>
                <w:sz w:val="11"/>
                <w:szCs w:val="11"/>
                <w:color w:val="auto"/>
              </w:rPr>
              <w:t>(197)</w:t>
            </w:r>
          </w:p>
        </w:tc>
        <w:tc>
          <w:tcPr>
            <w:tcW w:w="8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60"/>
              <w:spacing w:after="0" w:line="125" w:lineRule="exact"/>
              <w:rPr>
                <w:sz w:val="20"/>
                <w:szCs w:val="20"/>
                <w:color w:val="auto"/>
              </w:rPr>
            </w:pPr>
            <w:r>
              <w:rPr>
                <w:rFonts w:ascii="Arial" w:cs="Arial" w:eastAsia="Arial" w:hAnsi="Arial"/>
                <w:sz w:val="11"/>
                <w:szCs w:val="11"/>
                <w:color w:val="auto"/>
              </w:rPr>
              <w:t>(1,149)</w:t>
            </w:r>
          </w:p>
        </w:tc>
        <w:tc>
          <w:tcPr>
            <w:tcW w:w="6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80"/>
              <w:spacing w:after="0" w:line="125" w:lineRule="exact"/>
              <w:rPr>
                <w:sz w:val="20"/>
                <w:szCs w:val="20"/>
                <w:color w:val="auto"/>
              </w:rPr>
            </w:pPr>
            <w:r>
              <w:rPr>
                <w:rFonts w:ascii="Arial" w:cs="Arial" w:eastAsia="Arial" w:hAnsi="Arial"/>
                <w:sz w:val="11"/>
                <w:szCs w:val="11"/>
                <w:color w:val="auto"/>
              </w:rPr>
              <w:t>(1,149)</w:t>
            </w:r>
          </w:p>
        </w:tc>
        <w:tc>
          <w:tcPr>
            <w:tcW w:w="0" w:type="dxa"/>
            <w:vAlign w:val="bottom"/>
          </w:tcPr>
          <w:p>
            <w:pPr>
              <w:spacing w:after="0"/>
              <w:rPr>
                <w:sz w:val="1"/>
                <w:szCs w:val="1"/>
                <w:color w:val="auto"/>
              </w:rPr>
            </w:pPr>
          </w:p>
        </w:tc>
      </w:tr>
      <w:tr>
        <w:trPr>
          <w:trHeight w:val="142"/>
        </w:trPr>
        <w:tc>
          <w:tcPr>
            <w:tcW w:w="2600" w:type="dxa"/>
            <w:vAlign w:val="bottom"/>
          </w:tcPr>
          <w:p>
            <w:pPr>
              <w:spacing w:after="0"/>
              <w:rPr>
                <w:sz w:val="20"/>
                <w:szCs w:val="20"/>
                <w:color w:val="auto"/>
              </w:rPr>
            </w:pPr>
            <w:r>
              <w:rPr>
                <w:rFonts w:ascii="Arial" w:cs="Arial" w:eastAsia="Arial" w:hAnsi="Arial"/>
                <w:sz w:val="11"/>
                <w:szCs w:val="11"/>
                <w:color w:val="auto"/>
              </w:rPr>
              <w:t>Conversion of S-Corp to</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600" w:type="dxa"/>
            <w:vAlign w:val="bottom"/>
          </w:tcPr>
          <w:p>
            <w:pPr>
              <w:ind w:left="100"/>
              <w:spacing w:after="0" w:line="125" w:lineRule="exact"/>
              <w:rPr>
                <w:sz w:val="20"/>
                <w:szCs w:val="20"/>
                <w:color w:val="auto"/>
              </w:rPr>
            </w:pPr>
            <w:r>
              <w:rPr>
                <w:rFonts w:ascii="Arial" w:cs="Arial" w:eastAsia="Arial" w:hAnsi="Arial"/>
                <w:sz w:val="11"/>
                <w:szCs w:val="11"/>
                <w:color w:val="auto"/>
              </w:rPr>
              <w:t>C-Corp</w:t>
            </w:r>
          </w:p>
        </w:tc>
        <w:tc>
          <w:tcPr>
            <w:tcW w:w="80" w:type="dxa"/>
            <w:vAlign w:val="bottom"/>
          </w:tcPr>
          <w:p>
            <w:pPr>
              <w:spacing w:after="0"/>
              <w:rPr>
                <w:sz w:val="10"/>
                <w:szCs w:val="10"/>
                <w:color w:val="auto"/>
              </w:rPr>
            </w:pPr>
          </w:p>
        </w:tc>
        <w:tc>
          <w:tcPr>
            <w:tcW w:w="760" w:type="dxa"/>
            <w:vAlign w:val="bottom"/>
          </w:tcPr>
          <w:p>
            <w:pPr>
              <w:jc w:val="right"/>
              <w:spacing w:after="0" w:line="125" w:lineRule="exact"/>
              <w:rPr>
                <w:sz w:val="20"/>
                <w:szCs w:val="20"/>
                <w:color w:val="auto"/>
              </w:rPr>
            </w:pPr>
            <w:r>
              <w:rPr>
                <w:rFonts w:ascii="Arial" w:cs="Arial" w:eastAsia="Arial" w:hAnsi="Arial"/>
                <w:sz w:val="11"/>
                <w:szCs w:val="11"/>
                <w:color w:val="auto"/>
              </w:rPr>
              <w:t>25,877</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100"/>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200"/>
              <w:spacing w:after="0" w:line="12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(25,877)</w:t>
            </w:r>
          </w:p>
        </w:tc>
        <w:tc>
          <w:tcPr>
            <w:tcW w:w="80" w:type="dxa"/>
            <w:vAlign w:val="bottom"/>
          </w:tcPr>
          <w:p>
            <w:pPr>
              <w:spacing w:after="0"/>
              <w:rPr>
                <w:sz w:val="10"/>
                <w:szCs w:val="10"/>
                <w:color w:val="auto"/>
              </w:rPr>
            </w:pPr>
          </w:p>
        </w:tc>
        <w:tc>
          <w:tcPr>
            <w:tcW w:w="880" w:type="dxa"/>
            <w:vAlign w:val="bottom"/>
            <w:gridSpan w:val="2"/>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(25,877)</w:t>
            </w:r>
          </w:p>
        </w:tc>
        <w:tc>
          <w:tcPr>
            <w:tcW w:w="60" w:type="dxa"/>
            <w:vAlign w:val="bottom"/>
          </w:tcPr>
          <w:p>
            <w:pPr>
              <w:spacing w:after="0"/>
              <w:rPr>
                <w:sz w:val="10"/>
                <w:szCs w:val="10"/>
                <w:color w:val="auto"/>
              </w:rPr>
            </w:pPr>
          </w:p>
        </w:tc>
        <w:tc>
          <w:tcPr>
            <w:tcW w:w="900" w:type="dxa"/>
            <w:vAlign w:val="bottom"/>
            <w:gridSpan w:val="2"/>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rPr>
              <w:t>(25,877)</w:t>
            </w:r>
          </w:p>
        </w:tc>
        <w:tc>
          <w:tcPr>
            <w:tcW w:w="0" w:type="dxa"/>
            <w:vAlign w:val="bottom"/>
          </w:tcPr>
          <w:p>
            <w:pPr>
              <w:spacing w:after="0"/>
              <w:rPr>
                <w:sz w:val="1"/>
                <w:szCs w:val="1"/>
                <w:color w:val="auto"/>
              </w:rPr>
            </w:pPr>
          </w:p>
        </w:tc>
      </w:tr>
      <w:tr>
        <w:trPr>
          <w:trHeight w:val="139"/>
        </w:trPr>
        <w:tc>
          <w:tcPr>
            <w:tcW w:w="2600" w:type="dxa"/>
            <w:vAlign w:val="bottom"/>
            <w:shd w:val="clear" w:color="auto" w:fill="CFF0FC"/>
          </w:tcPr>
          <w:p>
            <w:pPr>
              <w:spacing w:after="0"/>
              <w:rPr>
                <w:sz w:val="20"/>
                <w:szCs w:val="20"/>
                <w:color w:val="auto"/>
              </w:rPr>
            </w:pPr>
            <w:r>
              <w:rPr>
                <w:rFonts w:ascii="Arial" w:cs="Arial" w:eastAsia="Arial" w:hAnsi="Arial"/>
                <w:sz w:val="11"/>
                <w:szCs w:val="11"/>
                <w:color w:val="auto"/>
              </w:rPr>
              <w:t>IPO proceeds, net</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21,296</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515,582</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536,878</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536,878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20"/>
                <w:szCs w:val="20"/>
                <w:color w:val="auto"/>
              </w:rPr>
            </w:pPr>
            <w:r>
              <w:rPr>
                <w:rFonts w:ascii="Arial" w:cs="Arial" w:eastAsia="Arial" w:hAnsi="Arial"/>
                <w:sz w:val="11"/>
                <w:szCs w:val="11"/>
                <w:color w:val="auto"/>
              </w:rPr>
              <w:t>ESOP shares at redemption</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600" w:type="dxa"/>
            <w:vAlign w:val="bottom"/>
          </w:tcPr>
          <w:p>
            <w:pPr>
              <w:ind w:left="100"/>
              <w:spacing w:after="0" w:line="125" w:lineRule="exact"/>
              <w:rPr>
                <w:sz w:val="20"/>
                <w:szCs w:val="20"/>
                <w:color w:val="auto"/>
              </w:rPr>
            </w:pPr>
            <w:r>
              <w:rPr>
                <w:rFonts w:ascii="Arial" w:cs="Arial" w:eastAsia="Arial" w:hAnsi="Arial"/>
                <w:sz w:val="11"/>
                <w:szCs w:val="11"/>
                <w:color w:val="auto"/>
              </w:rPr>
              <w:t>value</w:t>
            </w:r>
          </w:p>
        </w:tc>
        <w:tc>
          <w:tcPr>
            <w:tcW w:w="80" w:type="dxa"/>
            <w:vAlign w:val="bottom"/>
          </w:tcPr>
          <w:p>
            <w:pPr>
              <w:spacing w:after="0"/>
              <w:rPr>
                <w:sz w:val="10"/>
                <w:szCs w:val="10"/>
                <w:color w:val="auto"/>
              </w:rPr>
            </w:pPr>
          </w:p>
        </w:tc>
        <w:tc>
          <w:tcPr>
            <w:tcW w:w="760" w:type="dxa"/>
            <w:vAlign w:val="bottom"/>
          </w:tcPr>
          <w:p>
            <w:pPr>
              <w:jc w:val="right"/>
              <w:spacing w:after="0" w:line="125" w:lineRule="exact"/>
              <w:rPr>
                <w:sz w:val="20"/>
                <w:szCs w:val="20"/>
                <w:color w:val="auto"/>
              </w:rPr>
            </w:pPr>
            <w:r>
              <w:rPr>
                <w:rFonts w:ascii="Arial" w:cs="Arial" w:eastAsia="Arial" w:hAnsi="Arial"/>
                <w:sz w:val="11"/>
                <w:szCs w:val="11"/>
                <w:color w:val="auto"/>
              </w:rPr>
              <w:t>857,559</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100"/>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(525,895)</w:t>
            </w:r>
          </w:p>
        </w:tc>
        <w:tc>
          <w:tcPr>
            <w:tcW w:w="140" w:type="dxa"/>
            <w:vAlign w:val="bottom"/>
          </w:tcPr>
          <w:p>
            <w:pPr>
              <w:spacing w:after="0"/>
              <w:rPr>
                <w:sz w:val="10"/>
                <w:szCs w:val="10"/>
                <w:color w:val="auto"/>
              </w:rPr>
            </w:pPr>
          </w:p>
        </w:tc>
        <w:tc>
          <w:tcPr>
            <w:tcW w:w="80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(331,664)</w:t>
            </w:r>
          </w:p>
        </w:tc>
        <w:tc>
          <w:tcPr>
            <w:tcW w:w="80" w:type="dxa"/>
            <w:vAlign w:val="bottom"/>
          </w:tcPr>
          <w:p>
            <w:pPr>
              <w:spacing w:after="0"/>
              <w:rPr>
                <w:sz w:val="10"/>
                <w:szCs w:val="10"/>
                <w:color w:val="auto"/>
              </w:rPr>
            </w:pPr>
          </w:p>
        </w:tc>
        <w:tc>
          <w:tcPr>
            <w:tcW w:w="880" w:type="dxa"/>
            <w:vAlign w:val="bottom"/>
            <w:gridSpan w:val="2"/>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(857,559)</w:t>
            </w:r>
          </w:p>
        </w:tc>
        <w:tc>
          <w:tcPr>
            <w:tcW w:w="60" w:type="dxa"/>
            <w:vAlign w:val="bottom"/>
          </w:tcPr>
          <w:p>
            <w:pPr>
              <w:spacing w:after="0"/>
              <w:rPr>
                <w:sz w:val="10"/>
                <w:szCs w:val="10"/>
                <w:color w:val="auto"/>
              </w:rPr>
            </w:pPr>
          </w:p>
        </w:tc>
        <w:tc>
          <w:tcPr>
            <w:tcW w:w="900" w:type="dxa"/>
            <w:vAlign w:val="bottom"/>
            <w:gridSpan w:val="2"/>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rPr>
              <w:t>(857,559)</w:t>
            </w:r>
          </w:p>
        </w:tc>
        <w:tc>
          <w:tcPr>
            <w:tcW w:w="0" w:type="dxa"/>
            <w:vAlign w:val="bottom"/>
          </w:tcPr>
          <w:p>
            <w:pPr>
              <w:spacing w:after="0"/>
              <w:rPr>
                <w:sz w:val="1"/>
                <w:szCs w:val="1"/>
                <w:color w:val="auto"/>
              </w:rPr>
            </w:pPr>
          </w:p>
        </w:tc>
      </w:tr>
      <w:tr>
        <w:trPr>
          <w:trHeight w:val="142"/>
        </w:trPr>
        <w:tc>
          <w:tcPr>
            <w:tcW w:w="2600" w:type="dxa"/>
            <w:vAlign w:val="bottom"/>
            <w:shd w:val="clear" w:color="auto" w:fill="CFF0FC"/>
          </w:tcPr>
          <w:p>
            <w:pPr>
              <w:spacing w:after="0"/>
              <w:rPr>
                <w:sz w:val="20"/>
                <w:szCs w:val="20"/>
                <w:color w:val="auto"/>
              </w:rPr>
            </w:pPr>
            <w:r>
              <w:rPr>
                <w:rFonts w:ascii="Arial" w:cs="Arial" w:eastAsia="Arial" w:hAnsi="Arial"/>
                <w:sz w:val="11"/>
                <w:szCs w:val="11"/>
                <w:color w:val="auto"/>
              </w:rPr>
              <w:t>Temporary to permanent</w:t>
            </w: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600" w:type="dxa"/>
            <w:vAlign w:val="bottom"/>
            <w:shd w:val="clear" w:color="auto" w:fill="CFF0FC"/>
          </w:tcPr>
          <w:p>
            <w:pPr>
              <w:ind w:left="100"/>
              <w:spacing w:after="0"/>
              <w:rPr>
                <w:sz w:val="20"/>
                <w:szCs w:val="20"/>
                <w:color w:val="auto"/>
              </w:rPr>
            </w:pPr>
            <w:r>
              <w:rPr>
                <w:rFonts w:ascii="Arial" w:cs="Arial" w:eastAsia="Arial" w:hAnsi="Arial"/>
                <w:sz w:val="11"/>
                <w:szCs w:val="11"/>
                <w:color w:val="auto"/>
              </w:rPr>
              <w:t>equity end of lock-up</w:t>
            </w: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600" w:type="dxa"/>
            <w:vAlign w:val="bottom"/>
            <w:shd w:val="clear" w:color="auto" w:fill="CFF0FC"/>
          </w:tcPr>
          <w:p>
            <w:pPr>
              <w:ind w:left="100"/>
              <w:spacing w:after="0" w:line="125" w:lineRule="exact"/>
              <w:rPr>
                <w:sz w:val="20"/>
                <w:szCs w:val="20"/>
                <w:color w:val="auto"/>
              </w:rPr>
            </w:pPr>
            <w:r>
              <w:rPr>
                <w:rFonts w:ascii="Arial" w:cs="Arial" w:eastAsia="Arial" w:hAnsi="Arial"/>
                <w:sz w:val="11"/>
                <w:szCs w:val="11"/>
                <w:color w:val="auto"/>
              </w:rPr>
              <w:t>period</w:t>
            </w:r>
          </w:p>
        </w:tc>
        <w:tc>
          <w:tcPr>
            <w:tcW w:w="8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80"/>
              <w:spacing w:after="0" w:line="125" w:lineRule="exact"/>
              <w:rPr>
                <w:sz w:val="20"/>
                <w:szCs w:val="20"/>
                <w:color w:val="auto"/>
              </w:rPr>
            </w:pPr>
            <w:r>
              <w:rPr>
                <w:rFonts w:ascii="Arial" w:cs="Arial" w:eastAsia="Arial" w:hAnsi="Arial"/>
                <w:sz w:val="11"/>
                <w:szCs w:val="11"/>
                <w:color w:val="auto"/>
              </w:rPr>
              <w:t>(2,753,526)</w:t>
            </w:r>
          </w:p>
        </w:tc>
        <w:tc>
          <w:tcPr>
            <w:tcW w:w="160" w:type="dxa"/>
            <w:vAlign w:val="bottom"/>
            <w:tcBorders>
              <w:right w:val="single" w:sz="8" w:color="CFF0FC"/>
            </w:tcBorders>
            <w:shd w:val="clear" w:color="auto" w:fill="CFF0FC"/>
          </w:tcPr>
          <w:p>
            <w:pPr>
              <w:spacing w:after="0"/>
              <w:rPr>
                <w:sz w:val="10"/>
                <w:szCs w:val="10"/>
                <w:color w:val="auto"/>
              </w:rPr>
            </w:pPr>
          </w:p>
        </w:tc>
        <w:tc>
          <w:tcPr>
            <w:tcW w:w="5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125,098</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2,628,428</w:t>
            </w:r>
          </w:p>
        </w:tc>
        <w:tc>
          <w:tcPr>
            <w:tcW w:w="1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2,753,526</w:t>
            </w:r>
          </w:p>
        </w:tc>
        <w:tc>
          <w:tcPr>
            <w:tcW w:w="2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2,753,526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600" w:type="dxa"/>
            <w:vAlign w:val="bottom"/>
            <w:vMerge w:val="restart"/>
          </w:tcPr>
          <w:p>
            <w:pPr>
              <w:spacing w:after="0"/>
              <w:rPr>
                <w:sz w:val="20"/>
                <w:szCs w:val="20"/>
                <w:color w:val="auto"/>
              </w:rPr>
            </w:pPr>
            <w:r>
              <w:rPr>
                <w:rFonts w:ascii="Arial" w:cs="Arial" w:eastAsia="Arial" w:hAnsi="Arial"/>
                <w:sz w:val="11"/>
                <w:szCs w:val="11"/>
                <w:b w:val="1"/>
                <w:bCs w:val="1"/>
                <w:color w:val="auto"/>
              </w:rPr>
              <w:t>Balances at December 31, 2019</w:t>
            </w: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600" w:type="dxa"/>
            <w:vAlign w:val="bottom"/>
            <w:vMerge w:val="continue"/>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146,441</w:t>
            </w:r>
          </w:p>
        </w:tc>
        <w:tc>
          <w:tcPr>
            <w:tcW w:w="100" w:type="dxa"/>
            <w:vAlign w:val="bottom"/>
          </w:tcPr>
          <w:p>
            <w:pPr>
              <w:spacing w:after="0"/>
              <w:rPr>
                <w:sz w:val="11"/>
                <w:szCs w:val="1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(934,240 )</w:t>
            </w: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2,649,975</w:t>
            </w:r>
          </w:p>
        </w:tc>
        <w:tc>
          <w:tcPr>
            <w:tcW w:w="180" w:type="dxa"/>
            <w:vAlign w:val="bottom"/>
          </w:tcPr>
          <w:p>
            <w:pPr>
              <w:spacing w:after="0"/>
              <w:rPr>
                <w:sz w:val="11"/>
                <w:szCs w:val="11"/>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(218,025)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1"/>
                <w:szCs w:val="11"/>
                <w:color w:val="auto"/>
              </w:rPr>
              <w:t>(14,261)</w:t>
            </w:r>
          </w:p>
        </w:tc>
        <w:tc>
          <w:tcPr>
            <w:tcW w:w="220" w:type="dxa"/>
            <w:vAlign w:val="bottom"/>
            <w:gridSpan w:val="2"/>
          </w:tcPr>
          <w:p>
            <w:pPr>
              <w:jc w:val="right"/>
              <w:ind w:right="29"/>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1,629,890</w:t>
            </w:r>
          </w:p>
        </w:tc>
        <w:tc>
          <w:tcPr>
            <w:tcW w:w="2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30,866</w:t>
            </w:r>
          </w:p>
        </w:tc>
        <w:tc>
          <w:tcPr>
            <w:tcW w:w="100" w:type="dxa"/>
            <w:vAlign w:val="bottom"/>
          </w:tcPr>
          <w:p>
            <w:pPr>
              <w:spacing w:after="0"/>
              <w:rPr>
                <w:sz w:val="11"/>
                <w:szCs w:val="11"/>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1,660,756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Comprehensive income</w:t>
            </w:r>
          </w:p>
        </w:tc>
        <w:tc>
          <w:tcPr>
            <w:tcW w:w="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CFF0FC"/>
              <w:right w:val="single" w:sz="8" w:color="CFF0FC"/>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600" w:type="dxa"/>
            <w:vAlign w:val="bottom"/>
          </w:tcPr>
          <w:p>
            <w:pPr>
              <w:ind w:left="240"/>
              <w:spacing w:after="0"/>
              <w:rPr>
                <w:sz w:val="20"/>
                <w:szCs w:val="20"/>
                <w:color w:val="auto"/>
              </w:rPr>
            </w:pPr>
            <w:r>
              <w:rPr>
                <w:rFonts w:ascii="Arial" w:cs="Arial" w:eastAsia="Arial" w:hAnsi="Arial"/>
                <w:sz w:val="11"/>
                <w:szCs w:val="11"/>
                <w:color w:val="auto"/>
              </w:rPr>
              <w:t>Net income</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98,541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98,541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20,380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118,921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0" w:type="dxa"/>
            <w:vAlign w:val="bottom"/>
            <w:shd w:val="clear" w:color="auto" w:fill="CFF0FC"/>
          </w:tcPr>
          <w:p>
            <w:pPr>
              <w:ind w:left="240"/>
              <w:spacing w:after="0"/>
              <w:rPr>
                <w:sz w:val="20"/>
                <w:szCs w:val="20"/>
                <w:color w:val="auto"/>
              </w:rPr>
            </w:pPr>
            <w:r>
              <w:rPr>
                <w:rFonts w:ascii="Arial" w:cs="Arial" w:eastAsia="Arial" w:hAnsi="Arial"/>
                <w:sz w:val="11"/>
                <w:szCs w:val="11"/>
                <w:color w:val="auto"/>
              </w:rPr>
              <w:t>Foreign currency</w:t>
            </w: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600" w:type="dxa"/>
            <w:vAlign w:val="bottom"/>
            <w:shd w:val="clear" w:color="auto" w:fill="CFF0FC"/>
          </w:tcPr>
          <w:p>
            <w:pPr>
              <w:ind w:left="320"/>
              <w:spacing w:after="0" w:line="125" w:lineRule="exact"/>
              <w:rPr>
                <w:sz w:val="20"/>
                <w:szCs w:val="20"/>
                <w:color w:val="auto"/>
              </w:rPr>
            </w:pPr>
            <w:r>
              <w:rPr>
                <w:rFonts w:ascii="Arial" w:cs="Arial" w:eastAsia="Arial" w:hAnsi="Arial"/>
                <w:sz w:val="11"/>
                <w:szCs w:val="11"/>
                <w:color w:val="auto"/>
              </w:rPr>
              <w:t>translation gain, net</w:t>
            </w:r>
          </w:p>
        </w:tc>
        <w:tc>
          <w:tcPr>
            <w:tcW w:w="8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600" w:type="dxa"/>
            <w:vAlign w:val="bottom"/>
            <w:gridSpan w:val="2"/>
            <w:shd w:val="clear" w:color="auto" w:fill="CFF0FC"/>
          </w:tcPr>
          <w:p>
            <w:pPr>
              <w:jc w:val="right"/>
              <w:ind w:right="100"/>
              <w:spacing w:after="0" w:line="125" w:lineRule="exact"/>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00"/>
              <w:spacing w:after="0" w:line="125" w:lineRule="exact"/>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00"/>
              <w:spacing w:after="0" w:line="125"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484</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484</w:t>
            </w:r>
          </w:p>
        </w:tc>
        <w:tc>
          <w:tcPr>
            <w:tcW w:w="2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484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600" w:type="dxa"/>
            <w:vAlign w:val="bottom"/>
          </w:tcPr>
          <w:p>
            <w:pPr>
              <w:ind w:left="240"/>
              <w:spacing w:after="0"/>
              <w:rPr>
                <w:sz w:val="20"/>
                <w:szCs w:val="20"/>
                <w:color w:val="auto"/>
              </w:rPr>
            </w:pPr>
            <w:r>
              <w:rPr>
                <w:rFonts w:ascii="Arial" w:cs="Arial" w:eastAsia="Arial" w:hAnsi="Arial"/>
                <w:sz w:val="11"/>
                <w:szCs w:val="11"/>
                <w:color w:val="auto"/>
              </w:rPr>
              <w:t>Pension adjustments,</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600" w:type="dxa"/>
            <w:vAlign w:val="bottom"/>
          </w:tcPr>
          <w:p>
            <w:pPr>
              <w:ind w:left="320"/>
              <w:spacing w:after="0" w:line="125" w:lineRule="exact"/>
              <w:rPr>
                <w:sz w:val="20"/>
                <w:szCs w:val="20"/>
                <w:color w:val="auto"/>
              </w:rPr>
            </w:pPr>
            <w:r>
              <w:rPr>
                <w:rFonts w:ascii="Arial" w:cs="Arial" w:eastAsia="Arial" w:hAnsi="Arial"/>
                <w:sz w:val="11"/>
                <w:szCs w:val="11"/>
                <w:color w:val="auto"/>
              </w:rPr>
              <w:t>net</w:t>
            </w:r>
          </w:p>
        </w:tc>
        <w:tc>
          <w:tcPr>
            <w:tcW w:w="80" w:type="dxa"/>
            <w:vAlign w:val="bottom"/>
          </w:tcPr>
          <w:p>
            <w:pPr>
              <w:spacing w:after="0"/>
              <w:rPr>
                <w:sz w:val="10"/>
                <w:szCs w:val="10"/>
                <w:color w:val="auto"/>
              </w:rPr>
            </w:pPr>
          </w:p>
        </w:tc>
        <w:tc>
          <w:tcPr>
            <w:tcW w:w="88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00" w:type="dxa"/>
            <w:vAlign w:val="bottom"/>
            <w:gridSpan w:val="2"/>
          </w:tcPr>
          <w:p>
            <w:pPr>
              <w:jc w:val="right"/>
              <w:ind w:right="100"/>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200"/>
              <w:spacing w:after="0" w:line="12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0" w:type="dxa"/>
            <w:vAlign w:val="bottom"/>
            <w:gridSpan w:val="2"/>
          </w:tcPr>
          <w:p>
            <w:pPr>
              <w:jc w:val="right"/>
              <w:ind w:right="20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8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rPr>
              <w:t>(88)</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(88)</w:t>
            </w:r>
          </w:p>
        </w:tc>
        <w:tc>
          <w:tcPr>
            <w:tcW w:w="60" w:type="dxa"/>
            <w:vAlign w:val="bottom"/>
          </w:tcPr>
          <w:p>
            <w:pPr>
              <w:spacing w:after="0"/>
              <w:rPr>
                <w:sz w:val="10"/>
                <w:szCs w:val="10"/>
                <w:color w:val="auto"/>
              </w:rPr>
            </w:pPr>
          </w:p>
        </w:tc>
        <w:tc>
          <w:tcPr>
            <w:tcW w:w="900" w:type="dxa"/>
            <w:vAlign w:val="bottom"/>
            <w:gridSpan w:val="2"/>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rPr>
              <w:t>(88)</w:t>
            </w:r>
          </w:p>
        </w:tc>
        <w:tc>
          <w:tcPr>
            <w:tcW w:w="0" w:type="dxa"/>
            <w:vAlign w:val="bottom"/>
          </w:tcPr>
          <w:p>
            <w:pPr>
              <w:spacing w:after="0"/>
              <w:rPr>
                <w:sz w:val="1"/>
                <w:szCs w:val="1"/>
                <w:color w:val="auto"/>
              </w:rPr>
            </w:pPr>
          </w:p>
        </w:tc>
      </w:tr>
      <w:tr>
        <w:trPr>
          <w:trHeight w:val="139"/>
        </w:trPr>
        <w:tc>
          <w:tcPr>
            <w:tcW w:w="2600" w:type="dxa"/>
            <w:vAlign w:val="bottom"/>
            <w:shd w:val="clear" w:color="auto" w:fill="CFF0FC"/>
          </w:tcPr>
          <w:p>
            <w:pPr>
              <w:spacing w:after="0"/>
              <w:rPr>
                <w:sz w:val="20"/>
                <w:szCs w:val="20"/>
                <w:color w:val="auto"/>
              </w:rPr>
            </w:pPr>
            <w:r>
              <w:rPr>
                <w:rFonts w:ascii="Arial" w:cs="Arial" w:eastAsia="Arial" w:hAnsi="Arial"/>
                <w:sz w:val="11"/>
                <w:szCs w:val="11"/>
                <w:color w:val="auto"/>
              </w:rPr>
              <w:t>Adoption of ASU 2016-13</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(1,000)</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(1,000)</w:t>
            </w: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(1,000)</w:t>
            </w:r>
          </w:p>
        </w:tc>
        <w:tc>
          <w:tcPr>
            <w:tcW w:w="0" w:type="dxa"/>
            <w:vAlign w:val="bottom"/>
          </w:tcPr>
          <w:p>
            <w:pPr>
              <w:spacing w:after="0"/>
              <w:rPr>
                <w:sz w:val="1"/>
                <w:szCs w:val="1"/>
                <w:color w:val="auto"/>
              </w:rPr>
            </w:pPr>
          </w:p>
        </w:tc>
      </w:tr>
      <w:tr>
        <w:trPr>
          <w:trHeight w:val="142"/>
        </w:trPr>
        <w:tc>
          <w:tcPr>
            <w:tcW w:w="2600" w:type="dxa"/>
            <w:vAlign w:val="bottom"/>
          </w:tcPr>
          <w:p>
            <w:pPr>
              <w:spacing w:after="0"/>
              <w:rPr>
                <w:sz w:val="20"/>
                <w:szCs w:val="20"/>
                <w:color w:val="auto"/>
              </w:rPr>
            </w:pPr>
            <w:r>
              <w:rPr>
                <w:rFonts w:ascii="Arial" w:cs="Arial" w:eastAsia="Arial" w:hAnsi="Arial"/>
                <w:sz w:val="11"/>
                <w:szCs w:val="11"/>
                <w:color w:val="auto"/>
              </w:rPr>
              <w:t>Contributions of treasury</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600" w:type="dxa"/>
            <w:vAlign w:val="bottom"/>
          </w:tcPr>
          <w:p>
            <w:pPr>
              <w:ind w:left="100"/>
              <w:spacing w:after="0" w:line="125" w:lineRule="exact"/>
              <w:rPr>
                <w:sz w:val="20"/>
                <w:szCs w:val="20"/>
                <w:color w:val="auto"/>
              </w:rPr>
            </w:pPr>
            <w:r>
              <w:rPr>
                <w:rFonts w:ascii="Arial" w:cs="Arial" w:eastAsia="Arial" w:hAnsi="Arial"/>
                <w:sz w:val="11"/>
                <w:szCs w:val="11"/>
                <w:color w:val="auto"/>
              </w:rPr>
              <w:t>stock to ESOP</w:t>
            </w:r>
          </w:p>
        </w:tc>
        <w:tc>
          <w:tcPr>
            <w:tcW w:w="80" w:type="dxa"/>
            <w:vAlign w:val="bottom"/>
          </w:tcPr>
          <w:p>
            <w:pPr>
              <w:spacing w:after="0"/>
              <w:rPr>
                <w:sz w:val="10"/>
                <w:szCs w:val="10"/>
                <w:color w:val="auto"/>
              </w:rPr>
            </w:pPr>
          </w:p>
        </w:tc>
        <w:tc>
          <w:tcPr>
            <w:tcW w:w="76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100"/>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1"/>
                <w:szCs w:val="11"/>
                <w:color w:val="auto"/>
              </w:rPr>
              <w:t>34,912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5" w:lineRule="exact"/>
              <w:rPr>
                <w:sz w:val="20"/>
                <w:szCs w:val="20"/>
                <w:color w:val="auto"/>
              </w:rPr>
            </w:pPr>
            <w:r>
              <w:rPr>
                <w:rFonts w:ascii="Arial" w:cs="Arial" w:eastAsia="Arial" w:hAnsi="Arial"/>
                <w:sz w:val="11"/>
                <w:szCs w:val="11"/>
                <w:color w:val="auto"/>
              </w:rPr>
              <w:t>20,010</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54,922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54,922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600" w:type="dxa"/>
            <w:vAlign w:val="bottom"/>
            <w:shd w:val="clear" w:color="auto" w:fill="CFF0FC"/>
          </w:tcPr>
          <w:p>
            <w:pPr>
              <w:spacing w:after="0"/>
              <w:rPr>
                <w:sz w:val="20"/>
                <w:szCs w:val="20"/>
                <w:color w:val="auto"/>
              </w:rPr>
            </w:pPr>
            <w:r>
              <w:rPr>
                <w:rFonts w:ascii="Arial" w:cs="Arial" w:eastAsia="Arial" w:hAnsi="Arial"/>
                <w:sz w:val="11"/>
                <w:szCs w:val="11"/>
                <w:color w:val="auto"/>
              </w:rPr>
              <w:t>Contributions</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2,215</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600" w:type="dxa"/>
            <w:vAlign w:val="bottom"/>
          </w:tcPr>
          <w:p>
            <w:pPr>
              <w:spacing w:after="0"/>
              <w:rPr>
                <w:sz w:val="20"/>
                <w:szCs w:val="20"/>
                <w:color w:val="auto"/>
              </w:rPr>
            </w:pPr>
            <w:r>
              <w:rPr>
                <w:rFonts w:ascii="Arial" w:cs="Arial" w:eastAsia="Arial" w:hAnsi="Arial"/>
                <w:sz w:val="11"/>
                <w:szCs w:val="11"/>
                <w:color w:val="auto"/>
              </w:rPr>
              <w:t>Distributions</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1"/>
                <w:szCs w:val="11"/>
                <w:color w:val="auto"/>
              </w:rPr>
              <w:t>(5,816)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(5,816)</w:t>
            </w:r>
          </w:p>
        </w:tc>
        <w:tc>
          <w:tcPr>
            <w:tcW w:w="0" w:type="dxa"/>
            <w:vAlign w:val="bottom"/>
          </w:tcPr>
          <w:p>
            <w:pPr>
              <w:spacing w:after="0"/>
              <w:rPr>
                <w:sz w:val="1"/>
                <w:szCs w:val="1"/>
                <w:color w:val="auto"/>
              </w:rPr>
            </w:pPr>
          </w:p>
        </w:tc>
      </w:tr>
      <w:tr>
        <w:trPr>
          <w:trHeight w:val="142"/>
        </w:trPr>
        <w:tc>
          <w:tcPr>
            <w:tcW w:w="2600" w:type="dxa"/>
            <w:vAlign w:val="bottom"/>
            <w:shd w:val="clear" w:color="auto" w:fill="CFF0FC"/>
          </w:tcPr>
          <w:p>
            <w:pPr>
              <w:spacing w:after="0"/>
              <w:rPr>
                <w:sz w:val="20"/>
                <w:szCs w:val="20"/>
                <w:color w:val="auto"/>
              </w:rPr>
            </w:pPr>
            <w:r>
              <w:rPr>
                <w:rFonts w:ascii="Arial" w:cs="Arial" w:eastAsia="Arial" w:hAnsi="Arial"/>
                <w:sz w:val="11"/>
                <w:szCs w:val="11"/>
                <w:color w:val="auto"/>
              </w:rPr>
              <w:t>Issuance of equity securities,</w:t>
            </w: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600" w:type="dxa"/>
            <w:vAlign w:val="bottom"/>
            <w:shd w:val="clear" w:color="auto" w:fill="CFF0FC"/>
          </w:tcPr>
          <w:p>
            <w:pPr>
              <w:ind w:left="100"/>
              <w:spacing w:after="0" w:line="125" w:lineRule="exact"/>
              <w:rPr>
                <w:sz w:val="20"/>
                <w:szCs w:val="20"/>
                <w:color w:val="auto"/>
              </w:rPr>
            </w:pPr>
            <w:r>
              <w:rPr>
                <w:rFonts w:ascii="Arial" w:cs="Arial" w:eastAsia="Arial" w:hAnsi="Arial"/>
                <w:sz w:val="11"/>
                <w:szCs w:val="11"/>
                <w:color w:val="auto"/>
              </w:rPr>
              <w:t>net of retirement</w:t>
            </w:r>
          </w:p>
        </w:tc>
        <w:tc>
          <w:tcPr>
            <w:tcW w:w="8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5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168</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2,957</w:t>
            </w:r>
          </w:p>
        </w:tc>
        <w:tc>
          <w:tcPr>
            <w:tcW w:w="1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140"/>
              <w:spacing w:after="0" w:line="125" w:lineRule="exact"/>
              <w:rPr>
                <w:sz w:val="20"/>
                <w:szCs w:val="20"/>
                <w:color w:val="auto"/>
              </w:rPr>
            </w:pPr>
            <w:r>
              <w:rPr>
                <w:rFonts w:ascii="Arial" w:cs="Arial" w:eastAsia="Arial" w:hAnsi="Arial"/>
                <w:sz w:val="11"/>
                <w:szCs w:val="11"/>
                <w:color w:val="auto"/>
              </w:rPr>
              <w:t>(85)</w:t>
            </w:r>
          </w:p>
        </w:tc>
        <w:tc>
          <w:tcPr>
            <w:tcW w:w="8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3,040</w:t>
            </w:r>
          </w:p>
        </w:tc>
        <w:tc>
          <w:tcPr>
            <w:tcW w:w="2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3,040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20"/>
                <w:szCs w:val="20"/>
                <w:color w:val="auto"/>
              </w:rPr>
            </w:pPr>
            <w:r>
              <w:rPr>
                <w:rFonts w:ascii="Arial" w:cs="Arial" w:eastAsia="Arial" w:hAnsi="Arial"/>
                <w:sz w:val="11"/>
                <w:szCs w:val="11"/>
                <w:color w:val="auto"/>
              </w:rPr>
              <w:t>Equity component value of</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600" w:type="dxa"/>
            <w:vAlign w:val="bottom"/>
          </w:tcPr>
          <w:p>
            <w:pPr>
              <w:ind w:left="100"/>
              <w:spacing w:after="0" w:line="125" w:lineRule="exact"/>
              <w:rPr>
                <w:sz w:val="20"/>
                <w:szCs w:val="20"/>
                <w:color w:val="auto"/>
              </w:rPr>
            </w:pPr>
            <w:r>
              <w:rPr>
                <w:rFonts w:ascii="Arial" w:cs="Arial" w:eastAsia="Arial" w:hAnsi="Arial"/>
                <w:sz w:val="11"/>
                <w:szCs w:val="11"/>
                <w:color w:val="auto"/>
              </w:rPr>
              <w:t>convertible note issuance</w:t>
            </w:r>
          </w:p>
        </w:tc>
        <w:tc>
          <w:tcPr>
            <w:tcW w:w="80" w:type="dxa"/>
            <w:vAlign w:val="bottom"/>
          </w:tcPr>
          <w:p>
            <w:pPr>
              <w:spacing w:after="0"/>
              <w:rPr>
                <w:sz w:val="10"/>
                <w:szCs w:val="10"/>
                <w:color w:val="auto"/>
              </w:rPr>
            </w:pPr>
          </w:p>
        </w:tc>
        <w:tc>
          <w:tcPr>
            <w:tcW w:w="88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00" w:type="dxa"/>
            <w:vAlign w:val="bottom"/>
            <w:gridSpan w:val="2"/>
          </w:tcPr>
          <w:p>
            <w:pPr>
              <w:jc w:val="right"/>
              <w:ind w:right="100"/>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5" w:lineRule="exact"/>
              <w:rPr>
                <w:sz w:val="20"/>
                <w:szCs w:val="20"/>
                <w:color w:val="auto"/>
              </w:rPr>
            </w:pPr>
            <w:r>
              <w:rPr>
                <w:rFonts w:ascii="Arial" w:cs="Arial" w:eastAsia="Arial" w:hAnsi="Arial"/>
                <w:sz w:val="11"/>
                <w:szCs w:val="11"/>
                <w:color w:val="auto"/>
              </w:rPr>
              <w:t>53,552</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53,552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53,552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600" w:type="dxa"/>
            <w:vAlign w:val="bottom"/>
            <w:shd w:val="clear" w:color="auto" w:fill="CFF0FC"/>
          </w:tcPr>
          <w:p>
            <w:pPr>
              <w:spacing w:after="0"/>
              <w:rPr>
                <w:sz w:val="20"/>
                <w:szCs w:val="20"/>
                <w:color w:val="auto"/>
              </w:rPr>
            </w:pPr>
            <w:r>
              <w:rPr>
                <w:rFonts w:ascii="Arial" w:cs="Arial" w:eastAsia="Arial" w:hAnsi="Arial"/>
                <w:sz w:val="11"/>
                <w:szCs w:val="11"/>
                <w:color w:val="auto"/>
              </w:rPr>
              <w:t>Purchase of convertible note</w:t>
            </w: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600" w:type="dxa"/>
            <w:vAlign w:val="bottom"/>
            <w:shd w:val="clear" w:color="auto" w:fill="CFF0FC"/>
          </w:tcPr>
          <w:p>
            <w:pPr>
              <w:ind w:left="100"/>
              <w:spacing w:after="0" w:line="125" w:lineRule="exact"/>
              <w:rPr>
                <w:sz w:val="20"/>
                <w:szCs w:val="20"/>
                <w:color w:val="auto"/>
              </w:rPr>
            </w:pPr>
            <w:r>
              <w:rPr>
                <w:rFonts w:ascii="Arial" w:cs="Arial" w:eastAsia="Arial" w:hAnsi="Arial"/>
                <w:sz w:val="11"/>
                <w:szCs w:val="11"/>
                <w:color w:val="auto"/>
              </w:rPr>
              <w:t>hedge</w:t>
            </w:r>
          </w:p>
        </w:tc>
        <w:tc>
          <w:tcPr>
            <w:tcW w:w="8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600" w:type="dxa"/>
            <w:vAlign w:val="bottom"/>
            <w:gridSpan w:val="2"/>
            <w:shd w:val="clear" w:color="auto" w:fill="CFF0FC"/>
          </w:tcPr>
          <w:p>
            <w:pPr>
              <w:jc w:val="right"/>
              <w:ind w:right="100"/>
              <w:spacing w:after="0" w:line="125" w:lineRule="exact"/>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140"/>
              <w:spacing w:after="0" w:line="125" w:lineRule="exact"/>
              <w:rPr>
                <w:sz w:val="20"/>
                <w:szCs w:val="20"/>
                <w:color w:val="auto"/>
              </w:rPr>
            </w:pPr>
            <w:r>
              <w:rPr>
                <w:rFonts w:ascii="Arial" w:cs="Arial" w:eastAsia="Arial" w:hAnsi="Arial"/>
                <w:sz w:val="11"/>
                <w:szCs w:val="11"/>
                <w:color w:val="auto"/>
              </w:rPr>
              <w:t>(54,611)</w:t>
            </w:r>
          </w:p>
        </w:tc>
        <w:tc>
          <w:tcPr>
            <w:tcW w:w="14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00"/>
              <w:spacing w:after="0" w:line="125"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60"/>
              <w:spacing w:after="0" w:line="125" w:lineRule="exact"/>
              <w:rPr>
                <w:sz w:val="20"/>
                <w:szCs w:val="20"/>
                <w:color w:val="auto"/>
              </w:rPr>
            </w:pPr>
            <w:r>
              <w:rPr>
                <w:rFonts w:ascii="Arial" w:cs="Arial" w:eastAsia="Arial" w:hAnsi="Arial"/>
                <w:sz w:val="11"/>
                <w:szCs w:val="11"/>
                <w:color w:val="auto"/>
              </w:rPr>
              <w:t>(54,611)</w:t>
            </w:r>
          </w:p>
        </w:tc>
        <w:tc>
          <w:tcPr>
            <w:tcW w:w="6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80"/>
              <w:spacing w:after="0" w:line="125" w:lineRule="exact"/>
              <w:rPr>
                <w:sz w:val="20"/>
                <w:szCs w:val="20"/>
                <w:color w:val="auto"/>
              </w:rPr>
            </w:pPr>
            <w:r>
              <w:rPr>
                <w:rFonts w:ascii="Arial" w:cs="Arial" w:eastAsia="Arial" w:hAnsi="Arial"/>
                <w:sz w:val="11"/>
                <w:szCs w:val="11"/>
                <w:color w:val="auto"/>
              </w:rPr>
              <w:t>(54,611)</w:t>
            </w:r>
          </w:p>
        </w:tc>
        <w:tc>
          <w:tcPr>
            <w:tcW w:w="0" w:type="dxa"/>
            <w:vAlign w:val="bottom"/>
          </w:tcPr>
          <w:p>
            <w:pPr>
              <w:spacing w:after="0"/>
              <w:rPr>
                <w:sz w:val="1"/>
                <w:szCs w:val="1"/>
                <w:color w:val="auto"/>
              </w:rPr>
            </w:pPr>
          </w:p>
        </w:tc>
      </w:tr>
      <w:tr>
        <w:trPr>
          <w:trHeight w:val="142"/>
        </w:trPr>
        <w:tc>
          <w:tcPr>
            <w:tcW w:w="2600" w:type="dxa"/>
            <w:vAlign w:val="bottom"/>
          </w:tcPr>
          <w:p>
            <w:pPr>
              <w:spacing w:after="0"/>
              <w:rPr>
                <w:sz w:val="20"/>
                <w:szCs w:val="20"/>
                <w:color w:val="auto"/>
              </w:rPr>
            </w:pPr>
            <w:r>
              <w:rPr>
                <w:rFonts w:ascii="Arial" w:cs="Arial" w:eastAsia="Arial" w:hAnsi="Arial"/>
                <w:sz w:val="11"/>
                <w:szCs w:val="11"/>
                <w:color w:val="auto"/>
              </w:rPr>
              <w:t>Sale of common stock</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600" w:type="dxa"/>
            <w:vAlign w:val="bottom"/>
          </w:tcPr>
          <w:p>
            <w:pPr>
              <w:ind w:left="100"/>
              <w:spacing w:after="0" w:line="125" w:lineRule="exact"/>
              <w:rPr>
                <w:sz w:val="20"/>
                <w:szCs w:val="20"/>
                <w:color w:val="auto"/>
              </w:rPr>
            </w:pPr>
            <w:r>
              <w:rPr>
                <w:rFonts w:ascii="Arial" w:cs="Arial" w:eastAsia="Arial" w:hAnsi="Arial"/>
                <w:sz w:val="11"/>
                <w:szCs w:val="11"/>
                <w:color w:val="auto"/>
              </w:rPr>
              <w:t>warrants</w:t>
            </w:r>
          </w:p>
        </w:tc>
        <w:tc>
          <w:tcPr>
            <w:tcW w:w="80" w:type="dxa"/>
            <w:vAlign w:val="bottom"/>
          </w:tcPr>
          <w:p>
            <w:pPr>
              <w:spacing w:after="0"/>
              <w:rPr>
                <w:sz w:val="10"/>
                <w:szCs w:val="10"/>
                <w:color w:val="auto"/>
              </w:rPr>
            </w:pPr>
          </w:p>
        </w:tc>
        <w:tc>
          <w:tcPr>
            <w:tcW w:w="88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5" w:lineRule="exact"/>
              <w:rPr>
                <w:sz w:val="20"/>
                <w:szCs w:val="20"/>
                <w:color w:val="auto"/>
              </w:rPr>
            </w:pPr>
            <w:r>
              <w:rPr>
                <w:rFonts w:ascii="Arial" w:cs="Arial" w:eastAsia="Arial" w:hAnsi="Arial"/>
                <w:sz w:val="11"/>
                <w:szCs w:val="11"/>
                <w:color w:val="auto"/>
              </w:rPr>
              <w:t>13,808</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right"/>
              <w:ind w:right="20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80" w:type="dxa"/>
            <w:vAlign w:val="bottom"/>
            <w:gridSpan w:val="2"/>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13,808</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13,808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600" w:type="dxa"/>
            <w:vAlign w:val="bottom"/>
            <w:shd w:val="clear" w:color="auto" w:fill="CFF0FC"/>
          </w:tcPr>
          <w:p>
            <w:pPr>
              <w:spacing w:after="0"/>
              <w:rPr>
                <w:sz w:val="20"/>
                <w:szCs w:val="20"/>
                <w:color w:val="auto"/>
              </w:rPr>
            </w:pPr>
            <w:r>
              <w:rPr>
                <w:rFonts w:ascii="Arial" w:cs="Arial" w:eastAsia="Arial" w:hAnsi="Arial"/>
                <w:sz w:val="11"/>
                <w:szCs w:val="11"/>
                <w:color w:val="auto"/>
              </w:rPr>
              <w:t>Stock-based compensation</w:t>
            </w:r>
          </w:p>
        </w:tc>
        <w:tc>
          <w:tcPr>
            <w:tcW w:w="8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15,234</w:t>
            </w:r>
          </w:p>
        </w:tc>
        <w:tc>
          <w:tcPr>
            <w:tcW w:w="18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15,234</w:t>
            </w:r>
          </w:p>
        </w:tc>
        <w:tc>
          <w:tcPr>
            <w:tcW w:w="20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15,234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600" w:type="dxa"/>
            <w:vAlign w:val="bottom"/>
          </w:tcPr>
          <w:p>
            <w:pPr>
              <w:spacing w:after="0"/>
              <w:rPr>
                <w:sz w:val="20"/>
                <w:szCs w:val="20"/>
                <w:color w:val="auto"/>
              </w:rPr>
            </w:pPr>
            <w:r>
              <w:rPr>
                <w:rFonts w:ascii="Arial" w:cs="Arial" w:eastAsia="Arial" w:hAnsi="Arial"/>
                <w:sz w:val="11"/>
                <w:szCs w:val="11"/>
                <w:b w:val="1"/>
                <w:bCs w:val="1"/>
                <w:color w:val="auto"/>
              </w:rPr>
              <w:t>Balances at December 31, 2020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146,609</w:t>
            </w:r>
          </w:p>
        </w:tc>
        <w:tc>
          <w:tcPr>
            <w:tcW w:w="100" w:type="dxa"/>
            <w:vAlign w:val="bottom"/>
          </w:tcPr>
          <w:p>
            <w:pPr>
              <w:spacing w:after="0"/>
              <w:rPr>
                <w:sz w:val="11"/>
                <w:szCs w:val="1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(899,328 )</w:t>
            </w: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2,700,925</w:t>
            </w:r>
          </w:p>
        </w:tc>
        <w:tc>
          <w:tcPr>
            <w:tcW w:w="180" w:type="dxa"/>
            <w:vAlign w:val="bottom"/>
          </w:tcPr>
          <w:p>
            <w:pPr>
              <w:spacing w:after="0"/>
              <w:rPr>
                <w:sz w:val="11"/>
                <w:szCs w:val="11"/>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(120,569)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1"/>
                <w:szCs w:val="11"/>
                <w:color w:val="auto"/>
              </w:rPr>
              <w:t>(13,865)</w:t>
            </w:r>
          </w:p>
        </w:tc>
        <w:tc>
          <w:tcPr>
            <w:tcW w:w="220" w:type="dxa"/>
            <w:vAlign w:val="bottom"/>
            <w:gridSpan w:val="2"/>
          </w:tcPr>
          <w:p>
            <w:pPr>
              <w:jc w:val="right"/>
              <w:ind w:right="29"/>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1,813,772</w:t>
            </w:r>
          </w:p>
        </w:tc>
        <w:tc>
          <w:tcPr>
            <w:tcW w:w="2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47,645</w:t>
            </w:r>
          </w:p>
        </w:tc>
        <w:tc>
          <w:tcPr>
            <w:tcW w:w="100" w:type="dxa"/>
            <w:vAlign w:val="bottom"/>
          </w:tcPr>
          <w:p>
            <w:pPr>
              <w:spacing w:after="0"/>
              <w:rPr>
                <w:sz w:val="11"/>
                <w:szCs w:val="11"/>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1,861,417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Comprehensive income</w:t>
            </w:r>
          </w:p>
        </w:tc>
        <w:tc>
          <w:tcPr>
            <w:tcW w:w="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CFF0FC"/>
              <w:right w:val="single" w:sz="8" w:color="CFF0FC"/>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600" w:type="dxa"/>
            <w:vAlign w:val="bottom"/>
          </w:tcPr>
          <w:p>
            <w:pPr>
              <w:ind w:left="240"/>
              <w:spacing w:after="0"/>
              <w:rPr>
                <w:sz w:val="20"/>
                <w:szCs w:val="20"/>
                <w:color w:val="auto"/>
              </w:rPr>
            </w:pPr>
            <w:r>
              <w:rPr>
                <w:rFonts w:ascii="Arial" w:cs="Arial" w:eastAsia="Arial" w:hAnsi="Arial"/>
                <w:sz w:val="11"/>
                <w:szCs w:val="11"/>
                <w:color w:val="auto"/>
              </w:rPr>
              <w:t>Net income</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64,072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64,072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24,880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88,952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0" w:type="dxa"/>
            <w:vAlign w:val="bottom"/>
            <w:shd w:val="clear" w:color="auto" w:fill="CFF0FC"/>
          </w:tcPr>
          <w:p>
            <w:pPr>
              <w:ind w:left="240"/>
              <w:spacing w:after="0"/>
              <w:rPr>
                <w:sz w:val="20"/>
                <w:szCs w:val="20"/>
                <w:color w:val="auto"/>
              </w:rPr>
            </w:pPr>
            <w:r>
              <w:rPr>
                <w:rFonts w:ascii="Arial" w:cs="Arial" w:eastAsia="Arial" w:hAnsi="Arial"/>
                <w:sz w:val="11"/>
                <w:szCs w:val="11"/>
                <w:color w:val="auto"/>
              </w:rPr>
              <w:t>Foreign currency</w:t>
            </w: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600" w:type="dxa"/>
            <w:vAlign w:val="bottom"/>
            <w:shd w:val="clear" w:color="auto" w:fill="CFF0FC"/>
          </w:tcPr>
          <w:p>
            <w:pPr>
              <w:ind w:left="320"/>
              <w:spacing w:after="0" w:line="125" w:lineRule="exact"/>
              <w:rPr>
                <w:sz w:val="20"/>
                <w:szCs w:val="20"/>
                <w:color w:val="auto"/>
              </w:rPr>
            </w:pPr>
            <w:r>
              <w:rPr>
                <w:rFonts w:ascii="Arial" w:cs="Arial" w:eastAsia="Arial" w:hAnsi="Arial"/>
                <w:sz w:val="11"/>
                <w:szCs w:val="11"/>
                <w:color w:val="auto"/>
              </w:rPr>
              <w:t>translation gain (loss), net</w:t>
            </w:r>
          </w:p>
        </w:tc>
        <w:tc>
          <w:tcPr>
            <w:tcW w:w="8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600" w:type="dxa"/>
            <w:vAlign w:val="bottom"/>
            <w:gridSpan w:val="2"/>
            <w:shd w:val="clear" w:color="auto" w:fill="CFF0FC"/>
          </w:tcPr>
          <w:p>
            <w:pPr>
              <w:jc w:val="right"/>
              <w:ind w:right="100"/>
              <w:spacing w:after="0" w:line="125" w:lineRule="exact"/>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00"/>
              <w:spacing w:after="0" w:line="125" w:lineRule="exact"/>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00"/>
              <w:spacing w:after="0" w:line="125"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3,837</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3,837</w:t>
            </w:r>
          </w:p>
        </w:tc>
        <w:tc>
          <w:tcPr>
            <w:tcW w:w="2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60"/>
              <w:spacing w:after="0" w:line="125" w:lineRule="exact"/>
              <w:rPr>
                <w:sz w:val="20"/>
                <w:szCs w:val="20"/>
                <w:color w:val="auto"/>
              </w:rPr>
            </w:pPr>
            <w:r>
              <w:rPr>
                <w:rFonts w:ascii="Arial" w:cs="Arial" w:eastAsia="Arial" w:hAnsi="Arial"/>
                <w:sz w:val="11"/>
                <w:szCs w:val="11"/>
                <w:color w:val="auto"/>
              </w:rPr>
              <w:t>(3)</w:t>
            </w: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3,834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600" w:type="dxa"/>
            <w:vAlign w:val="bottom"/>
          </w:tcPr>
          <w:p>
            <w:pPr>
              <w:ind w:left="240"/>
              <w:spacing w:after="0"/>
              <w:rPr>
                <w:sz w:val="20"/>
                <w:szCs w:val="20"/>
                <w:color w:val="auto"/>
              </w:rPr>
            </w:pPr>
            <w:r>
              <w:rPr>
                <w:rFonts w:ascii="Arial" w:cs="Arial" w:eastAsia="Arial" w:hAnsi="Arial"/>
                <w:sz w:val="11"/>
                <w:szCs w:val="11"/>
                <w:color w:val="auto"/>
              </w:rPr>
              <w:t>Pension adjustments,</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600" w:type="dxa"/>
            <w:vAlign w:val="bottom"/>
          </w:tcPr>
          <w:p>
            <w:pPr>
              <w:ind w:left="320"/>
              <w:spacing w:after="0" w:line="125" w:lineRule="exact"/>
              <w:rPr>
                <w:sz w:val="20"/>
                <w:szCs w:val="20"/>
                <w:color w:val="auto"/>
              </w:rPr>
            </w:pPr>
            <w:r>
              <w:rPr>
                <w:rFonts w:ascii="Arial" w:cs="Arial" w:eastAsia="Arial" w:hAnsi="Arial"/>
                <w:sz w:val="11"/>
                <w:szCs w:val="11"/>
                <w:color w:val="auto"/>
              </w:rPr>
              <w:t>net</w:t>
            </w:r>
          </w:p>
        </w:tc>
        <w:tc>
          <w:tcPr>
            <w:tcW w:w="80" w:type="dxa"/>
            <w:vAlign w:val="bottom"/>
          </w:tcPr>
          <w:p>
            <w:pPr>
              <w:spacing w:after="0"/>
              <w:rPr>
                <w:sz w:val="10"/>
                <w:szCs w:val="10"/>
                <w:color w:val="auto"/>
              </w:rPr>
            </w:pPr>
          </w:p>
        </w:tc>
        <w:tc>
          <w:tcPr>
            <w:tcW w:w="88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00" w:type="dxa"/>
            <w:vAlign w:val="bottom"/>
            <w:gridSpan w:val="2"/>
          </w:tcPr>
          <w:p>
            <w:pPr>
              <w:jc w:val="right"/>
              <w:ind w:right="100"/>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200"/>
              <w:spacing w:after="0" w:line="12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0" w:type="dxa"/>
            <w:vAlign w:val="bottom"/>
            <w:gridSpan w:val="2"/>
          </w:tcPr>
          <w:p>
            <w:pPr>
              <w:jc w:val="right"/>
              <w:ind w:right="20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60" w:type="dxa"/>
            <w:vAlign w:val="bottom"/>
          </w:tcPr>
          <w:p>
            <w:pPr>
              <w:jc w:val="right"/>
              <w:spacing w:after="0" w:line="125" w:lineRule="exact"/>
              <w:rPr>
                <w:sz w:val="20"/>
                <w:szCs w:val="20"/>
                <w:color w:val="auto"/>
              </w:rPr>
            </w:pPr>
            <w:r>
              <w:rPr>
                <w:rFonts w:ascii="Arial" w:cs="Arial" w:eastAsia="Arial" w:hAnsi="Arial"/>
                <w:sz w:val="11"/>
                <w:szCs w:val="11"/>
                <w:color w:val="auto"/>
              </w:rPr>
              <w:t>460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460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460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600" w:type="dxa"/>
            <w:vAlign w:val="bottom"/>
            <w:shd w:val="clear" w:color="auto" w:fill="CFF0FC"/>
          </w:tcPr>
          <w:p>
            <w:pPr>
              <w:spacing w:after="0"/>
              <w:rPr>
                <w:sz w:val="20"/>
                <w:szCs w:val="20"/>
                <w:color w:val="auto"/>
              </w:rPr>
            </w:pPr>
            <w:r>
              <w:rPr>
                <w:rFonts w:ascii="Arial" w:cs="Arial" w:eastAsia="Arial" w:hAnsi="Arial"/>
                <w:sz w:val="11"/>
                <w:szCs w:val="11"/>
                <w:color w:val="auto"/>
              </w:rPr>
              <w:t>Contributions of treasury</w:t>
            </w: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600" w:type="dxa"/>
            <w:vAlign w:val="bottom"/>
            <w:shd w:val="clear" w:color="auto" w:fill="CFF0FC"/>
          </w:tcPr>
          <w:p>
            <w:pPr>
              <w:ind w:left="100"/>
              <w:spacing w:after="0" w:line="125" w:lineRule="exact"/>
              <w:rPr>
                <w:sz w:val="20"/>
                <w:szCs w:val="20"/>
                <w:color w:val="auto"/>
              </w:rPr>
            </w:pPr>
            <w:r>
              <w:rPr>
                <w:rFonts w:ascii="Arial" w:cs="Arial" w:eastAsia="Arial" w:hAnsi="Arial"/>
                <w:sz w:val="11"/>
                <w:szCs w:val="11"/>
                <w:color w:val="auto"/>
              </w:rPr>
              <w:t>stock to ESOP</w:t>
            </w:r>
          </w:p>
        </w:tc>
        <w:tc>
          <w:tcPr>
            <w:tcW w:w="8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600" w:type="dxa"/>
            <w:vAlign w:val="bottom"/>
            <w:gridSpan w:val="2"/>
            <w:shd w:val="clear" w:color="auto" w:fill="CFF0FC"/>
          </w:tcPr>
          <w:p>
            <w:pPr>
              <w:jc w:val="right"/>
              <w:ind w:right="100"/>
              <w:spacing w:after="0" w:line="125" w:lineRule="exact"/>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31,937</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22,064</w:t>
            </w:r>
          </w:p>
        </w:tc>
        <w:tc>
          <w:tcPr>
            <w:tcW w:w="1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00"/>
              <w:spacing w:after="0" w:line="125"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54,001</w:t>
            </w:r>
          </w:p>
        </w:tc>
        <w:tc>
          <w:tcPr>
            <w:tcW w:w="2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54,001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600" w:type="dxa"/>
            <w:vAlign w:val="bottom"/>
          </w:tcPr>
          <w:p>
            <w:pPr>
              <w:spacing w:after="0"/>
              <w:rPr>
                <w:sz w:val="20"/>
                <w:szCs w:val="20"/>
                <w:color w:val="auto"/>
              </w:rPr>
            </w:pPr>
            <w:r>
              <w:rPr>
                <w:rFonts w:ascii="Arial" w:cs="Arial" w:eastAsia="Arial" w:hAnsi="Arial"/>
                <w:sz w:val="11"/>
                <w:szCs w:val="11"/>
                <w:color w:val="auto"/>
              </w:rPr>
              <w:t>Adoption of ASU 2020-06</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(40,002)</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2,782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(37,220)</w:t>
            </w:r>
          </w:p>
        </w:tc>
        <w:tc>
          <w:tcPr>
            <w:tcW w:w="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(37,220)</w:t>
            </w:r>
          </w:p>
        </w:tc>
        <w:tc>
          <w:tcPr>
            <w:tcW w:w="0" w:type="dxa"/>
            <w:vAlign w:val="bottom"/>
          </w:tcPr>
          <w:p>
            <w:pPr>
              <w:spacing w:after="0"/>
              <w:rPr>
                <w:sz w:val="1"/>
                <w:szCs w:val="1"/>
                <w:color w:val="auto"/>
              </w:rPr>
            </w:pPr>
          </w:p>
        </w:tc>
      </w:tr>
      <w:tr>
        <w:trPr>
          <w:trHeight w:val="139"/>
        </w:trPr>
        <w:tc>
          <w:tcPr>
            <w:tcW w:w="2600" w:type="dxa"/>
            <w:vAlign w:val="bottom"/>
            <w:shd w:val="clear" w:color="auto" w:fill="CFF0FC"/>
          </w:tcPr>
          <w:p>
            <w:pPr>
              <w:spacing w:after="0"/>
              <w:rPr>
                <w:sz w:val="20"/>
                <w:szCs w:val="20"/>
                <w:color w:val="auto"/>
              </w:rPr>
            </w:pPr>
            <w:r>
              <w:rPr>
                <w:rFonts w:ascii="Arial" w:cs="Arial" w:eastAsia="Arial" w:hAnsi="Arial"/>
                <w:sz w:val="11"/>
                <w:szCs w:val="11"/>
                <w:color w:val="auto"/>
              </w:rPr>
              <w:t>Contributions</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1,754</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600" w:type="dxa"/>
            <w:vAlign w:val="bottom"/>
          </w:tcPr>
          <w:p>
            <w:pPr>
              <w:spacing w:after="0"/>
              <w:rPr>
                <w:sz w:val="20"/>
                <w:szCs w:val="20"/>
                <w:color w:val="auto"/>
              </w:rPr>
            </w:pPr>
            <w:r>
              <w:rPr>
                <w:rFonts w:ascii="Arial" w:cs="Arial" w:eastAsia="Arial" w:hAnsi="Arial"/>
                <w:sz w:val="11"/>
                <w:szCs w:val="11"/>
                <w:color w:val="auto"/>
              </w:rPr>
              <w:t>Distributions</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1"/>
                <w:szCs w:val="11"/>
                <w:color w:val="auto"/>
              </w:rPr>
              <w:t>(37,932)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(37,932)</w:t>
            </w:r>
          </w:p>
        </w:tc>
        <w:tc>
          <w:tcPr>
            <w:tcW w:w="0" w:type="dxa"/>
            <w:vAlign w:val="bottom"/>
          </w:tcPr>
          <w:p>
            <w:pPr>
              <w:spacing w:after="0"/>
              <w:rPr>
                <w:sz w:val="1"/>
                <w:szCs w:val="1"/>
                <w:color w:val="auto"/>
              </w:rPr>
            </w:pPr>
          </w:p>
        </w:tc>
      </w:tr>
      <w:tr>
        <w:trPr>
          <w:trHeight w:val="142"/>
        </w:trPr>
        <w:tc>
          <w:tcPr>
            <w:tcW w:w="2600" w:type="dxa"/>
            <w:vAlign w:val="bottom"/>
            <w:shd w:val="clear" w:color="auto" w:fill="CFF0FC"/>
          </w:tcPr>
          <w:p>
            <w:pPr>
              <w:spacing w:after="0"/>
              <w:rPr>
                <w:sz w:val="20"/>
                <w:szCs w:val="20"/>
                <w:color w:val="auto"/>
              </w:rPr>
            </w:pPr>
            <w:r>
              <w:rPr>
                <w:rFonts w:ascii="Arial" w:cs="Arial" w:eastAsia="Arial" w:hAnsi="Arial"/>
                <w:sz w:val="11"/>
                <w:szCs w:val="11"/>
                <w:color w:val="auto"/>
              </w:rPr>
              <w:t>Issuance of equity securities,</w:t>
            </w: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600" w:type="dxa"/>
            <w:vAlign w:val="bottom"/>
            <w:shd w:val="clear" w:color="auto" w:fill="CFF0FC"/>
          </w:tcPr>
          <w:p>
            <w:pPr>
              <w:ind w:left="100"/>
              <w:spacing w:after="0" w:line="125" w:lineRule="exact"/>
              <w:rPr>
                <w:sz w:val="20"/>
                <w:szCs w:val="20"/>
                <w:color w:val="auto"/>
              </w:rPr>
            </w:pPr>
            <w:r>
              <w:rPr>
                <w:rFonts w:ascii="Arial" w:cs="Arial" w:eastAsia="Arial" w:hAnsi="Arial"/>
                <w:sz w:val="11"/>
                <w:szCs w:val="11"/>
                <w:color w:val="auto"/>
              </w:rPr>
              <w:t>net of retirement</w:t>
            </w:r>
          </w:p>
        </w:tc>
        <w:tc>
          <w:tcPr>
            <w:tcW w:w="8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5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287</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2,887</w:t>
            </w:r>
          </w:p>
        </w:tc>
        <w:tc>
          <w:tcPr>
            <w:tcW w:w="1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186</w:t>
            </w: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3,360</w:t>
            </w:r>
          </w:p>
        </w:tc>
        <w:tc>
          <w:tcPr>
            <w:tcW w:w="2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5" w:lineRule="exact"/>
              <w:rPr>
                <w:sz w:val="20"/>
                <w:szCs w:val="20"/>
                <w:color w:val="auto"/>
              </w:rPr>
            </w:pPr>
            <w:r>
              <w:rPr>
                <w:rFonts w:ascii="Arial" w:cs="Arial" w:eastAsia="Arial" w:hAnsi="Arial"/>
                <w:sz w:val="11"/>
                <w:szCs w:val="11"/>
                <w:color w:val="auto"/>
              </w:rPr>
              <w:t>3,360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600" w:type="dxa"/>
            <w:vAlign w:val="bottom"/>
          </w:tcPr>
          <w:p>
            <w:pPr>
              <w:spacing w:after="0"/>
              <w:rPr>
                <w:sz w:val="20"/>
                <w:szCs w:val="20"/>
                <w:color w:val="auto"/>
              </w:rPr>
            </w:pPr>
            <w:r>
              <w:rPr>
                <w:rFonts w:ascii="Arial" w:cs="Arial" w:eastAsia="Arial" w:hAnsi="Arial"/>
                <w:sz w:val="11"/>
                <w:szCs w:val="11"/>
                <w:color w:val="auto"/>
              </w:rPr>
              <w:t>Repurchases of common stock</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(619)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(21,082)</w:t>
            </w:r>
          </w:p>
        </w:tc>
        <w:tc>
          <w:tcPr>
            <w:tcW w:w="14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(21,701)</w:t>
            </w:r>
          </w:p>
        </w:tc>
        <w:tc>
          <w:tcPr>
            <w:tcW w:w="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(21,701)</w:t>
            </w:r>
          </w:p>
        </w:tc>
        <w:tc>
          <w:tcPr>
            <w:tcW w:w="0" w:type="dxa"/>
            <w:vAlign w:val="bottom"/>
          </w:tcPr>
          <w:p>
            <w:pPr>
              <w:spacing w:after="0"/>
              <w:rPr>
                <w:sz w:val="1"/>
                <w:szCs w:val="1"/>
                <w:color w:val="auto"/>
              </w:rPr>
            </w:pPr>
          </w:p>
        </w:tc>
      </w:tr>
      <w:tr>
        <w:trPr>
          <w:trHeight w:val="139"/>
        </w:trPr>
        <w:tc>
          <w:tcPr>
            <w:tcW w:w="2600" w:type="dxa"/>
            <w:vAlign w:val="bottom"/>
            <w:shd w:val="clear" w:color="auto" w:fill="CFF0FC"/>
          </w:tcPr>
          <w:p>
            <w:pPr>
              <w:spacing w:after="0"/>
              <w:rPr>
                <w:sz w:val="20"/>
                <w:szCs w:val="20"/>
                <w:color w:val="auto"/>
              </w:rPr>
            </w:pPr>
            <w:r>
              <w:rPr>
                <w:rFonts w:ascii="Arial" w:cs="Arial" w:eastAsia="Arial" w:hAnsi="Arial"/>
                <w:sz w:val="11"/>
                <w:szCs w:val="11"/>
                <w:color w:val="auto"/>
              </w:rPr>
              <w:t>Stock-based compensation</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20,187</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20,187</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20,187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00" w:type="dxa"/>
            <w:vAlign w:val="bottom"/>
          </w:tcPr>
          <w:p>
            <w:pPr>
              <w:spacing w:after="0"/>
              <w:rPr>
                <w:sz w:val="20"/>
                <w:szCs w:val="20"/>
                <w:color w:val="auto"/>
              </w:rPr>
            </w:pPr>
            <w:r>
              <w:rPr>
                <w:rFonts w:ascii="Arial" w:cs="Arial" w:eastAsia="Arial" w:hAnsi="Arial"/>
                <w:sz w:val="11"/>
                <w:szCs w:val="11"/>
                <w:b w:val="1"/>
                <w:bCs w:val="1"/>
                <w:color w:val="auto"/>
              </w:rPr>
              <w:t>Balances at December 31, 2021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jc w:val="right"/>
              <w:spacing w:after="0"/>
              <w:rPr>
                <w:sz w:val="20"/>
                <w:szCs w:val="20"/>
                <w:color w:val="auto"/>
              </w:rPr>
            </w:pPr>
            <w:r>
              <w:rPr>
                <w:rFonts w:ascii="Arial" w:cs="Arial" w:eastAsia="Arial" w:hAnsi="Arial"/>
                <w:sz w:val="11"/>
                <w:szCs w:val="11"/>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1"/>
                <w:szCs w:val="11"/>
                <w:u w:val="single" w:color="auto"/>
                <w:color w:val="auto"/>
              </w:rPr>
              <w:t>146,277</w:t>
            </w:r>
          </w:p>
        </w:tc>
        <w:tc>
          <w:tcPr>
            <w:tcW w:w="100" w:type="dxa"/>
            <w:vAlign w:val="bottom"/>
          </w:tcPr>
          <w:p>
            <w:pPr>
              <w:spacing w:after="0"/>
              <w:rPr>
                <w:sz w:val="12"/>
                <w:szCs w:val="12"/>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1"/>
                <w:szCs w:val="11"/>
                <w:u w:val="single" w:color="auto"/>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1"/>
                <w:szCs w:val="11"/>
                <w:u w:val="single" w:color="auto"/>
                <w:color w:val="auto"/>
              </w:rPr>
              <w:t>(867,391</w:t>
            </w:r>
            <w:r>
              <w:rPr>
                <w:rFonts w:ascii="Arial" w:cs="Arial" w:eastAsia="Arial" w:hAnsi="Arial"/>
                <w:sz w:val="11"/>
                <w:szCs w:val="11"/>
                <w:color w:val="auto"/>
              </w:rPr>
              <w:t xml:space="preserve"> )</w:t>
            </w:r>
          </w:p>
        </w:tc>
        <w:tc>
          <w:tcPr>
            <w:tcW w:w="160" w:type="dxa"/>
            <w:vAlign w:val="bottom"/>
            <w:gridSpan w:val="2"/>
          </w:tcPr>
          <w:p>
            <w:pPr>
              <w:jc w:val="right"/>
              <w:ind w:right="20"/>
              <w:spacing w:after="0"/>
              <w:rPr>
                <w:sz w:val="20"/>
                <w:szCs w:val="20"/>
                <w:color w:val="auto"/>
              </w:rPr>
            </w:pPr>
            <w:r>
              <w:rPr>
                <w:rFonts w:ascii="Arial" w:cs="Arial" w:eastAsia="Arial" w:hAnsi="Arial"/>
                <w:sz w:val="11"/>
                <w:szCs w:val="11"/>
                <w:u w:val="single" w:color="auto"/>
                <w:color w:val="auto"/>
              </w:rPr>
              <w:t>$</w:t>
            </w:r>
          </w:p>
        </w:tc>
        <w:tc>
          <w:tcPr>
            <w:tcW w:w="660" w:type="dxa"/>
            <w:vAlign w:val="bottom"/>
          </w:tcPr>
          <w:p>
            <w:pPr>
              <w:jc w:val="right"/>
              <w:spacing w:after="0"/>
              <w:rPr>
                <w:sz w:val="20"/>
                <w:szCs w:val="20"/>
                <w:color w:val="auto"/>
              </w:rPr>
            </w:pPr>
            <w:r>
              <w:rPr>
                <w:rFonts w:ascii="Arial" w:cs="Arial" w:eastAsia="Arial" w:hAnsi="Arial"/>
                <w:sz w:val="11"/>
                <w:szCs w:val="11"/>
                <w:u w:val="single" w:color="auto"/>
                <w:color w:val="auto"/>
              </w:rPr>
              <w:t>2,684,979</w:t>
            </w:r>
          </w:p>
        </w:tc>
        <w:tc>
          <w:tcPr>
            <w:tcW w:w="180" w:type="dxa"/>
            <w:vAlign w:val="bottom"/>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(53,529)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1"/>
                <w:szCs w:val="11"/>
                <w:color w:val="auto"/>
              </w:rPr>
              <w:t>(9,568)</w:t>
            </w:r>
          </w:p>
        </w:tc>
        <w:tc>
          <w:tcPr>
            <w:tcW w:w="220" w:type="dxa"/>
            <w:vAlign w:val="bottom"/>
            <w:gridSpan w:val="2"/>
          </w:tcPr>
          <w:p>
            <w:pPr>
              <w:jc w:val="right"/>
              <w:ind w:right="29"/>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1,900,768</w:t>
            </w:r>
          </w:p>
        </w:tc>
        <w:tc>
          <w:tcPr>
            <w:tcW w:w="2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36,344</w:t>
            </w:r>
          </w:p>
        </w:tc>
        <w:tc>
          <w:tcPr>
            <w:tcW w:w="10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1,937,112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03" w:name="page104"/>
    <w:bookmarkEnd w:id="103"/>
    <w:p>
      <w:pPr>
        <w:jc w:val="center"/>
        <w:spacing w:after="0" w:line="250" w:lineRule="auto"/>
        <w:rPr>
          <w:sz w:val="20"/>
          <w:szCs w:val="20"/>
          <w:color w:val="auto"/>
        </w:rPr>
      </w:pPr>
      <w:r>
        <w:rPr>
          <w:rFonts w:ascii="Arial" w:cs="Arial" w:eastAsia="Arial" w:hAnsi="Arial"/>
          <w:sz w:val="17"/>
          <w:szCs w:val="17"/>
          <w:b w:val="1"/>
          <w:bCs w:val="1"/>
          <w:color w:val="auto"/>
        </w:rPr>
        <w:t>PARSONS CORPORATION AND SUBSIDIARIES Consolidated Statements of Cash Flows Years Ended December 31, 2021, December 31, 2020 and December 31, 2019</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80" w:type="dxa"/>
            <w:vAlign w:val="bottom"/>
            <w:tcBorders>
              <w:top w:val="single" w:sz="8" w:color="auto"/>
            </w:tcBorders>
            <w:gridSpan w:val="2"/>
          </w:tcPr>
          <w:p>
            <w:pPr>
              <w:spacing w:after="0"/>
              <w:rPr>
                <w:sz w:val="20"/>
                <w:szCs w:val="20"/>
                <w:color w:val="auto"/>
              </w:rPr>
            </w:pPr>
            <w:r>
              <w:rPr>
                <w:rFonts w:ascii="Arial" w:cs="Arial" w:eastAsia="Arial" w:hAnsi="Arial"/>
                <w:sz w:val="13"/>
                <w:szCs w:val="13"/>
                <w:i w:val="1"/>
                <w:iCs w:val="1"/>
                <w:color w:val="auto"/>
              </w:rPr>
              <w:t>(in thousands)</w:t>
            </w: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60" w:type="dxa"/>
            <w:vAlign w:val="bottom"/>
            <w:tcBorders>
              <w:top w:val="single" w:sz="8" w:color="CFF0FC"/>
            </w:tcBorders>
            <w:shd w:val="clear" w:color="auto" w:fill="CFF0FC"/>
          </w:tcPr>
          <w:p>
            <w:pPr>
              <w:spacing w:after="0" w:line="145" w:lineRule="exact"/>
              <w:rPr>
                <w:sz w:val="20"/>
                <w:szCs w:val="20"/>
                <w:color w:val="auto"/>
              </w:rPr>
            </w:pPr>
            <w:r>
              <w:rPr>
                <w:rFonts w:ascii="Arial" w:cs="Arial" w:eastAsia="Arial" w:hAnsi="Arial"/>
                <w:sz w:val="13"/>
                <w:szCs w:val="13"/>
                <w:b w:val="1"/>
                <w:bCs w:val="1"/>
                <w:color w:val="auto"/>
              </w:rPr>
              <w:t>Cash flows from operating activities</w:t>
            </w:r>
          </w:p>
        </w:tc>
        <w:tc>
          <w:tcPr>
            <w:tcW w:w="30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6680" w:type="dxa"/>
            <w:vAlign w:val="bottom"/>
            <w:gridSpan w:val="2"/>
          </w:tcPr>
          <w:p>
            <w:pPr>
              <w:spacing w:after="0"/>
              <w:rPr>
                <w:sz w:val="20"/>
                <w:szCs w:val="20"/>
                <w:color w:val="auto"/>
              </w:rPr>
            </w:pPr>
            <w:r>
              <w:rPr>
                <w:rFonts w:ascii="Arial" w:cs="Arial" w:eastAsia="Arial" w:hAnsi="Arial"/>
                <w:sz w:val="13"/>
                <w:szCs w:val="13"/>
                <w:color w:val="auto"/>
              </w:rPr>
              <w:t>Net income including noncontrolling interests</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88,952</w:t>
            </w:r>
          </w:p>
        </w:tc>
        <w:tc>
          <w:tcPr>
            <w:tcW w:w="140" w:type="dxa"/>
            <w:vAlign w:val="bottom"/>
          </w:tcPr>
          <w:p>
            <w:pPr>
              <w:spacing w:after="0"/>
              <w:rPr>
                <w:sz w:val="13"/>
                <w:szCs w:val="13"/>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118,921</w:t>
            </w:r>
          </w:p>
        </w:tc>
        <w:tc>
          <w:tcPr>
            <w:tcW w:w="140" w:type="dxa"/>
            <w:vAlign w:val="bottom"/>
          </w:tcPr>
          <w:p>
            <w:pPr>
              <w:spacing w:after="0"/>
              <w:rPr>
                <w:sz w:val="13"/>
                <w:szCs w:val="13"/>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137,128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tcPr>
          <w:p>
            <w:pPr>
              <w:ind w:left="220"/>
              <w:spacing w:after="0"/>
              <w:rPr>
                <w:sz w:val="20"/>
                <w:szCs w:val="20"/>
                <w:color w:val="auto"/>
              </w:rPr>
            </w:pPr>
            <w:r>
              <w:rPr>
                <w:rFonts w:ascii="Arial" w:cs="Arial" w:eastAsia="Arial" w:hAnsi="Arial"/>
                <w:sz w:val="13"/>
                <w:szCs w:val="13"/>
                <w:color w:val="auto"/>
              </w:rPr>
              <w:t>Depreciation and amortization</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144,209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127,980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125,700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shd w:val="clear" w:color="auto" w:fill="CFF0FC"/>
          </w:tcPr>
          <w:p>
            <w:pPr>
              <w:ind w:left="220"/>
              <w:spacing w:after="0"/>
              <w:rPr>
                <w:sz w:val="20"/>
                <w:szCs w:val="20"/>
                <w:color w:val="auto"/>
              </w:rPr>
            </w:pPr>
            <w:r>
              <w:rPr>
                <w:rFonts w:ascii="Arial" w:cs="Arial" w:eastAsia="Arial" w:hAnsi="Arial"/>
                <w:sz w:val="13"/>
                <w:szCs w:val="13"/>
                <w:color w:val="auto"/>
              </w:rPr>
              <w:t>Amortization of debt issue costs</w:t>
            </w: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2,817</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1,356</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tcPr>
          <w:p>
            <w:pPr>
              <w:ind w:left="220"/>
              <w:spacing w:after="0"/>
              <w:rPr>
                <w:sz w:val="20"/>
                <w:szCs w:val="20"/>
                <w:color w:val="auto"/>
              </w:rPr>
            </w:pPr>
            <w:r>
              <w:rPr>
                <w:rFonts w:ascii="Arial" w:cs="Arial" w:eastAsia="Arial" w:hAnsi="Arial"/>
                <w:sz w:val="13"/>
                <w:szCs w:val="13"/>
                <w:color w:val="auto"/>
              </w:rPr>
              <w:t>Amortization of convertible notes discount</w:t>
            </w:r>
          </w:p>
        </w:tc>
        <w:tc>
          <w:tcPr>
            <w:tcW w:w="30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3,831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shd w:val="clear" w:color="auto" w:fill="CFF0FC"/>
          </w:tcPr>
          <w:p>
            <w:pPr>
              <w:ind w:left="220"/>
              <w:spacing w:after="0"/>
              <w:rPr>
                <w:sz w:val="20"/>
                <w:szCs w:val="20"/>
                <w:color w:val="auto"/>
              </w:rPr>
            </w:pPr>
            <w:r>
              <w:rPr>
                <w:rFonts w:ascii="Arial" w:cs="Arial" w:eastAsia="Arial" w:hAnsi="Arial"/>
                <w:sz w:val="13"/>
                <w:szCs w:val="13"/>
                <w:color w:val="auto"/>
              </w:rPr>
              <w:t>Loss on disposal of property and equipment</w:t>
            </w: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338</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tcPr>
          <w:p>
            <w:pPr>
              <w:ind w:left="220"/>
              <w:spacing w:after="0"/>
              <w:rPr>
                <w:sz w:val="20"/>
                <w:szCs w:val="20"/>
                <w:color w:val="auto"/>
              </w:rPr>
            </w:pPr>
            <w:r>
              <w:rPr>
                <w:rFonts w:ascii="Arial" w:cs="Arial" w:eastAsia="Arial" w:hAnsi="Arial"/>
                <w:sz w:val="13"/>
                <w:szCs w:val="13"/>
                <w:color w:val="auto"/>
              </w:rPr>
              <w:t>Provision for doubtful accounts</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(1,503)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shd w:val="clear" w:color="auto" w:fill="CFF0FC"/>
          </w:tcPr>
          <w:p>
            <w:pPr>
              <w:ind w:left="220"/>
              <w:spacing w:after="0"/>
              <w:rPr>
                <w:sz w:val="20"/>
                <w:szCs w:val="20"/>
                <w:color w:val="auto"/>
              </w:rPr>
            </w:pPr>
            <w:r>
              <w:rPr>
                <w:rFonts w:ascii="Arial" w:cs="Arial" w:eastAsia="Arial" w:hAnsi="Arial"/>
                <w:sz w:val="13"/>
                <w:szCs w:val="13"/>
                <w:color w:val="auto"/>
              </w:rPr>
              <w:t>Deferred taxes</w:t>
            </w:r>
          </w:p>
        </w:tc>
        <w:tc>
          <w:tcPr>
            <w:tcW w:w="3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(3,468)</w:t>
            </w: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1,271</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(123,338)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tcPr>
          <w:p>
            <w:pPr>
              <w:ind w:left="220"/>
              <w:spacing w:after="0"/>
              <w:rPr>
                <w:sz w:val="20"/>
                <w:szCs w:val="20"/>
                <w:color w:val="auto"/>
              </w:rPr>
            </w:pPr>
            <w:r>
              <w:rPr>
                <w:rFonts w:ascii="Arial" w:cs="Arial" w:eastAsia="Arial" w:hAnsi="Arial"/>
                <w:sz w:val="13"/>
                <w:szCs w:val="13"/>
                <w:color w:val="auto"/>
              </w:rPr>
              <w:t>Foreign currency transaction gains and losses</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4,916</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(493)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4,472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shd w:val="clear" w:color="auto" w:fill="CFF0FC"/>
          </w:tcPr>
          <w:p>
            <w:pPr>
              <w:ind w:left="220"/>
              <w:spacing w:after="0"/>
              <w:rPr>
                <w:sz w:val="20"/>
                <w:szCs w:val="20"/>
                <w:color w:val="auto"/>
              </w:rPr>
            </w:pPr>
            <w:r>
              <w:rPr>
                <w:rFonts w:ascii="Arial" w:cs="Arial" w:eastAsia="Arial" w:hAnsi="Arial"/>
                <w:sz w:val="13"/>
                <w:szCs w:val="13"/>
                <w:color w:val="auto"/>
              </w:rPr>
              <w:t>Equity in earnings of unconsolidated joint ventures</w:t>
            </w:r>
          </w:p>
        </w:tc>
        <w:tc>
          <w:tcPr>
            <w:tcW w:w="3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(36,862)</w:t>
            </w: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(30,059)</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(41,721)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tcPr>
          <w:p>
            <w:pPr>
              <w:ind w:left="220"/>
              <w:spacing w:after="0"/>
              <w:rPr>
                <w:sz w:val="20"/>
                <w:szCs w:val="20"/>
                <w:color w:val="auto"/>
              </w:rPr>
            </w:pPr>
            <w:r>
              <w:rPr>
                <w:rFonts w:ascii="Arial" w:cs="Arial" w:eastAsia="Arial" w:hAnsi="Arial"/>
                <w:sz w:val="13"/>
                <w:szCs w:val="13"/>
                <w:color w:val="auto"/>
              </w:rPr>
              <w:t>Return on investments in unconsolidated joint ventures</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24,494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41,457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51,077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shd w:val="clear" w:color="auto" w:fill="CFF0FC"/>
          </w:tcPr>
          <w:p>
            <w:pPr>
              <w:ind w:left="220"/>
              <w:spacing w:after="0"/>
              <w:rPr>
                <w:sz w:val="20"/>
                <w:szCs w:val="20"/>
                <w:color w:val="auto"/>
              </w:rPr>
            </w:pPr>
            <w:r>
              <w:rPr>
                <w:rFonts w:ascii="Arial" w:cs="Arial" w:eastAsia="Arial" w:hAnsi="Arial"/>
                <w:sz w:val="13"/>
                <w:szCs w:val="13"/>
                <w:color w:val="auto"/>
              </w:rPr>
              <w:t>Stock-based compensation</w:t>
            </w: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20,187</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15,234</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8,272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tcPr>
          <w:p>
            <w:pPr>
              <w:ind w:left="220"/>
              <w:spacing w:after="0"/>
              <w:rPr>
                <w:sz w:val="20"/>
                <w:szCs w:val="20"/>
                <w:color w:val="auto"/>
              </w:rPr>
            </w:pPr>
            <w:r>
              <w:rPr>
                <w:rFonts w:ascii="Arial" w:cs="Arial" w:eastAsia="Arial" w:hAnsi="Arial"/>
                <w:sz w:val="13"/>
                <w:szCs w:val="13"/>
                <w:color w:val="auto"/>
              </w:rPr>
              <w:t>Contributions of treasury stock</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54,905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55,327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53,644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60" w:type="dxa"/>
            <w:vAlign w:val="bottom"/>
            <w:shd w:val="clear" w:color="auto" w:fill="CFF0FC"/>
          </w:tcPr>
          <w:p>
            <w:pPr>
              <w:spacing w:after="0"/>
              <w:rPr>
                <w:sz w:val="20"/>
                <w:szCs w:val="20"/>
                <w:color w:val="auto"/>
              </w:rPr>
            </w:pPr>
            <w:r>
              <w:rPr>
                <w:rFonts w:ascii="Arial" w:cs="Arial" w:eastAsia="Arial" w:hAnsi="Arial"/>
                <w:sz w:val="13"/>
                <w:szCs w:val="13"/>
                <w:color w:val="auto"/>
              </w:rPr>
              <w:t>Changes in assets and liabilities, net of acquisitions and newly consolidated joint</w:t>
            </w: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60" w:type="dxa"/>
            <w:vAlign w:val="bottom"/>
            <w:shd w:val="clear" w:color="auto" w:fill="CFF0FC"/>
          </w:tcPr>
          <w:p>
            <w:pPr>
              <w:ind w:left="80"/>
              <w:spacing w:after="0" w:line="140" w:lineRule="exact"/>
              <w:rPr>
                <w:sz w:val="20"/>
                <w:szCs w:val="20"/>
                <w:color w:val="auto"/>
              </w:rPr>
            </w:pPr>
            <w:r>
              <w:rPr>
                <w:rFonts w:ascii="Arial" w:cs="Arial" w:eastAsia="Arial" w:hAnsi="Arial"/>
                <w:sz w:val="13"/>
                <w:szCs w:val="13"/>
                <w:color w:val="auto"/>
              </w:rPr>
              <w:t>ventures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tcPr>
          <w:p>
            <w:pPr>
              <w:ind w:left="220"/>
              <w:spacing w:after="0"/>
              <w:rPr>
                <w:sz w:val="20"/>
                <w:szCs w:val="20"/>
                <w:color w:val="auto"/>
              </w:rPr>
            </w:pPr>
            <w:r>
              <w:rPr>
                <w:rFonts w:ascii="Arial" w:cs="Arial" w:eastAsia="Arial" w:hAnsi="Arial"/>
                <w:sz w:val="13"/>
                <w:szCs w:val="13"/>
                <w:color w:val="auto"/>
              </w:rPr>
              <w:t>Accounts receivable</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99,894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(8,623)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(30,206)</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shd w:val="clear" w:color="auto" w:fill="CFF0FC"/>
          </w:tcPr>
          <w:p>
            <w:pPr>
              <w:ind w:left="220"/>
              <w:spacing w:after="0"/>
              <w:rPr>
                <w:sz w:val="20"/>
                <w:szCs w:val="20"/>
                <w:color w:val="auto"/>
              </w:rPr>
            </w:pPr>
            <w:r>
              <w:rPr>
                <w:rFonts w:ascii="Arial" w:cs="Arial" w:eastAsia="Arial" w:hAnsi="Arial"/>
                <w:sz w:val="13"/>
                <w:szCs w:val="13"/>
                <w:color w:val="auto"/>
              </w:rPr>
              <w:t>Contract assets</w:t>
            </w: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1,494</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9,243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(49,999)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tcPr>
          <w:p>
            <w:pPr>
              <w:ind w:left="220"/>
              <w:spacing w:after="0"/>
              <w:rPr>
                <w:sz w:val="20"/>
                <w:szCs w:val="20"/>
                <w:color w:val="auto"/>
              </w:rPr>
            </w:pPr>
            <w:r>
              <w:rPr>
                <w:rFonts w:ascii="Arial" w:cs="Arial" w:eastAsia="Arial" w:hAnsi="Arial"/>
                <w:sz w:val="13"/>
                <w:szCs w:val="13"/>
                <w:color w:val="auto"/>
              </w:rPr>
              <w:t>Prepaid expenses and other assets</w:t>
            </w:r>
          </w:p>
        </w:tc>
        <w:tc>
          <w:tcPr>
            <w:tcW w:w="30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(18,798)</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11,494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(22,110)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shd w:val="clear" w:color="auto" w:fill="CFF0FC"/>
          </w:tcPr>
          <w:p>
            <w:pPr>
              <w:ind w:left="220"/>
              <w:spacing w:after="0"/>
              <w:rPr>
                <w:sz w:val="20"/>
                <w:szCs w:val="20"/>
                <w:color w:val="auto"/>
              </w:rPr>
            </w:pPr>
            <w:r>
              <w:rPr>
                <w:rFonts w:ascii="Arial" w:cs="Arial" w:eastAsia="Arial" w:hAnsi="Arial"/>
                <w:sz w:val="13"/>
                <w:szCs w:val="13"/>
                <w:color w:val="auto"/>
              </w:rPr>
              <w:t>Accounts payable</w:t>
            </w:r>
          </w:p>
        </w:tc>
        <w:tc>
          <w:tcPr>
            <w:tcW w:w="3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(31,766)</w:t>
            </w: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1,494</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(17,123)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tcPr>
          <w:p>
            <w:pPr>
              <w:ind w:left="220"/>
              <w:spacing w:after="0"/>
              <w:rPr>
                <w:sz w:val="20"/>
                <w:szCs w:val="20"/>
                <w:color w:val="auto"/>
              </w:rPr>
            </w:pPr>
            <w:r>
              <w:rPr>
                <w:rFonts w:ascii="Arial" w:cs="Arial" w:eastAsia="Arial" w:hAnsi="Arial"/>
                <w:sz w:val="13"/>
                <w:szCs w:val="13"/>
                <w:color w:val="auto"/>
              </w:rPr>
              <w:t>Accrued expenses and other current liabilities</w:t>
            </w:r>
          </w:p>
        </w:tc>
        <w:tc>
          <w:tcPr>
            <w:tcW w:w="30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(74,683)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3,405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78,366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shd w:val="clear" w:color="auto" w:fill="CFF0FC"/>
          </w:tcPr>
          <w:p>
            <w:pPr>
              <w:ind w:left="220"/>
              <w:spacing w:after="0"/>
              <w:rPr>
                <w:sz w:val="20"/>
                <w:szCs w:val="20"/>
                <w:color w:val="auto"/>
              </w:rPr>
            </w:pPr>
            <w:r>
              <w:rPr>
                <w:rFonts w:ascii="Arial" w:cs="Arial" w:eastAsia="Arial" w:hAnsi="Arial"/>
                <w:sz w:val="13"/>
                <w:szCs w:val="13"/>
                <w:color w:val="auto"/>
              </w:rPr>
              <w:t>Contract liabilities</w:t>
            </w:r>
          </w:p>
        </w:tc>
        <w:tc>
          <w:tcPr>
            <w:tcW w:w="3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(30,407)</w:t>
            </w: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(29,674)</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20,146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tcPr>
          <w:p>
            <w:pPr>
              <w:ind w:left="220"/>
              <w:spacing w:after="0"/>
              <w:rPr>
                <w:sz w:val="20"/>
                <w:szCs w:val="20"/>
                <w:color w:val="auto"/>
              </w:rPr>
            </w:pPr>
            <w:r>
              <w:rPr>
                <w:rFonts w:ascii="Arial" w:cs="Arial" w:eastAsia="Arial" w:hAnsi="Arial"/>
                <w:sz w:val="13"/>
                <w:szCs w:val="13"/>
                <w:color w:val="auto"/>
              </w:rPr>
              <w:t>Income taxes</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2,878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(3,080)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(5,421)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shd w:val="clear" w:color="auto" w:fill="CFF0FC"/>
          </w:tcPr>
          <w:p>
            <w:pPr>
              <w:ind w:left="220"/>
              <w:spacing w:after="0"/>
              <w:rPr>
                <w:sz w:val="20"/>
                <w:szCs w:val="20"/>
                <w:color w:val="auto"/>
              </w:rPr>
            </w:pPr>
            <w:r>
              <w:rPr>
                <w:rFonts w:ascii="Arial" w:cs="Arial" w:eastAsia="Arial" w:hAnsi="Arial"/>
                <w:sz w:val="13"/>
                <w:szCs w:val="13"/>
                <w:color w:val="auto"/>
              </w:rPr>
              <w:t>Other long-term liabilities</w:t>
            </w:r>
          </w:p>
        </w:tc>
        <w:tc>
          <w:tcPr>
            <w:tcW w:w="3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(43,534)</w:t>
            </w: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(28,536)</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29,048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60" w:type="dxa"/>
            <w:vAlign w:val="bottom"/>
            <w:tcBorders>
              <w:bottom w:val="single" w:sz="8" w:color="CFF0FC"/>
            </w:tcBorders>
          </w:tcPr>
          <w:p>
            <w:pPr>
              <w:ind w:left="440"/>
              <w:spacing w:after="0" w:line="145" w:lineRule="exact"/>
              <w:rPr>
                <w:sz w:val="20"/>
                <w:szCs w:val="20"/>
                <w:color w:val="auto"/>
              </w:rPr>
            </w:pPr>
            <w:r>
              <w:rPr>
                <w:rFonts w:ascii="Arial" w:cs="Arial" w:eastAsia="Arial" w:hAnsi="Arial"/>
                <w:sz w:val="13"/>
                <w:szCs w:val="13"/>
                <w:color w:val="auto"/>
              </w:rPr>
              <w:t>Net cash provided by operating activities</w:t>
            </w: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205,574</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289,161</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220,240</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6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666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shd w:val="clear" w:color="auto" w:fill="CFF0FC"/>
          </w:tcPr>
          <w:p>
            <w:pPr>
              <w:spacing w:after="0"/>
              <w:rPr>
                <w:sz w:val="20"/>
                <w:szCs w:val="20"/>
                <w:color w:val="auto"/>
              </w:rPr>
            </w:pPr>
            <w:r>
              <w:rPr>
                <w:rFonts w:ascii="Arial" w:cs="Arial" w:eastAsia="Arial" w:hAnsi="Arial"/>
                <w:sz w:val="13"/>
                <w:szCs w:val="13"/>
                <w:color w:val="auto"/>
              </w:rPr>
              <w:t>Capital expenditures</w:t>
            </w:r>
          </w:p>
        </w:tc>
        <w:tc>
          <w:tcPr>
            <w:tcW w:w="3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(21,105)</w:t>
            </w: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(34,036)</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(67,597)</w:t>
            </w:r>
          </w:p>
        </w:tc>
        <w:tc>
          <w:tcPr>
            <w:tcW w:w="0" w:type="dxa"/>
            <w:vAlign w:val="bottom"/>
          </w:tcPr>
          <w:p>
            <w:pPr>
              <w:spacing w:after="0"/>
              <w:rPr>
                <w:sz w:val="1"/>
                <w:szCs w:val="1"/>
                <w:color w:val="auto"/>
              </w:rPr>
            </w:pPr>
          </w:p>
        </w:tc>
      </w:tr>
      <w:tr>
        <w:trPr>
          <w:trHeight w:val="152"/>
        </w:trPr>
        <w:tc>
          <w:tcPr>
            <w:tcW w:w="6680" w:type="dxa"/>
            <w:vAlign w:val="bottom"/>
            <w:gridSpan w:val="2"/>
          </w:tcPr>
          <w:p>
            <w:pPr>
              <w:spacing w:after="0"/>
              <w:rPr>
                <w:sz w:val="20"/>
                <w:szCs w:val="20"/>
                <w:color w:val="auto"/>
              </w:rPr>
            </w:pPr>
            <w:r>
              <w:rPr>
                <w:rFonts w:ascii="Arial" w:cs="Arial" w:eastAsia="Arial" w:hAnsi="Arial"/>
                <w:sz w:val="13"/>
                <w:szCs w:val="13"/>
                <w:color w:val="auto"/>
              </w:rPr>
              <w:t>Proceeds from sale of property and equipment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1,329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1,546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3,789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shd w:val="clear" w:color="auto" w:fill="CFF0FC"/>
          </w:tcPr>
          <w:p>
            <w:pPr>
              <w:spacing w:after="0"/>
              <w:rPr>
                <w:sz w:val="20"/>
                <w:szCs w:val="20"/>
                <w:color w:val="auto"/>
              </w:rPr>
            </w:pPr>
            <w:r>
              <w:rPr>
                <w:rFonts w:ascii="Arial" w:cs="Arial" w:eastAsia="Arial" w:hAnsi="Arial"/>
                <w:sz w:val="13"/>
                <w:szCs w:val="13"/>
                <w:color w:val="auto"/>
              </w:rPr>
              <w:t>Payments for acquisitions, net of cash acquired</w:t>
            </w:r>
          </w:p>
        </w:tc>
        <w:tc>
          <w:tcPr>
            <w:tcW w:w="3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(198,256)</w:t>
            </w: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(302,894)</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(494,826)</w:t>
            </w:r>
          </w:p>
        </w:tc>
        <w:tc>
          <w:tcPr>
            <w:tcW w:w="0" w:type="dxa"/>
            <w:vAlign w:val="bottom"/>
          </w:tcPr>
          <w:p>
            <w:pPr>
              <w:spacing w:after="0"/>
              <w:rPr>
                <w:sz w:val="1"/>
                <w:szCs w:val="1"/>
                <w:color w:val="auto"/>
              </w:rPr>
            </w:pPr>
          </w:p>
        </w:tc>
      </w:tr>
      <w:tr>
        <w:trPr>
          <w:trHeight w:val="152"/>
        </w:trPr>
        <w:tc>
          <w:tcPr>
            <w:tcW w:w="6680" w:type="dxa"/>
            <w:vAlign w:val="bottom"/>
            <w:gridSpan w:val="2"/>
          </w:tcPr>
          <w:p>
            <w:pPr>
              <w:spacing w:after="0"/>
              <w:rPr>
                <w:sz w:val="20"/>
                <w:szCs w:val="20"/>
                <w:color w:val="auto"/>
              </w:rPr>
            </w:pPr>
            <w:r>
              <w:rPr>
                <w:rFonts w:ascii="Arial" w:cs="Arial" w:eastAsia="Arial" w:hAnsi="Arial"/>
                <w:sz w:val="13"/>
                <w:szCs w:val="13"/>
                <w:color w:val="auto"/>
              </w:rPr>
              <w:t>Investments in unconsolidated joint ventures</w:t>
            </w:r>
          </w:p>
        </w:tc>
        <w:tc>
          <w:tcPr>
            <w:tcW w:w="30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(38,459)</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(11,038)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(24,579)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shd w:val="clear" w:color="auto" w:fill="CFF0FC"/>
          </w:tcPr>
          <w:p>
            <w:pPr>
              <w:spacing w:after="0"/>
              <w:rPr>
                <w:sz w:val="20"/>
                <w:szCs w:val="20"/>
                <w:color w:val="auto"/>
              </w:rPr>
            </w:pPr>
            <w:r>
              <w:rPr>
                <w:rFonts w:ascii="Arial" w:cs="Arial" w:eastAsia="Arial" w:hAnsi="Arial"/>
                <w:sz w:val="13"/>
                <w:szCs w:val="13"/>
                <w:color w:val="auto"/>
              </w:rPr>
              <w:t>Return of investments in unconsolidated joint ventures</w:t>
            </w: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772</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12,410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680" w:type="dxa"/>
            <w:vAlign w:val="bottom"/>
            <w:gridSpan w:val="2"/>
          </w:tcPr>
          <w:p>
            <w:pPr>
              <w:spacing w:after="0"/>
              <w:rPr>
                <w:sz w:val="20"/>
                <w:szCs w:val="20"/>
                <w:color w:val="auto"/>
              </w:rPr>
            </w:pPr>
            <w:r>
              <w:rPr>
                <w:rFonts w:ascii="Arial" w:cs="Arial" w:eastAsia="Arial" w:hAnsi="Arial"/>
                <w:sz w:val="13"/>
                <w:szCs w:val="13"/>
                <w:color w:val="auto"/>
              </w:rPr>
              <w:t>Proceeds from sales of investments in unconsolidated joint ventures</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14,812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6660" w:type="dxa"/>
            <w:vAlign w:val="bottom"/>
            <w:shd w:val="clear" w:color="auto" w:fill="CFF0FC"/>
          </w:tcPr>
          <w:p>
            <w:pPr>
              <w:ind w:left="440"/>
              <w:spacing w:after="0" w:line="145" w:lineRule="exact"/>
              <w:rPr>
                <w:sz w:val="20"/>
                <w:szCs w:val="20"/>
                <w:color w:val="auto"/>
              </w:rPr>
            </w:pPr>
            <w:r>
              <w:rPr>
                <w:rFonts w:ascii="Arial" w:cs="Arial" w:eastAsia="Arial" w:hAnsi="Arial"/>
                <w:sz w:val="13"/>
                <w:szCs w:val="13"/>
                <w:color w:val="auto"/>
              </w:rPr>
              <w:t>Net cash used in investing activities</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00"/>
              <w:spacing w:after="0" w:line="145" w:lineRule="exact"/>
              <w:rPr>
                <w:sz w:val="20"/>
                <w:szCs w:val="20"/>
                <w:color w:val="auto"/>
              </w:rPr>
            </w:pPr>
            <w:r>
              <w:rPr>
                <w:rFonts w:ascii="Arial" w:cs="Arial" w:eastAsia="Arial" w:hAnsi="Arial"/>
                <w:sz w:val="13"/>
                <w:szCs w:val="13"/>
                <w:color w:val="auto"/>
              </w:rPr>
              <w:t>(240,907)</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00"/>
              <w:spacing w:after="0" w:line="145" w:lineRule="exact"/>
              <w:rPr>
                <w:sz w:val="20"/>
                <w:szCs w:val="20"/>
                <w:color w:val="auto"/>
              </w:rPr>
            </w:pPr>
            <w:r>
              <w:rPr>
                <w:rFonts w:ascii="Arial" w:cs="Arial" w:eastAsia="Arial" w:hAnsi="Arial"/>
                <w:sz w:val="13"/>
                <w:szCs w:val="13"/>
                <w:color w:val="auto"/>
              </w:rPr>
              <w:t>(346,369)</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5" w:lineRule="exact"/>
              <w:rPr>
                <w:sz w:val="20"/>
                <w:szCs w:val="20"/>
                <w:color w:val="auto"/>
              </w:rPr>
            </w:pPr>
            <w:r>
              <w:rPr>
                <w:rFonts w:ascii="Arial" w:cs="Arial" w:eastAsia="Arial" w:hAnsi="Arial"/>
                <w:sz w:val="13"/>
                <w:szCs w:val="13"/>
                <w:color w:val="auto"/>
              </w:rPr>
              <w:t>(570,803)</w:t>
            </w: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66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66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680" w:type="dxa"/>
            <w:vAlign w:val="bottom"/>
            <w:gridSpan w:val="2"/>
          </w:tcPr>
          <w:p>
            <w:pPr>
              <w:spacing w:after="0"/>
              <w:rPr>
                <w:sz w:val="20"/>
                <w:szCs w:val="20"/>
                <w:color w:val="auto"/>
              </w:rPr>
            </w:pPr>
            <w:r>
              <w:rPr>
                <w:rFonts w:ascii="Arial" w:cs="Arial" w:eastAsia="Arial" w:hAnsi="Arial"/>
                <w:sz w:val="13"/>
                <w:szCs w:val="13"/>
                <w:color w:val="auto"/>
              </w:rPr>
              <w:t>Proceeds from borrowings</w:t>
            </w:r>
          </w:p>
        </w:tc>
        <w:tc>
          <w:tcPr>
            <w:tcW w:w="30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212,900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597,200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shd w:val="clear" w:color="auto" w:fill="CFF0FC"/>
          </w:tcPr>
          <w:p>
            <w:pPr>
              <w:spacing w:after="0"/>
              <w:rPr>
                <w:sz w:val="20"/>
                <w:szCs w:val="20"/>
                <w:color w:val="auto"/>
              </w:rPr>
            </w:pPr>
            <w:r>
              <w:rPr>
                <w:rFonts w:ascii="Arial" w:cs="Arial" w:eastAsia="Arial" w:hAnsi="Arial"/>
                <w:sz w:val="13"/>
                <w:szCs w:val="13"/>
                <w:color w:val="auto"/>
              </w:rPr>
              <w:t>Repayments of borrowings</w:t>
            </w:r>
          </w:p>
        </w:tc>
        <w:tc>
          <w:tcPr>
            <w:tcW w:w="3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(50,000)</w:t>
            </w: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(212,900)</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(777,200)</w:t>
            </w:r>
          </w:p>
        </w:tc>
        <w:tc>
          <w:tcPr>
            <w:tcW w:w="0" w:type="dxa"/>
            <w:vAlign w:val="bottom"/>
          </w:tcPr>
          <w:p>
            <w:pPr>
              <w:spacing w:after="0"/>
              <w:rPr>
                <w:sz w:val="1"/>
                <w:szCs w:val="1"/>
                <w:color w:val="auto"/>
              </w:rPr>
            </w:pPr>
          </w:p>
        </w:tc>
      </w:tr>
      <w:tr>
        <w:trPr>
          <w:trHeight w:val="152"/>
        </w:trPr>
        <w:tc>
          <w:tcPr>
            <w:tcW w:w="6680" w:type="dxa"/>
            <w:vAlign w:val="bottom"/>
            <w:gridSpan w:val="2"/>
          </w:tcPr>
          <w:p>
            <w:pPr>
              <w:spacing w:after="0"/>
              <w:rPr>
                <w:sz w:val="20"/>
                <w:szCs w:val="20"/>
                <w:color w:val="auto"/>
              </w:rPr>
            </w:pPr>
            <w:r>
              <w:rPr>
                <w:rFonts w:ascii="Arial" w:cs="Arial" w:eastAsia="Arial" w:hAnsi="Arial"/>
                <w:sz w:val="13"/>
                <w:szCs w:val="13"/>
                <w:color w:val="auto"/>
              </w:rPr>
              <w:t>Payments for debt costs and credit agreement</w:t>
            </w:r>
          </w:p>
        </w:tc>
        <w:tc>
          <w:tcPr>
            <w:tcW w:w="30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(1,937)</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(286)</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shd w:val="clear" w:color="auto" w:fill="CFF0FC"/>
          </w:tcPr>
          <w:p>
            <w:pPr>
              <w:spacing w:after="0"/>
              <w:rPr>
                <w:sz w:val="20"/>
                <w:szCs w:val="20"/>
                <w:color w:val="auto"/>
              </w:rPr>
            </w:pPr>
            <w:r>
              <w:rPr>
                <w:rFonts w:ascii="Arial" w:cs="Arial" w:eastAsia="Arial" w:hAnsi="Arial"/>
                <w:sz w:val="13"/>
                <w:szCs w:val="13"/>
                <w:color w:val="auto"/>
              </w:rPr>
              <w:t>Proceeds from issuance of convertible notes</w:t>
            </w:r>
          </w:p>
        </w:tc>
        <w:tc>
          <w:tcPr>
            <w:tcW w:w="3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400,000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6680" w:type="dxa"/>
            <w:vAlign w:val="bottom"/>
            <w:gridSpan w:val="2"/>
          </w:tcPr>
          <w:p>
            <w:pPr>
              <w:spacing w:after="0"/>
              <w:rPr>
                <w:sz w:val="20"/>
                <w:szCs w:val="20"/>
                <w:color w:val="auto"/>
              </w:rPr>
            </w:pPr>
            <w:r>
              <w:rPr>
                <w:rFonts w:ascii="Arial" w:cs="Arial" w:eastAsia="Arial" w:hAnsi="Arial"/>
                <w:sz w:val="13"/>
                <w:szCs w:val="13"/>
                <w:color w:val="auto"/>
              </w:rPr>
              <w:t>Payments for purchase of bond hedges</w:t>
            </w:r>
          </w:p>
        </w:tc>
        <w:tc>
          <w:tcPr>
            <w:tcW w:w="30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(54,968)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shd w:val="clear" w:color="auto" w:fill="CFF0FC"/>
          </w:tcPr>
          <w:p>
            <w:pPr>
              <w:spacing w:after="0"/>
              <w:rPr>
                <w:sz w:val="20"/>
                <w:szCs w:val="20"/>
                <w:color w:val="auto"/>
              </w:rPr>
            </w:pPr>
            <w:r>
              <w:rPr>
                <w:rFonts w:ascii="Arial" w:cs="Arial" w:eastAsia="Arial" w:hAnsi="Arial"/>
                <w:sz w:val="13"/>
                <w:szCs w:val="13"/>
                <w:color w:val="auto"/>
              </w:rPr>
              <w:t>Proceeds from issuance of warrants</w:t>
            </w:r>
          </w:p>
        </w:tc>
        <w:tc>
          <w:tcPr>
            <w:tcW w:w="3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13,808</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6680" w:type="dxa"/>
            <w:vAlign w:val="bottom"/>
            <w:gridSpan w:val="2"/>
          </w:tcPr>
          <w:p>
            <w:pPr>
              <w:spacing w:after="0"/>
              <w:rPr>
                <w:sz w:val="20"/>
                <w:szCs w:val="20"/>
                <w:color w:val="auto"/>
              </w:rPr>
            </w:pPr>
            <w:r>
              <w:rPr>
                <w:rFonts w:ascii="Arial" w:cs="Arial" w:eastAsia="Arial" w:hAnsi="Arial"/>
                <w:sz w:val="13"/>
                <w:szCs w:val="13"/>
                <w:color w:val="auto"/>
              </w:rPr>
              <w:t>Transaction costs paid in connection with convertible notes issuance</w:t>
            </w:r>
          </w:p>
        </w:tc>
        <w:tc>
          <w:tcPr>
            <w:tcW w:w="30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(10,250)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shd w:val="clear" w:color="auto" w:fill="CFF0FC"/>
          </w:tcPr>
          <w:p>
            <w:pPr>
              <w:spacing w:after="0"/>
              <w:rPr>
                <w:sz w:val="20"/>
                <w:szCs w:val="20"/>
                <w:color w:val="auto"/>
              </w:rPr>
            </w:pPr>
            <w:r>
              <w:rPr>
                <w:rFonts w:ascii="Arial" w:cs="Arial" w:eastAsia="Arial" w:hAnsi="Arial"/>
                <w:sz w:val="13"/>
                <w:szCs w:val="13"/>
                <w:color w:val="auto"/>
              </w:rPr>
              <w:t>Contributions by noncontrolling interests</w:t>
            </w: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1,754</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2,215</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10,093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680" w:type="dxa"/>
            <w:vAlign w:val="bottom"/>
            <w:gridSpan w:val="2"/>
          </w:tcPr>
          <w:p>
            <w:pPr>
              <w:spacing w:after="0"/>
              <w:rPr>
                <w:sz w:val="20"/>
                <w:szCs w:val="20"/>
                <w:color w:val="auto"/>
              </w:rPr>
            </w:pPr>
            <w:r>
              <w:rPr>
                <w:rFonts w:ascii="Arial" w:cs="Arial" w:eastAsia="Arial" w:hAnsi="Arial"/>
                <w:sz w:val="13"/>
                <w:szCs w:val="13"/>
                <w:color w:val="auto"/>
              </w:rPr>
              <w:t>Distributions to noncontrolling interests</w:t>
            </w:r>
          </w:p>
        </w:tc>
        <w:tc>
          <w:tcPr>
            <w:tcW w:w="30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(37,932)</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(5,816)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(42,285)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shd w:val="clear" w:color="auto" w:fill="CFF0FC"/>
          </w:tcPr>
          <w:p>
            <w:pPr>
              <w:spacing w:after="0"/>
              <w:rPr>
                <w:sz w:val="20"/>
                <w:szCs w:val="20"/>
                <w:color w:val="auto"/>
              </w:rPr>
            </w:pPr>
            <w:r>
              <w:rPr>
                <w:rFonts w:ascii="Arial" w:cs="Arial" w:eastAsia="Arial" w:hAnsi="Arial"/>
                <w:sz w:val="13"/>
                <w:szCs w:val="13"/>
                <w:color w:val="auto"/>
              </w:rPr>
              <w:t>Repurchases of common stock</w:t>
            </w:r>
          </w:p>
        </w:tc>
        <w:tc>
          <w:tcPr>
            <w:tcW w:w="3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(21,701)</w:t>
            </w: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(6,272)</w:t>
            </w:r>
          </w:p>
        </w:tc>
        <w:tc>
          <w:tcPr>
            <w:tcW w:w="0" w:type="dxa"/>
            <w:vAlign w:val="bottom"/>
          </w:tcPr>
          <w:p>
            <w:pPr>
              <w:spacing w:after="0"/>
              <w:rPr>
                <w:sz w:val="1"/>
                <w:szCs w:val="1"/>
                <w:color w:val="auto"/>
              </w:rPr>
            </w:pPr>
          </w:p>
        </w:tc>
      </w:tr>
      <w:tr>
        <w:trPr>
          <w:trHeight w:val="152"/>
        </w:trPr>
        <w:tc>
          <w:tcPr>
            <w:tcW w:w="6680" w:type="dxa"/>
            <w:vAlign w:val="bottom"/>
            <w:gridSpan w:val="2"/>
          </w:tcPr>
          <w:p>
            <w:pPr>
              <w:spacing w:after="0"/>
              <w:rPr>
                <w:sz w:val="20"/>
                <w:szCs w:val="20"/>
                <w:color w:val="auto"/>
              </w:rPr>
            </w:pPr>
            <w:r>
              <w:rPr>
                <w:rFonts w:ascii="Arial" w:cs="Arial" w:eastAsia="Arial" w:hAnsi="Arial"/>
                <w:sz w:val="13"/>
                <w:szCs w:val="13"/>
                <w:color w:val="auto"/>
              </w:rPr>
              <w:t>Taxes paid on vested stock</w:t>
            </w:r>
          </w:p>
        </w:tc>
        <w:tc>
          <w:tcPr>
            <w:tcW w:w="30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(2,242)</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(1,149)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shd w:val="clear" w:color="auto" w:fill="CFF0FC"/>
          </w:tcPr>
          <w:p>
            <w:pPr>
              <w:spacing w:after="0"/>
              <w:rPr>
                <w:sz w:val="20"/>
                <w:szCs w:val="20"/>
                <w:color w:val="auto"/>
              </w:rPr>
            </w:pPr>
            <w:r>
              <w:rPr>
                <w:rFonts w:ascii="Arial" w:cs="Arial" w:eastAsia="Arial" w:hAnsi="Arial"/>
                <w:sz w:val="13"/>
                <w:szCs w:val="13"/>
                <w:color w:val="auto"/>
              </w:rPr>
              <w:t>Proceeds from issuance of common stock</w:t>
            </w: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5,555</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4,386</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536,879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680" w:type="dxa"/>
            <w:vAlign w:val="bottom"/>
            <w:gridSpan w:val="2"/>
          </w:tcPr>
          <w:p>
            <w:pPr>
              <w:spacing w:after="0"/>
              <w:rPr>
                <w:sz w:val="20"/>
                <w:szCs w:val="20"/>
                <w:color w:val="auto"/>
              </w:rPr>
            </w:pPr>
            <w:r>
              <w:rPr>
                <w:rFonts w:ascii="Arial" w:cs="Arial" w:eastAsia="Arial" w:hAnsi="Arial"/>
                <w:sz w:val="13"/>
                <w:szCs w:val="13"/>
                <w:color w:val="auto"/>
              </w:rPr>
              <w:t>Dividend paid</w:t>
            </w:r>
          </w:p>
        </w:tc>
        <w:tc>
          <w:tcPr>
            <w:tcW w:w="30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(52,093)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6660" w:type="dxa"/>
            <w:vAlign w:val="bottom"/>
            <w:shd w:val="clear" w:color="auto" w:fill="CFF0FC"/>
          </w:tcPr>
          <w:p>
            <w:pPr>
              <w:ind w:left="440"/>
              <w:spacing w:after="0" w:line="145" w:lineRule="exact"/>
              <w:rPr>
                <w:sz w:val="20"/>
                <w:szCs w:val="20"/>
                <w:color w:val="auto"/>
              </w:rPr>
            </w:pPr>
            <w:r>
              <w:rPr>
                <w:rFonts w:ascii="Arial" w:cs="Arial" w:eastAsia="Arial" w:hAnsi="Arial"/>
                <w:sz w:val="13"/>
                <w:szCs w:val="13"/>
                <w:color w:val="auto"/>
              </w:rPr>
              <w:t>Net cash provided by financing activities</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00"/>
              <w:spacing w:after="0" w:line="145" w:lineRule="exact"/>
              <w:rPr>
                <w:sz w:val="20"/>
                <w:szCs w:val="20"/>
                <w:color w:val="auto"/>
              </w:rPr>
            </w:pPr>
            <w:r>
              <w:rPr>
                <w:rFonts w:ascii="Arial" w:cs="Arial" w:eastAsia="Arial" w:hAnsi="Arial"/>
                <w:sz w:val="13"/>
                <w:szCs w:val="13"/>
                <w:color w:val="auto"/>
              </w:rPr>
              <w:t>(106,503)</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5" w:lineRule="exact"/>
              <w:rPr>
                <w:sz w:val="20"/>
                <w:szCs w:val="20"/>
                <w:color w:val="auto"/>
              </w:rPr>
            </w:pPr>
            <w:r>
              <w:rPr>
                <w:rFonts w:ascii="Arial" w:cs="Arial" w:eastAsia="Arial" w:hAnsi="Arial"/>
                <w:sz w:val="13"/>
                <w:szCs w:val="13"/>
                <w:color w:val="auto"/>
              </w:rPr>
              <w:t>348,226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5" w:lineRule="exact"/>
              <w:rPr>
                <w:sz w:val="20"/>
                <w:szCs w:val="20"/>
                <w:color w:val="auto"/>
              </w:rPr>
            </w:pPr>
            <w:r>
              <w:rPr>
                <w:rFonts w:ascii="Arial" w:cs="Arial" w:eastAsia="Arial" w:hAnsi="Arial"/>
                <w:sz w:val="13"/>
                <w:szCs w:val="13"/>
                <w:color w:val="auto"/>
              </w:rPr>
              <w:t>266,036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8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680" w:type="dxa"/>
            <w:vAlign w:val="bottom"/>
            <w:gridSpan w:val="2"/>
          </w:tcPr>
          <w:p>
            <w:pPr>
              <w:spacing w:after="0" w:line="145" w:lineRule="exact"/>
              <w:rPr>
                <w:sz w:val="20"/>
                <w:szCs w:val="20"/>
                <w:color w:val="auto"/>
              </w:rPr>
            </w:pPr>
            <w:r>
              <w:rPr>
                <w:rFonts w:ascii="Arial" w:cs="Arial" w:eastAsia="Arial" w:hAnsi="Arial"/>
                <w:sz w:val="13"/>
                <w:szCs w:val="13"/>
                <w:color w:val="auto"/>
              </w:rPr>
              <w:t>Effect of exchange rate changes</w:t>
            </w:r>
          </w:p>
        </w:tc>
        <w:tc>
          <w:tcPr>
            <w:tcW w:w="300" w:type="dxa"/>
            <w:vAlign w:val="bottom"/>
          </w:tcPr>
          <w:p>
            <w:pPr>
              <w:spacing w:after="0"/>
              <w:rPr>
                <w:sz w:val="12"/>
                <w:szCs w:val="12"/>
                <w:color w:val="auto"/>
              </w:rPr>
            </w:pPr>
          </w:p>
        </w:tc>
        <w:tc>
          <w:tcPr>
            <w:tcW w:w="116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(1,496)</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5" w:lineRule="exact"/>
              <w:rPr>
                <w:sz w:val="20"/>
                <w:szCs w:val="20"/>
                <w:color w:val="auto"/>
              </w:rPr>
            </w:pPr>
            <w:r>
              <w:rPr>
                <w:rFonts w:ascii="Arial" w:cs="Arial" w:eastAsia="Arial" w:hAnsi="Arial"/>
                <w:sz w:val="13"/>
                <w:szCs w:val="13"/>
                <w:color w:val="auto"/>
              </w:rPr>
              <w:t>823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6660" w:type="dxa"/>
            <w:vAlign w:val="bottom"/>
            <w:shd w:val="clear" w:color="auto" w:fill="CFF0FC"/>
          </w:tcPr>
          <w:p>
            <w:pPr>
              <w:ind w:left="440"/>
              <w:spacing w:after="0" w:line="145" w:lineRule="exact"/>
              <w:rPr>
                <w:sz w:val="20"/>
                <w:szCs w:val="20"/>
                <w:color w:val="auto"/>
              </w:rPr>
            </w:pPr>
            <w:r>
              <w:rPr>
                <w:rFonts w:ascii="Arial" w:cs="Arial" w:eastAsia="Arial" w:hAnsi="Arial"/>
                <w:sz w:val="13"/>
                <w:szCs w:val="13"/>
                <w:color w:val="auto"/>
              </w:rPr>
              <w:t>Net increase (decrease) in cash, cash equivalents and restricted cash</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00"/>
              <w:spacing w:after="0" w:line="145" w:lineRule="exact"/>
              <w:rPr>
                <w:sz w:val="20"/>
                <w:szCs w:val="20"/>
                <w:color w:val="auto"/>
              </w:rPr>
            </w:pPr>
            <w:r>
              <w:rPr>
                <w:rFonts w:ascii="Arial" w:cs="Arial" w:eastAsia="Arial" w:hAnsi="Arial"/>
                <w:sz w:val="13"/>
                <w:szCs w:val="13"/>
                <w:color w:val="auto"/>
              </w:rPr>
              <w:t>(143,332)</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5" w:lineRule="exact"/>
              <w:rPr>
                <w:sz w:val="20"/>
                <w:szCs w:val="20"/>
                <w:color w:val="auto"/>
              </w:rPr>
            </w:pPr>
            <w:r>
              <w:rPr>
                <w:rFonts w:ascii="Arial" w:cs="Arial" w:eastAsia="Arial" w:hAnsi="Arial"/>
                <w:sz w:val="13"/>
                <w:szCs w:val="13"/>
                <w:color w:val="auto"/>
              </w:rPr>
              <w:t>291,841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5" w:lineRule="exact"/>
              <w:rPr>
                <w:sz w:val="20"/>
                <w:szCs w:val="20"/>
                <w:color w:val="auto"/>
              </w:rPr>
            </w:pPr>
            <w:r>
              <w:rPr>
                <w:rFonts w:ascii="Arial" w:cs="Arial" w:eastAsia="Arial" w:hAnsi="Arial"/>
                <w:sz w:val="13"/>
                <w:szCs w:val="13"/>
                <w:color w:val="auto"/>
              </w:rPr>
              <w:t>(85,821)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tcPr>
          <w:p>
            <w:pPr>
              <w:spacing w:after="0"/>
              <w:rPr>
                <w:sz w:val="20"/>
                <w:szCs w:val="20"/>
                <w:color w:val="auto"/>
              </w:rPr>
            </w:pPr>
            <w:r>
              <w:rPr>
                <w:rFonts w:ascii="Arial" w:cs="Arial" w:eastAsia="Arial" w:hAnsi="Arial"/>
                <w:sz w:val="13"/>
                <w:szCs w:val="13"/>
                <w:b w:val="1"/>
                <w:bCs w:val="1"/>
                <w:color w:val="auto"/>
              </w:rPr>
              <w:t>Cash, cash equivalents and restricted cash</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shd w:val="clear" w:color="auto" w:fill="CFF0FC"/>
          </w:tcPr>
          <w:p>
            <w:pPr>
              <w:spacing w:after="0"/>
              <w:rPr>
                <w:sz w:val="20"/>
                <w:szCs w:val="20"/>
                <w:color w:val="auto"/>
              </w:rPr>
            </w:pPr>
            <w:r>
              <w:rPr>
                <w:rFonts w:ascii="Arial" w:cs="Arial" w:eastAsia="Arial" w:hAnsi="Arial"/>
                <w:sz w:val="13"/>
                <w:szCs w:val="13"/>
                <w:color w:val="auto"/>
              </w:rPr>
              <w:t>Beginning of year</w:t>
            </w:r>
          </w:p>
        </w:tc>
        <w:tc>
          <w:tcPr>
            <w:tcW w:w="30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487,215</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195,374</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281,195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680" w:type="dxa"/>
            <w:vAlign w:val="bottom"/>
            <w:gridSpan w:val="2"/>
          </w:tcPr>
          <w:p>
            <w:pPr>
              <w:spacing w:after="0" w:line="145" w:lineRule="exact"/>
              <w:rPr>
                <w:sz w:val="20"/>
                <w:szCs w:val="20"/>
                <w:color w:val="auto"/>
              </w:rPr>
            </w:pPr>
            <w:r>
              <w:rPr>
                <w:rFonts w:ascii="Arial" w:cs="Arial" w:eastAsia="Arial" w:hAnsi="Arial"/>
                <w:sz w:val="13"/>
                <w:szCs w:val="13"/>
                <w:color w:val="auto"/>
              </w:rPr>
              <w:t>End of year</w:t>
            </w:r>
          </w:p>
        </w:tc>
        <w:tc>
          <w:tcPr>
            <w:tcW w:w="300" w:type="dxa"/>
            <w:vAlign w:val="bottom"/>
          </w:tcPr>
          <w:p>
            <w:pPr>
              <w:jc w:val="right"/>
              <w:ind w:right="157"/>
              <w:spacing w:after="0" w:line="145" w:lineRule="exact"/>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line="145" w:lineRule="exact"/>
              <w:rPr>
                <w:sz w:val="20"/>
                <w:szCs w:val="20"/>
                <w:color w:val="auto"/>
              </w:rPr>
            </w:pPr>
            <w:r>
              <w:rPr>
                <w:rFonts w:ascii="Arial" w:cs="Arial" w:eastAsia="Arial" w:hAnsi="Arial"/>
                <w:sz w:val="13"/>
                <w:szCs w:val="13"/>
                <w:color w:val="auto"/>
              </w:rPr>
              <w:t>343,883</w:t>
            </w:r>
          </w:p>
        </w:tc>
        <w:tc>
          <w:tcPr>
            <w:tcW w:w="140" w:type="dxa"/>
            <w:vAlign w:val="bottom"/>
          </w:tcPr>
          <w:p>
            <w:pPr>
              <w:spacing w:after="0"/>
              <w:rPr>
                <w:sz w:val="16"/>
                <w:szCs w:val="16"/>
                <w:color w:val="auto"/>
              </w:rPr>
            </w:pPr>
          </w:p>
        </w:tc>
        <w:tc>
          <w:tcPr>
            <w:tcW w:w="40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w:t>
            </w:r>
          </w:p>
        </w:tc>
        <w:tc>
          <w:tcPr>
            <w:tcW w:w="1040" w:type="dxa"/>
            <w:vAlign w:val="bottom"/>
          </w:tcPr>
          <w:p>
            <w:pPr>
              <w:jc w:val="right"/>
              <w:spacing w:after="0" w:line="145" w:lineRule="exact"/>
              <w:rPr>
                <w:sz w:val="20"/>
                <w:szCs w:val="20"/>
                <w:color w:val="auto"/>
              </w:rPr>
            </w:pPr>
            <w:r>
              <w:rPr>
                <w:rFonts w:ascii="Arial" w:cs="Arial" w:eastAsia="Arial" w:hAnsi="Arial"/>
                <w:sz w:val="13"/>
                <w:szCs w:val="13"/>
                <w:color w:val="auto"/>
              </w:rPr>
              <w:t>487,215</w:t>
            </w:r>
          </w:p>
        </w:tc>
        <w:tc>
          <w:tcPr>
            <w:tcW w:w="140" w:type="dxa"/>
            <w:vAlign w:val="bottom"/>
          </w:tcPr>
          <w:p>
            <w:pPr>
              <w:spacing w:after="0"/>
              <w:rPr>
                <w:sz w:val="16"/>
                <w:szCs w:val="16"/>
                <w:color w:val="auto"/>
              </w:rPr>
            </w:pPr>
          </w:p>
        </w:tc>
        <w:tc>
          <w:tcPr>
            <w:tcW w:w="400" w:type="dxa"/>
            <w:vAlign w:val="bottom"/>
            <w:gridSpan w:val="2"/>
          </w:tcPr>
          <w:p>
            <w:pPr>
              <w:jc w:val="right"/>
              <w:ind w:right="220"/>
              <w:spacing w:after="0" w:line="145" w:lineRule="exact"/>
              <w:rPr>
                <w:sz w:val="20"/>
                <w:szCs w:val="20"/>
                <w:color w:val="auto"/>
              </w:rPr>
            </w:pPr>
            <w:r>
              <w:rPr>
                <w:rFonts w:ascii="Arial" w:cs="Arial" w:eastAsia="Arial" w:hAnsi="Arial"/>
                <w:sz w:val="13"/>
                <w:szCs w:val="13"/>
                <w:color w:val="auto"/>
              </w:rPr>
              <w:t>$</w:t>
            </w:r>
          </w:p>
        </w:tc>
        <w:tc>
          <w:tcPr>
            <w:tcW w:w="1020" w:type="dxa"/>
            <w:vAlign w:val="bottom"/>
          </w:tcPr>
          <w:p>
            <w:pPr>
              <w:jc w:val="right"/>
              <w:spacing w:after="0" w:line="145" w:lineRule="exact"/>
              <w:rPr>
                <w:sz w:val="20"/>
                <w:szCs w:val="20"/>
                <w:color w:val="auto"/>
              </w:rPr>
            </w:pPr>
            <w:r>
              <w:rPr>
                <w:rFonts w:ascii="Arial" w:cs="Arial" w:eastAsia="Arial" w:hAnsi="Arial"/>
                <w:sz w:val="13"/>
                <w:szCs w:val="13"/>
                <w:color w:val="auto"/>
              </w:rPr>
              <w:t>195,374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60" w:type="dxa"/>
            <w:vAlign w:val="bottom"/>
            <w:tcBorders>
              <w:top w:val="single" w:sz="8" w:color="CFF0FC"/>
            </w:tcBorders>
            <w:shd w:val="clear" w:color="auto" w:fill="CFF0FC"/>
          </w:tcPr>
          <w:p>
            <w:pPr>
              <w:spacing w:after="0" w:line="130" w:lineRule="exact"/>
              <w:rPr>
                <w:sz w:val="20"/>
                <w:szCs w:val="20"/>
                <w:color w:val="auto"/>
              </w:rPr>
            </w:pPr>
            <w:r>
              <w:rPr>
                <w:rFonts w:ascii="Arial" w:cs="Arial" w:eastAsia="Arial" w:hAnsi="Arial"/>
                <w:sz w:val="13"/>
                <w:szCs w:val="13"/>
                <w:b w:val="1"/>
                <w:bCs w:val="1"/>
                <w:color w:val="auto"/>
              </w:rPr>
              <w:t>Cash paid during the year for</w:t>
            </w:r>
          </w:p>
        </w:tc>
        <w:tc>
          <w:tcPr>
            <w:tcW w:w="30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680" w:type="dxa"/>
            <w:vAlign w:val="bottom"/>
            <w:gridSpan w:val="2"/>
          </w:tcPr>
          <w:p>
            <w:pPr>
              <w:spacing w:after="0"/>
              <w:rPr>
                <w:sz w:val="20"/>
                <w:szCs w:val="20"/>
                <w:color w:val="auto"/>
              </w:rPr>
            </w:pPr>
            <w:r>
              <w:rPr>
                <w:rFonts w:ascii="Arial" w:cs="Arial" w:eastAsia="Arial" w:hAnsi="Arial"/>
                <w:sz w:val="13"/>
                <w:szCs w:val="13"/>
                <w:color w:val="auto"/>
              </w:rPr>
              <w:t>Interest</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14,993</w:t>
            </w:r>
          </w:p>
        </w:tc>
        <w:tc>
          <w:tcPr>
            <w:tcW w:w="140" w:type="dxa"/>
            <w:vAlign w:val="bottom"/>
          </w:tcPr>
          <w:p>
            <w:pPr>
              <w:spacing w:after="0"/>
              <w:rPr>
                <w:sz w:val="13"/>
                <w:szCs w:val="13"/>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14,207</w:t>
            </w:r>
          </w:p>
        </w:tc>
        <w:tc>
          <w:tcPr>
            <w:tcW w:w="140" w:type="dxa"/>
            <w:vAlign w:val="bottom"/>
          </w:tcPr>
          <w:p>
            <w:pPr>
              <w:spacing w:after="0"/>
              <w:rPr>
                <w:sz w:val="13"/>
                <w:szCs w:val="13"/>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23,254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shd w:val="clear" w:color="auto" w:fill="CFF0FC"/>
          </w:tcPr>
          <w:p>
            <w:pPr>
              <w:spacing w:after="0"/>
              <w:rPr>
                <w:sz w:val="20"/>
                <w:szCs w:val="20"/>
                <w:color w:val="auto"/>
              </w:rPr>
            </w:pPr>
            <w:r>
              <w:rPr>
                <w:rFonts w:ascii="Arial" w:cs="Arial" w:eastAsia="Arial" w:hAnsi="Arial"/>
                <w:sz w:val="13"/>
                <w:szCs w:val="13"/>
                <w:color w:val="auto"/>
              </w:rPr>
              <w:t>Income taxes (net of refunds)</w:t>
            </w: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22,461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55,354</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60,477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7"/>
          <w:szCs w:val="17"/>
          <w:b w:val="1"/>
          <w:bCs w:val="1"/>
          <w:color w:val="auto"/>
        </w:rPr>
        <w:t>PARSONS CORPORATION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jc w:val="center"/>
        <w:ind w:right="-19"/>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196" w:lineRule="exact"/>
        <w:rPr>
          <w:sz w:val="20"/>
          <w:szCs w:val="20"/>
          <w:color w:val="auto"/>
        </w:rPr>
      </w:pPr>
    </w:p>
    <w:p>
      <w:pPr>
        <w:ind w:left="600" w:right="8560" w:hanging="599"/>
        <w:spacing w:after="0" w:line="494" w:lineRule="auto"/>
        <w:tabs>
          <w:tab w:leader="none" w:pos="594"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Operations Organization</w:t>
      </w:r>
    </w:p>
    <w:p>
      <w:pPr>
        <w:spacing w:after="0" w:line="1" w:lineRule="exact"/>
        <w:rPr>
          <w:sz w:val="20"/>
          <w:szCs w:val="20"/>
          <w:color w:val="auto"/>
        </w:rPr>
      </w:pPr>
    </w:p>
    <w:p>
      <w:pPr>
        <w:ind w:right="240" w:firstLine="735"/>
        <w:spacing w:after="0" w:line="237" w:lineRule="auto"/>
        <w:rPr>
          <w:sz w:val="20"/>
          <w:szCs w:val="20"/>
          <w:color w:val="auto"/>
        </w:rPr>
      </w:pPr>
      <w:r>
        <w:rPr>
          <w:rFonts w:ascii="Arial" w:cs="Arial" w:eastAsia="Arial" w:hAnsi="Arial"/>
          <w:sz w:val="17"/>
          <w:szCs w:val="17"/>
          <w:color w:val="auto"/>
        </w:rPr>
        <w:t>Parsons Corporation, a Delaware corporation, and its subsidiaries (collectively, the “Company”) provide sophisticated design, engineering and technical services, and smart and agile software to the United States federal government and Critical Infrastructure customers worldwide. The Company performs work in various foreign countries through local subsidiaries, joint ventures and foreign offices maintained to carry out specific projects.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Initial Public Offering</w:t>
      </w:r>
    </w:p>
    <w:p>
      <w:pPr>
        <w:spacing w:after="0" w:line="218" w:lineRule="exact"/>
        <w:rPr>
          <w:sz w:val="20"/>
          <w:szCs w:val="20"/>
          <w:color w:val="auto"/>
        </w:rPr>
      </w:pPr>
    </w:p>
    <w:p>
      <w:pPr>
        <w:ind w:firstLine="589"/>
        <w:spacing w:after="0" w:line="254" w:lineRule="auto"/>
        <w:rPr>
          <w:sz w:val="20"/>
          <w:szCs w:val="20"/>
          <w:color w:val="auto"/>
        </w:rPr>
      </w:pPr>
      <w:r>
        <w:rPr>
          <w:rFonts w:ascii="Arial" w:cs="Arial" w:eastAsia="Arial" w:hAnsi="Arial"/>
          <w:sz w:val="16"/>
          <w:szCs w:val="16"/>
          <w:color w:val="auto"/>
        </w:rPr>
        <w:t>On May 8, 2019, the Company consummated its initial public offering (“IPO”) whereby the Company sold 18,518,500 shares of common stock for $27.00 per share. The underwriters exercised their share option on May 14, 2019 to purchase an additional 2,777,775 shares at the share price of $25.515 which was the IPO share price of $27.00 less the underwriting discount of $1.485 per share. The net proceeds of the IPO and the underwriters’ share option were $536.9 million, after deducting underwriting discounts and other fees, and were used to fund an IPO dividend of $52.1 million, repay the outstanding balance of $150.0 million under our Term Loan, and repay outstanding indebtedness under our Revolving Credit Facility.</w:t>
      </w:r>
    </w:p>
    <w:p>
      <w:pPr>
        <w:spacing w:after="0" w:line="160" w:lineRule="exact"/>
        <w:rPr>
          <w:sz w:val="20"/>
          <w:szCs w:val="20"/>
          <w:color w:val="auto"/>
        </w:rPr>
      </w:pPr>
    </w:p>
    <w:p>
      <w:pPr>
        <w:ind w:left="740"/>
        <w:spacing w:after="0"/>
        <w:rPr>
          <w:sz w:val="20"/>
          <w:szCs w:val="20"/>
          <w:color w:val="auto"/>
        </w:rPr>
      </w:pPr>
      <w:r>
        <w:rPr>
          <w:rFonts w:ascii="Arial" w:cs="Arial" w:eastAsia="Arial" w:hAnsi="Arial"/>
          <w:sz w:val="17"/>
          <w:szCs w:val="17"/>
          <w:b w:val="1"/>
          <w:bCs w:val="1"/>
          <w:color w:val="auto"/>
        </w:rPr>
        <w:t>Stock Dividend</w:t>
      </w:r>
    </w:p>
    <w:p>
      <w:pPr>
        <w:spacing w:after="0" w:line="215" w:lineRule="exact"/>
        <w:rPr>
          <w:sz w:val="20"/>
          <w:szCs w:val="20"/>
          <w:color w:val="auto"/>
        </w:rPr>
      </w:pPr>
    </w:p>
    <w:p>
      <w:pPr>
        <w:ind w:right="40" w:firstLine="589"/>
        <w:spacing w:after="0" w:line="227" w:lineRule="auto"/>
        <w:rPr>
          <w:sz w:val="20"/>
          <w:szCs w:val="20"/>
          <w:color w:val="auto"/>
        </w:rPr>
      </w:pPr>
      <w:r>
        <w:rPr>
          <w:rFonts w:ascii="Arial" w:cs="Arial" w:eastAsia="Arial" w:hAnsi="Arial"/>
          <w:sz w:val="19"/>
          <w:szCs w:val="19"/>
          <w:color w:val="auto"/>
        </w:rPr>
        <w:t>On April 15, 2019, the board of directors of the Company declared a common stock dividend in a ratio of two shares of common stock for every one share of common stock then held by the Company’s stockholder (the “Stock Dividend”). The record date of this common Stock Dividend was May 7, 2019, the day immediately prior to the consummation of the Company’s IPO on May 8, 2019, and the payment date of the Stock Dividend was May 8, 2019. Purchasers of the Company’s common stock in the Company’s public offering were not entitled to receive any portion of the Stock Dividend.</w:t>
      </w:r>
    </w:p>
    <w:p>
      <w:pPr>
        <w:spacing w:after="0" w:line="268" w:lineRule="exact"/>
        <w:rPr>
          <w:sz w:val="20"/>
          <w:szCs w:val="20"/>
          <w:color w:val="auto"/>
        </w:rPr>
      </w:pPr>
    </w:p>
    <w:p>
      <w:pPr>
        <w:ind w:left="580" w:hanging="579"/>
        <w:spacing w:after="0"/>
        <w:tabs>
          <w:tab w:leader="none" w:pos="580"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w:t>
      </w:r>
    </w:p>
    <w:p>
      <w:pPr>
        <w:spacing w:after="0" w:line="298"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and Principles of Consolidation</w:t>
      </w:r>
    </w:p>
    <w:p>
      <w:pPr>
        <w:spacing w:after="0" w:line="116" w:lineRule="exact"/>
        <w:rPr>
          <w:sz w:val="20"/>
          <w:szCs w:val="20"/>
          <w:color w:val="auto"/>
        </w:rPr>
      </w:pPr>
    </w:p>
    <w:p>
      <w:pPr>
        <w:jc w:val="both"/>
        <w:ind w:right="60" w:firstLine="589"/>
        <w:spacing w:after="0" w:line="248" w:lineRule="auto"/>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United States of America (“U.S. GAAP”) and include the accounts of Parsons Corporation and its subsidiaries and affiliates which it controls. Interests in joint ventures that are controlled by the Company, or for which the Company is otherwise deemed to be the primary beneficiary, are consolidated.</w:t>
      </w:r>
    </w:p>
    <w:p>
      <w:pPr>
        <w:ind w:right="100"/>
        <w:spacing w:after="0" w:line="242" w:lineRule="auto"/>
        <w:rPr>
          <w:sz w:val="20"/>
          <w:szCs w:val="20"/>
          <w:color w:val="auto"/>
        </w:rPr>
      </w:pPr>
      <w:r>
        <w:rPr>
          <w:rFonts w:ascii="Arial" w:cs="Arial" w:eastAsia="Arial" w:hAnsi="Arial"/>
          <w:sz w:val="17"/>
          <w:szCs w:val="17"/>
          <w:color w:val="auto"/>
        </w:rPr>
        <w:t>For joint ventures in which the Company does not have a controlling interest, but exerts significant influence, the Company applies the equity method of accounting. Intercompany accounts and transactions are eliminated in consolidation.</w:t>
      </w:r>
    </w:p>
    <w:p>
      <w:pPr>
        <w:spacing w:after="0" w:line="200" w:lineRule="exact"/>
        <w:rPr>
          <w:sz w:val="20"/>
          <w:szCs w:val="20"/>
          <w:color w:val="auto"/>
        </w:rPr>
      </w:pPr>
    </w:p>
    <w:p>
      <w:pPr>
        <w:spacing w:after="0" w:line="26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Use of Estimates</w:t>
      </w:r>
    </w:p>
    <w:p>
      <w:pPr>
        <w:spacing w:after="0" w:line="116" w:lineRule="exact"/>
        <w:rPr>
          <w:sz w:val="20"/>
          <w:szCs w:val="20"/>
          <w:color w:val="auto"/>
        </w:rPr>
      </w:pPr>
    </w:p>
    <w:p>
      <w:pPr>
        <w:ind w:firstLine="589"/>
        <w:spacing w:after="0" w:line="236" w:lineRule="auto"/>
        <w:rPr>
          <w:sz w:val="20"/>
          <w:szCs w:val="20"/>
          <w:color w:val="auto"/>
        </w:rPr>
      </w:pPr>
      <w:r>
        <w:rPr>
          <w:rFonts w:ascii="Arial" w:cs="Arial" w:eastAsia="Arial" w:hAnsi="Arial"/>
          <w:sz w:val="17"/>
          <w:szCs w:val="17"/>
          <w:color w:val="auto"/>
        </w:rPr>
        <w:t>The preparation of the consolidated financial statements in accordance with U.S. GAAP requires management to make estimates and assumptions that affect the reported amounts of assets and liabilities at the date of the financial statements and the reported amounts of revenues and expenses during the reporting period. Actual amounts could differ from those estimates. The Company’s most significant estimates and judgments involve revenue recognition with respect to the determination of the costs to complete contracts and transaction price; determination of self-insurance reserves; useful lives of</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sectPr>
      </w:pPr>
    </w:p>
    <w:bookmarkStart w:id="105" w:name="page106"/>
    <w:bookmarkEnd w:id="105"/>
    <w:p>
      <w:pPr>
        <w:jc w:val="center"/>
        <w:ind w:right="-79"/>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w:t>
      </w:r>
    </w:p>
    <w:p>
      <w:pPr>
        <w:jc w:val="center"/>
        <w:ind w:right="-79"/>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and intangible assets; valuation of deferred income tax assets and uncertain tax positions, among others.</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ESOP</w:t>
      </w:r>
    </w:p>
    <w:p>
      <w:pPr>
        <w:spacing w:after="0" w:line="116" w:lineRule="exact"/>
        <w:rPr>
          <w:sz w:val="20"/>
          <w:szCs w:val="20"/>
          <w:color w:val="auto"/>
        </w:rPr>
      </w:pPr>
    </w:p>
    <w:p>
      <w:pPr>
        <w:ind w:right="140" w:firstLine="589"/>
        <w:spacing w:after="0" w:line="237" w:lineRule="auto"/>
        <w:rPr>
          <w:sz w:val="20"/>
          <w:szCs w:val="20"/>
          <w:color w:val="auto"/>
        </w:rPr>
      </w:pPr>
      <w:r>
        <w:rPr>
          <w:rFonts w:ascii="Arial" w:cs="Arial" w:eastAsia="Arial" w:hAnsi="Arial"/>
          <w:sz w:val="17"/>
          <w:szCs w:val="17"/>
          <w:color w:val="auto"/>
        </w:rPr>
        <w:t>The Company maintains a non-leveraged ESOP for eligible employees, for which the Company contributes shares of its own stock to the ESOP trust each year. Throughout the year, as employee services are rendered, the Company records compensation expense based on salaries of eligible employees. At each reporting period, the shares held within the ESOP or committed to be contributed to the ESOP are adjusted to their redemption value through an offsetting charge or credit to accumulated deficit.</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Treasury Stock</w:t>
      </w:r>
    </w:p>
    <w:p>
      <w:pPr>
        <w:spacing w:after="0" w:line="116" w:lineRule="exact"/>
        <w:rPr>
          <w:sz w:val="20"/>
          <w:szCs w:val="20"/>
          <w:color w:val="auto"/>
        </w:rPr>
      </w:pPr>
    </w:p>
    <w:p>
      <w:pPr>
        <w:ind w:firstLine="589"/>
        <w:spacing w:after="0" w:line="244" w:lineRule="auto"/>
        <w:rPr>
          <w:sz w:val="20"/>
          <w:szCs w:val="20"/>
          <w:color w:val="auto"/>
        </w:rPr>
      </w:pPr>
      <w:r>
        <w:rPr>
          <w:rFonts w:ascii="Arial" w:cs="Arial" w:eastAsia="Arial" w:hAnsi="Arial"/>
          <w:sz w:val="17"/>
          <w:szCs w:val="17"/>
          <w:color w:val="auto"/>
        </w:rPr>
        <w:t>The Company records treasury stock purchases under the cost method whereby the entire cost of the acquired stock is recorded as treasury stock. The Company records the reissuance of treasury stock using the first-in, first-out method of accounting. Contributions of 1,631,477 shares, 1,522,381 shares, and 1,345,198 shares of common stock were made to the ESOP in 2021, 2020 and 2019, respectively. In 2019, the Company repurchased 191,331 shares of common stock from the ESOP in connection with the redemption of ESOP participants’ interests in the ESOP for $6.3 million. Subsequent to November 3, 2019 when the 180-day lock-up period ended, repurchases are no longer required for ESOP redemptions. In 2020, the Company did not repurchase any shares of common stock.</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Share Repurchases</w:t>
      </w:r>
    </w:p>
    <w:p>
      <w:pPr>
        <w:spacing w:after="0" w:line="11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7"/>
          <w:szCs w:val="17"/>
          <w:color w:val="auto"/>
        </w:rPr>
        <w:t>During the third quarter of 2021, the Company’s Board of Directors authorized the Company to acquire a number of shares of Common Stock having an aggregate market value of not greater than $100,000,000 from time to time. Repurchased shares of common stock are retired and included in “Repurchases of common stock” in cash flows from financing activities in the Consolidated Statements of Cash Flows.</w:t>
      </w:r>
    </w:p>
    <w:p>
      <w:pPr>
        <w:spacing w:after="0" w:line="273"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Earnings per Share</w:t>
      </w:r>
    </w:p>
    <w:p>
      <w:pPr>
        <w:spacing w:after="0" w:line="116" w:lineRule="exact"/>
        <w:rPr>
          <w:sz w:val="20"/>
          <w:szCs w:val="20"/>
          <w:color w:val="auto"/>
        </w:rPr>
      </w:pPr>
    </w:p>
    <w:p>
      <w:pPr>
        <w:ind w:right="180" w:firstLine="589"/>
        <w:spacing w:after="0" w:line="237" w:lineRule="auto"/>
        <w:rPr>
          <w:sz w:val="20"/>
          <w:szCs w:val="20"/>
          <w:color w:val="auto"/>
        </w:rPr>
      </w:pPr>
      <w:r>
        <w:rPr>
          <w:rFonts w:ascii="Arial" w:cs="Arial" w:eastAsia="Arial" w:hAnsi="Arial"/>
          <w:sz w:val="17"/>
          <w:szCs w:val="17"/>
          <w:color w:val="auto"/>
        </w:rPr>
        <w:t>Basic earnings per common share (“EPS”) is calculated by dividing Net income by the weighted average number of common shares outstanding during the year. Diluted earnings per common share is calculated using the if-converted method by dividing adjusted net income by adjusted weighted average outstanding shares, assuming conversion of all potentially dilutive securities. Upon contribution to the ESOP, the shares become outstanding and are included within the earnings per share computations.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Revenue Recognition</w:t>
      </w:r>
    </w:p>
    <w:p>
      <w:pPr>
        <w:spacing w:after="0" w:line="12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accordance with ASC 606, the Company follows the five-step process in ASC 606 to recognize revenue:</w:t>
      </w:r>
    </w:p>
    <w:p>
      <w:pPr>
        <w:spacing w:after="0" w:line="96" w:lineRule="exact"/>
        <w:rPr>
          <w:sz w:val="20"/>
          <w:szCs w:val="20"/>
          <w:color w:val="auto"/>
        </w:rPr>
      </w:pPr>
    </w:p>
    <w:p>
      <w:pPr>
        <w:ind w:left="1160" w:hanging="575"/>
        <w:spacing w:after="0"/>
        <w:tabs>
          <w:tab w:leader="none" w:pos="11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Identify the contract</w:t>
      </w:r>
    </w:p>
    <w:p>
      <w:pPr>
        <w:spacing w:after="0" w:line="96" w:lineRule="exact"/>
        <w:rPr>
          <w:rFonts w:ascii="Arial" w:cs="Arial" w:eastAsia="Arial" w:hAnsi="Arial"/>
          <w:sz w:val="17"/>
          <w:szCs w:val="17"/>
          <w:color w:val="auto"/>
        </w:rPr>
      </w:pPr>
    </w:p>
    <w:p>
      <w:pPr>
        <w:ind w:left="1160" w:hanging="575"/>
        <w:spacing w:after="0"/>
        <w:tabs>
          <w:tab w:leader="none" w:pos="11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Identify performance obligations</w:t>
      </w:r>
    </w:p>
    <w:p>
      <w:pPr>
        <w:spacing w:after="0" w:line="96" w:lineRule="exact"/>
        <w:rPr>
          <w:rFonts w:ascii="Arial" w:cs="Arial" w:eastAsia="Arial" w:hAnsi="Arial"/>
          <w:sz w:val="17"/>
          <w:szCs w:val="17"/>
          <w:color w:val="auto"/>
        </w:rPr>
      </w:pPr>
    </w:p>
    <w:p>
      <w:pPr>
        <w:ind w:left="1160" w:hanging="575"/>
        <w:spacing w:after="0"/>
        <w:tabs>
          <w:tab w:leader="none" w:pos="11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Determine the transaction price</w:t>
      </w:r>
    </w:p>
    <w:p>
      <w:pPr>
        <w:spacing w:after="0" w:line="96" w:lineRule="exact"/>
        <w:rPr>
          <w:rFonts w:ascii="Arial" w:cs="Arial" w:eastAsia="Arial" w:hAnsi="Arial"/>
          <w:sz w:val="17"/>
          <w:szCs w:val="17"/>
          <w:color w:val="auto"/>
        </w:rPr>
      </w:pPr>
    </w:p>
    <w:p>
      <w:pPr>
        <w:ind w:left="1160" w:hanging="575"/>
        <w:spacing w:after="0"/>
        <w:tabs>
          <w:tab w:leader="none" w:pos="11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Allocate the transaction price</w:t>
      </w:r>
    </w:p>
    <w:p>
      <w:pPr>
        <w:spacing w:after="0" w:line="96" w:lineRule="exact"/>
        <w:rPr>
          <w:rFonts w:ascii="Arial" w:cs="Arial" w:eastAsia="Arial" w:hAnsi="Arial"/>
          <w:sz w:val="17"/>
          <w:szCs w:val="17"/>
          <w:color w:val="auto"/>
        </w:rPr>
      </w:pPr>
    </w:p>
    <w:p>
      <w:pPr>
        <w:ind w:left="1160" w:hanging="575"/>
        <w:spacing w:after="0"/>
        <w:tabs>
          <w:tab w:leader="none" w:pos="11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Recognize revenue</w:t>
      </w:r>
    </w:p>
    <w:p>
      <w:pPr>
        <w:spacing w:after="0" w:line="180" w:lineRule="exact"/>
        <w:rPr>
          <w:sz w:val="20"/>
          <w:szCs w:val="20"/>
          <w:color w:val="auto"/>
        </w:rPr>
      </w:pPr>
    </w:p>
    <w:p>
      <w:pPr>
        <w:ind w:right="140" w:firstLine="589"/>
        <w:spacing w:after="0" w:line="241" w:lineRule="auto"/>
        <w:rPr>
          <w:sz w:val="20"/>
          <w:szCs w:val="20"/>
          <w:color w:val="auto"/>
        </w:rPr>
      </w:pPr>
      <w:r>
        <w:rPr>
          <w:rFonts w:ascii="Arial" w:cs="Arial" w:eastAsia="Arial" w:hAnsi="Arial"/>
          <w:sz w:val="17"/>
          <w:szCs w:val="17"/>
          <w:i w:val="1"/>
          <w:iCs w:val="1"/>
          <w:color w:val="auto"/>
        </w:rPr>
        <w:t>Contracts</w:t>
      </w:r>
      <w:r>
        <w:rPr>
          <w:rFonts w:ascii="Arial" w:cs="Arial" w:eastAsia="Arial" w:hAnsi="Arial"/>
          <w:sz w:val="17"/>
          <w:szCs w:val="17"/>
          <w:color w:val="auto"/>
        </w:rPr>
        <w:t>—Revenue is derived from long-term contracts with customers whereby the Company provides planning, design, engineering,</w:t>
      </w:r>
      <w:r>
        <w:rPr>
          <w:rFonts w:ascii="Arial" w:cs="Arial" w:eastAsia="Arial" w:hAnsi="Arial"/>
          <w:sz w:val="17"/>
          <w:szCs w:val="17"/>
          <w:i w:val="1"/>
          <w:iCs w:val="1"/>
          <w:color w:val="auto"/>
        </w:rPr>
        <w:t xml:space="preserve"> </w:t>
      </w:r>
      <w:r>
        <w:rPr>
          <w:rFonts w:ascii="Arial" w:cs="Arial" w:eastAsia="Arial" w:hAnsi="Arial"/>
          <w:sz w:val="17"/>
          <w:szCs w:val="17"/>
          <w:color w:val="auto"/>
        </w:rPr>
        <w:t>technical, and construction and program management services. The Company has contracts with the United States federal government that contain provisions requiring compliance with the United States Federal Acquisition Regulation (“FAR”) and the United States Cost Accounting Standards (“CAS”). These regulations are generally applicable to all of the Company’s federal government contracts and are partially or fully incorporated in some local and state agency contracts.</w:t>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160"/>
        <w:spacing w:after="0" w:line="242" w:lineRule="auto"/>
        <w:rPr>
          <w:sz w:val="20"/>
          <w:szCs w:val="20"/>
          <w:color w:val="auto"/>
        </w:rPr>
      </w:pPr>
      <w:r>
        <w:rPr>
          <w:rFonts w:ascii="Arial" w:cs="Arial" w:eastAsia="Arial" w:hAnsi="Arial"/>
          <w:sz w:val="17"/>
          <w:szCs w:val="17"/>
          <w:color w:val="auto"/>
        </w:rPr>
        <w:t>Most of the Company’s federal government contracts are subject to termination at the convenience of the client. These contracts typically provide for reimbursement of costs incurred and payment of fees earned through the date of such termination.</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Company enters into the following types of contracts with its customers:</w:t>
      </w:r>
    </w:p>
    <w:p>
      <w:pPr>
        <w:spacing w:after="0" w:line="198" w:lineRule="exact"/>
        <w:rPr>
          <w:sz w:val="20"/>
          <w:szCs w:val="20"/>
          <w:color w:val="auto"/>
        </w:rPr>
      </w:pPr>
    </w:p>
    <w:p>
      <w:pPr>
        <w:jc w:val="both"/>
        <w:ind w:right="20" w:firstLine="589"/>
        <w:spacing w:after="0" w:line="237" w:lineRule="auto"/>
        <w:rPr>
          <w:sz w:val="20"/>
          <w:szCs w:val="20"/>
          <w:color w:val="auto"/>
        </w:rPr>
      </w:pPr>
      <w:r>
        <w:rPr>
          <w:rFonts w:ascii="Arial" w:cs="Arial" w:eastAsia="Arial" w:hAnsi="Arial"/>
          <w:sz w:val="17"/>
          <w:szCs w:val="17"/>
          <w:color w:val="auto"/>
        </w:rPr>
        <w:t>Cost-Plus—Under cost-plus contracts, the Company is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w:t>
      </w:r>
    </w:p>
    <w:p>
      <w:pPr>
        <w:spacing w:after="0" w:line="191" w:lineRule="exact"/>
        <w:rPr>
          <w:sz w:val="20"/>
          <w:szCs w:val="20"/>
          <w:color w:val="auto"/>
        </w:rPr>
      </w:pPr>
    </w:p>
    <w:p>
      <w:pPr>
        <w:jc w:val="both"/>
        <w:ind w:right="220" w:firstLine="589"/>
        <w:spacing w:after="0" w:line="238" w:lineRule="auto"/>
        <w:rPr>
          <w:sz w:val="20"/>
          <w:szCs w:val="20"/>
          <w:color w:val="auto"/>
        </w:rPr>
      </w:pPr>
      <w:r>
        <w:rPr>
          <w:rFonts w:ascii="Arial" w:cs="Arial" w:eastAsia="Arial" w:hAnsi="Arial"/>
          <w:sz w:val="17"/>
          <w:szCs w:val="17"/>
          <w:color w:val="auto"/>
        </w:rPr>
        <w:t>Time-and-Materials—Under time-and-materials contracts, hourly billing rates are negotiated and charged to clients based on the actual time spent on a project. In certain cases, these contracts may be subject to maximum contract values. In addition, clients reimburse actual out-of-pocket costs for materials and other direct incidental expenditures that are incurred in connection with the performance under the contract.</w:t>
      </w:r>
    </w:p>
    <w:p>
      <w:pPr>
        <w:spacing w:after="0" w:line="192" w:lineRule="exact"/>
        <w:rPr>
          <w:sz w:val="20"/>
          <w:szCs w:val="20"/>
          <w:color w:val="auto"/>
        </w:rPr>
      </w:pPr>
    </w:p>
    <w:p>
      <w:pPr>
        <w:ind w:right="20" w:firstLine="589"/>
        <w:spacing w:after="0" w:line="242" w:lineRule="auto"/>
        <w:rPr>
          <w:sz w:val="20"/>
          <w:szCs w:val="20"/>
          <w:color w:val="auto"/>
        </w:rPr>
      </w:pPr>
      <w:r>
        <w:rPr>
          <w:rFonts w:ascii="Arial" w:cs="Arial" w:eastAsia="Arial" w:hAnsi="Arial"/>
          <w:sz w:val="17"/>
          <w:szCs w:val="17"/>
          <w:color w:val="auto"/>
        </w:rPr>
        <w:t>Fixed-Price—The Company enters into two types of fixed-price contracts: firm fixed-price (“FFP”) and fixed-price per unit (“FPPU”). Under FFP contracts, clients pay an agreed fixed-amount negotiated in advance for a specified scope of work.</w:t>
      </w:r>
    </w:p>
    <w:p>
      <w:pPr>
        <w:spacing w:after="0" w:line="171" w:lineRule="exact"/>
        <w:rPr>
          <w:sz w:val="20"/>
          <w:szCs w:val="20"/>
          <w:color w:val="auto"/>
        </w:rPr>
      </w:pPr>
    </w:p>
    <w:p>
      <w:pPr>
        <w:jc w:val="both"/>
        <w:ind w:right="120" w:firstLine="589"/>
        <w:spacing w:after="0" w:line="252" w:lineRule="auto"/>
        <w:rPr>
          <w:sz w:val="20"/>
          <w:szCs w:val="20"/>
          <w:color w:val="auto"/>
        </w:rPr>
      </w:pPr>
      <w:r>
        <w:rPr>
          <w:rFonts w:ascii="Arial" w:cs="Arial" w:eastAsia="Arial" w:hAnsi="Arial"/>
          <w:sz w:val="16"/>
          <w:szCs w:val="16"/>
          <w:i w:val="1"/>
          <w:iCs w:val="1"/>
          <w:color w:val="auto"/>
        </w:rPr>
        <w:t>Contract Costs</w:t>
      </w:r>
      <w:r>
        <w:rPr>
          <w:rFonts w:ascii="Arial" w:cs="Arial" w:eastAsia="Arial" w:hAnsi="Arial"/>
          <w:sz w:val="16"/>
          <w:szCs w:val="16"/>
          <w:color w:val="auto"/>
        </w:rPr>
        <w:t>—Contract costs consist of direct costs on contracts, including labor and materials, amounts payable to subcontractors, direct</w:t>
      </w:r>
      <w:r>
        <w:rPr>
          <w:rFonts w:ascii="Arial" w:cs="Arial" w:eastAsia="Arial" w:hAnsi="Arial"/>
          <w:sz w:val="16"/>
          <w:szCs w:val="16"/>
          <w:i w:val="1"/>
          <w:iCs w:val="1"/>
          <w:color w:val="auto"/>
        </w:rPr>
        <w:t xml:space="preserve"> </w:t>
      </w:r>
      <w:r>
        <w:rPr>
          <w:rFonts w:ascii="Arial" w:cs="Arial" w:eastAsia="Arial" w:hAnsi="Arial"/>
          <w:sz w:val="16"/>
          <w:szCs w:val="16"/>
          <w:color w:val="auto"/>
        </w:rPr>
        <w:t>overhead costs and equipment expense (primarily depreciation, fuel, maintenance and repairs). All contract costs are recorded as incurred. Changes to estimated contract costs, either due to unexpected events or revisions to management’s initial estimates, for a given project are recognized in the period in which they are determined. Pre-contract costs are expensed as incurred unless they are expected to be recovered from the client, generate or enhance resources that will be used in satisfying performance obligations in the future and directly relate to an existing or anticipated contract.</w:t>
      </w:r>
    </w:p>
    <w:p>
      <w:pPr>
        <w:spacing w:after="0" w:line="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Costs to mobilize equipment and labor to a job site, prior to substantive work beginning (“mobilization costs”) are capitalized as incurred and amortized over the expected duration of the contract. Additionally, the Company may incur incremental costs to obtain certain contracts, such as selling and market costs, bid and proposal costs, sales commissions, and legal fees, certain of which can be capitalized if they are recoverable under the contract. Capitalized contract costs are included in other current assets on the consolidated balance sheets and were not material as of December 31, 2021 and December 31, 2020.</w:t>
      </w:r>
    </w:p>
    <w:p>
      <w:pPr>
        <w:spacing w:after="0" w:line="175" w:lineRule="exact"/>
        <w:rPr>
          <w:sz w:val="20"/>
          <w:szCs w:val="20"/>
          <w:color w:val="auto"/>
        </w:rPr>
      </w:pPr>
    </w:p>
    <w:p>
      <w:pPr>
        <w:ind w:right="60" w:firstLine="589"/>
        <w:spacing w:after="0" w:line="236" w:lineRule="auto"/>
        <w:rPr>
          <w:sz w:val="20"/>
          <w:szCs w:val="20"/>
          <w:color w:val="auto"/>
        </w:rPr>
      </w:pPr>
      <w:r>
        <w:rPr>
          <w:rFonts w:ascii="Arial" w:cs="Arial" w:eastAsia="Arial" w:hAnsi="Arial"/>
          <w:sz w:val="17"/>
          <w:szCs w:val="17"/>
          <w:i w:val="1"/>
          <w:iCs w:val="1"/>
          <w:color w:val="auto"/>
        </w:rPr>
        <w:t>Performance Obligations</w:t>
      </w:r>
      <w:r>
        <w:rPr>
          <w:rFonts w:ascii="Arial" w:cs="Arial" w:eastAsia="Arial" w:hAnsi="Arial"/>
          <w:sz w:val="17"/>
          <w:szCs w:val="17"/>
          <w:color w:val="auto"/>
        </w:rPr>
        <w:t>—A performance obligation is a promise in a contract to transfer a distinct good or service to the customer and is the</w:t>
      </w:r>
      <w:r>
        <w:rPr>
          <w:rFonts w:ascii="Arial" w:cs="Arial" w:eastAsia="Arial" w:hAnsi="Arial"/>
          <w:sz w:val="17"/>
          <w:szCs w:val="17"/>
          <w:i w:val="1"/>
          <w:iCs w:val="1"/>
          <w:color w:val="auto"/>
        </w:rPr>
        <w:t xml:space="preserve"> </w:t>
      </w:r>
      <w:r>
        <w:rPr>
          <w:rFonts w:ascii="Arial" w:cs="Arial" w:eastAsia="Arial" w:hAnsi="Arial"/>
          <w:sz w:val="17"/>
          <w:szCs w:val="17"/>
          <w:color w:val="auto"/>
        </w:rPr>
        <w:t>unit of account in ASC 606. The transaction price of a contract is allocated to each distinct performance obligation and recognized as revenue when, or as, the performance obligation is satisfied. To the extent a contract is deemed to have multiple performance obligations, the Company allocates the transaction price of the contract to each performance obligation using our best estimate of the standalone selling price of each distinct good or service in the contract. The Company determines the relative standalone selling price utilizing observable prices for the sale of the underlying goods or services. Contracts are considered to have a single performance obligation if the promise to transfer the individual goods or services is not separately identifiable from other promises in the contracts or is not distinct in the context of the contract, which is mainly because the Company provides a significant service of integrating a complex set of tasks and components into a single project or capability. Engineering and construction contracts are generally accounted for as a single performance obligation while our engineering and construction supervision contracts are accounted for as two separate performance obligations. When providing construction supervision services, the Company is not liable for the construction of the asset, but has an overall responsibility to oversee, coordinate, measure, and evaluate the quality of construction work and the performance of the construction contractor on behalf of the customer. Customers are generally billed as the Company satisfies its performance obligations and payment terms typically range from 30 to 120 days from the invoice date. Billings under certain fixed-price contracts may be based upon the achievement of specified milestones, while some arrangements may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require advance customer payment. The Company’s contracts generally do not include a significant financing component.</w:t>
      </w:r>
    </w:p>
    <w:p>
      <w:pPr>
        <w:spacing w:after="0" w:line="180" w:lineRule="exact"/>
        <w:rPr>
          <w:sz w:val="20"/>
          <w:szCs w:val="20"/>
          <w:color w:val="auto"/>
        </w:rPr>
      </w:pPr>
    </w:p>
    <w:p>
      <w:pPr>
        <w:ind w:right="20" w:firstLine="589"/>
        <w:spacing w:after="0" w:line="236" w:lineRule="auto"/>
        <w:rPr>
          <w:sz w:val="20"/>
          <w:szCs w:val="20"/>
          <w:color w:val="auto"/>
        </w:rPr>
      </w:pPr>
      <w:r>
        <w:rPr>
          <w:rFonts w:ascii="Arial" w:cs="Arial" w:eastAsia="Arial" w:hAnsi="Arial"/>
          <w:sz w:val="17"/>
          <w:szCs w:val="17"/>
          <w:i w:val="1"/>
          <w:iCs w:val="1"/>
          <w:color w:val="auto"/>
        </w:rPr>
        <w:t>Variable Consideration</w:t>
      </w:r>
      <w:r>
        <w:rPr>
          <w:rFonts w:ascii="Arial" w:cs="Arial" w:eastAsia="Arial" w:hAnsi="Arial"/>
          <w:sz w:val="17"/>
          <w:szCs w:val="17"/>
          <w:color w:val="auto"/>
        </w:rPr>
        <w:t>—The transaction price for the Company’s contracts may include variable consideration, which includes increases to</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price for approved and unpriced change orders, claims and incentives, and reductions to transaction price for liquidated damages. Change orders, claims and incentives are generally not distinct from the existing contract due to the significant integration service provided in the context of the contract and are accounted for as a modification of the existing contract and performance obligation. The Company estimates variable consideration for a performance obligation utilizing one of the two prescribed methods, depending on which method better predicts the amount of consideration to which the Company will be entitled (or the amount the Company expects to incur in the case of liquidated damages). Such methods are: (a) the expected value method, whereby the amount of variable consideration to be recognized represents the sum of probability weighted amounts in a range of possible consideration amounts, and (b) the most likely amount method, whereby the amount of variable consideration to be recognized represents the single most likely amount in a range of possible consideration amounts. When applying these methods, the Company considers all information that is reasonably available, including historical, current and estimates of future performance. The expected value method is utilized in situations where a contract contains a large number of possible outcomes, while the most likely amount method is utilized in situations where a contract has only two possible outcomes.</w:t>
      </w:r>
    </w:p>
    <w:p>
      <w:pPr>
        <w:spacing w:after="0" w:line="196" w:lineRule="exact"/>
        <w:rPr>
          <w:sz w:val="20"/>
          <w:szCs w:val="20"/>
          <w:color w:val="auto"/>
        </w:rPr>
      </w:pPr>
    </w:p>
    <w:p>
      <w:pPr>
        <w:ind w:firstLine="589"/>
        <w:spacing w:after="0" w:line="236" w:lineRule="auto"/>
        <w:rPr>
          <w:sz w:val="20"/>
          <w:szCs w:val="20"/>
          <w:color w:val="auto"/>
        </w:rPr>
      </w:pPr>
      <w:r>
        <w:rPr>
          <w:rFonts w:ascii="Arial" w:cs="Arial" w:eastAsia="Arial" w:hAnsi="Arial"/>
          <w:sz w:val="17"/>
          <w:szCs w:val="17"/>
          <w:color w:val="auto"/>
        </w:rPr>
        <w:t>The Company includes variable consideration in the estimated transaction price to the extent it is probable that a significant reversal of cumulative revenue recognized will not occur or when the uncertainty associated with the variable consideration is resolved. The Company’s estimates of variable consideration and determination of whether to include estimated amounts in transaction price are based largely on an assessment of anticipated performance and all information (historical, current and forecasted) that is reasonably available. The effect of variable consideration on the transaction price of a performance obligation is recognized as an adjustment to revenue on a cumulative catch-up basis.</w:t>
      </w:r>
    </w:p>
    <w:p>
      <w:pPr>
        <w:spacing w:after="0" w:line="175" w:lineRule="exact"/>
        <w:rPr>
          <w:sz w:val="20"/>
          <w:szCs w:val="20"/>
          <w:color w:val="auto"/>
        </w:rPr>
      </w:pPr>
    </w:p>
    <w:p>
      <w:pPr>
        <w:ind w:right="80" w:firstLine="589"/>
        <w:spacing w:after="0" w:line="237" w:lineRule="auto"/>
        <w:rPr>
          <w:sz w:val="20"/>
          <w:szCs w:val="20"/>
          <w:color w:val="auto"/>
        </w:rPr>
      </w:pPr>
      <w:r>
        <w:rPr>
          <w:rFonts w:ascii="Arial" w:cs="Arial" w:eastAsia="Arial" w:hAnsi="Arial"/>
          <w:sz w:val="17"/>
          <w:szCs w:val="17"/>
          <w:i w:val="1"/>
          <w:iCs w:val="1"/>
          <w:color w:val="auto"/>
        </w:rPr>
        <w:t>Change Orders</w:t>
      </w:r>
      <w:r>
        <w:rPr>
          <w:rFonts w:ascii="Arial" w:cs="Arial" w:eastAsia="Arial" w:hAnsi="Arial"/>
          <w:sz w:val="17"/>
          <w:szCs w:val="17"/>
          <w:color w:val="auto"/>
        </w:rPr>
        <w:t>—Change orders, which are a normal and recurring part of business, may include changes in specifications or design, manner</w:t>
      </w:r>
      <w:r>
        <w:rPr>
          <w:rFonts w:ascii="Arial" w:cs="Arial" w:eastAsia="Arial" w:hAnsi="Arial"/>
          <w:sz w:val="17"/>
          <w:szCs w:val="17"/>
          <w:i w:val="1"/>
          <w:iCs w:val="1"/>
          <w:color w:val="auto"/>
        </w:rPr>
        <w:t xml:space="preserve"> </w:t>
      </w:r>
      <w:r>
        <w:rPr>
          <w:rFonts w:ascii="Arial" w:cs="Arial" w:eastAsia="Arial" w:hAnsi="Arial"/>
          <w:sz w:val="17"/>
          <w:szCs w:val="17"/>
          <w:color w:val="auto"/>
        </w:rPr>
        <w:t>of performance, facilities, equipment, materials, sites and period of completion of the work. The Company or customer may initiate change orders. Most change orders are not distinct from the existing contract and are accounted for as part of that existing contract. The effect of a change order on the transaction price and measure of progress for the performance obligation to which it relates is recognized as an adjustment to revenues (either as an increase in or a reduction of revenues) on a cumulative catch-up basis. Revenues from unpriced change orders are recognized to the extent of the amounts the Company expects to recover, consistent with the variable consideration policy discussed above. If it is probable that a reversal of revenues will occur, the costs attributable to change orders are treated as contract costs without incremental revenues. To the extent change orders included in the price are not resolved in the Company’s favor, there could be reductions in, or reversals of previously reported amounts of, revenues and profits, and charges against current earnings, which could be material.</w:t>
      </w:r>
    </w:p>
    <w:p>
      <w:pPr>
        <w:spacing w:after="0" w:line="177" w:lineRule="exact"/>
        <w:rPr>
          <w:sz w:val="20"/>
          <w:szCs w:val="20"/>
          <w:color w:val="auto"/>
        </w:rPr>
      </w:pPr>
    </w:p>
    <w:p>
      <w:pPr>
        <w:ind w:right="120" w:firstLine="589"/>
        <w:spacing w:after="0" w:line="238" w:lineRule="auto"/>
        <w:rPr>
          <w:sz w:val="20"/>
          <w:szCs w:val="20"/>
          <w:color w:val="auto"/>
        </w:rPr>
      </w:pPr>
      <w:r>
        <w:rPr>
          <w:rFonts w:ascii="Arial" w:cs="Arial" w:eastAsia="Arial" w:hAnsi="Arial"/>
          <w:sz w:val="17"/>
          <w:szCs w:val="17"/>
          <w:i w:val="1"/>
          <w:iCs w:val="1"/>
          <w:color w:val="auto"/>
        </w:rPr>
        <w:t>Claims Revenue</w:t>
      </w:r>
      <w:r>
        <w:rPr>
          <w:rFonts w:ascii="Arial" w:cs="Arial" w:eastAsia="Arial" w:hAnsi="Arial"/>
          <w:sz w:val="17"/>
          <w:szCs w:val="17"/>
          <w:color w:val="auto"/>
        </w:rPr>
        <w:t>—Claims revenue are amounts in excess of agreed contract prices that the Company seeks to collect from clients or others</w:t>
      </w:r>
      <w:r>
        <w:rPr>
          <w:rFonts w:ascii="Arial" w:cs="Arial" w:eastAsia="Arial" w:hAnsi="Arial"/>
          <w:sz w:val="17"/>
          <w:szCs w:val="17"/>
          <w:i w:val="1"/>
          <w:iCs w:val="1"/>
          <w:color w:val="auto"/>
        </w:rPr>
        <w:t xml:space="preserve"> </w:t>
      </w:r>
      <w:r>
        <w:rPr>
          <w:rFonts w:ascii="Arial" w:cs="Arial" w:eastAsia="Arial" w:hAnsi="Arial"/>
          <w:sz w:val="17"/>
          <w:szCs w:val="17"/>
          <w:color w:val="auto"/>
        </w:rPr>
        <w:t>for customer-caused delays, errors in specifications and designs, contract terminations, change orders that are in dispute, or other causes of unanticipated additional contract costs, including factors outside of our control, and therefore the Company believes it is entitled to additional compensation. Claims revenue, when recorded, is only recorded to the extent it is probable that a significant reversal of cumulative revenue recognized will not occur. The Company includes certain claims in the transaction price when the claims are legally enforceable, the Company considers collection to be probable and believes it can reliably estimate the ultimate value. The Company continues to engage in negotiations with its customers on outstanding claims. However, these claims may be resolved at amounts that differ from current estimates, which could result in increases or decreases in future estimated contract profits or losses.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jc w:val="center"/>
        <w:ind w:right="-19"/>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400" w:lineRule="exact"/>
        <w:rPr>
          <w:sz w:val="20"/>
          <w:szCs w:val="20"/>
          <w:color w:val="auto"/>
        </w:rPr>
      </w:pPr>
    </w:p>
    <w:p>
      <w:pPr>
        <w:ind w:right="120" w:firstLine="589"/>
        <w:spacing w:after="0" w:line="243" w:lineRule="auto"/>
        <w:rPr>
          <w:sz w:val="20"/>
          <w:szCs w:val="20"/>
          <w:color w:val="auto"/>
        </w:rPr>
      </w:pPr>
      <w:r>
        <w:rPr>
          <w:rFonts w:ascii="Arial" w:cs="Arial" w:eastAsia="Arial" w:hAnsi="Arial"/>
          <w:sz w:val="17"/>
          <w:szCs w:val="17"/>
          <w:i w:val="1"/>
          <w:iCs w:val="1"/>
          <w:color w:val="auto"/>
        </w:rPr>
        <w:t>Warranties</w:t>
      </w:r>
      <w:r>
        <w:rPr>
          <w:rFonts w:ascii="Arial" w:cs="Arial" w:eastAsia="Arial" w:hAnsi="Arial"/>
          <w:sz w:val="17"/>
          <w:szCs w:val="17"/>
          <w:color w:val="auto"/>
        </w:rPr>
        <w:t>—In most cases, contracts include assurance-type warranties that the Company’s performance is free from material defect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consistent with the specifications of the Company’s contracts, which do not give rise to a separate performance obligation. To the extent the warranty terms provide the customer with an additional service, such as extended maintenance services, such warranty is accounted for as a separate performance obligation.</w:t>
      </w:r>
    </w:p>
    <w:p>
      <w:pPr>
        <w:spacing w:after="0" w:line="172" w:lineRule="exact"/>
        <w:rPr>
          <w:sz w:val="20"/>
          <w:szCs w:val="20"/>
          <w:color w:val="auto"/>
        </w:rPr>
      </w:pPr>
    </w:p>
    <w:p>
      <w:pPr>
        <w:ind w:right="20" w:firstLine="589"/>
        <w:spacing w:after="0" w:line="236" w:lineRule="auto"/>
        <w:rPr>
          <w:sz w:val="20"/>
          <w:szCs w:val="20"/>
          <w:color w:val="auto"/>
        </w:rPr>
      </w:pPr>
      <w:r>
        <w:rPr>
          <w:rFonts w:ascii="Arial" w:cs="Arial" w:eastAsia="Arial" w:hAnsi="Arial"/>
          <w:sz w:val="17"/>
          <w:szCs w:val="17"/>
          <w:i w:val="1"/>
          <w:iCs w:val="1"/>
          <w:color w:val="auto"/>
        </w:rPr>
        <w:t>Revenue recognized over time</w:t>
      </w:r>
      <w:r>
        <w:rPr>
          <w:rFonts w:ascii="Arial" w:cs="Arial" w:eastAsia="Arial" w:hAnsi="Arial"/>
          <w:sz w:val="17"/>
          <w:szCs w:val="17"/>
          <w:color w:val="auto"/>
        </w:rPr>
        <w:t>—The Company’s performance obligations are generally satisfied over time as work progresses because of</w:t>
      </w:r>
      <w:r>
        <w:rPr>
          <w:rFonts w:ascii="Arial" w:cs="Arial" w:eastAsia="Arial" w:hAnsi="Arial"/>
          <w:sz w:val="17"/>
          <w:szCs w:val="17"/>
          <w:i w:val="1"/>
          <w:iCs w:val="1"/>
          <w:color w:val="auto"/>
        </w:rPr>
        <w:t xml:space="preserve"> </w:t>
      </w:r>
      <w:r>
        <w:rPr>
          <w:rFonts w:ascii="Arial" w:cs="Arial" w:eastAsia="Arial" w:hAnsi="Arial"/>
          <w:sz w:val="17"/>
          <w:szCs w:val="17"/>
          <w:color w:val="auto"/>
        </w:rPr>
        <w:t>continuous transfer of control to the customer and the Company has the right to bill the customer as costs are incurred. Typically, revenue is recognized over time using an input measure (i.e. costs incurred to date relative to total estimated costs at completion) to measure progress. The Company generally uses the cost-to-cost measure of progress method because it best depicts the transfer of control to the customer which occurs as the Company incurs costs on its contracts. Under the cost-to-cost measure of progress method, the extent of progress towards completion is measured based on the ratio of total costs incurred to-date to the total estimated costs at completion of the performance obligation. Revenues, including estimated fees or profits, are recorded proportionally as costs are incurred. Any expected losses on construction-type contracts in progress are charged to earnings, in total, in the period the losses are identified. The Company recognizes adjustments in estimated profit on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If at any time the estimate of contract profitability indicates an anticipated loss on the contract, the Company recognizes the total loss in the period it is identified.</w:t>
      </w:r>
    </w:p>
    <w:p>
      <w:pPr>
        <w:spacing w:after="0" w:line="180" w:lineRule="exact"/>
        <w:rPr>
          <w:sz w:val="20"/>
          <w:szCs w:val="20"/>
          <w:color w:val="auto"/>
        </w:rPr>
      </w:pPr>
    </w:p>
    <w:p>
      <w:pPr>
        <w:ind w:right="20" w:firstLine="589"/>
        <w:spacing w:after="0" w:line="264" w:lineRule="auto"/>
        <w:rPr>
          <w:sz w:val="20"/>
          <w:szCs w:val="20"/>
          <w:color w:val="auto"/>
        </w:rPr>
      </w:pPr>
      <w:r>
        <w:rPr>
          <w:rFonts w:ascii="Arial" w:cs="Arial" w:eastAsia="Arial" w:hAnsi="Arial"/>
          <w:sz w:val="16"/>
          <w:szCs w:val="16"/>
          <w:i w:val="1"/>
          <w:iCs w:val="1"/>
          <w:color w:val="auto"/>
        </w:rPr>
        <w:t>Right to invoice practical expedient</w:t>
      </w:r>
      <w:r>
        <w:rPr>
          <w:rFonts w:ascii="Arial" w:cs="Arial" w:eastAsia="Arial" w:hAnsi="Arial"/>
          <w:sz w:val="16"/>
          <w:szCs w:val="16"/>
          <w:color w:val="auto"/>
        </w:rPr>
        <w:t>—For performance obligations satisfied over time where the Company has a right to consideration from a</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in an amount that corresponds directly with the value of the Company’s performance to-date, the Company recognizes revenue in the amount to which it has a right to invoice. For the Company’s reimbursable services contracts, revenue is recognized using the right to invoice practical expedient, or on a cost-to-cost measure of progress method. The Company will select the method that best represents progress on a project.</w:t>
      </w:r>
    </w:p>
    <w:p>
      <w:pPr>
        <w:spacing w:after="0" w:line="154" w:lineRule="exact"/>
        <w:rPr>
          <w:sz w:val="20"/>
          <w:szCs w:val="20"/>
          <w:color w:val="auto"/>
        </w:rPr>
      </w:pPr>
    </w:p>
    <w:p>
      <w:pPr>
        <w:ind w:right="120" w:firstLine="589"/>
        <w:spacing w:after="0" w:line="243" w:lineRule="auto"/>
        <w:rPr>
          <w:sz w:val="20"/>
          <w:szCs w:val="20"/>
          <w:color w:val="auto"/>
        </w:rPr>
      </w:pPr>
      <w:r>
        <w:rPr>
          <w:rFonts w:ascii="Arial" w:cs="Arial" w:eastAsia="Arial" w:hAnsi="Arial"/>
          <w:sz w:val="17"/>
          <w:szCs w:val="17"/>
          <w:i w:val="1"/>
          <w:iCs w:val="1"/>
          <w:color w:val="auto"/>
        </w:rPr>
        <w:t>Revenue recognized at a point in time</w:t>
      </w:r>
      <w:r>
        <w:rPr>
          <w:rFonts w:ascii="Arial" w:cs="Arial" w:eastAsia="Arial" w:hAnsi="Arial"/>
          <w:sz w:val="17"/>
          <w:szCs w:val="17"/>
          <w:color w:val="auto"/>
        </w:rPr>
        <w:t>—For performance obligations satisfied at a point in time, revenue is recognized when the services are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performed, control is transferred, and the performance obligation is complete. The Company recognizes revenue at a point in time for vehicle inspection services. Revenue related to the inspection service is recognized for each vehicle inspection at the point the Company has completed the inspection.</w:t>
      </w:r>
    </w:p>
    <w:p>
      <w:pPr>
        <w:spacing w:after="0" w:line="190" w:lineRule="exact"/>
        <w:rPr>
          <w:sz w:val="20"/>
          <w:szCs w:val="20"/>
          <w:color w:val="auto"/>
        </w:rPr>
      </w:pPr>
    </w:p>
    <w:p>
      <w:pPr>
        <w:ind w:firstLine="589"/>
        <w:spacing w:after="0" w:line="237" w:lineRule="auto"/>
        <w:rPr>
          <w:sz w:val="20"/>
          <w:szCs w:val="20"/>
          <w:color w:val="auto"/>
        </w:rPr>
      </w:pPr>
      <w:r>
        <w:rPr>
          <w:rFonts w:ascii="Arial" w:cs="Arial" w:eastAsia="Arial" w:hAnsi="Arial"/>
          <w:sz w:val="17"/>
          <w:szCs w:val="17"/>
          <w:color w:val="auto"/>
        </w:rPr>
        <w:t>In the Company’s industry, recognition of profit on long-term contracts requires the use of assumptions and estimates related to total contract revenue and in particular estimated claims revenue, total estimated cost at completion, and the measurement of progress towards completion. Estimates are continually evaluated as work progresses and are revised when necessary. When a change in estimate is determined to have an impact on contract profit, the Company records a positive or negative adjustment to the consolidated statements of income.</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Cash Equivalents</w:t>
      </w:r>
    </w:p>
    <w:p>
      <w:pPr>
        <w:spacing w:after="0" w:line="116" w:lineRule="exact"/>
        <w:rPr>
          <w:sz w:val="20"/>
          <w:szCs w:val="20"/>
          <w:color w:val="auto"/>
        </w:rPr>
      </w:pPr>
    </w:p>
    <w:p>
      <w:pPr>
        <w:ind w:firstLine="589"/>
        <w:spacing w:after="0" w:line="238" w:lineRule="auto"/>
        <w:rPr>
          <w:sz w:val="20"/>
          <w:szCs w:val="20"/>
          <w:color w:val="auto"/>
        </w:rPr>
      </w:pPr>
      <w:r>
        <w:rPr>
          <w:rFonts w:ascii="Arial" w:cs="Arial" w:eastAsia="Arial" w:hAnsi="Arial"/>
          <w:sz w:val="17"/>
          <w:szCs w:val="17"/>
          <w:color w:val="auto"/>
        </w:rPr>
        <w:t>The Company considers all highly liquid investments with original maturities of less than three months to be cash equivalents. Cash equivalent investments are carried at cost, which approximates fair value, and consist primarily of United States Treasuries, time deposits, and other forms of short-term fixed income investments.</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Restricted Cash and Investments</w:t>
      </w:r>
    </w:p>
    <w:p>
      <w:pPr>
        <w:spacing w:after="0" w:line="11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Restricted cash and investments held in trust accounts represent collateral for certain incentive programs.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jc w:val="center"/>
        <w:ind w:right="-19"/>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398"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Accounts Receivable, Net</w:t>
      </w:r>
    </w:p>
    <w:p>
      <w:pPr>
        <w:spacing w:after="0" w:line="116" w:lineRule="exact"/>
        <w:rPr>
          <w:sz w:val="20"/>
          <w:szCs w:val="20"/>
          <w:color w:val="auto"/>
        </w:rPr>
      </w:pPr>
    </w:p>
    <w:p>
      <w:pPr>
        <w:ind w:right="1020" w:firstLine="589"/>
        <w:spacing w:after="0" w:line="242" w:lineRule="auto"/>
        <w:rPr>
          <w:sz w:val="20"/>
          <w:szCs w:val="20"/>
          <w:color w:val="auto"/>
        </w:rPr>
      </w:pPr>
      <w:r>
        <w:rPr>
          <w:rFonts w:ascii="Arial" w:cs="Arial" w:eastAsia="Arial" w:hAnsi="Arial"/>
          <w:sz w:val="17"/>
          <w:szCs w:val="17"/>
          <w:color w:val="auto"/>
        </w:rPr>
        <w:t>Accounts receivable includes billed and unbilled amounts and are recognized in the period when the Company’s rights to receive consideration are unconditional.</w:t>
      </w:r>
    </w:p>
    <w:p>
      <w:pPr>
        <w:spacing w:after="0" w:line="189" w:lineRule="exact"/>
        <w:rPr>
          <w:sz w:val="20"/>
          <w:szCs w:val="20"/>
          <w:color w:val="auto"/>
        </w:rPr>
      </w:pPr>
    </w:p>
    <w:p>
      <w:pPr>
        <w:ind w:right="280" w:firstLine="589"/>
        <w:spacing w:after="0" w:line="237" w:lineRule="auto"/>
        <w:rPr>
          <w:sz w:val="20"/>
          <w:szCs w:val="20"/>
          <w:color w:val="auto"/>
        </w:rPr>
      </w:pPr>
      <w:r>
        <w:rPr>
          <w:rFonts w:ascii="Arial" w:cs="Arial" w:eastAsia="Arial" w:hAnsi="Arial"/>
          <w:sz w:val="17"/>
          <w:szCs w:val="17"/>
          <w:color w:val="auto"/>
        </w:rPr>
        <w:t>The Company establishes an allowance for doubtful accounts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 Past due receivable balances are written off when internal collection efforts have been unsuccessful in collecting the amounts due.</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Contract Assets and Contract Liabilities</w:t>
      </w:r>
    </w:p>
    <w:p>
      <w:pPr>
        <w:spacing w:after="0" w:line="218" w:lineRule="exact"/>
        <w:rPr>
          <w:sz w:val="20"/>
          <w:szCs w:val="20"/>
          <w:color w:val="auto"/>
        </w:rPr>
      </w:pPr>
    </w:p>
    <w:p>
      <w:pPr>
        <w:ind w:firstLine="589"/>
        <w:spacing w:after="0" w:line="236" w:lineRule="auto"/>
        <w:rPr>
          <w:sz w:val="20"/>
          <w:szCs w:val="20"/>
          <w:color w:val="auto"/>
        </w:rPr>
      </w:pPr>
      <w:r>
        <w:rPr>
          <w:rFonts w:ascii="Arial" w:cs="Arial" w:eastAsia="Arial" w:hAnsi="Arial"/>
          <w:sz w:val="17"/>
          <w:szCs w:val="17"/>
          <w:color w:val="auto"/>
        </w:rPr>
        <w:t>Projects with performance obligations recognized over time that have revenue recognized to-date in excess of cumulative billings and unbilled accounts receivable are reported on our consolidated balance sheets as “Contract assets”. Contract retentions, included in contract assets, represent amounts withheld by clients, in accordance with underlying contract terms, until certain conditions are met or the project is completed. The operating cycle for certain long-term contracts may extend beyond one year, and, accordingly, collection of retainage on those contracts may extend beyond one year. Contract assets are reclassified to accounts receivable when the right to consideration becomes unconditional.</w:t>
      </w:r>
    </w:p>
    <w:p>
      <w:pPr>
        <w:spacing w:after="0" w:line="193" w:lineRule="exact"/>
        <w:rPr>
          <w:sz w:val="20"/>
          <w:szCs w:val="20"/>
          <w:color w:val="auto"/>
        </w:rPr>
      </w:pPr>
    </w:p>
    <w:p>
      <w:pPr>
        <w:jc w:val="both"/>
        <w:ind w:right="60" w:firstLine="589"/>
        <w:spacing w:after="0" w:line="238" w:lineRule="auto"/>
        <w:rPr>
          <w:sz w:val="20"/>
          <w:szCs w:val="20"/>
          <w:color w:val="auto"/>
        </w:rPr>
      </w:pPr>
      <w:r>
        <w:rPr>
          <w:rFonts w:ascii="Arial" w:cs="Arial" w:eastAsia="Arial" w:hAnsi="Arial"/>
          <w:sz w:val="17"/>
          <w:szCs w:val="17"/>
          <w:color w:val="auto"/>
        </w:rPr>
        <w:t>Contract liabilities on uncompleted contracts represent the excess of cash collected from clients and billings to clients on contracts in advance of work performed over the amount of revenue recognized and provisions for losses. The majority of these amounts are expected to be earned within 12 months and are classified as current liabilities.</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Concentration of Credit Risk</w:t>
      </w:r>
    </w:p>
    <w:p>
      <w:pPr>
        <w:spacing w:after="0" w:line="116" w:lineRule="exact"/>
        <w:rPr>
          <w:sz w:val="20"/>
          <w:szCs w:val="20"/>
          <w:color w:val="auto"/>
        </w:rPr>
      </w:pPr>
    </w:p>
    <w:p>
      <w:pPr>
        <w:ind w:firstLine="589"/>
        <w:spacing w:after="0" w:line="238" w:lineRule="auto"/>
        <w:rPr>
          <w:sz w:val="20"/>
          <w:szCs w:val="20"/>
          <w:color w:val="auto"/>
        </w:rPr>
      </w:pPr>
      <w:r>
        <w:rPr>
          <w:rFonts w:ascii="Arial" w:cs="Arial" w:eastAsia="Arial" w:hAnsi="Arial"/>
          <w:sz w:val="17"/>
          <w:szCs w:val="17"/>
          <w:color w:val="auto"/>
        </w:rPr>
        <w:t>Financial instruments which potentially subject the Company to concentrations of credit risk consist primarily of cash and cash equivalents and accounts receivables. The Company’s cash is primarily held with major banks and financial institutions throughout the world. At times, cash balances may be in excess of the amount insured.</w:t>
      </w:r>
    </w:p>
    <w:p>
      <w:pPr>
        <w:spacing w:after="0" w:line="192" w:lineRule="exact"/>
        <w:rPr>
          <w:sz w:val="20"/>
          <w:szCs w:val="20"/>
          <w:color w:val="auto"/>
        </w:rPr>
      </w:pPr>
    </w:p>
    <w:p>
      <w:pPr>
        <w:ind w:right="120" w:firstLine="589"/>
        <w:spacing w:after="0" w:line="236" w:lineRule="auto"/>
        <w:rPr>
          <w:sz w:val="20"/>
          <w:szCs w:val="20"/>
          <w:color w:val="auto"/>
        </w:rPr>
      </w:pPr>
      <w:r>
        <w:rPr>
          <w:rFonts w:ascii="Arial" w:cs="Arial" w:eastAsia="Arial" w:hAnsi="Arial"/>
          <w:sz w:val="17"/>
          <w:szCs w:val="17"/>
          <w:color w:val="auto"/>
        </w:rPr>
        <w:t>The Company is involved in a significant volume of contracts with the United States federal government and state and local governments. Approximately 52%, 49%, and 48% of consolidated revenues for the years ended December 31, 2021, December 31, 2020 and December 31, 2019, respectively, and approximately 17% and 19% of accounts receivable as of December 31, 2021 and December 31, 2020, respectively, were derived from contracts with the United States federal government. No other customers represented 10% or more of consolidated revenues or accounts receivable in any of the periods presented.</w:t>
      </w:r>
    </w:p>
    <w:p>
      <w:pPr>
        <w:spacing w:after="0" w:line="193" w:lineRule="exact"/>
        <w:rPr>
          <w:sz w:val="20"/>
          <w:szCs w:val="20"/>
          <w:color w:val="auto"/>
        </w:rPr>
      </w:pPr>
    </w:p>
    <w:p>
      <w:pPr>
        <w:ind w:right="400" w:firstLine="589"/>
        <w:spacing w:after="0" w:line="242" w:lineRule="auto"/>
        <w:rPr>
          <w:sz w:val="20"/>
          <w:szCs w:val="20"/>
          <w:color w:val="auto"/>
        </w:rPr>
      </w:pPr>
      <w:r>
        <w:rPr>
          <w:rFonts w:ascii="Arial" w:cs="Arial" w:eastAsia="Arial" w:hAnsi="Arial"/>
          <w:sz w:val="17"/>
          <w:szCs w:val="17"/>
          <w:color w:val="auto"/>
        </w:rPr>
        <w:t>In order to mitigate the credit risk associated with customers, the Company performs periodic credit evaluations of its customers’ financial condition.</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Property and Equipment</w:t>
      </w:r>
    </w:p>
    <w:p>
      <w:pPr>
        <w:spacing w:after="0" w:line="116" w:lineRule="exact"/>
        <w:rPr>
          <w:sz w:val="20"/>
          <w:szCs w:val="20"/>
          <w:color w:val="auto"/>
        </w:rPr>
      </w:pPr>
    </w:p>
    <w:p>
      <w:pPr>
        <w:ind w:right="240" w:firstLine="589"/>
        <w:spacing w:after="0" w:line="238" w:lineRule="auto"/>
        <w:rPr>
          <w:sz w:val="20"/>
          <w:szCs w:val="20"/>
          <w:color w:val="auto"/>
        </w:rPr>
      </w:pPr>
      <w:r>
        <w:rPr>
          <w:rFonts w:ascii="Arial" w:cs="Arial" w:eastAsia="Arial" w:hAnsi="Arial"/>
          <w:sz w:val="17"/>
          <w:szCs w:val="17"/>
          <w:color w:val="auto"/>
        </w:rPr>
        <w:t>Property and equipment are stated at cost and are shown net of accumulated depreciation. Depreciation is computed using the straight-line method over the estimated useful lives of the assets. Depreciation of leasehold improvements is computed using the straight-line method over the shorter of their estimated useful lives or the remaining term of the lease.</w:t>
      </w:r>
    </w:p>
    <w:p>
      <w:pPr>
        <w:spacing w:after="0" w:line="192" w:lineRule="exact"/>
        <w:rPr>
          <w:sz w:val="20"/>
          <w:szCs w:val="20"/>
          <w:color w:val="auto"/>
        </w:rPr>
      </w:pPr>
    </w:p>
    <w:p>
      <w:pPr>
        <w:ind w:right="100" w:firstLine="589"/>
        <w:spacing w:after="0" w:line="237" w:lineRule="auto"/>
        <w:rPr>
          <w:sz w:val="20"/>
          <w:szCs w:val="20"/>
          <w:color w:val="auto"/>
        </w:rPr>
      </w:pPr>
      <w:r>
        <w:rPr>
          <w:rFonts w:ascii="Arial" w:cs="Arial" w:eastAsia="Arial" w:hAnsi="Arial"/>
          <w:sz w:val="17"/>
          <w:szCs w:val="17"/>
          <w:color w:val="auto"/>
        </w:rPr>
        <w:t>The cost of assets retired or otherwise disposed of and the related accumulated depreciation are eliminated from the accounts, and any gain or loss thereon is included in net income. Expenditures for maintenance and repairs are expensed as incurred. Property and equipment are reviewed for impairment when events or circumstances change that indicate they may not be recoverable. Impairment losses are recognized when estimated future cash flows expected to result from the use of the assets and their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jc w:val="center"/>
        <w:ind w:right="-19"/>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eventual disposition are less than their carrying amount, in which case the asset is written down to its fair value.</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Leases</w:t>
      </w:r>
    </w:p>
    <w:p>
      <w:pPr>
        <w:spacing w:after="0" w:line="243" w:lineRule="exact"/>
        <w:rPr>
          <w:sz w:val="20"/>
          <w:szCs w:val="20"/>
          <w:color w:val="auto"/>
        </w:rPr>
      </w:pPr>
    </w:p>
    <w:p>
      <w:pPr>
        <w:ind w:right="200" w:firstLine="702"/>
        <w:spacing w:after="0" w:line="245" w:lineRule="auto"/>
        <w:rPr>
          <w:sz w:val="20"/>
          <w:szCs w:val="20"/>
          <w:color w:val="auto"/>
        </w:rPr>
      </w:pPr>
      <w:r>
        <w:rPr>
          <w:rFonts w:ascii="Arial" w:cs="Arial" w:eastAsia="Arial" w:hAnsi="Arial"/>
          <w:sz w:val="17"/>
          <w:szCs w:val="17"/>
          <w:color w:val="auto"/>
        </w:rPr>
        <w:t>The Company determines if an arrangement is a lease at inception. Operating leases are included in operating lease ROU assets and current and long-term operating lease liabilities in the consolidated balance sheets. Finance leases are included in other noncurrent assets, accrued expenses and other current liabilities and other long-term liabilities in the consolidated balance sheets.</w:t>
      </w:r>
    </w:p>
    <w:p>
      <w:pPr>
        <w:spacing w:after="0" w:line="187" w:lineRule="exact"/>
        <w:rPr>
          <w:sz w:val="20"/>
          <w:szCs w:val="20"/>
          <w:color w:val="auto"/>
        </w:rPr>
      </w:pPr>
    </w:p>
    <w:p>
      <w:pPr>
        <w:ind w:firstLine="589"/>
        <w:spacing w:after="0" w:line="253" w:lineRule="auto"/>
        <w:rPr>
          <w:sz w:val="20"/>
          <w:szCs w:val="20"/>
          <w:color w:val="auto"/>
        </w:rPr>
      </w:pPr>
      <w:r>
        <w:rPr>
          <w:rFonts w:ascii="Arial" w:cs="Arial" w:eastAsia="Arial" w:hAnsi="Arial"/>
          <w:sz w:val="16"/>
          <w:szCs w:val="16"/>
          <w:color w:val="auto"/>
        </w:rPr>
        <w:t>ROU assets represent the Company’s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the Company’s leases do not provide an implicit rate, incremental borrowing rates are used based on the information available at commencement date in determining the present value of lease payments. The operating lease ROU asset also includes any lease payments made and excludes lease incentives. Lease terms may include options to extend or terminate the lease when it is reasonably certain that we will exercise that option. Lease expense for operating lease payments is recognized on a straight-line basis over the lease term.</w:t>
      </w:r>
    </w:p>
    <w:p>
      <w:pPr>
        <w:spacing w:after="0" w:line="180" w:lineRule="exact"/>
        <w:rPr>
          <w:sz w:val="20"/>
          <w:szCs w:val="20"/>
          <w:color w:val="auto"/>
        </w:rPr>
      </w:pPr>
    </w:p>
    <w:p>
      <w:pPr>
        <w:ind w:right="80" w:firstLine="589"/>
        <w:spacing w:after="0" w:line="237" w:lineRule="auto"/>
        <w:rPr>
          <w:sz w:val="20"/>
          <w:szCs w:val="20"/>
          <w:color w:val="auto"/>
        </w:rPr>
      </w:pPr>
      <w:r>
        <w:rPr>
          <w:rFonts w:ascii="Arial" w:cs="Arial" w:eastAsia="Arial" w:hAnsi="Arial"/>
          <w:sz w:val="17"/>
          <w:szCs w:val="17"/>
          <w:color w:val="auto"/>
        </w:rPr>
        <w:t>We have lease agreements with lease and non-lease components where the lease consideration is allocated between the components based on relative standalone prices. For real property leases, allocations of lease consideration between lease and non-lease components are immaterial. For certain equipment leases, such as vehicles, we account for the lease and non-lease components as a single lease component. Additionally, for certain equipment leases, we apply a portfolio approach to effectively account for the operating lease ROU assets and liabilities.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Equity-Based Compensation</w:t>
      </w:r>
    </w:p>
    <w:p>
      <w:pPr>
        <w:spacing w:after="0" w:line="116" w:lineRule="exact"/>
        <w:rPr>
          <w:sz w:val="20"/>
          <w:szCs w:val="20"/>
          <w:color w:val="auto"/>
        </w:rPr>
      </w:pPr>
    </w:p>
    <w:p>
      <w:pPr>
        <w:ind w:right="40" w:firstLine="589"/>
        <w:spacing w:after="0" w:line="235" w:lineRule="auto"/>
        <w:rPr>
          <w:sz w:val="20"/>
          <w:szCs w:val="20"/>
          <w:color w:val="auto"/>
        </w:rPr>
      </w:pPr>
      <w:r>
        <w:rPr>
          <w:rFonts w:ascii="Arial" w:cs="Arial" w:eastAsia="Arial" w:hAnsi="Arial"/>
          <w:sz w:val="17"/>
          <w:szCs w:val="17"/>
          <w:color w:val="auto"/>
        </w:rPr>
        <w:t>The Company measures the value of services received from employees and directors in exchange for an equity-based award based on the grant date fair value. The Company issues equity-based awards that settle in shares of the Company’s common stock. Prior to the IPO, the Company issued equity-based awards that settled in cash. Cash settled awards are subsequently remeasured to an updated fair value at each reporting period until the award is settled. Awards containing performance measures are adjusted at each reporting period for the number of shares expected to be earned. Compensation cost for cash settled and performance awards are trued-up at each reporting period for changes in fair value and expected shares pro-rated for the portion of the requisite service period rendered. The Company recognizes compensation costs for these awards on either a straight-line or accelerated basis over the vesting period of the award in selling, general and administrative expense in the consolidated statements of income.</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Business Combinations</w:t>
      </w:r>
    </w:p>
    <w:p>
      <w:pPr>
        <w:spacing w:after="0" w:line="116" w:lineRule="exact"/>
        <w:rPr>
          <w:sz w:val="20"/>
          <w:szCs w:val="20"/>
          <w:color w:val="auto"/>
        </w:rPr>
      </w:pPr>
    </w:p>
    <w:p>
      <w:pPr>
        <w:ind w:right="80" w:firstLine="589"/>
        <w:spacing w:after="0" w:line="236" w:lineRule="auto"/>
        <w:rPr>
          <w:sz w:val="20"/>
          <w:szCs w:val="20"/>
          <w:color w:val="auto"/>
        </w:rPr>
      </w:pPr>
      <w:r>
        <w:rPr>
          <w:rFonts w:ascii="Arial" w:cs="Arial" w:eastAsia="Arial" w:hAnsi="Arial"/>
          <w:sz w:val="17"/>
          <w:szCs w:val="17"/>
          <w:color w:val="auto"/>
        </w:rPr>
        <w:t>The Company accounts for business combinations using the acquisition method, under which the purchase price of an acquired company is allocated to the tangible and intangible assets acquired and the liabilities assumed on the basis of their fair values at the date of acquisition. Any excess of purchase price over the fair value of tangible and intangible assets acquired and liabilities assumed is allocated to goodwill. The determination of fair values of assets acquired and liabilities assumed requires the Company to make estimates and use valuation techniques when a market value is not readily available.</w:t>
      </w:r>
    </w:p>
    <w:p>
      <w:pPr>
        <w:spacing w:after="0" w:line="91" w:lineRule="exact"/>
        <w:rPr>
          <w:sz w:val="20"/>
          <w:szCs w:val="20"/>
          <w:color w:val="auto"/>
        </w:rPr>
      </w:pPr>
    </w:p>
    <w:p>
      <w:pPr>
        <w:ind w:right="380" w:firstLine="589"/>
        <w:spacing w:after="0" w:line="242" w:lineRule="auto"/>
        <w:rPr>
          <w:sz w:val="20"/>
          <w:szCs w:val="20"/>
          <w:color w:val="auto"/>
        </w:rPr>
      </w:pPr>
      <w:r>
        <w:rPr>
          <w:rFonts w:ascii="Arial" w:cs="Arial" w:eastAsia="Arial" w:hAnsi="Arial"/>
          <w:sz w:val="17"/>
          <w:szCs w:val="17"/>
          <w:color w:val="auto"/>
        </w:rPr>
        <w:t>The Company’s determination of the fair value of the intangible assets acquired involves the use of significant estimates and assumptions related to discount rates, revenue growth rates, projected margins, and customer revenue attrition rates.</w:t>
      </w:r>
    </w:p>
    <w:p>
      <w:pPr>
        <w:spacing w:after="0" w:line="88" w:lineRule="exact"/>
        <w:rPr>
          <w:sz w:val="20"/>
          <w:szCs w:val="20"/>
          <w:color w:val="auto"/>
        </w:rPr>
      </w:pPr>
    </w:p>
    <w:p>
      <w:pPr>
        <w:ind w:right="440" w:firstLine="589"/>
        <w:spacing w:after="0" w:line="242" w:lineRule="auto"/>
        <w:rPr>
          <w:sz w:val="20"/>
          <w:szCs w:val="20"/>
          <w:color w:val="auto"/>
        </w:rPr>
      </w:pPr>
      <w:r>
        <w:rPr>
          <w:rFonts w:ascii="Arial" w:cs="Arial" w:eastAsia="Arial" w:hAnsi="Arial"/>
          <w:sz w:val="17"/>
          <w:szCs w:val="17"/>
          <w:color w:val="auto"/>
        </w:rPr>
        <w:t>The Company adjusts the preliminary purchase price allocation, as necessary, during the measurement period of up to one year after the acquisition closing date as the Company obtains more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jc w:val="center"/>
        <w:ind w:right="-19"/>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317" w:lineRule="exact"/>
        <w:rPr>
          <w:sz w:val="20"/>
          <w:szCs w:val="20"/>
          <w:color w:val="auto"/>
        </w:rPr>
      </w:pPr>
    </w:p>
    <w:p>
      <w:pPr>
        <w:jc w:val="both"/>
        <w:ind w:right="160"/>
        <w:spacing w:after="0" w:line="242" w:lineRule="auto"/>
        <w:rPr>
          <w:sz w:val="20"/>
          <w:szCs w:val="20"/>
          <w:color w:val="auto"/>
        </w:rPr>
      </w:pPr>
      <w:r>
        <w:rPr>
          <w:rFonts w:ascii="Arial" w:cs="Arial" w:eastAsia="Arial" w:hAnsi="Arial"/>
          <w:sz w:val="17"/>
          <w:szCs w:val="17"/>
          <w:color w:val="auto"/>
        </w:rPr>
        <w:t>information as to facts and circumstances existing at the acquisition date. Acquisition-related costs are recognized separate from the acquisition and are expensed as incurred.</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Consolidation of Joint Ventures and Variable Interest Entities</w:t>
      </w:r>
    </w:p>
    <w:p>
      <w:pPr>
        <w:spacing w:after="0" w:line="116" w:lineRule="exact"/>
        <w:rPr>
          <w:sz w:val="20"/>
          <w:szCs w:val="20"/>
          <w:color w:val="auto"/>
        </w:rPr>
      </w:pPr>
    </w:p>
    <w:p>
      <w:pPr>
        <w:jc w:val="both"/>
        <w:ind w:right="140" w:firstLine="589"/>
        <w:spacing w:after="0" w:line="238" w:lineRule="auto"/>
        <w:rPr>
          <w:sz w:val="20"/>
          <w:szCs w:val="20"/>
          <w:color w:val="auto"/>
        </w:rPr>
      </w:pPr>
      <w:r>
        <w:rPr>
          <w:rFonts w:ascii="Arial" w:cs="Arial" w:eastAsia="Arial" w:hAnsi="Arial"/>
          <w:sz w:val="17"/>
          <w:szCs w:val="17"/>
          <w:color w:val="auto"/>
        </w:rPr>
        <w:t>The Company participates in joint ventures, which include partnerships and partially owned limited liability corporations, to bid, negotiate and complete specific projects. The Company is required to consolidate these joint ventures if it holds the majority voting interest or if the joint venture is determined to be a variable interest entity (“VIE”) for which the Company is the primary beneficiary, as described below.</w:t>
      </w:r>
    </w:p>
    <w:p>
      <w:pPr>
        <w:spacing w:after="0" w:line="192" w:lineRule="exact"/>
        <w:rPr>
          <w:sz w:val="20"/>
          <w:szCs w:val="20"/>
          <w:color w:val="auto"/>
        </w:rPr>
      </w:pPr>
    </w:p>
    <w:p>
      <w:pPr>
        <w:ind w:right="20" w:firstLine="589"/>
        <w:spacing w:after="0" w:line="235" w:lineRule="auto"/>
        <w:rPr>
          <w:sz w:val="20"/>
          <w:szCs w:val="20"/>
          <w:color w:val="auto"/>
        </w:rPr>
      </w:pPr>
      <w:r>
        <w:rPr>
          <w:rFonts w:ascii="Arial" w:cs="Arial" w:eastAsia="Arial" w:hAnsi="Arial"/>
          <w:sz w:val="17"/>
          <w:szCs w:val="17"/>
          <w:color w:val="auto"/>
        </w:rPr>
        <w:t>A VIE is an entity with one or more of the following characteristics: (a) the total equity investment at risk is not sufficient to permit the entity to finance its activities without additional financial support; (b) as a group, the holders of the equity investment at risk lack the ability to make certain decisions, the obligation to absorb expected losses or the right to receive expected residual returns; or (c) an equity investor has voting rights that are disproportionate to its economic interest and substantially all of the entity’s activities are on behalf of the investor with disproportionately low voting rights. The Company’s VIEs may be funded through contributions, loans and/or advances from the joint venture partners or by advances and/or letters of credit provided by clients. Certain VIEs are directly governed, managed, operated and administered by the joint venture partners. Others have no employees and, although these entities own and hold the contracts with the clients, the services required by the contracts are typically performed by the joint venture partners or by other subcontractors.</w:t>
      </w:r>
    </w:p>
    <w:p>
      <w:pPr>
        <w:spacing w:after="0" w:line="193" w:lineRule="exact"/>
        <w:rPr>
          <w:sz w:val="20"/>
          <w:szCs w:val="20"/>
          <w:color w:val="auto"/>
        </w:rPr>
      </w:pPr>
    </w:p>
    <w:p>
      <w:pPr>
        <w:ind w:firstLine="589"/>
        <w:spacing w:after="0" w:line="248" w:lineRule="auto"/>
        <w:rPr>
          <w:sz w:val="20"/>
          <w:szCs w:val="20"/>
          <w:color w:val="auto"/>
        </w:rPr>
      </w:pPr>
      <w:r>
        <w:rPr>
          <w:rFonts w:ascii="Arial" w:cs="Arial" w:eastAsia="Arial" w:hAnsi="Arial"/>
          <w:sz w:val="16"/>
          <w:szCs w:val="16"/>
          <w:color w:val="auto"/>
        </w:rPr>
        <w:t>The Company is considered the primary beneficiary and required to consolidate a VIE if it has the power to direct the activities that most significantly impact that VIE’s economic performance, and the obligation to absorb losses or the right to receive benefits of that VIE that could potentially be significant to the VIE. In determining whether the Company is the primary beneficiary, significant assumptions and judgments include the following: (1) identifying the significant activities and the parties that have the power to direct them; (2) reviewing the governing board composition and participation ratio; (3) determining the equity, profit and loss ratio; (4) determining the management-sharing ratio; (5) reviewing employment terms; and</w:t>
      </w:r>
    </w:p>
    <w:p>
      <w:pPr>
        <w:ind w:right="100" w:firstLine="1"/>
        <w:spacing w:after="0" w:line="236" w:lineRule="auto"/>
        <w:tabs>
          <w:tab w:leader="none" w:pos="253"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reviewing the funding and operating agreements. Examples of significant activities currently being performed by the Company’s significant consolidated and unconsolidated joint ventures include engineering and design services; management consulting services; procurement and construction services; program management; construction management; and operations and maintenance services. If the Company determines that the power to direct the significant activities is shared by two or more joint venture parties, then there is no primary beneficiary and no party consolidates the VIE. In making the shared-power determination, the Company analyzes the key contractual terms, governance, related party and de facto agency as they are defined in the accounting standard, and other arrangements.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Goodwill</w:t>
      </w:r>
    </w:p>
    <w:p>
      <w:pPr>
        <w:spacing w:after="0" w:line="116" w:lineRule="exact"/>
        <w:rPr>
          <w:sz w:val="20"/>
          <w:szCs w:val="20"/>
          <w:color w:val="auto"/>
        </w:rPr>
      </w:pPr>
    </w:p>
    <w:p>
      <w:pPr>
        <w:ind w:right="40" w:firstLine="589"/>
        <w:spacing w:after="0" w:line="260" w:lineRule="auto"/>
        <w:rPr>
          <w:sz w:val="20"/>
          <w:szCs w:val="20"/>
          <w:color w:val="auto"/>
        </w:rPr>
      </w:pPr>
      <w:r>
        <w:rPr>
          <w:rFonts w:ascii="Arial" w:cs="Arial" w:eastAsia="Arial" w:hAnsi="Arial"/>
          <w:sz w:val="16"/>
          <w:szCs w:val="16"/>
          <w:color w:val="auto"/>
        </w:rPr>
        <w:t>In 2019, the Company changed the date of its annual goodwill impairment testing from November 30 to October 1. This change results in better alignment of the Company's annual impairment test with the Company’s annual budgeting cycle and provides a more reliable measurement using the Company’s interim closing processes. The change had no effect on the Company’s financial statements for the current or historical periods.</w:t>
      </w:r>
    </w:p>
    <w:p>
      <w:pPr>
        <w:spacing w:after="0" w:line="74" w:lineRule="exact"/>
        <w:rPr>
          <w:sz w:val="20"/>
          <w:szCs w:val="20"/>
          <w:color w:val="auto"/>
        </w:rPr>
      </w:pPr>
    </w:p>
    <w:p>
      <w:pPr>
        <w:ind w:right="380" w:firstLine="589"/>
        <w:spacing w:after="0" w:line="242" w:lineRule="auto"/>
        <w:rPr>
          <w:sz w:val="20"/>
          <w:szCs w:val="20"/>
          <w:color w:val="auto"/>
        </w:rPr>
      </w:pPr>
      <w:r>
        <w:rPr>
          <w:rFonts w:ascii="Arial" w:cs="Arial" w:eastAsia="Arial" w:hAnsi="Arial"/>
          <w:sz w:val="17"/>
          <w:szCs w:val="17"/>
          <w:color w:val="auto"/>
        </w:rPr>
        <w:t>The Company performs an additional review at year end to address whether a triggering event has occurred that would require an interim impairment test in the interim period.</w:t>
      </w:r>
    </w:p>
    <w:p>
      <w:pPr>
        <w:spacing w:after="0" w:line="88" w:lineRule="exact"/>
        <w:rPr>
          <w:sz w:val="20"/>
          <w:szCs w:val="20"/>
          <w:color w:val="auto"/>
        </w:rPr>
      </w:pPr>
    </w:p>
    <w:p>
      <w:pPr>
        <w:ind w:right="140" w:firstLine="589"/>
        <w:spacing w:after="0" w:line="237" w:lineRule="auto"/>
        <w:rPr>
          <w:sz w:val="20"/>
          <w:szCs w:val="20"/>
          <w:color w:val="auto"/>
        </w:rPr>
      </w:pPr>
      <w:r>
        <w:rPr>
          <w:rFonts w:ascii="Arial" w:cs="Arial" w:eastAsia="Arial" w:hAnsi="Arial"/>
          <w:sz w:val="17"/>
          <w:szCs w:val="17"/>
          <w:color w:val="auto"/>
        </w:rPr>
        <w:t>For purposes of impairment testing, goodwill is allocated to the applicable reporting units based on the current reporting structure. Reporting units are operating segments or components of operating segments where discrete financial information is available and segment management regularly reviews the operating results. When evaluating goodwill for impairment, the Company may decide to first perform a qualitative assessment, or “step zero” impairment test, to determine whether it is more likely than not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317"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that impairment has occurred. If the Company does not perform a qualitative assessment, or if the Company determines that it is not more likely than not that the fair value of its reporting units exceeds their carrying amounts, the Company performs a quantitative assessment and calculates the estimated fair value of the respective reporting unit. If the carrying amount of a reporting unit exceeds its fair value, an impairment loss is recognized in the amount the carrying value exceeds its fair value, not to exceed the carrying amount of goodwill.</w:t>
      </w:r>
    </w:p>
    <w:p>
      <w:pPr>
        <w:spacing w:after="0" w:line="191" w:lineRule="exact"/>
        <w:rPr>
          <w:sz w:val="20"/>
          <w:szCs w:val="20"/>
          <w:color w:val="auto"/>
        </w:rPr>
      </w:pPr>
    </w:p>
    <w:p>
      <w:pPr>
        <w:jc w:val="both"/>
        <w:ind w:right="280" w:firstLine="589"/>
        <w:spacing w:after="0" w:line="238" w:lineRule="auto"/>
        <w:rPr>
          <w:sz w:val="20"/>
          <w:szCs w:val="20"/>
          <w:color w:val="auto"/>
        </w:rPr>
      </w:pPr>
      <w:r>
        <w:rPr>
          <w:rFonts w:ascii="Arial" w:cs="Arial" w:eastAsia="Arial" w:hAnsi="Arial"/>
          <w:sz w:val="17"/>
          <w:szCs w:val="17"/>
          <w:color w:val="auto"/>
        </w:rPr>
        <w:t>The Company’s decision to perform a qualitative impairment assessment in a given year is influenced by a number of factors, including the significance of the excess of the Company’s estimated fair value over carrying value at the last quantitative assessment date, the amount of time in between quantitative fair value assessments, and the date of its acquisitions, if any.</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Intangible Assets</w:t>
      </w:r>
    </w:p>
    <w:p>
      <w:pPr>
        <w:spacing w:after="0" w:line="116" w:lineRule="exact"/>
        <w:rPr>
          <w:sz w:val="20"/>
          <w:szCs w:val="20"/>
          <w:color w:val="auto"/>
        </w:rPr>
      </w:pPr>
    </w:p>
    <w:p>
      <w:pPr>
        <w:ind w:right="140" w:firstLine="589"/>
        <w:spacing w:after="0" w:line="235" w:lineRule="auto"/>
        <w:rPr>
          <w:sz w:val="20"/>
          <w:szCs w:val="20"/>
          <w:color w:val="auto"/>
        </w:rPr>
      </w:pPr>
      <w:r>
        <w:rPr>
          <w:rFonts w:ascii="Arial" w:cs="Arial" w:eastAsia="Arial" w:hAnsi="Arial"/>
          <w:sz w:val="17"/>
          <w:szCs w:val="17"/>
          <w:color w:val="auto"/>
        </w:rPr>
        <w:t>Intangible assets with finite lives arise from business acquisitions and are amortized based on the period over which the contractual or economic benefit of the intangible assets are expected to be realized or on a straight-line basis over the useful lives of the underlying assets, ranging from one to sixteen years. These primarily consist of customer relationships, developed technology, backlog, and covenants not to compete. When indicators of a potential impairment exist, the Company assesses the recoverability of the unamortized balance of its intangible assets by first comparing undiscounted expected cash flows associated with the asset, or the asset group they are part of, to its carrying value. Should the review indicate that the carrying value is not fully recoverable, the excess of the carrying value over the fair value of the intangible assets would be recognized as an impairment loss.</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Income Taxes</w:t>
      </w:r>
    </w:p>
    <w:p>
      <w:pPr>
        <w:spacing w:after="0" w:line="116" w:lineRule="exact"/>
        <w:rPr>
          <w:sz w:val="20"/>
          <w:szCs w:val="20"/>
          <w:color w:val="auto"/>
        </w:rPr>
      </w:pPr>
    </w:p>
    <w:p>
      <w:pPr>
        <w:ind w:firstLine="589"/>
        <w:spacing w:after="0" w:line="236" w:lineRule="auto"/>
        <w:rPr>
          <w:sz w:val="20"/>
          <w:szCs w:val="20"/>
          <w:color w:val="auto"/>
        </w:rPr>
      </w:pPr>
      <w:r>
        <w:rPr>
          <w:rFonts w:ascii="Arial" w:cs="Arial" w:eastAsia="Arial" w:hAnsi="Arial"/>
          <w:sz w:val="17"/>
          <w:szCs w:val="17"/>
          <w:color w:val="auto"/>
        </w:rPr>
        <w:t>Income taxes are accounted for under the asset and liability method. This approach requires the recognition of deferred tax liabilities and assets to reflect the tax effects of temporary differences between the financial statement carrying amounts and tax bases of the Company’s assets and liabilities. Deferred tax assets and liabilities are measured using enacted tax rates expected to be in effect when the asset or liability is recovered or settled. The effect of a change in tax rates on deferred tax assets and liabilities is recognized in income in the period that includes the enactment date. Deferred tax assets are evaluated for future realization and valuation allowances are established when, in our opinion, it is more likely than not that all or some portion of the asset will not be realized.</w:t>
      </w:r>
    </w:p>
    <w:p>
      <w:pPr>
        <w:spacing w:after="0" w:line="317" w:lineRule="exact"/>
        <w:rPr>
          <w:sz w:val="20"/>
          <w:szCs w:val="20"/>
          <w:color w:val="auto"/>
        </w:rPr>
      </w:pPr>
    </w:p>
    <w:p>
      <w:pPr>
        <w:ind w:right="40" w:firstLine="589"/>
        <w:spacing w:after="0" w:line="236" w:lineRule="auto"/>
        <w:rPr>
          <w:sz w:val="20"/>
          <w:szCs w:val="20"/>
          <w:color w:val="auto"/>
        </w:rPr>
      </w:pPr>
      <w:r>
        <w:rPr>
          <w:rFonts w:ascii="Arial" w:cs="Arial" w:eastAsia="Arial" w:hAnsi="Arial"/>
          <w:sz w:val="17"/>
          <w:szCs w:val="17"/>
          <w:color w:val="auto"/>
        </w:rPr>
        <w:t>The Company recognizes the effect of income tax positions only if those positions are more likely than not of being sustained on examination by the taxing authorities based on the technical merits of the position. The tax benefits recognized in the financial statements on a particular tax position are measured based on the largest benefit that is greater than 50 percent likely of being realized. The amount of unrecognized tax benefits (“UTB”) is adjusted as appropriate for changes in facts and circumstances, such as significant amendments to existing tax law, new regulations or interpretations by the taxing authorities, new information obtained during a tax examination, or resolution of an examination. The Company recognizes both accrued interest and penalties, where appropriate, related to UTBs in income tax expense.</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Foreign Currency Translation</w:t>
      </w:r>
    </w:p>
    <w:p>
      <w:pPr>
        <w:spacing w:after="0" w:line="116" w:lineRule="exact"/>
        <w:rPr>
          <w:sz w:val="20"/>
          <w:szCs w:val="20"/>
          <w:color w:val="auto"/>
        </w:rPr>
      </w:pPr>
    </w:p>
    <w:p>
      <w:pPr>
        <w:ind w:firstLine="589"/>
        <w:spacing w:after="0" w:line="236" w:lineRule="auto"/>
        <w:rPr>
          <w:sz w:val="20"/>
          <w:szCs w:val="20"/>
          <w:color w:val="auto"/>
        </w:rPr>
      </w:pPr>
      <w:r>
        <w:rPr>
          <w:rFonts w:ascii="Arial" w:cs="Arial" w:eastAsia="Arial" w:hAnsi="Arial"/>
          <w:sz w:val="17"/>
          <w:szCs w:val="17"/>
          <w:color w:val="auto"/>
        </w:rPr>
        <w:t>The Company’s reporting currency is the U.S. Dollar. The functional currency of the Company’s foreign entities is typically the currency of the primary environment in which they operate. For foreign entities whose functional currency is not the U.S. dollar, the assets and liabilities are translated based on exchange rates in effect at the balance sheet date, while the income and expense accounts are translated using the average exchange rates during the period. Translation gains or losses, net of income tax effects, are reflected in accumulated other comprehensive income on the consolidated balance sheets. Transaction gains and losses due to movements in exchange rates between the functional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317"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currency and the currency in which a foreign currency transaction is denominated are recognized as “Other income (expense), net” in the Company’s consolidated statements of income.</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Self-Insurance</w:t>
      </w:r>
    </w:p>
    <w:p>
      <w:pPr>
        <w:spacing w:after="0" w:line="116" w:lineRule="exact"/>
        <w:rPr>
          <w:sz w:val="20"/>
          <w:szCs w:val="20"/>
          <w:color w:val="auto"/>
        </w:rPr>
      </w:pPr>
    </w:p>
    <w:p>
      <w:pPr>
        <w:ind w:right="120" w:firstLine="589"/>
        <w:spacing w:after="0" w:line="236" w:lineRule="auto"/>
        <w:rPr>
          <w:sz w:val="20"/>
          <w:szCs w:val="20"/>
          <w:color w:val="auto"/>
        </w:rPr>
      </w:pPr>
      <w:r>
        <w:rPr>
          <w:rFonts w:ascii="Arial" w:cs="Arial" w:eastAsia="Arial" w:hAnsi="Arial"/>
          <w:sz w:val="17"/>
          <w:szCs w:val="17"/>
          <w:color w:val="auto"/>
        </w:rPr>
        <w:t>The Company typically utilizes third-party insurance subject to varying retention levels or self-insurance. The Company is self-insured for a portion of the losses and liabilities primarily associated with workers’ compensation, general, professional, automobile, employee matters, certain medical plans, and project-specific liability claims. Losses are accrued based upon the Company’s estimates of the aggregate liability for claims incurred using historical experience and certain actuarial assumptions, as provided by an independent actuary. The estimate of self-insurance liability includes an estimate of incurred but not reported claims, based on data compiled from historical experience.</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200" w:lineRule="exact"/>
        <w:rPr>
          <w:sz w:val="20"/>
          <w:szCs w:val="20"/>
          <w:color w:val="auto"/>
        </w:rPr>
      </w:pPr>
    </w:p>
    <w:p>
      <w:pPr>
        <w:ind w:firstLine="636"/>
        <w:spacing w:after="0" w:line="239" w:lineRule="auto"/>
        <w:rPr>
          <w:sz w:val="20"/>
          <w:szCs w:val="20"/>
          <w:color w:val="auto"/>
        </w:rPr>
      </w:pPr>
      <w:r>
        <w:rPr>
          <w:rFonts w:ascii="Arial" w:cs="Arial" w:eastAsia="Arial" w:hAnsi="Arial"/>
          <w:sz w:val="17"/>
          <w:szCs w:val="17"/>
          <w:color w:val="auto"/>
        </w:rPr>
        <w:t>In February 2016, the Financial Accounting Standards Board (“FASB”) issued Accounting Standards Update (“ASU”) 2016-02, “</w:t>
      </w:r>
      <w:r>
        <w:rPr>
          <w:rFonts w:ascii="Arial" w:cs="Arial" w:eastAsia="Arial" w:hAnsi="Arial"/>
          <w:sz w:val="17"/>
          <w:szCs w:val="17"/>
          <w:i w:val="1"/>
          <w:iCs w:val="1"/>
          <w:color w:val="auto"/>
        </w:rPr>
        <w:t>Leases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842)</w:t>
      </w:r>
      <w:r>
        <w:rPr>
          <w:rFonts w:ascii="Arial" w:cs="Arial" w:eastAsia="Arial" w:hAnsi="Arial"/>
          <w:sz w:val="17"/>
          <w:szCs w:val="17"/>
          <w:color w:val="auto"/>
        </w:rPr>
        <w:t>”, which is a new standard related to leases intended to increase transparency and comparability among organizations by requiring the recognition</w:t>
      </w:r>
      <w:r>
        <w:rPr>
          <w:rFonts w:ascii="Arial" w:cs="Arial" w:eastAsia="Arial" w:hAnsi="Arial"/>
          <w:sz w:val="17"/>
          <w:szCs w:val="17"/>
          <w:i w:val="1"/>
          <w:iCs w:val="1"/>
          <w:color w:val="auto"/>
        </w:rPr>
        <w:t xml:space="preserve"> </w:t>
      </w:r>
      <w:r>
        <w:rPr>
          <w:rFonts w:ascii="Arial" w:cs="Arial" w:eastAsia="Arial" w:hAnsi="Arial"/>
          <w:sz w:val="17"/>
          <w:szCs w:val="17"/>
          <w:color w:val="auto"/>
        </w:rPr>
        <w:t>of right-of-use (“ROU”) assets obtained in exchange for lease liabilities on the balance sheet. Most prominent among the changes in the standard is the recognition of ROU assets and lease liabilities by lessees for those leases classified as operating leases. Under the standard, disclosures are required to meet the objective of enabling users of financial statements to assess the amount, timing, and uncertainty of cash flows arising from leases.</w:t>
      </w:r>
    </w:p>
    <w:p>
      <w:pPr>
        <w:spacing w:after="0" w:line="194" w:lineRule="exact"/>
        <w:rPr>
          <w:sz w:val="20"/>
          <w:szCs w:val="20"/>
          <w:color w:val="auto"/>
        </w:rPr>
      </w:pPr>
    </w:p>
    <w:p>
      <w:pPr>
        <w:ind w:right="60" w:firstLine="589"/>
        <w:spacing w:after="0" w:line="236" w:lineRule="auto"/>
        <w:rPr>
          <w:sz w:val="20"/>
          <w:szCs w:val="20"/>
          <w:color w:val="auto"/>
        </w:rPr>
      </w:pPr>
      <w:r>
        <w:rPr>
          <w:rFonts w:ascii="Arial" w:cs="Arial" w:eastAsia="Arial" w:hAnsi="Arial"/>
          <w:sz w:val="17"/>
          <w:szCs w:val="17"/>
          <w:color w:val="auto"/>
        </w:rPr>
        <w:t>The Company elected to adopt the standard, and available practical expedients, effective January 1, 2019. These practical expedients allowed the Company to keep the lease classification assessed under the previous lease accounting standard (ASC 840) without reassessment under the new standard, and allowed all separate lease components, including non-lease components, to be accounted for as a single lease component for all existing leases prior to adoption of the new standard. Furthermore, the Company made an accounting policy election to not recognize a lease liability and ROU asset for leases with lease terms of twelve months or less.</w:t>
      </w:r>
    </w:p>
    <w:p>
      <w:pPr>
        <w:spacing w:after="0" w:line="193" w:lineRule="exact"/>
        <w:rPr>
          <w:sz w:val="20"/>
          <w:szCs w:val="20"/>
          <w:color w:val="auto"/>
        </w:rPr>
      </w:pPr>
    </w:p>
    <w:p>
      <w:pPr>
        <w:ind w:right="40" w:firstLine="589"/>
        <w:spacing w:after="0" w:line="238" w:lineRule="auto"/>
        <w:rPr>
          <w:sz w:val="20"/>
          <w:szCs w:val="20"/>
          <w:color w:val="auto"/>
        </w:rPr>
      </w:pPr>
      <w:r>
        <w:rPr>
          <w:rFonts w:ascii="Arial" w:cs="Arial" w:eastAsia="Arial" w:hAnsi="Arial"/>
          <w:sz w:val="17"/>
          <w:szCs w:val="17"/>
          <w:color w:val="auto"/>
        </w:rPr>
        <w:t>The Company adopted this new standard under the modified retrospective transition approach without adjusting comparative periods in the financial statements, as allowed under Topic 842, and implemented internal controls and key system functionality to enable the preparation of financial information on adoption.</w:t>
      </w:r>
    </w:p>
    <w:p>
      <w:pPr>
        <w:spacing w:after="0" w:line="192" w:lineRule="exact"/>
        <w:rPr>
          <w:sz w:val="20"/>
          <w:szCs w:val="20"/>
          <w:color w:val="auto"/>
        </w:rPr>
      </w:pPr>
    </w:p>
    <w:p>
      <w:pPr>
        <w:ind w:right="200" w:firstLine="589"/>
        <w:spacing w:after="0" w:line="238" w:lineRule="auto"/>
        <w:rPr>
          <w:sz w:val="20"/>
          <w:szCs w:val="20"/>
          <w:color w:val="auto"/>
        </w:rPr>
      </w:pPr>
      <w:r>
        <w:rPr>
          <w:rFonts w:ascii="Arial" w:cs="Arial" w:eastAsia="Arial" w:hAnsi="Arial"/>
          <w:sz w:val="17"/>
          <w:szCs w:val="17"/>
          <w:color w:val="auto"/>
        </w:rPr>
        <w:t>The standard had a material impact on the Company’s consolidated balance sheets but did not have an impact on the consolidated statements of income and cash flows. The most significant impact was the recognition of ROU assets and lease liabilities for operating leases, while accounting for finance leases remained substantially unchanged.</w:t>
      </w:r>
    </w:p>
    <w:p>
      <w:pPr>
        <w:spacing w:after="0" w:line="192" w:lineRule="exact"/>
        <w:rPr>
          <w:sz w:val="20"/>
          <w:szCs w:val="20"/>
          <w:color w:val="auto"/>
        </w:rPr>
      </w:pPr>
    </w:p>
    <w:p>
      <w:pPr>
        <w:ind w:right="20" w:firstLine="589"/>
        <w:spacing w:after="0" w:line="237" w:lineRule="auto"/>
        <w:rPr>
          <w:sz w:val="20"/>
          <w:szCs w:val="20"/>
          <w:color w:val="auto"/>
        </w:rPr>
      </w:pPr>
      <w:r>
        <w:rPr>
          <w:rFonts w:ascii="Arial" w:cs="Arial" w:eastAsia="Arial" w:hAnsi="Arial"/>
          <w:sz w:val="17"/>
          <w:szCs w:val="17"/>
          <w:color w:val="auto"/>
        </w:rPr>
        <w:t>As a result of the adoption, the Company recorded a cumulative-effect adjustment to retained earnings of $52.6 million, net of deferred tax asset adjustment of $0.7 million, representing the unamortized portion of a deferred gain previously recorded as a sale-leaseback transaction associated with the sale of an office building in 2011. The Company concluded the transaction resulted in the transfer of control of the office building to the buyer-lessor at market terms and would have qualified as a sale under Topic 842 with gain recognition in the period the sale was recognized.</w:t>
      </w:r>
    </w:p>
    <w:p>
      <w:pPr>
        <w:spacing w:after="0" w:line="173" w:lineRule="exact"/>
        <w:rPr>
          <w:sz w:val="20"/>
          <w:szCs w:val="20"/>
          <w:color w:val="auto"/>
        </w:rPr>
      </w:pPr>
    </w:p>
    <w:p>
      <w:pPr>
        <w:ind w:right="220" w:firstLine="589"/>
        <w:spacing w:after="0" w:line="241" w:lineRule="auto"/>
        <w:rPr>
          <w:sz w:val="20"/>
          <w:szCs w:val="20"/>
          <w:color w:val="auto"/>
        </w:rPr>
      </w:pPr>
      <w:r>
        <w:rPr>
          <w:rFonts w:ascii="Arial" w:cs="Arial" w:eastAsia="Arial" w:hAnsi="Arial"/>
          <w:sz w:val="17"/>
          <w:szCs w:val="17"/>
          <w:color w:val="auto"/>
        </w:rPr>
        <w:t>In July 2018, the FASB issued ASU No. 2018-09, “</w:t>
      </w:r>
      <w:r>
        <w:rPr>
          <w:rFonts w:ascii="Arial" w:cs="Arial" w:eastAsia="Arial" w:hAnsi="Arial"/>
          <w:sz w:val="17"/>
          <w:szCs w:val="17"/>
          <w:i w:val="1"/>
          <w:iCs w:val="1"/>
          <w:color w:val="auto"/>
        </w:rPr>
        <w:t>Codification Improvements”</w:t>
      </w:r>
      <w:r>
        <w:rPr>
          <w:rFonts w:ascii="Arial" w:cs="Arial" w:eastAsia="Arial" w:hAnsi="Arial"/>
          <w:sz w:val="17"/>
          <w:szCs w:val="17"/>
          <w:color w:val="auto"/>
        </w:rPr>
        <w:t>. The amendments in this ASU clarify certain aspects of the guidance related to: reporting comprehensive income, debt modification and extinguishment, income taxes related to stock compensation, income taxes related to business combinations, derivatives and hedging, fair value measurements, brokers and dealers liabilities, and plan accounting. This ASU is effective for fiscal years, and interim periods within those fiscal years, beginning after December 15, 2018. The Company has adopted this ASU on a prospective basis in the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jc w:val="center"/>
        <w:ind w:right="-19"/>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first quarter of 2019 and has determined there to be no impact on its financial statements and related disclosures.</w:t>
      </w:r>
    </w:p>
    <w:p>
      <w:pPr>
        <w:spacing w:after="0" w:line="78" w:lineRule="exact"/>
        <w:rPr>
          <w:sz w:val="20"/>
          <w:szCs w:val="20"/>
          <w:color w:val="auto"/>
        </w:rPr>
      </w:pPr>
    </w:p>
    <w:p>
      <w:pPr>
        <w:ind w:right="160" w:firstLine="735"/>
        <w:spacing w:after="0" w:line="243" w:lineRule="auto"/>
        <w:rPr>
          <w:sz w:val="20"/>
          <w:szCs w:val="20"/>
          <w:color w:val="auto"/>
        </w:rPr>
      </w:pPr>
      <w:r>
        <w:rPr>
          <w:rFonts w:ascii="Arial" w:cs="Arial" w:eastAsia="Arial" w:hAnsi="Arial"/>
          <w:sz w:val="17"/>
          <w:szCs w:val="17"/>
          <w:color w:val="auto"/>
        </w:rPr>
        <w:t>Effective January 1, 2019, the Company adopted ASU 2018-02, “</w:t>
      </w:r>
      <w:r>
        <w:rPr>
          <w:rFonts w:ascii="Arial" w:cs="Arial" w:eastAsia="Arial" w:hAnsi="Arial"/>
          <w:sz w:val="17"/>
          <w:szCs w:val="17"/>
          <w:i w:val="1"/>
          <w:iCs w:val="1"/>
          <w:color w:val="auto"/>
        </w:rPr>
        <w:t>Reclassification of Certain Tax Effects from Accumulated Other</w:t>
      </w:r>
      <w:r>
        <w:rPr>
          <w:rFonts w:ascii="Arial" w:cs="Arial" w:eastAsia="Arial" w:hAnsi="Arial"/>
          <w:sz w:val="17"/>
          <w:szCs w:val="17"/>
          <w:color w:val="auto"/>
        </w:rPr>
        <w:t xml:space="preserve"> </w:t>
      </w:r>
      <w:r>
        <w:rPr>
          <w:rFonts w:ascii="Arial" w:cs="Arial" w:eastAsia="Arial" w:hAnsi="Arial"/>
          <w:sz w:val="17"/>
          <w:szCs w:val="17"/>
          <w:i w:val="1"/>
          <w:iCs w:val="1"/>
          <w:color w:val="auto"/>
        </w:rPr>
        <w:t>Comprehensive Income</w:t>
      </w:r>
      <w:r>
        <w:rPr>
          <w:rFonts w:ascii="Arial" w:cs="Arial" w:eastAsia="Arial" w:hAnsi="Arial"/>
          <w:sz w:val="17"/>
          <w:szCs w:val="17"/>
          <w:color w:val="auto"/>
        </w:rPr>
        <w:t>” under which the Company did not elect to reclassify the income tax effects stranded in accumulated other comprehensive</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to retained earnings as a result of the enactment of comprehensive tax legislation, commonly referred to as the Tax Cuts and Jobs Act. As a result, there was no impact on the Company’s financial position, results of operations or cash flows.</w:t>
      </w:r>
    </w:p>
    <w:p>
      <w:pPr>
        <w:spacing w:after="0" w:line="172" w:lineRule="exact"/>
        <w:rPr>
          <w:sz w:val="20"/>
          <w:szCs w:val="20"/>
          <w:color w:val="auto"/>
        </w:rPr>
      </w:pPr>
    </w:p>
    <w:p>
      <w:pPr>
        <w:ind w:firstLine="589"/>
        <w:spacing w:after="0" w:line="260" w:lineRule="auto"/>
        <w:rPr>
          <w:sz w:val="20"/>
          <w:szCs w:val="20"/>
          <w:color w:val="auto"/>
        </w:rPr>
      </w:pPr>
      <w:r>
        <w:rPr>
          <w:rFonts w:ascii="Arial" w:cs="Arial" w:eastAsia="Arial" w:hAnsi="Arial"/>
          <w:sz w:val="16"/>
          <w:szCs w:val="16"/>
          <w:color w:val="auto"/>
        </w:rPr>
        <w:t>In June 2016, the FASB issued ASU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and issued subsequent amendments to the initial guidance within ASU 2019-04 and ASU 2019-05. The amendments in ASU 2016-13 replace the incurred loss impairment methodology in current practice with a methodology that reflects expected credit losses and requires consideration of a broader range of reasonable and supportable information to estimate credit losses. ASU 2016-13 and its amendments are effective for interim and annual reporting periods beginning after December 15, 2019. The Company adopted this ASU in the first quarter of 2020, and it did not have a material impact on its financial statements.</w:t>
      </w:r>
    </w:p>
    <w:p>
      <w:pPr>
        <w:spacing w:after="0" w:line="157" w:lineRule="exact"/>
        <w:rPr>
          <w:sz w:val="20"/>
          <w:szCs w:val="20"/>
          <w:color w:val="auto"/>
        </w:rPr>
      </w:pPr>
    </w:p>
    <w:p>
      <w:pPr>
        <w:ind w:right="40" w:firstLine="589"/>
        <w:spacing w:after="0" w:line="239" w:lineRule="auto"/>
        <w:rPr>
          <w:sz w:val="20"/>
          <w:szCs w:val="20"/>
          <w:color w:val="auto"/>
        </w:rPr>
      </w:pPr>
      <w:r>
        <w:rPr>
          <w:rFonts w:ascii="Arial" w:cs="Arial" w:eastAsia="Arial" w:hAnsi="Arial"/>
          <w:sz w:val="17"/>
          <w:szCs w:val="17"/>
          <w:color w:val="auto"/>
        </w:rPr>
        <w:t>In December 2019, the FASB issued ASU No. 2019-12, “</w:t>
      </w:r>
      <w:r>
        <w:rPr>
          <w:rFonts w:ascii="Arial" w:cs="Arial" w:eastAsia="Arial" w:hAnsi="Arial"/>
          <w:sz w:val="17"/>
          <w:szCs w:val="17"/>
          <w:i w:val="1"/>
          <w:iCs w:val="1"/>
          <w:color w:val="auto"/>
        </w:rPr>
        <w:t>Income Taxes (Topic 740): Simplifying the Accounting for Income Taxes (“ASU 2019-12”)”</w:t>
      </w:r>
      <w:r>
        <w:rPr>
          <w:rFonts w:ascii="Arial" w:cs="Arial" w:eastAsia="Arial" w:hAnsi="Arial"/>
          <w:sz w:val="17"/>
          <w:szCs w:val="17"/>
          <w:color w:val="auto"/>
        </w:rPr>
        <w:t>. ASU 2019-12 was issued as a means to reduce the complexity of accounting for income taxes for those entities that fall within the scope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standard. The guidance is applied using a prospective method, excluding amendments related to franchise taxes, which should be applied on either a retrospective basis for all periods presented or a modified retrospective basis through a cumulative-effect adjustment to retained earnings as of the beginning of the fiscal year of adoption. ASU 2019-12 is effective for fiscal years beginning after December 15, 2020, with early adoption permitted. The Company adopted this ASU in the first quarter of 2021, and it did not have a material impact on its financial statements.</w:t>
      </w:r>
    </w:p>
    <w:p>
      <w:pPr>
        <w:spacing w:after="0" w:line="176" w:lineRule="exact"/>
        <w:rPr>
          <w:sz w:val="20"/>
          <w:szCs w:val="20"/>
          <w:color w:val="auto"/>
        </w:rPr>
      </w:pPr>
    </w:p>
    <w:p>
      <w:pPr>
        <w:ind w:right="40" w:firstLine="589"/>
        <w:spacing w:after="0" w:line="238" w:lineRule="auto"/>
        <w:rPr>
          <w:sz w:val="20"/>
          <w:szCs w:val="20"/>
          <w:color w:val="auto"/>
        </w:rPr>
      </w:pPr>
      <w:r>
        <w:rPr>
          <w:rFonts w:ascii="Arial" w:cs="Arial" w:eastAsia="Arial" w:hAnsi="Arial"/>
          <w:sz w:val="17"/>
          <w:szCs w:val="17"/>
          <w:color w:val="auto"/>
        </w:rPr>
        <w:t>In August 2020, the FASB issued ASU 2020-06, “</w:t>
      </w:r>
      <w:r>
        <w:rPr>
          <w:rFonts w:ascii="Arial" w:cs="Arial" w:eastAsia="Arial" w:hAnsi="Arial"/>
          <w:sz w:val="17"/>
          <w:szCs w:val="17"/>
          <w:i w:val="1"/>
          <w:iCs w:val="1"/>
          <w:color w:val="auto"/>
        </w:rPr>
        <w:t>Debt – Debt with Conversion and Other Options (Subtopic 470-20) 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 – Contracts in Entity’s Own Equity (Subtopic 815-40)</w:t>
      </w:r>
      <w:r>
        <w:rPr>
          <w:rFonts w:ascii="Arial" w:cs="Arial" w:eastAsia="Arial" w:hAnsi="Arial"/>
          <w:sz w:val="17"/>
          <w:szCs w:val="17"/>
          <w:color w:val="auto"/>
        </w:rPr>
        <w:t>”. The update simplifies the accounting for convertible debt instruments and convertible</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stock by reducing the number of accounting models and limiting the number of embedded conversion features separately recognized from the primary contract. The guidance also includes targeted improvements to the disclosures for convertible instruments and earnings per share. ASU 2020-06 is effective for fiscal years beginning after December 15, 2021, including interim periods within those fiscal years. Early adoption is permitted, but no earlier than fiscal years beginning after December 15, 2020. The Company early adopted this ASU in the first quarter of 2021 using the modified retrospective method which resulted in a reduction in non-cash interest expense and reclassification of the equity portion of the Convertible Senior Notes to “Long-term debt” on the consolidated balance sheet.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580" w:hanging="579"/>
        <w:spacing w:after="0"/>
        <w:tabs>
          <w:tab w:leader="none" w:pos="58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Acquisitions</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BlackHorse Solutions, Inc.</w:t>
      </w:r>
    </w:p>
    <w:p>
      <w:pPr>
        <w:spacing w:after="0" w:line="116" w:lineRule="exact"/>
        <w:rPr>
          <w:sz w:val="20"/>
          <w:szCs w:val="20"/>
          <w:color w:val="auto"/>
        </w:rPr>
      </w:pPr>
    </w:p>
    <w:p>
      <w:pPr>
        <w:ind w:right="40" w:firstLine="589"/>
        <w:spacing w:after="0" w:line="238" w:lineRule="auto"/>
        <w:rPr>
          <w:sz w:val="20"/>
          <w:szCs w:val="20"/>
          <w:color w:val="auto"/>
        </w:rPr>
      </w:pPr>
      <w:r>
        <w:rPr>
          <w:rFonts w:ascii="Arial" w:cs="Arial" w:eastAsia="Arial" w:hAnsi="Arial"/>
          <w:sz w:val="17"/>
          <w:szCs w:val="17"/>
          <w:color w:val="auto"/>
        </w:rPr>
        <w:t>On July 6, 2021, the Company acquired a 100% ownership interest in BlackHorse Solutions, Inc (“BlackHorse”), a privately-owned company, for $205.0 million paid in cash. BlackHorse expands Parsons’ capabilities and products in next-generation military, intelligence, and space operations, specifically in cyber electronic warfare and information dominance. The acquisition was entirely funded by cash on-hand. In connection with this acquisition, the Company recognized $3.1 million of acquisition-related expenses in “Selling, general and administrative expense” in the consolidated statements of income for the year ended December 31, 2021, including legal fees, consulting fees, and other miscellaneous direct expenses associated with the acquisition.</w:t>
      </w:r>
    </w:p>
    <w:p>
      <w:pPr>
        <w:spacing w:after="0" w:line="92" w:lineRule="exact"/>
        <w:rPr>
          <w:sz w:val="20"/>
          <w:szCs w:val="20"/>
          <w:color w:val="auto"/>
        </w:rPr>
      </w:pPr>
    </w:p>
    <w:p>
      <w:pPr>
        <w:ind w:right="620" w:firstLine="589"/>
        <w:spacing w:after="0" w:line="242" w:lineRule="auto"/>
        <w:rPr>
          <w:sz w:val="20"/>
          <w:szCs w:val="20"/>
          <w:color w:val="auto"/>
        </w:rPr>
      </w:pPr>
      <w:r>
        <w:rPr>
          <w:rFonts w:ascii="Arial" w:cs="Arial" w:eastAsia="Arial" w:hAnsi="Arial"/>
          <w:sz w:val="17"/>
          <w:szCs w:val="17"/>
          <w:color w:val="auto"/>
        </w:rPr>
        <w:t>The following table summarizes the estimated fair values of the assets acquired and liabilities assumed as of the date of acquisition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2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r>
      <w:tr>
        <w:trPr>
          <w:trHeight w:val="196"/>
        </w:trPr>
        <w:tc>
          <w:tcPr>
            <w:tcW w:w="628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3300" w:type="dxa"/>
            <w:vAlign w:val="bottom"/>
            <w:gridSpan w:val="2"/>
          </w:tcPr>
          <w:p>
            <w:pPr>
              <w:jc w:val="right"/>
              <w:ind w:right="236"/>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15,428</w:t>
            </w:r>
          </w:p>
        </w:tc>
        <w:tc>
          <w:tcPr>
            <w:tcW w:w="100" w:type="dxa"/>
            <w:vAlign w:val="bottom"/>
          </w:tcPr>
          <w:p>
            <w:pPr>
              <w:spacing w:after="0"/>
              <w:rPr>
                <w:sz w:val="17"/>
                <w:szCs w:val="17"/>
                <w:color w:val="auto"/>
              </w:rPr>
            </w:pPr>
          </w:p>
        </w:tc>
      </w:tr>
      <w:tr>
        <w:trPr>
          <w:trHeight w:val="203"/>
        </w:trPr>
        <w:tc>
          <w:tcPr>
            <w:tcW w:w="6280" w:type="dxa"/>
            <w:vAlign w:val="bottom"/>
            <w:shd w:val="clear" w:color="auto" w:fill="CFF0FC"/>
          </w:tcPr>
          <w:p>
            <w:pPr>
              <w:spacing w:after="0"/>
              <w:rPr>
                <w:sz w:val="20"/>
                <w:szCs w:val="20"/>
                <w:color w:val="auto"/>
              </w:rPr>
            </w:pPr>
            <w:r>
              <w:rPr>
                <w:rFonts w:ascii="Arial" w:cs="Arial" w:eastAsia="Arial" w:hAnsi="Arial"/>
                <w:sz w:val="17"/>
                <w:szCs w:val="17"/>
                <w:color w:val="auto"/>
              </w:rPr>
              <w:t>Accounts receivable</w:t>
            </w:r>
          </w:p>
        </w:tc>
        <w:tc>
          <w:tcPr>
            <w:tcW w:w="28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3,351</w:t>
            </w:r>
          </w:p>
        </w:tc>
        <w:tc>
          <w:tcPr>
            <w:tcW w:w="100" w:type="dxa"/>
            <w:vAlign w:val="bottom"/>
            <w:shd w:val="clear" w:color="auto" w:fill="CFF0FC"/>
          </w:tcPr>
          <w:p>
            <w:pPr>
              <w:spacing w:after="0"/>
              <w:rPr>
                <w:sz w:val="17"/>
                <w:szCs w:val="17"/>
                <w:color w:val="auto"/>
              </w:rPr>
            </w:pPr>
          </w:p>
        </w:tc>
      </w:tr>
      <w:tr>
        <w:trPr>
          <w:trHeight w:val="203"/>
        </w:trPr>
        <w:tc>
          <w:tcPr>
            <w:tcW w:w="6280" w:type="dxa"/>
            <w:vAlign w:val="bottom"/>
          </w:tcPr>
          <w:p>
            <w:pPr>
              <w:spacing w:after="0"/>
              <w:rPr>
                <w:sz w:val="20"/>
                <w:szCs w:val="20"/>
                <w:color w:val="auto"/>
              </w:rPr>
            </w:pPr>
            <w:r>
              <w:rPr>
                <w:rFonts w:ascii="Arial" w:cs="Arial" w:eastAsia="Arial" w:hAnsi="Arial"/>
                <w:sz w:val="17"/>
                <w:szCs w:val="17"/>
                <w:color w:val="auto"/>
              </w:rPr>
              <w:t>Contract assets</w:t>
            </w:r>
          </w:p>
        </w:tc>
        <w:tc>
          <w:tcPr>
            <w:tcW w:w="2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5,979</w:t>
            </w:r>
          </w:p>
        </w:tc>
        <w:tc>
          <w:tcPr>
            <w:tcW w:w="100" w:type="dxa"/>
            <w:vAlign w:val="bottom"/>
          </w:tcPr>
          <w:p>
            <w:pPr>
              <w:spacing w:after="0"/>
              <w:rPr>
                <w:sz w:val="17"/>
                <w:szCs w:val="17"/>
                <w:color w:val="auto"/>
              </w:rPr>
            </w:pPr>
          </w:p>
        </w:tc>
      </w:tr>
      <w:tr>
        <w:trPr>
          <w:trHeight w:val="203"/>
        </w:trPr>
        <w:tc>
          <w:tcPr>
            <w:tcW w:w="6280" w:type="dxa"/>
            <w:vAlign w:val="bottom"/>
            <w:shd w:val="clear" w:color="auto" w:fill="CFF0FC"/>
          </w:tcPr>
          <w:p>
            <w:pPr>
              <w:spacing w:after="0"/>
              <w:rPr>
                <w:sz w:val="20"/>
                <w:szCs w:val="20"/>
                <w:color w:val="auto"/>
              </w:rPr>
            </w:pPr>
            <w:r>
              <w:rPr>
                <w:rFonts w:ascii="Arial" w:cs="Arial" w:eastAsia="Arial" w:hAnsi="Arial"/>
                <w:sz w:val="17"/>
                <w:szCs w:val="17"/>
                <w:color w:val="auto"/>
              </w:rPr>
              <w:t>Prepaid expenses and other current assets</w:t>
            </w:r>
          </w:p>
        </w:tc>
        <w:tc>
          <w:tcPr>
            <w:tcW w:w="28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937</w:t>
            </w:r>
          </w:p>
        </w:tc>
        <w:tc>
          <w:tcPr>
            <w:tcW w:w="100" w:type="dxa"/>
            <w:vAlign w:val="bottom"/>
            <w:shd w:val="clear" w:color="auto" w:fill="CFF0FC"/>
          </w:tcPr>
          <w:p>
            <w:pPr>
              <w:spacing w:after="0"/>
              <w:rPr>
                <w:sz w:val="17"/>
                <w:szCs w:val="17"/>
                <w:color w:val="auto"/>
              </w:rPr>
            </w:pPr>
          </w:p>
        </w:tc>
      </w:tr>
      <w:tr>
        <w:trPr>
          <w:trHeight w:val="203"/>
        </w:trPr>
        <w:tc>
          <w:tcPr>
            <w:tcW w:w="6280" w:type="dxa"/>
            <w:vAlign w:val="bottom"/>
          </w:tcPr>
          <w:p>
            <w:pPr>
              <w:spacing w:after="0"/>
              <w:rPr>
                <w:sz w:val="20"/>
                <w:szCs w:val="20"/>
                <w:color w:val="auto"/>
              </w:rPr>
            </w:pPr>
            <w:r>
              <w:rPr>
                <w:rFonts w:ascii="Arial" w:cs="Arial" w:eastAsia="Arial" w:hAnsi="Arial"/>
                <w:sz w:val="17"/>
                <w:szCs w:val="17"/>
                <w:color w:val="auto"/>
              </w:rPr>
              <w:t>Property and equipment</w:t>
            </w:r>
          </w:p>
        </w:tc>
        <w:tc>
          <w:tcPr>
            <w:tcW w:w="2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2,239</w:t>
            </w:r>
          </w:p>
        </w:tc>
        <w:tc>
          <w:tcPr>
            <w:tcW w:w="100" w:type="dxa"/>
            <w:vAlign w:val="bottom"/>
          </w:tcPr>
          <w:p>
            <w:pPr>
              <w:spacing w:after="0"/>
              <w:rPr>
                <w:sz w:val="17"/>
                <w:szCs w:val="17"/>
                <w:color w:val="auto"/>
              </w:rPr>
            </w:pPr>
          </w:p>
        </w:tc>
      </w:tr>
      <w:tr>
        <w:trPr>
          <w:trHeight w:val="203"/>
        </w:trPr>
        <w:tc>
          <w:tcPr>
            <w:tcW w:w="6280" w:type="dxa"/>
            <w:vAlign w:val="bottom"/>
            <w:shd w:val="clear" w:color="auto" w:fill="CFF0FC"/>
          </w:tcPr>
          <w:p>
            <w:pPr>
              <w:spacing w:after="0"/>
              <w:rPr>
                <w:sz w:val="20"/>
                <w:szCs w:val="20"/>
                <w:color w:val="auto"/>
              </w:rPr>
            </w:pPr>
            <w:r>
              <w:rPr>
                <w:rFonts w:ascii="Arial" w:cs="Arial" w:eastAsia="Arial" w:hAnsi="Arial"/>
                <w:sz w:val="17"/>
                <w:szCs w:val="17"/>
                <w:color w:val="auto"/>
              </w:rPr>
              <w:t>Right of use assets, operating leases</w:t>
            </w:r>
          </w:p>
        </w:tc>
        <w:tc>
          <w:tcPr>
            <w:tcW w:w="28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6,157</w:t>
            </w:r>
          </w:p>
        </w:tc>
        <w:tc>
          <w:tcPr>
            <w:tcW w:w="100" w:type="dxa"/>
            <w:vAlign w:val="bottom"/>
            <w:shd w:val="clear" w:color="auto" w:fill="CFF0FC"/>
          </w:tcPr>
          <w:p>
            <w:pPr>
              <w:spacing w:after="0"/>
              <w:rPr>
                <w:sz w:val="17"/>
                <w:szCs w:val="17"/>
                <w:color w:val="auto"/>
              </w:rPr>
            </w:pPr>
          </w:p>
        </w:tc>
      </w:tr>
      <w:tr>
        <w:trPr>
          <w:trHeight w:val="203"/>
        </w:trPr>
        <w:tc>
          <w:tcPr>
            <w:tcW w:w="6280" w:type="dxa"/>
            <w:vAlign w:val="bottom"/>
          </w:tcPr>
          <w:p>
            <w:pPr>
              <w:spacing w:after="0"/>
              <w:rPr>
                <w:sz w:val="20"/>
                <w:szCs w:val="20"/>
                <w:color w:val="auto"/>
              </w:rPr>
            </w:pPr>
            <w:r>
              <w:rPr>
                <w:rFonts w:ascii="Arial" w:cs="Arial" w:eastAsia="Arial" w:hAnsi="Arial"/>
                <w:sz w:val="17"/>
                <w:szCs w:val="17"/>
                <w:color w:val="auto"/>
              </w:rPr>
              <w:t>Goodwill</w:t>
            </w:r>
          </w:p>
        </w:tc>
        <w:tc>
          <w:tcPr>
            <w:tcW w:w="2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143,830</w:t>
            </w:r>
          </w:p>
        </w:tc>
        <w:tc>
          <w:tcPr>
            <w:tcW w:w="100" w:type="dxa"/>
            <w:vAlign w:val="bottom"/>
          </w:tcPr>
          <w:p>
            <w:pPr>
              <w:spacing w:after="0"/>
              <w:rPr>
                <w:sz w:val="17"/>
                <w:szCs w:val="17"/>
                <w:color w:val="auto"/>
              </w:rPr>
            </w:pPr>
          </w:p>
        </w:tc>
      </w:tr>
      <w:tr>
        <w:trPr>
          <w:trHeight w:val="203"/>
        </w:trPr>
        <w:tc>
          <w:tcPr>
            <w:tcW w:w="6280" w:type="dxa"/>
            <w:vAlign w:val="bottom"/>
            <w:shd w:val="clear" w:color="auto" w:fill="CFF0FC"/>
          </w:tcPr>
          <w:p>
            <w:pPr>
              <w:spacing w:after="0"/>
              <w:rPr>
                <w:sz w:val="20"/>
                <w:szCs w:val="20"/>
                <w:color w:val="auto"/>
              </w:rPr>
            </w:pPr>
            <w:r>
              <w:rPr>
                <w:rFonts w:ascii="Arial" w:cs="Arial" w:eastAsia="Arial" w:hAnsi="Arial"/>
                <w:sz w:val="17"/>
                <w:szCs w:val="17"/>
                <w:color w:val="auto"/>
              </w:rPr>
              <w:t>Intangible assets</w:t>
            </w:r>
          </w:p>
        </w:tc>
        <w:tc>
          <w:tcPr>
            <w:tcW w:w="28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64,000</w:t>
            </w:r>
          </w:p>
        </w:tc>
        <w:tc>
          <w:tcPr>
            <w:tcW w:w="100" w:type="dxa"/>
            <w:vAlign w:val="bottom"/>
            <w:shd w:val="clear" w:color="auto" w:fill="CFF0FC"/>
          </w:tcPr>
          <w:p>
            <w:pPr>
              <w:spacing w:after="0"/>
              <w:rPr>
                <w:sz w:val="17"/>
                <w:szCs w:val="17"/>
                <w:color w:val="auto"/>
              </w:rPr>
            </w:pPr>
          </w:p>
        </w:tc>
      </w:tr>
      <w:tr>
        <w:trPr>
          <w:trHeight w:val="203"/>
        </w:trPr>
        <w:tc>
          <w:tcPr>
            <w:tcW w:w="6280" w:type="dxa"/>
            <w:vAlign w:val="bottom"/>
          </w:tcPr>
          <w:p>
            <w:pPr>
              <w:spacing w:after="0"/>
              <w:rPr>
                <w:sz w:val="20"/>
                <w:szCs w:val="20"/>
                <w:color w:val="auto"/>
              </w:rPr>
            </w:pPr>
            <w:r>
              <w:rPr>
                <w:rFonts w:ascii="Arial" w:cs="Arial" w:eastAsia="Arial" w:hAnsi="Arial"/>
                <w:sz w:val="17"/>
                <w:szCs w:val="17"/>
                <w:color w:val="auto"/>
              </w:rPr>
              <w:t>Accounts payable</w:t>
            </w:r>
          </w:p>
        </w:tc>
        <w:tc>
          <w:tcPr>
            <w:tcW w:w="2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7"/>
                <w:szCs w:val="17"/>
                <w:color w:val="auto"/>
              </w:rPr>
              <w:t>(2,326)</w:t>
            </w:r>
          </w:p>
        </w:tc>
      </w:tr>
      <w:tr>
        <w:trPr>
          <w:trHeight w:val="203"/>
        </w:trPr>
        <w:tc>
          <w:tcPr>
            <w:tcW w:w="6280" w:type="dxa"/>
            <w:vAlign w:val="bottom"/>
            <w:shd w:val="clear" w:color="auto" w:fill="CFF0FC"/>
          </w:tcPr>
          <w:p>
            <w:pPr>
              <w:spacing w:after="0"/>
              <w:rPr>
                <w:sz w:val="20"/>
                <w:szCs w:val="20"/>
                <w:color w:val="auto"/>
              </w:rPr>
            </w:pPr>
            <w:r>
              <w:rPr>
                <w:rFonts w:ascii="Arial" w:cs="Arial" w:eastAsia="Arial" w:hAnsi="Arial"/>
                <w:sz w:val="17"/>
                <w:szCs w:val="17"/>
                <w:color w:val="auto"/>
              </w:rPr>
              <w:t>Accrued expenses and other current liabilities</w:t>
            </w:r>
          </w:p>
        </w:tc>
        <w:tc>
          <w:tcPr>
            <w:tcW w:w="28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(17,190)</w:t>
            </w:r>
          </w:p>
        </w:tc>
      </w:tr>
      <w:tr>
        <w:trPr>
          <w:trHeight w:val="203"/>
        </w:trPr>
        <w:tc>
          <w:tcPr>
            <w:tcW w:w="6280" w:type="dxa"/>
            <w:vAlign w:val="bottom"/>
          </w:tcPr>
          <w:p>
            <w:pPr>
              <w:spacing w:after="0"/>
              <w:rPr>
                <w:sz w:val="20"/>
                <w:szCs w:val="20"/>
                <w:color w:val="auto"/>
              </w:rPr>
            </w:pPr>
            <w:r>
              <w:rPr>
                <w:rFonts w:ascii="Arial" w:cs="Arial" w:eastAsia="Arial" w:hAnsi="Arial"/>
                <w:sz w:val="17"/>
                <w:szCs w:val="17"/>
                <w:color w:val="auto"/>
              </w:rPr>
              <w:t>Contract liabilities</w:t>
            </w:r>
          </w:p>
        </w:tc>
        <w:tc>
          <w:tcPr>
            <w:tcW w:w="2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7"/>
                <w:szCs w:val="17"/>
                <w:color w:val="auto"/>
              </w:rPr>
              <w:t>(320)</w:t>
            </w:r>
          </w:p>
        </w:tc>
      </w:tr>
      <w:tr>
        <w:trPr>
          <w:trHeight w:val="203"/>
        </w:trPr>
        <w:tc>
          <w:tcPr>
            <w:tcW w:w="6280" w:type="dxa"/>
            <w:vAlign w:val="bottom"/>
            <w:shd w:val="clear" w:color="auto" w:fill="CFF0FC"/>
          </w:tcPr>
          <w:p>
            <w:pPr>
              <w:spacing w:after="0"/>
              <w:rPr>
                <w:sz w:val="20"/>
                <w:szCs w:val="20"/>
                <w:color w:val="auto"/>
              </w:rPr>
            </w:pPr>
            <w:r>
              <w:rPr>
                <w:rFonts w:ascii="Arial" w:cs="Arial" w:eastAsia="Arial" w:hAnsi="Arial"/>
                <w:sz w:val="17"/>
                <w:szCs w:val="17"/>
                <w:color w:val="auto"/>
              </w:rPr>
              <w:t>Short-term lease liabilities, operating leases</w:t>
            </w:r>
          </w:p>
        </w:tc>
        <w:tc>
          <w:tcPr>
            <w:tcW w:w="28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(1,011)</w:t>
            </w:r>
          </w:p>
        </w:tc>
      </w:tr>
      <w:tr>
        <w:trPr>
          <w:trHeight w:val="203"/>
        </w:trPr>
        <w:tc>
          <w:tcPr>
            <w:tcW w:w="6280" w:type="dxa"/>
            <w:vAlign w:val="bottom"/>
          </w:tcPr>
          <w:p>
            <w:pPr>
              <w:spacing w:after="0"/>
              <w:rPr>
                <w:sz w:val="20"/>
                <w:szCs w:val="20"/>
                <w:color w:val="auto"/>
              </w:rPr>
            </w:pPr>
            <w:r>
              <w:rPr>
                <w:rFonts w:ascii="Arial" w:cs="Arial" w:eastAsia="Arial" w:hAnsi="Arial"/>
                <w:sz w:val="17"/>
                <w:szCs w:val="17"/>
                <w:color w:val="auto"/>
              </w:rPr>
              <w:t>Long-term lease liabilities, operating leases</w:t>
            </w:r>
          </w:p>
        </w:tc>
        <w:tc>
          <w:tcPr>
            <w:tcW w:w="2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7"/>
                <w:szCs w:val="17"/>
                <w:color w:val="auto"/>
              </w:rPr>
              <w:t>(5,146)</w:t>
            </w:r>
          </w:p>
        </w:tc>
      </w:tr>
      <w:tr>
        <w:trPr>
          <w:trHeight w:val="203"/>
        </w:trPr>
        <w:tc>
          <w:tcPr>
            <w:tcW w:w="6280" w:type="dxa"/>
            <w:vAlign w:val="bottom"/>
            <w:shd w:val="clear" w:color="auto" w:fill="CFF0FC"/>
          </w:tcPr>
          <w:p>
            <w:pPr>
              <w:spacing w:after="0"/>
              <w:rPr>
                <w:sz w:val="20"/>
                <w:szCs w:val="20"/>
                <w:color w:val="auto"/>
              </w:rPr>
            </w:pPr>
            <w:r>
              <w:rPr>
                <w:rFonts w:ascii="Arial" w:cs="Arial" w:eastAsia="Arial" w:hAnsi="Arial"/>
                <w:sz w:val="17"/>
                <w:szCs w:val="17"/>
                <w:color w:val="auto"/>
              </w:rPr>
              <w:t>Deferred tax liabilities</w:t>
            </w:r>
          </w:p>
        </w:tc>
        <w:tc>
          <w:tcPr>
            <w:tcW w:w="28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(10,660)</w:t>
            </w:r>
          </w:p>
        </w:tc>
      </w:tr>
      <w:tr>
        <w:trPr>
          <w:trHeight w:val="203"/>
        </w:trPr>
        <w:tc>
          <w:tcPr>
            <w:tcW w:w="6280" w:type="dxa"/>
            <w:vAlign w:val="bottom"/>
          </w:tcPr>
          <w:p>
            <w:pPr>
              <w:spacing w:after="0"/>
              <w:rPr>
                <w:sz w:val="20"/>
                <w:szCs w:val="20"/>
                <w:color w:val="auto"/>
              </w:rPr>
            </w:pPr>
            <w:r>
              <w:rPr>
                <w:rFonts w:ascii="Arial" w:cs="Arial" w:eastAsia="Arial" w:hAnsi="Arial"/>
                <w:sz w:val="17"/>
                <w:szCs w:val="17"/>
                <w:color w:val="auto"/>
              </w:rPr>
              <w:t>Other long-term liabilities</w:t>
            </w:r>
          </w:p>
        </w:tc>
        <w:tc>
          <w:tcPr>
            <w:tcW w:w="2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7"/>
                <w:szCs w:val="17"/>
                <w:color w:val="auto"/>
              </w:rPr>
              <w:t>(235)</w:t>
            </w:r>
          </w:p>
        </w:tc>
      </w:tr>
      <w:tr>
        <w:trPr>
          <w:trHeight w:val="196"/>
        </w:trPr>
        <w:tc>
          <w:tcPr>
            <w:tcW w:w="62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Net assets acquired</w:t>
            </w:r>
          </w:p>
        </w:tc>
        <w:tc>
          <w:tcPr>
            <w:tcW w:w="2880" w:type="dxa"/>
            <w:vAlign w:val="bottom"/>
            <w:tcBorders>
              <w:top w:val="single" w:sz="8" w:color="CFF0FC"/>
              <w:bottom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jc w:val="right"/>
              <w:ind w:right="236"/>
              <w:spacing w:after="0"/>
              <w:rPr>
                <w:sz w:val="20"/>
                <w:szCs w:val="20"/>
                <w:color w:val="auto"/>
              </w:rPr>
            </w:pPr>
            <w:r>
              <w:rPr>
                <w:rFonts w:ascii="Arial" w:cs="Arial" w:eastAsia="Arial" w:hAnsi="Arial"/>
                <w:sz w:val="17"/>
                <w:szCs w:val="17"/>
                <w:color w:val="auto"/>
                <w:w w:val="84"/>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205,033</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62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Of the total purchase price, the following values were assigned to intangible assets (in thousands, except for years):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80" w:type="dxa"/>
            <w:vAlign w:val="bottom"/>
          </w:tcPr>
          <w:p>
            <w:pPr>
              <w:jc w:val="center"/>
              <w:ind w:left="432"/>
              <w:spacing w:after="0"/>
              <w:rPr>
                <w:sz w:val="20"/>
                <w:szCs w:val="20"/>
                <w:color w:val="auto"/>
              </w:rPr>
            </w:pPr>
            <w:r>
              <w:rPr>
                <w:rFonts w:ascii="Arial" w:cs="Arial" w:eastAsia="Arial" w:hAnsi="Arial"/>
                <w:sz w:val="14"/>
                <w:szCs w:val="14"/>
                <w:b w:val="1"/>
                <w:bCs w:val="1"/>
                <w:color w:val="auto"/>
                <w:w w:val="93"/>
              </w:rPr>
              <w:t>Gross</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52"/>
        </w:trPr>
        <w:tc>
          <w:tcPr>
            <w:tcW w:w="48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080" w:type="dxa"/>
            <w:vAlign w:val="bottom"/>
          </w:tcPr>
          <w:p>
            <w:pPr>
              <w:jc w:val="center"/>
              <w:ind w:left="452"/>
              <w:spacing w:after="0" w:line="152" w:lineRule="exact"/>
              <w:rPr>
                <w:sz w:val="20"/>
                <w:szCs w:val="20"/>
                <w:color w:val="auto"/>
              </w:rPr>
            </w:pPr>
            <w:r>
              <w:rPr>
                <w:rFonts w:ascii="Arial" w:cs="Arial" w:eastAsia="Arial" w:hAnsi="Arial"/>
                <w:sz w:val="14"/>
                <w:szCs w:val="14"/>
                <w:b w:val="1"/>
                <w:bCs w:val="1"/>
                <w:color w:val="auto"/>
                <w:w w:val="97"/>
              </w:rPr>
              <w:t>Carrying</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8"/>
              </w:rPr>
              <w:t>Amortization</w:t>
            </w:r>
          </w:p>
        </w:tc>
      </w:tr>
      <w:tr>
        <w:trPr>
          <w:trHeight w:val="164"/>
        </w:trPr>
        <w:tc>
          <w:tcPr>
            <w:tcW w:w="48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80" w:type="dxa"/>
            <w:vAlign w:val="bottom"/>
            <w:tcBorders>
              <w:bottom w:val="single" w:sz="8" w:color="auto"/>
            </w:tcBorders>
          </w:tcPr>
          <w:p>
            <w:pPr>
              <w:jc w:val="center"/>
              <w:ind w:left="432"/>
              <w:spacing w:after="0"/>
              <w:rPr>
                <w:sz w:val="20"/>
                <w:szCs w:val="20"/>
                <w:color w:val="auto"/>
              </w:rPr>
            </w:pPr>
            <w:r>
              <w:rPr>
                <w:rFonts w:ascii="Arial" w:cs="Arial" w:eastAsia="Arial" w:hAnsi="Arial"/>
                <w:sz w:val="14"/>
                <w:szCs w:val="14"/>
                <w:b w:val="1"/>
                <w:bCs w:val="1"/>
                <w:color w:val="auto"/>
                <w:w w:val="94"/>
              </w:rPr>
              <w:t>Amount</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r>
      <w:tr>
        <w:trPr>
          <w:trHeight w:val="207"/>
        </w:trPr>
        <w:tc>
          <w:tcPr>
            <w:tcW w:w="48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5"/>
              </w:rPr>
              <w:t>(in years)</w:t>
            </w:r>
          </w:p>
        </w:tc>
      </w:tr>
      <w:tr>
        <w:trPr>
          <w:trHeight w:val="191"/>
        </w:trPr>
        <w:tc>
          <w:tcPr>
            <w:tcW w:w="4800" w:type="dxa"/>
            <w:vAlign w:val="bottom"/>
          </w:tcPr>
          <w:p>
            <w:pPr>
              <w:spacing w:after="0" w:line="191" w:lineRule="exact"/>
              <w:rPr>
                <w:sz w:val="20"/>
                <w:szCs w:val="20"/>
                <w:color w:val="auto"/>
              </w:rPr>
            </w:pPr>
            <w:r>
              <w:rPr>
                <w:rFonts w:ascii="Arial" w:cs="Arial" w:eastAsia="Arial" w:hAnsi="Arial"/>
                <w:sz w:val="17"/>
                <w:szCs w:val="17"/>
                <w:color w:val="auto"/>
              </w:rPr>
              <w:t>Customer relationships</w:t>
            </w:r>
          </w:p>
        </w:tc>
        <w:tc>
          <w:tcPr>
            <w:tcW w:w="3920" w:type="dxa"/>
            <w:vAlign w:val="bottom"/>
            <w:gridSpan w:val="2"/>
          </w:tcPr>
          <w:p>
            <w:pPr>
              <w:jc w:val="right"/>
              <w:ind w:right="932"/>
              <w:spacing w:after="0" w:line="191" w:lineRule="exact"/>
              <w:rPr>
                <w:sz w:val="20"/>
                <w:szCs w:val="20"/>
                <w:color w:val="auto"/>
              </w:rPr>
            </w:pPr>
            <w:r>
              <w:rPr>
                <w:rFonts w:ascii="Arial" w:cs="Arial" w:eastAsia="Arial" w:hAnsi="Arial"/>
                <w:sz w:val="17"/>
                <w:szCs w:val="17"/>
                <w:color w:val="auto"/>
              </w:rPr>
              <w:t>$</w:t>
            </w:r>
          </w:p>
        </w:tc>
        <w:tc>
          <w:tcPr>
            <w:tcW w:w="520" w:type="dxa"/>
            <w:vAlign w:val="bottom"/>
          </w:tcPr>
          <w:p>
            <w:pPr>
              <w:jc w:val="right"/>
              <w:spacing w:after="0" w:line="191" w:lineRule="exact"/>
              <w:rPr>
                <w:sz w:val="20"/>
                <w:szCs w:val="20"/>
                <w:color w:val="auto"/>
              </w:rPr>
            </w:pPr>
            <w:r>
              <w:rPr>
                <w:rFonts w:ascii="Arial" w:cs="Arial" w:eastAsia="Arial" w:hAnsi="Arial"/>
                <w:sz w:val="17"/>
                <w:szCs w:val="17"/>
                <w:color w:val="auto"/>
                <w:w w:val="96"/>
              </w:rPr>
              <w:t>39,000</w:t>
            </w:r>
          </w:p>
        </w:tc>
        <w:tc>
          <w:tcPr>
            <w:tcW w:w="280" w:type="dxa"/>
            <w:vAlign w:val="bottom"/>
          </w:tcPr>
          <w:p>
            <w:pPr>
              <w:spacing w:after="0"/>
              <w:rPr>
                <w:sz w:val="16"/>
                <w:szCs w:val="16"/>
                <w:color w:val="auto"/>
              </w:rPr>
            </w:pPr>
          </w:p>
        </w:tc>
        <w:tc>
          <w:tcPr>
            <w:tcW w:w="1720" w:type="dxa"/>
            <w:vAlign w:val="bottom"/>
          </w:tcPr>
          <w:p>
            <w:pPr>
              <w:jc w:val="right"/>
              <w:spacing w:after="0" w:line="191" w:lineRule="exact"/>
              <w:rPr>
                <w:sz w:val="20"/>
                <w:szCs w:val="20"/>
                <w:color w:val="auto"/>
              </w:rPr>
            </w:pPr>
            <w:r>
              <w:rPr>
                <w:rFonts w:ascii="Arial" w:cs="Arial" w:eastAsia="Arial" w:hAnsi="Arial"/>
                <w:sz w:val="17"/>
                <w:szCs w:val="17"/>
                <w:color w:val="auto"/>
              </w:rPr>
              <w:t>16</w:t>
            </w:r>
          </w:p>
        </w:tc>
      </w:tr>
      <w:tr>
        <w:trPr>
          <w:trHeight w:val="203"/>
        </w:trPr>
        <w:tc>
          <w:tcPr>
            <w:tcW w:w="4800" w:type="dxa"/>
            <w:vAlign w:val="bottom"/>
            <w:shd w:val="clear" w:color="auto" w:fill="CFF0FC"/>
          </w:tcPr>
          <w:p>
            <w:pPr>
              <w:spacing w:after="0"/>
              <w:rPr>
                <w:sz w:val="20"/>
                <w:szCs w:val="20"/>
                <w:color w:val="auto"/>
              </w:rPr>
            </w:pPr>
            <w:r>
              <w:rPr>
                <w:rFonts w:ascii="Arial" w:cs="Arial" w:eastAsia="Arial" w:hAnsi="Arial"/>
                <w:sz w:val="17"/>
                <w:szCs w:val="17"/>
                <w:color w:val="auto"/>
              </w:rPr>
              <w:t>Backlog</w:t>
            </w:r>
          </w:p>
        </w:tc>
        <w:tc>
          <w:tcPr>
            <w:tcW w:w="28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6"/>
              </w:rPr>
              <w:t>22,000</w:t>
            </w:r>
          </w:p>
        </w:tc>
        <w:tc>
          <w:tcPr>
            <w:tcW w:w="28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r>
      <w:tr>
        <w:trPr>
          <w:trHeight w:val="203"/>
        </w:trPr>
        <w:tc>
          <w:tcPr>
            <w:tcW w:w="4800" w:type="dxa"/>
            <w:vAlign w:val="bottom"/>
          </w:tcPr>
          <w:p>
            <w:pPr>
              <w:spacing w:after="0"/>
              <w:rPr>
                <w:sz w:val="20"/>
                <w:szCs w:val="20"/>
                <w:color w:val="auto"/>
              </w:rPr>
            </w:pPr>
            <w:r>
              <w:rPr>
                <w:rFonts w:ascii="Arial" w:cs="Arial" w:eastAsia="Arial" w:hAnsi="Arial"/>
                <w:sz w:val="17"/>
                <w:szCs w:val="17"/>
                <w:color w:val="auto"/>
              </w:rPr>
              <w:t>Trade name</w:t>
            </w:r>
          </w:p>
        </w:tc>
        <w:tc>
          <w:tcPr>
            <w:tcW w:w="2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1,000</w:t>
            </w:r>
          </w:p>
        </w:tc>
        <w:tc>
          <w:tcPr>
            <w:tcW w:w="2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3"/>
        </w:trPr>
        <w:tc>
          <w:tcPr>
            <w:tcW w:w="4800" w:type="dxa"/>
            <w:vAlign w:val="bottom"/>
            <w:shd w:val="clear" w:color="auto" w:fill="CFF0FC"/>
          </w:tcPr>
          <w:p>
            <w:pPr>
              <w:spacing w:after="0"/>
              <w:rPr>
                <w:sz w:val="20"/>
                <w:szCs w:val="20"/>
                <w:color w:val="auto"/>
              </w:rPr>
            </w:pPr>
            <w:r>
              <w:rPr>
                <w:rFonts w:ascii="Arial" w:cs="Arial" w:eastAsia="Arial" w:hAnsi="Arial"/>
                <w:sz w:val="17"/>
                <w:szCs w:val="17"/>
                <w:color w:val="auto"/>
              </w:rPr>
              <w:t>Developed technologies</w:t>
            </w:r>
          </w:p>
        </w:tc>
        <w:tc>
          <w:tcPr>
            <w:tcW w:w="28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1,000</w:t>
            </w:r>
          </w:p>
        </w:tc>
        <w:tc>
          <w:tcPr>
            <w:tcW w:w="28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r>
      <w:tr>
        <w:trPr>
          <w:trHeight w:val="215"/>
        </w:trPr>
        <w:tc>
          <w:tcPr>
            <w:tcW w:w="4800" w:type="dxa"/>
            <w:vAlign w:val="bottom"/>
          </w:tcPr>
          <w:p>
            <w:pPr>
              <w:spacing w:after="0"/>
              <w:rPr>
                <w:sz w:val="20"/>
                <w:szCs w:val="20"/>
                <w:color w:val="auto"/>
              </w:rPr>
            </w:pPr>
            <w:r>
              <w:rPr>
                <w:rFonts w:ascii="Arial" w:cs="Arial" w:eastAsia="Arial" w:hAnsi="Arial"/>
                <w:sz w:val="17"/>
                <w:szCs w:val="17"/>
                <w:color w:val="auto"/>
              </w:rPr>
              <w:t>Non-compete agreements</w:t>
            </w:r>
          </w:p>
        </w:tc>
        <w:tc>
          <w:tcPr>
            <w:tcW w:w="2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1,000</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3</w:t>
            </w:r>
          </w:p>
        </w:tc>
      </w:tr>
    </w:tbl>
    <w:p>
      <w:pPr>
        <w:spacing w:after="0" w:line="190" w:lineRule="exact"/>
        <w:rPr>
          <w:sz w:val="20"/>
          <w:szCs w:val="20"/>
          <w:color w:val="auto"/>
        </w:rPr>
      </w:pPr>
    </w:p>
    <w:p>
      <w:pPr>
        <w:jc w:val="both"/>
        <w:ind w:right="80" w:firstLine="589"/>
        <w:spacing w:after="0" w:line="245" w:lineRule="auto"/>
        <w:rPr>
          <w:sz w:val="20"/>
          <w:szCs w:val="20"/>
          <w:color w:val="auto"/>
        </w:rPr>
      </w:pPr>
      <w:r>
        <w:rPr>
          <w:rFonts w:ascii="Arial" w:cs="Arial" w:eastAsia="Arial" w:hAnsi="Arial"/>
          <w:sz w:val="17"/>
          <w:szCs w:val="17"/>
          <w:color w:val="auto"/>
        </w:rPr>
        <w:t>Amortization expense of $5.4 million related to these intangible assets was recorded for the year ended December 31, 2021. The entire value of goodwill of $143.8 million was assigned to the Federal Solutions reporting unit and represents synergies expected to be realized from this business combination. Goodwill of $10.6 million is deductible for tax purposes.</w:t>
      </w:r>
    </w:p>
    <w:p>
      <w:pPr>
        <w:spacing w:after="0" w:line="187" w:lineRule="exact"/>
        <w:rPr>
          <w:sz w:val="20"/>
          <w:szCs w:val="20"/>
          <w:color w:val="auto"/>
        </w:rPr>
      </w:pPr>
    </w:p>
    <w:p>
      <w:pPr>
        <w:ind w:right="120" w:firstLine="589"/>
        <w:spacing w:after="0" w:line="238" w:lineRule="auto"/>
        <w:rPr>
          <w:sz w:val="20"/>
          <w:szCs w:val="20"/>
          <w:color w:val="auto"/>
        </w:rPr>
      </w:pPr>
      <w:r>
        <w:rPr>
          <w:rFonts w:ascii="Arial" w:cs="Arial" w:eastAsia="Arial" w:hAnsi="Arial"/>
          <w:sz w:val="17"/>
          <w:szCs w:val="17"/>
          <w:color w:val="auto"/>
        </w:rPr>
        <w:t>The amount of revenue generated by BlackHorse and included within consolidated revenues for 2021 is $35.3 million. The Company has determined that the presentation of net income from the date of acquisition is impracticable due to the integration of general corporate functions upon acquisition.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Company is still in the process of finalizing its valuation of the net assets acquired.</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Supplemental Pro Forma Information (Unaudited)</w:t>
      </w:r>
    </w:p>
    <w:p>
      <w:pPr>
        <w:spacing w:after="0" w:line="11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Supplemental information on an unaudited pro forma basis, as if the acquisition closed as of the beginning of the fiscal year ended</w:t>
      </w:r>
    </w:p>
    <w:p>
      <w:pPr>
        <w:spacing w:after="0"/>
        <w:rPr>
          <w:sz w:val="20"/>
          <w:szCs w:val="20"/>
          <w:color w:val="auto"/>
        </w:rPr>
      </w:pPr>
      <w:r>
        <w:rPr>
          <w:rFonts w:ascii="Arial" w:cs="Arial" w:eastAsia="Arial" w:hAnsi="Arial"/>
          <w:sz w:val="17"/>
          <w:szCs w:val="17"/>
          <w:color w:val="auto"/>
        </w:rPr>
        <w:t>December 31, 2020 as follows (in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9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59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(unaudited)</w:t>
            </w:r>
          </w:p>
        </w:tc>
      </w:tr>
      <w:tr>
        <w:trPr>
          <w:trHeight w:val="191"/>
        </w:trPr>
        <w:tc>
          <w:tcPr>
            <w:tcW w:w="5940" w:type="dxa"/>
            <w:vAlign w:val="bottom"/>
          </w:tcPr>
          <w:p>
            <w:pPr>
              <w:spacing w:after="0" w:line="191" w:lineRule="exact"/>
              <w:rPr>
                <w:sz w:val="20"/>
                <w:szCs w:val="20"/>
                <w:color w:val="auto"/>
              </w:rPr>
            </w:pPr>
            <w:r>
              <w:rPr>
                <w:rFonts w:ascii="Arial" w:cs="Arial" w:eastAsia="Arial" w:hAnsi="Arial"/>
                <w:sz w:val="17"/>
                <w:szCs w:val="17"/>
                <w:color w:val="auto"/>
              </w:rPr>
              <w:t>Pro forma Revenue</w:t>
            </w:r>
          </w:p>
        </w:tc>
        <w:tc>
          <w:tcPr>
            <w:tcW w:w="2040" w:type="dxa"/>
            <w:vAlign w:val="bottom"/>
            <w:gridSpan w:val="2"/>
          </w:tcPr>
          <w:p>
            <w:pPr>
              <w:jc w:val="right"/>
              <w:ind w:right="160"/>
              <w:spacing w:after="0" w:line="191" w:lineRule="exact"/>
              <w:rPr>
                <w:sz w:val="20"/>
                <w:szCs w:val="20"/>
                <w:color w:val="auto"/>
              </w:rPr>
            </w:pPr>
            <w:r>
              <w:rPr>
                <w:rFonts w:ascii="Arial" w:cs="Arial" w:eastAsia="Arial" w:hAnsi="Arial"/>
                <w:sz w:val="17"/>
                <w:szCs w:val="17"/>
                <w:color w:val="auto"/>
              </w:rPr>
              <w:t>$</w:t>
            </w:r>
          </w:p>
        </w:tc>
        <w:tc>
          <w:tcPr>
            <w:tcW w:w="1320" w:type="dxa"/>
            <w:vAlign w:val="bottom"/>
          </w:tcPr>
          <w:p>
            <w:pPr>
              <w:jc w:val="right"/>
              <w:spacing w:after="0" w:line="191" w:lineRule="exact"/>
              <w:rPr>
                <w:sz w:val="20"/>
                <w:szCs w:val="20"/>
                <w:color w:val="auto"/>
              </w:rPr>
            </w:pPr>
            <w:r>
              <w:rPr>
                <w:rFonts w:ascii="Arial" w:cs="Arial" w:eastAsia="Arial" w:hAnsi="Arial"/>
                <w:sz w:val="17"/>
                <w:szCs w:val="17"/>
                <w:color w:val="auto"/>
              </w:rPr>
              <w:t>3,699,227</w:t>
            </w:r>
          </w:p>
        </w:tc>
        <w:tc>
          <w:tcPr>
            <w:tcW w:w="280" w:type="dxa"/>
            <w:vAlign w:val="bottom"/>
          </w:tcPr>
          <w:p>
            <w:pPr>
              <w:spacing w:after="0"/>
              <w:rPr>
                <w:sz w:val="16"/>
                <w:szCs w:val="16"/>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91" w:lineRule="exact"/>
              <w:rPr>
                <w:sz w:val="20"/>
                <w:szCs w:val="20"/>
                <w:color w:val="auto"/>
              </w:rPr>
            </w:pPr>
            <w:r>
              <w:rPr>
                <w:rFonts w:ascii="Arial" w:cs="Arial" w:eastAsia="Arial" w:hAnsi="Arial"/>
                <w:sz w:val="17"/>
                <w:szCs w:val="17"/>
                <w:color w:val="auto"/>
              </w:rPr>
              <w:t>3,966,809</w:t>
            </w:r>
          </w:p>
        </w:tc>
        <w:tc>
          <w:tcPr>
            <w:tcW w:w="100" w:type="dxa"/>
            <w:vAlign w:val="bottom"/>
          </w:tcPr>
          <w:p>
            <w:pPr>
              <w:spacing w:after="0"/>
              <w:rPr>
                <w:sz w:val="16"/>
                <w:szCs w:val="16"/>
                <w:color w:val="auto"/>
              </w:rPr>
            </w:pPr>
          </w:p>
        </w:tc>
      </w:tr>
      <w:tr>
        <w:trPr>
          <w:trHeight w:val="203"/>
        </w:trPr>
        <w:tc>
          <w:tcPr>
            <w:tcW w:w="5940" w:type="dxa"/>
            <w:vAlign w:val="bottom"/>
            <w:shd w:val="clear" w:color="auto" w:fill="CFF0FC"/>
          </w:tcPr>
          <w:p>
            <w:pPr>
              <w:spacing w:after="0"/>
              <w:rPr>
                <w:sz w:val="20"/>
                <w:szCs w:val="20"/>
                <w:color w:val="auto"/>
              </w:rPr>
            </w:pPr>
            <w:r>
              <w:rPr>
                <w:rFonts w:ascii="Arial" w:cs="Arial" w:eastAsia="Arial" w:hAnsi="Arial"/>
                <w:sz w:val="17"/>
                <w:szCs w:val="17"/>
                <w:color w:val="auto"/>
              </w:rPr>
              <w:t>Pro forma Net Income including noncontrolling interests</w:t>
            </w:r>
          </w:p>
        </w:tc>
        <w:tc>
          <w:tcPr>
            <w:tcW w:w="1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93,592</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108,008</w:t>
            </w:r>
          </w:p>
        </w:tc>
        <w:tc>
          <w:tcPr>
            <w:tcW w:w="100" w:type="dxa"/>
            <w:vAlign w:val="bottom"/>
            <w:shd w:val="clear" w:color="auto" w:fill="CFF0FC"/>
          </w:tcPr>
          <w:p>
            <w:pPr>
              <w:spacing w:after="0"/>
              <w:rPr>
                <w:sz w:val="17"/>
                <w:szCs w:val="17"/>
                <w:color w:val="auto"/>
              </w:rPr>
            </w:pPr>
          </w:p>
        </w:tc>
      </w:tr>
    </w:tbl>
    <w:p>
      <w:pPr>
        <w:spacing w:after="0" w:line="202" w:lineRule="exact"/>
        <w:rPr>
          <w:sz w:val="20"/>
          <w:szCs w:val="20"/>
          <w:color w:val="auto"/>
        </w:rPr>
      </w:pPr>
    </w:p>
    <w:p>
      <w:pPr>
        <w:ind w:right="120" w:firstLine="589"/>
        <w:spacing w:after="0" w:line="236" w:lineRule="auto"/>
        <w:rPr>
          <w:sz w:val="20"/>
          <w:szCs w:val="20"/>
          <w:color w:val="auto"/>
        </w:rPr>
      </w:pPr>
      <w:r>
        <w:rPr>
          <w:rFonts w:ascii="Arial" w:cs="Arial" w:eastAsia="Arial" w:hAnsi="Arial"/>
          <w:sz w:val="17"/>
          <w:szCs w:val="17"/>
          <w:color w:val="auto"/>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Echo Ridge LLC</w:t>
      </w:r>
    </w:p>
    <w:p>
      <w:pPr>
        <w:spacing w:after="0" w:line="116" w:lineRule="exact"/>
        <w:rPr>
          <w:sz w:val="20"/>
          <w:szCs w:val="20"/>
          <w:color w:val="auto"/>
        </w:rPr>
      </w:pPr>
    </w:p>
    <w:p>
      <w:pPr>
        <w:ind w:right="180" w:firstLine="589"/>
        <w:spacing w:after="0" w:line="235" w:lineRule="auto"/>
        <w:rPr>
          <w:sz w:val="20"/>
          <w:szCs w:val="20"/>
          <w:color w:val="auto"/>
        </w:rPr>
      </w:pPr>
      <w:r>
        <w:rPr>
          <w:rFonts w:ascii="Arial" w:cs="Arial" w:eastAsia="Arial" w:hAnsi="Arial"/>
          <w:sz w:val="17"/>
          <w:szCs w:val="17"/>
          <w:color w:val="auto"/>
        </w:rPr>
        <w:t>On July 30, 2021, the Company acquired a 100% ownership interest in Echo Ridge LLC (“Echo Ridge”), a privately-owned company, for $9.0 million in cash. Echo Ridge adds position, navigation, and timing devices; modeling, simulation, test, and measurement tools; and deployable software defined radio products and signal processing services to Parsons’ space portfolio. The acquisition was entirely funded by cash on-hand. In connection with this acquisition, the Company recognized $0.3 million of acquisition related “Selling, general and administrative expense” in the consolidated statements of income for the year ended December 31, 2021, including legal fees, consulting fees, and other miscellaneous direct expenses associated with the acquisition. The Company allocated the purchase price to the appropriate classes of tangible assets and liabilities and assigned the excess of $7.2 million entirely to goodwill. The entire value of goodwill was assigned to the Federal Solutions reporting unit and represents synergies expected to be realized from this business combination. Goodwill in its entirety is deductible for tax purposes. The amount of revenue generated by Echo Ridge and included within consolidated revenues for 2021 is $2.9 million.</w:t>
      </w:r>
    </w:p>
    <w:p>
      <w:pPr>
        <w:spacing w:after="0" w:line="172" w:lineRule="exact"/>
        <w:rPr>
          <w:sz w:val="20"/>
          <w:szCs w:val="20"/>
          <w:color w:val="auto"/>
        </w:rPr>
      </w:pPr>
    </w:p>
    <w:p>
      <w:pPr>
        <w:ind w:left="740"/>
        <w:spacing w:after="0"/>
        <w:rPr>
          <w:sz w:val="20"/>
          <w:szCs w:val="20"/>
          <w:color w:val="auto"/>
        </w:rPr>
      </w:pPr>
      <w:r>
        <w:rPr>
          <w:rFonts w:ascii="Arial" w:cs="Arial" w:eastAsia="Arial" w:hAnsi="Arial"/>
          <w:sz w:val="17"/>
          <w:szCs w:val="17"/>
          <w:b w:val="1"/>
          <w:bCs w:val="1"/>
          <w:color w:val="auto"/>
        </w:rPr>
        <w:t>Braxton Science &amp; Technology Group</w:t>
      </w:r>
    </w:p>
    <w:p>
      <w:pPr>
        <w:spacing w:after="0" w:line="218" w:lineRule="exact"/>
        <w:rPr>
          <w:sz w:val="20"/>
          <w:szCs w:val="20"/>
          <w:color w:val="auto"/>
        </w:rPr>
      </w:pPr>
    </w:p>
    <w:p>
      <w:pPr>
        <w:ind w:right="40" w:firstLine="743"/>
        <w:spacing w:after="0" w:line="235" w:lineRule="auto"/>
        <w:rPr>
          <w:sz w:val="20"/>
          <w:szCs w:val="20"/>
          <w:color w:val="auto"/>
        </w:rPr>
      </w:pPr>
      <w:r>
        <w:rPr>
          <w:rFonts w:ascii="Arial" w:cs="Arial" w:eastAsia="Arial" w:hAnsi="Arial"/>
          <w:sz w:val="17"/>
          <w:szCs w:val="17"/>
          <w:color w:val="auto"/>
        </w:rPr>
        <w:t>On November 19, 2020 the Company acquired a 100% ownership interest in Braxton Science &amp; Technology Group (“Braxton”), a privately-owned company, for $310.9 million in cash. Braxton operates at the forefront of satellite operations, ground system automation, flight dynamics, and spacecraft and antenna simulation for the U.S. Department of Defense and Intelligence Community. The acquisition was entirely funded by cash on hand in August 2020, as described in “Note 12—</w:t>
      </w:r>
      <w:r>
        <w:rPr>
          <w:rFonts w:ascii="Arial" w:cs="Arial" w:eastAsia="Arial" w:hAnsi="Arial"/>
          <w:sz w:val="17"/>
          <w:szCs w:val="17"/>
          <w:i w:val="1"/>
          <w:iCs w:val="1"/>
          <w:color w:val="auto"/>
        </w:rPr>
        <w:t>Debt and Credit Facilities”</w:t>
      </w:r>
      <w:r>
        <w:rPr>
          <w:rFonts w:ascii="Arial" w:cs="Arial" w:eastAsia="Arial" w:hAnsi="Arial"/>
          <w:sz w:val="17"/>
          <w:szCs w:val="17"/>
          <w:color w:val="auto"/>
        </w:rPr>
        <w:t>. In connection with this acquisition, the Company recognized $5.5 million of acquisition-related expense in “Selling, general and administrative expense” in the consolidated statements of income for the year ended December 31, 2020, including legal fees, consulting fees, and other miscellaneous direct expenses associated with the acquisition. Braxton allows Parsons to capitalize on the quickly evolving space missions of its national security space customers and address rapid market growth driven by proliferated low earth orbit constellations, small satellite expansion, and space cyber resiliency.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640" w:firstLine="735"/>
        <w:spacing w:after="0" w:line="242" w:lineRule="auto"/>
        <w:rPr>
          <w:sz w:val="20"/>
          <w:szCs w:val="20"/>
          <w:color w:val="auto"/>
        </w:rPr>
      </w:pPr>
      <w:r>
        <w:rPr>
          <w:rFonts w:ascii="Arial" w:cs="Arial" w:eastAsia="Arial" w:hAnsi="Arial"/>
          <w:sz w:val="17"/>
          <w:szCs w:val="17"/>
          <w:color w:val="auto"/>
        </w:rPr>
        <w:t>The following table summarizes the estimated fair values of the assets acquired and liabilities assumed based on the purchase price allocation as of the date of acquisition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520" w:type="dxa"/>
            <w:vAlign w:val="bottom"/>
            <w:tcBorders>
              <w:bottom w:val="single" w:sz="8" w:color="CFF0FC"/>
            </w:tcBorders>
          </w:tcPr>
          <w:p>
            <w:pPr>
              <w:spacing w:after="0"/>
              <w:rPr>
                <w:sz w:val="14"/>
                <w:szCs w:val="14"/>
                <w:color w:val="auto"/>
              </w:rPr>
            </w:pPr>
          </w:p>
        </w:tc>
        <w:tc>
          <w:tcPr>
            <w:tcW w:w="2120" w:type="dxa"/>
            <w:vAlign w:val="bottom"/>
            <w:tcBorders>
              <w:bottom w:val="single" w:sz="8" w:color="CFF0FC"/>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FF0FC"/>
            </w:tcBorders>
          </w:tcPr>
          <w:p>
            <w:pPr>
              <w:spacing w:after="0"/>
              <w:rPr>
                <w:sz w:val="14"/>
                <w:szCs w:val="14"/>
                <w:color w:val="auto"/>
              </w:rPr>
            </w:pPr>
          </w:p>
        </w:tc>
      </w:tr>
      <w:tr>
        <w:trPr>
          <w:trHeight w:val="196"/>
        </w:trPr>
        <w:tc>
          <w:tcPr>
            <w:tcW w:w="552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2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80" w:type="dxa"/>
            <w:vAlign w:val="bottom"/>
            <w:gridSpan w:val="3"/>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7,006</w:t>
            </w:r>
          </w:p>
        </w:tc>
        <w:tc>
          <w:tcPr>
            <w:tcW w:w="100" w:type="dxa"/>
            <w:vAlign w:val="bottom"/>
            <w:shd w:val="clear" w:color="auto" w:fill="CFF0FC"/>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7"/>
                <w:szCs w:val="17"/>
                <w:color w:val="auto"/>
              </w:rPr>
              <w:t>Accounts receivable</w:t>
            </w:r>
          </w:p>
        </w:tc>
        <w:tc>
          <w:tcPr>
            <w:tcW w:w="2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18,163</w:t>
            </w:r>
          </w:p>
        </w:tc>
        <w:tc>
          <w:tcPr>
            <w:tcW w:w="100" w:type="dxa"/>
            <w:vAlign w:val="bottom"/>
          </w:tcPr>
          <w:p>
            <w:pPr>
              <w:spacing w:after="0"/>
              <w:rPr>
                <w:sz w:val="17"/>
                <w:szCs w:val="17"/>
                <w:color w:val="auto"/>
              </w:rPr>
            </w:pPr>
          </w:p>
        </w:tc>
      </w:tr>
      <w:tr>
        <w:trPr>
          <w:trHeight w:val="203"/>
        </w:trPr>
        <w:tc>
          <w:tcPr>
            <w:tcW w:w="5520" w:type="dxa"/>
            <w:vAlign w:val="bottom"/>
            <w:shd w:val="clear" w:color="auto" w:fill="CFF0FC"/>
          </w:tcPr>
          <w:p>
            <w:pPr>
              <w:spacing w:after="0"/>
              <w:rPr>
                <w:sz w:val="20"/>
                <w:szCs w:val="20"/>
                <w:color w:val="auto"/>
              </w:rPr>
            </w:pPr>
            <w:r>
              <w:rPr>
                <w:rFonts w:ascii="Arial" w:cs="Arial" w:eastAsia="Arial" w:hAnsi="Arial"/>
                <w:sz w:val="17"/>
                <w:szCs w:val="17"/>
                <w:color w:val="auto"/>
              </w:rPr>
              <w:t>Contract assets</w:t>
            </w:r>
          </w:p>
        </w:tc>
        <w:tc>
          <w:tcPr>
            <w:tcW w:w="2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8,350</w:t>
            </w:r>
          </w:p>
        </w:tc>
        <w:tc>
          <w:tcPr>
            <w:tcW w:w="100" w:type="dxa"/>
            <w:vAlign w:val="bottom"/>
            <w:shd w:val="clear" w:color="auto" w:fill="CFF0FC"/>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7"/>
                <w:szCs w:val="17"/>
                <w:color w:val="auto"/>
              </w:rPr>
              <w:t>Prepaid expenses and other current assets</w:t>
            </w:r>
          </w:p>
        </w:tc>
        <w:tc>
          <w:tcPr>
            <w:tcW w:w="2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3,036</w:t>
            </w:r>
          </w:p>
        </w:tc>
        <w:tc>
          <w:tcPr>
            <w:tcW w:w="100" w:type="dxa"/>
            <w:vAlign w:val="bottom"/>
          </w:tcPr>
          <w:p>
            <w:pPr>
              <w:spacing w:after="0"/>
              <w:rPr>
                <w:sz w:val="17"/>
                <w:szCs w:val="17"/>
                <w:color w:val="auto"/>
              </w:rPr>
            </w:pPr>
          </w:p>
        </w:tc>
      </w:tr>
      <w:tr>
        <w:trPr>
          <w:trHeight w:val="203"/>
        </w:trPr>
        <w:tc>
          <w:tcPr>
            <w:tcW w:w="5520" w:type="dxa"/>
            <w:vAlign w:val="bottom"/>
            <w:shd w:val="clear" w:color="auto" w:fill="CFF0FC"/>
          </w:tcPr>
          <w:p>
            <w:pPr>
              <w:spacing w:after="0"/>
              <w:rPr>
                <w:sz w:val="20"/>
                <w:szCs w:val="20"/>
                <w:color w:val="auto"/>
              </w:rPr>
            </w:pPr>
            <w:r>
              <w:rPr>
                <w:rFonts w:ascii="Arial" w:cs="Arial" w:eastAsia="Arial" w:hAnsi="Arial"/>
                <w:sz w:val="17"/>
                <w:szCs w:val="17"/>
                <w:color w:val="auto"/>
              </w:rPr>
              <w:t>Property and equipment</w:t>
            </w:r>
          </w:p>
        </w:tc>
        <w:tc>
          <w:tcPr>
            <w:tcW w:w="2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5,114</w:t>
            </w:r>
          </w:p>
        </w:tc>
        <w:tc>
          <w:tcPr>
            <w:tcW w:w="100" w:type="dxa"/>
            <w:vAlign w:val="bottom"/>
            <w:shd w:val="clear" w:color="auto" w:fill="CFF0FC"/>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7"/>
                <w:szCs w:val="17"/>
                <w:color w:val="auto"/>
              </w:rPr>
              <w:t>Right of use assets, operating leases</w:t>
            </w:r>
          </w:p>
        </w:tc>
        <w:tc>
          <w:tcPr>
            <w:tcW w:w="2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10,788</w:t>
            </w:r>
          </w:p>
        </w:tc>
        <w:tc>
          <w:tcPr>
            <w:tcW w:w="100" w:type="dxa"/>
            <w:vAlign w:val="bottom"/>
          </w:tcPr>
          <w:p>
            <w:pPr>
              <w:spacing w:after="0"/>
              <w:rPr>
                <w:sz w:val="17"/>
                <w:szCs w:val="17"/>
                <w:color w:val="auto"/>
              </w:rPr>
            </w:pPr>
          </w:p>
        </w:tc>
      </w:tr>
      <w:tr>
        <w:trPr>
          <w:trHeight w:val="203"/>
        </w:trPr>
        <w:tc>
          <w:tcPr>
            <w:tcW w:w="5520" w:type="dxa"/>
            <w:vAlign w:val="bottom"/>
            <w:shd w:val="clear" w:color="auto" w:fill="CFF0FC"/>
          </w:tcPr>
          <w:p>
            <w:pPr>
              <w:spacing w:after="0"/>
              <w:rPr>
                <w:sz w:val="20"/>
                <w:szCs w:val="20"/>
                <w:color w:val="auto"/>
              </w:rPr>
            </w:pPr>
            <w:r>
              <w:rPr>
                <w:rFonts w:ascii="Arial" w:cs="Arial" w:eastAsia="Arial" w:hAnsi="Arial"/>
                <w:sz w:val="17"/>
                <w:szCs w:val="17"/>
                <w:color w:val="auto"/>
              </w:rPr>
              <w:t>Goodwill</w:t>
            </w:r>
          </w:p>
        </w:tc>
        <w:tc>
          <w:tcPr>
            <w:tcW w:w="2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212,185</w:t>
            </w:r>
          </w:p>
        </w:tc>
        <w:tc>
          <w:tcPr>
            <w:tcW w:w="100" w:type="dxa"/>
            <w:vAlign w:val="bottom"/>
            <w:shd w:val="clear" w:color="auto" w:fill="CFF0FC"/>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7"/>
                <w:szCs w:val="17"/>
                <w:color w:val="auto"/>
              </w:rPr>
              <w:t>Intangible assets</w:t>
            </w:r>
          </w:p>
        </w:tc>
        <w:tc>
          <w:tcPr>
            <w:tcW w:w="2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74,950</w:t>
            </w:r>
          </w:p>
        </w:tc>
        <w:tc>
          <w:tcPr>
            <w:tcW w:w="100" w:type="dxa"/>
            <w:vAlign w:val="bottom"/>
          </w:tcPr>
          <w:p>
            <w:pPr>
              <w:spacing w:after="0"/>
              <w:rPr>
                <w:sz w:val="17"/>
                <w:szCs w:val="17"/>
                <w:color w:val="auto"/>
              </w:rPr>
            </w:pPr>
          </w:p>
        </w:tc>
      </w:tr>
      <w:tr>
        <w:trPr>
          <w:trHeight w:val="203"/>
        </w:trPr>
        <w:tc>
          <w:tcPr>
            <w:tcW w:w="5520" w:type="dxa"/>
            <w:vAlign w:val="bottom"/>
            <w:shd w:val="clear" w:color="auto" w:fill="CFF0FC"/>
          </w:tcPr>
          <w:p>
            <w:pPr>
              <w:spacing w:after="0"/>
              <w:rPr>
                <w:sz w:val="20"/>
                <w:szCs w:val="20"/>
                <w:color w:val="auto"/>
              </w:rPr>
            </w:pPr>
            <w:r>
              <w:rPr>
                <w:rFonts w:ascii="Arial" w:cs="Arial" w:eastAsia="Arial" w:hAnsi="Arial"/>
                <w:sz w:val="17"/>
                <w:szCs w:val="17"/>
                <w:color w:val="auto"/>
              </w:rPr>
              <w:t>Accounts payable</w:t>
            </w:r>
          </w:p>
        </w:tc>
        <w:tc>
          <w:tcPr>
            <w:tcW w:w="2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(7,464)</w:t>
            </w:r>
          </w:p>
        </w:tc>
      </w:tr>
      <w:tr>
        <w:trPr>
          <w:trHeight w:val="203"/>
        </w:trPr>
        <w:tc>
          <w:tcPr>
            <w:tcW w:w="5520" w:type="dxa"/>
            <w:vAlign w:val="bottom"/>
          </w:tcPr>
          <w:p>
            <w:pPr>
              <w:spacing w:after="0"/>
              <w:rPr>
                <w:sz w:val="20"/>
                <w:szCs w:val="20"/>
                <w:color w:val="auto"/>
              </w:rPr>
            </w:pPr>
            <w:r>
              <w:rPr>
                <w:rFonts w:ascii="Arial" w:cs="Arial" w:eastAsia="Arial" w:hAnsi="Arial"/>
                <w:sz w:val="17"/>
                <w:szCs w:val="17"/>
                <w:color w:val="auto"/>
              </w:rPr>
              <w:t>Accrued expenses and other current liabilities</w:t>
            </w:r>
          </w:p>
        </w:tc>
        <w:tc>
          <w:tcPr>
            <w:tcW w:w="2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7"/>
                <w:szCs w:val="17"/>
                <w:color w:val="auto"/>
              </w:rPr>
              <w:t>(9,845)</w:t>
            </w:r>
          </w:p>
        </w:tc>
      </w:tr>
      <w:tr>
        <w:trPr>
          <w:trHeight w:val="203"/>
        </w:trPr>
        <w:tc>
          <w:tcPr>
            <w:tcW w:w="5520" w:type="dxa"/>
            <w:vAlign w:val="bottom"/>
            <w:shd w:val="clear" w:color="auto" w:fill="CFF0FC"/>
          </w:tcPr>
          <w:p>
            <w:pPr>
              <w:spacing w:after="0"/>
              <w:rPr>
                <w:sz w:val="20"/>
                <w:szCs w:val="20"/>
                <w:color w:val="auto"/>
              </w:rPr>
            </w:pPr>
            <w:r>
              <w:rPr>
                <w:rFonts w:ascii="Arial" w:cs="Arial" w:eastAsia="Arial" w:hAnsi="Arial"/>
                <w:sz w:val="17"/>
                <w:szCs w:val="17"/>
                <w:color w:val="auto"/>
              </w:rPr>
              <w:t>Contract liabilities</w:t>
            </w:r>
          </w:p>
        </w:tc>
        <w:tc>
          <w:tcPr>
            <w:tcW w:w="2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(300)</w:t>
            </w:r>
          </w:p>
        </w:tc>
      </w:tr>
      <w:tr>
        <w:trPr>
          <w:trHeight w:val="203"/>
        </w:trPr>
        <w:tc>
          <w:tcPr>
            <w:tcW w:w="5520" w:type="dxa"/>
            <w:vAlign w:val="bottom"/>
          </w:tcPr>
          <w:p>
            <w:pPr>
              <w:spacing w:after="0"/>
              <w:rPr>
                <w:sz w:val="20"/>
                <w:szCs w:val="20"/>
                <w:color w:val="auto"/>
              </w:rPr>
            </w:pPr>
            <w:r>
              <w:rPr>
                <w:rFonts w:ascii="Arial" w:cs="Arial" w:eastAsia="Arial" w:hAnsi="Arial"/>
                <w:sz w:val="17"/>
                <w:szCs w:val="17"/>
                <w:color w:val="auto"/>
              </w:rPr>
              <w:t>Short-term lease liabilities, operating leases</w:t>
            </w:r>
          </w:p>
        </w:tc>
        <w:tc>
          <w:tcPr>
            <w:tcW w:w="2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7"/>
                <w:szCs w:val="17"/>
                <w:color w:val="auto"/>
              </w:rPr>
              <w:t>(1,915)</w:t>
            </w:r>
          </w:p>
        </w:tc>
      </w:tr>
      <w:tr>
        <w:trPr>
          <w:trHeight w:val="203"/>
        </w:trPr>
        <w:tc>
          <w:tcPr>
            <w:tcW w:w="5520" w:type="dxa"/>
            <w:vAlign w:val="bottom"/>
            <w:shd w:val="clear" w:color="auto" w:fill="CFF0FC"/>
          </w:tcPr>
          <w:p>
            <w:pPr>
              <w:spacing w:after="0"/>
              <w:rPr>
                <w:sz w:val="20"/>
                <w:szCs w:val="20"/>
                <w:color w:val="auto"/>
              </w:rPr>
            </w:pPr>
            <w:r>
              <w:rPr>
                <w:rFonts w:ascii="Arial" w:cs="Arial" w:eastAsia="Arial" w:hAnsi="Arial"/>
                <w:sz w:val="17"/>
                <w:szCs w:val="17"/>
                <w:color w:val="auto"/>
              </w:rPr>
              <w:t>Long-term lease liabilities, operating leases</w:t>
            </w:r>
          </w:p>
        </w:tc>
        <w:tc>
          <w:tcPr>
            <w:tcW w:w="2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(8,873)</w:t>
            </w:r>
          </w:p>
        </w:tc>
      </w:tr>
      <w:tr>
        <w:trPr>
          <w:trHeight w:val="203"/>
        </w:trPr>
        <w:tc>
          <w:tcPr>
            <w:tcW w:w="552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2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7"/>
                <w:szCs w:val="17"/>
                <w:color w:val="auto"/>
              </w:rPr>
              <w:t>(1,694)</w:t>
            </w:r>
          </w:p>
        </w:tc>
      </w:tr>
      <w:tr>
        <w:trPr>
          <w:trHeight w:val="196"/>
        </w:trPr>
        <w:tc>
          <w:tcPr>
            <w:tcW w:w="55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Net assets acquired</w:t>
            </w:r>
          </w:p>
        </w:tc>
        <w:tc>
          <w:tcPr>
            <w:tcW w:w="212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CFF0FC"/>
              <w:bottom w:val="single" w:sz="8" w:color="CFF0FC"/>
            </w:tcBorders>
            <w:shd w:val="clear" w:color="auto" w:fill="CFF0FC"/>
          </w:tcPr>
          <w:p>
            <w:pPr>
              <w:spacing w:after="0"/>
              <w:rPr>
                <w:sz w:val="17"/>
                <w:szCs w:val="17"/>
                <w:color w:val="auto"/>
              </w:rPr>
            </w:pPr>
          </w:p>
        </w:tc>
        <w:tc>
          <w:tcPr>
            <w:tcW w:w="1220" w:type="dxa"/>
            <w:vAlign w:val="bottom"/>
            <w:tcBorders>
              <w:top w:val="single" w:sz="8" w:color="CFF0FC"/>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7"/>
                <w:szCs w:val="17"/>
                <w:color w:val="auto"/>
                <w:w w:val="84"/>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309,501</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764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9520" w:type="dxa"/>
            <w:vAlign w:val="bottom"/>
            <w:gridSpan w:val="6"/>
          </w:tcPr>
          <w:p>
            <w:pPr>
              <w:ind w:left="740"/>
              <w:spacing w:after="0"/>
              <w:rPr>
                <w:sz w:val="20"/>
                <w:szCs w:val="20"/>
                <w:color w:val="auto"/>
              </w:rPr>
            </w:pPr>
            <w:r>
              <w:rPr>
                <w:rFonts w:ascii="Arial" w:cs="Arial" w:eastAsia="Arial" w:hAnsi="Arial"/>
                <w:sz w:val="17"/>
                <w:szCs w:val="17"/>
                <w:color w:val="auto"/>
              </w:rPr>
              <w:t>Of the total purchase price, the following values were assigned to intangible assets (in thousands, except for years):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2"/>
        </w:trPr>
        <w:tc>
          <w:tcPr>
            <w:tcW w:w="5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gridSpan w:val="3"/>
          </w:tcPr>
          <w:p>
            <w:pPr>
              <w:jc w:val="center"/>
              <w:ind w:right="600"/>
              <w:spacing w:after="0" w:line="152" w:lineRule="exact"/>
              <w:rPr>
                <w:sz w:val="20"/>
                <w:szCs w:val="20"/>
                <w:color w:val="auto"/>
              </w:rPr>
            </w:pPr>
            <w:r>
              <w:rPr>
                <w:rFonts w:ascii="Arial" w:cs="Arial" w:eastAsia="Arial" w:hAnsi="Arial"/>
                <w:sz w:val="14"/>
                <w:szCs w:val="14"/>
                <w:b w:val="1"/>
                <w:bCs w:val="1"/>
                <w:color w:val="auto"/>
                <w:w w:val="93"/>
              </w:rPr>
              <w:t>Gross</w:t>
            </w: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2"/>
        </w:trPr>
        <w:tc>
          <w:tcPr>
            <w:tcW w:w="5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gridSpan w:val="3"/>
          </w:tcPr>
          <w:p>
            <w:pPr>
              <w:jc w:val="center"/>
              <w:ind w:right="580"/>
              <w:spacing w:after="0" w:line="152" w:lineRule="exact"/>
              <w:rPr>
                <w:sz w:val="20"/>
                <w:szCs w:val="20"/>
                <w:color w:val="auto"/>
              </w:rPr>
            </w:pPr>
            <w:r>
              <w:rPr>
                <w:rFonts w:ascii="Arial" w:cs="Arial" w:eastAsia="Arial" w:hAnsi="Arial"/>
                <w:sz w:val="14"/>
                <w:szCs w:val="14"/>
                <w:b w:val="1"/>
                <w:bCs w:val="1"/>
                <w:color w:val="auto"/>
                <w:w w:val="97"/>
              </w:rPr>
              <w:t>Carrying</w:t>
            </w:r>
          </w:p>
        </w:tc>
        <w:tc>
          <w:tcPr>
            <w:tcW w:w="1720" w:type="dxa"/>
            <w:vAlign w:val="bottom"/>
            <w:gridSpan w:val="2"/>
          </w:tcPr>
          <w:p>
            <w:pPr>
              <w:jc w:val="center"/>
              <w:spacing w:after="0" w:line="152" w:lineRule="exact"/>
              <w:rPr>
                <w:sz w:val="20"/>
                <w:szCs w:val="20"/>
                <w:color w:val="auto"/>
              </w:rPr>
            </w:pPr>
            <w:r>
              <w:rPr>
                <w:rFonts w:ascii="Arial" w:cs="Arial" w:eastAsia="Arial" w:hAnsi="Arial"/>
                <w:sz w:val="14"/>
                <w:szCs w:val="14"/>
                <w:b w:val="1"/>
                <w:bCs w:val="1"/>
                <w:color w:val="auto"/>
                <w:w w:val="98"/>
              </w:rPr>
              <w:t>Amortization</w:t>
            </w:r>
          </w:p>
        </w:tc>
      </w:tr>
      <w:tr>
        <w:trPr>
          <w:trHeight w:val="164"/>
        </w:trPr>
        <w:tc>
          <w:tcPr>
            <w:tcW w:w="55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Amount</w:t>
            </w:r>
          </w:p>
        </w:tc>
        <w:tc>
          <w:tcPr>
            <w:tcW w:w="1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Period</w:t>
            </w:r>
          </w:p>
        </w:tc>
      </w:tr>
      <w:tr>
        <w:trPr>
          <w:trHeight w:val="196"/>
        </w:trPr>
        <w:tc>
          <w:tcPr>
            <w:tcW w:w="55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5"/>
              </w:rPr>
              <w:t>(in years)</w:t>
            </w:r>
          </w:p>
        </w:tc>
      </w:tr>
      <w:tr>
        <w:trPr>
          <w:trHeight w:val="203"/>
        </w:trPr>
        <w:tc>
          <w:tcPr>
            <w:tcW w:w="5520" w:type="dxa"/>
            <w:vAlign w:val="bottom"/>
            <w:shd w:val="clear" w:color="auto" w:fill="CFF0FC"/>
          </w:tcPr>
          <w:p>
            <w:pPr>
              <w:spacing w:after="0"/>
              <w:rPr>
                <w:sz w:val="20"/>
                <w:szCs w:val="20"/>
                <w:color w:val="auto"/>
              </w:rPr>
            </w:pPr>
            <w:r>
              <w:rPr>
                <w:rFonts w:ascii="Arial" w:cs="Arial" w:eastAsia="Arial" w:hAnsi="Arial"/>
                <w:sz w:val="17"/>
                <w:szCs w:val="17"/>
                <w:color w:val="auto"/>
              </w:rPr>
              <w:t>Customer relationships</w:t>
            </w:r>
          </w:p>
        </w:tc>
        <w:tc>
          <w:tcPr>
            <w:tcW w:w="2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34,100</w:t>
            </w:r>
          </w:p>
        </w:tc>
        <w:tc>
          <w:tcPr>
            <w:tcW w:w="28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12</w:t>
            </w:r>
          </w:p>
        </w:tc>
      </w:tr>
      <w:tr>
        <w:trPr>
          <w:trHeight w:val="203"/>
        </w:trPr>
        <w:tc>
          <w:tcPr>
            <w:tcW w:w="5520" w:type="dxa"/>
            <w:vAlign w:val="bottom"/>
          </w:tcPr>
          <w:p>
            <w:pPr>
              <w:spacing w:after="0"/>
              <w:rPr>
                <w:sz w:val="20"/>
                <w:szCs w:val="20"/>
                <w:color w:val="auto"/>
              </w:rPr>
            </w:pPr>
            <w:r>
              <w:rPr>
                <w:rFonts w:ascii="Arial" w:cs="Arial" w:eastAsia="Arial" w:hAnsi="Arial"/>
                <w:sz w:val="17"/>
                <w:szCs w:val="17"/>
                <w:color w:val="auto"/>
              </w:rPr>
              <w:t>Backlog</w:t>
            </w:r>
          </w:p>
        </w:tc>
        <w:tc>
          <w:tcPr>
            <w:tcW w:w="2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38,200</w:t>
            </w:r>
          </w:p>
        </w:tc>
        <w:tc>
          <w:tcPr>
            <w:tcW w:w="280" w:type="dxa"/>
            <w:vAlign w:val="bottom"/>
          </w:tcPr>
          <w:p>
            <w:pPr>
              <w:spacing w:after="0"/>
              <w:rPr>
                <w:sz w:val="17"/>
                <w:szCs w:val="17"/>
                <w:color w:val="auto"/>
              </w:rPr>
            </w:pP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3</w:t>
            </w:r>
          </w:p>
        </w:tc>
      </w:tr>
      <w:tr>
        <w:trPr>
          <w:trHeight w:val="203"/>
        </w:trPr>
        <w:tc>
          <w:tcPr>
            <w:tcW w:w="5520" w:type="dxa"/>
            <w:vAlign w:val="bottom"/>
            <w:shd w:val="clear" w:color="auto" w:fill="CFF0FC"/>
          </w:tcPr>
          <w:p>
            <w:pPr>
              <w:spacing w:after="0"/>
              <w:rPr>
                <w:sz w:val="20"/>
                <w:szCs w:val="20"/>
                <w:color w:val="auto"/>
              </w:rPr>
            </w:pPr>
            <w:r>
              <w:rPr>
                <w:rFonts w:ascii="Arial" w:cs="Arial" w:eastAsia="Arial" w:hAnsi="Arial"/>
                <w:sz w:val="17"/>
                <w:szCs w:val="17"/>
                <w:color w:val="auto"/>
              </w:rPr>
              <w:t>Developed technologies</w:t>
            </w:r>
          </w:p>
        </w:tc>
        <w:tc>
          <w:tcPr>
            <w:tcW w:w="2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2,000</w:t>
            </w:r>
          </w:p>
        </w:tc>
        <w:tc>
          <w:tcPr>
            <w:tcW w:w="28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w:t>
            </w:r>
          </w:p>
        </w:tc>
      </w:tr>
      <w:tr>
        <w:trPr>
          <w:trHeight w:val="215"/>
        </w:trPr>
        <w:tc>
          <w:tcPr>
            <w:tcW w:w="5520" w:type="dxa"/>
            <w:vAlign w:val="bottom"/>
          </w:tcPr>
          <w:p>
            <w:pPr>
              <w:spacing w:after="0"/>
              <w:rPr>
                <w:sz w:val="20"/>
                <w:szCs w:val="20"/>
                <w:color w:val="auto"/>
              </w:rPr>
            </w:pPr>
            <w:r>
              <w:rPr>
                <w:rFonts w:ascii="Arial" w:cs="Arial" w:eastAsia="Arial" w:hAnsi="Arial"/>
                <w:sz w:val="17"/>
                <w:szCs w:val="17"/>
                <w:color w:val="auto"/>
              </w:rPr>
              <w:t>Non-compete agreements</w:t>
            </w: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650</w:t>
            </w:r>
          </w:p>
        </w:tc>
        <w:tc>
          <w:tcPr>
            <w:tcW w:w="28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3</w:t>
            </w:r>
          </w:p>
        </w:tc>
      </w:tr>
    </w:tbl>
    <w:p>
      <w:pPr>
        <w:spacing w:after="0" w:line="393" w:lineRule="exact"/>
        <w:rPr>
          <w:sz w:val="20"/>
          <w:szCs w:val="20"/>
          <w:color w:val="auto"/>
        </w:rPr>
      </w:pPr>
    </w:p>
    <w:p>
      <w:pPr>
        <w:ind w:firstLine="735"/>
        <w:spacing w:after="0" w:line="238" w:lineRule="auto"/>
        <w:rPr>
          <w:sz w:val="20"/>
          <w:szCs w:val="20"/>
          <w:color w:val="auto"/>
        </w:rPr>
      </w:pPr>
      <w:r>
        <w:rPr>
          <w:rFonts w:ascii="Arial" w:cs="Arial" w:eastAsia="Arial" w:hAnsi="Arial"/>
          <w:sz w:val="17"/>
          <w:szCs w:val="17"/>
          <w:color w:val="auto"/>
        </w:rPr>
        <w:t>Amortization expense of $16.2 million and $1.3 million related to these intangible assets was recorded for the years ended December 31, 2021 and December 31, 2020, respectively. The entire value of goodwill was assigned to the Federal Solutions reporting unit and represents synergies expected to be realized from this business combination. Goodwill of $200.5 million is deductible for tax purposes.</w:t>
      </w:r>
    </w:p>
    <w:p>
      <w:pPr>
        <w:spacing w:after="0" w:line="192" w:lineRule="exact"/>
        <w:rPr>
          <w:sz w:val="20"/>
          <w:szCs w:val="20"/>
          <w:color w:val="auto"/>
        </w:rPr>
      </w:pPr>
    </w:p>
    <w:p>
      <w:pPr>
        <w:ind w:right="120" w:firstLine="735"/>
        <w:spacing w:after="0" w:line="238" w:lineRule="auto"/>
        <w:rPr>
          <w:sz w:val="20"/>
          <w:szCs w:val="20"/>
          <w:color w:val="auto"/>
        </w:rPr>
      </w:pPr>
      <w:r>
        <w:rPr>
          <w:rFonts w:ascii="Arial" w:cs="Arial" w:eastAsia="Arial" w:hAnsi="Arial"/>
          <w:sz w:val="17"/>
          <w:szCs w:val="17"/>
          <w:color w:val="auto"/>
        </w:rPr>
        <w:t>The amount of revenue generated by Braxton and included within consolidated revenues for 2020 is $10.1 million. The Company has determined that the presentation of net income from the date of acquisition is impracticable due to the integration of general corporate functions upon acquisition.</w:t>
      </w:r>
    </w:p>
    <w:p>
      <w:pPr>
        <w:spacing w:after="0" w:line="375" w:lineRule="exact"/>
        <w:rPr>
          <w:sz w:val="20"/>
          <w:szCs w:val="20"/>
          <w:color w:val="auto"/>
        </w:rPr>
      </w:pPr>
    </w:p>
    <w:p>
      <w:pPr>
        <w:ind w:left="740"/>
        <w:spacing w:after="0"/>
        <w:rPr>
          <w:sz w:val="20"/>
          <w:szCs w:val="20"/>
          <w:color w:val="auto"/>
        </w:rPr>
      </w:pPr>
      <w:r>
        <w:rPr>
          <w:rFonts w:ascii="Arial" w:cs="Arial" w:eastAsia="Arial" w:hAnsi="Arial"/>
          <w:sz w:val="17"/>
          <w:szCs w:val="17"/>
          <w:b w:val="1"/>
          <w:bCs w:val="1"/>
          <w:color w:val="auto"/>
        </w:rPr>
        <w:t>Supplemental Pro Forma Information (Unaudited)</w:t>
      </w:r>
    </w:p>
    <w:p>
      <w:pPr>
        <w:spacing w:after="0" w:line="218" w:lineRule="exact"/>
        <w:rPr>
          <w:sz w:val="20"/>
          <w:szCs w:val="20"/>
          <w:color w:val="auto"/>
        </w:rPr>
      </w:pPr>
    </w:p>
    <w:p>
      <w:pPr>
        <w:ind w:right="460" w:firstLine="735"/>
        <w:spacing w:after="0" w:line="242" w:lineRule="auto"/>
        <w:rPr>
          <w:sz w:val="20"/>
          <w:szCs w:val="20"/>
          <w:color w:val="auto"/>
        </w:rPr>
      </w:pPr>
      <w:r>
        <w:rPr>
          <w:rFonts w:ascii="Arial" w:cs="Arial" w:eastAsia="Arial" w:hAnsi="Arial"/>
          <w:sz w:val="17"/>
          <w:szCs w:val="17"/>
          <w:color w:val="auto"/>
        </w:rPr>
        <w:t>Supplemental information of unaudited pro forma operating results assuming the Braxton acquisition had been consummated as of the beginning of 2019 (in thousands)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8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69"/>
        </w:trPr>
        <w:tc>
          <w:tcPr>
            <w:tcW w:w="48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(unaudited)</w:t>
            </w:r>
          </w:p>
        </w:tc>
      </w:tr>
      <w:tr>
        <w:trPr>
          <w:trHeight w:val="191"/>
        </w:trPr>
        <w:tc>
          <w:tcPr>
            <w:tcW w:w="4800" w:type="dxa"/>
            <w:vAlign w:val="bottom"/>
          </w:tcPr>
          <w:p>
            <w:pPr>
              <w:spacing w:after="0" w:line="191" w:lineRule="exact"/>
              <w:rPr>
                <w:sz w:val="20"/>
                <w:szCs w:val="20"/>
                <w:color w:val="auto"/>
              </w:rPr>
            </w:pPr>
            <w:r>
              <w:rPr>
                <w:rFonts w:ascii="Arial" w:cs="Arial" w:eastAsia="Arial" w:hAnsi="Arial"/>
                <w:sz w:val="17"/>
                <w:szCs w:val="17"/>
                <w:color w:val="auto"/>
              </w:rPr>
              <w:t>Pro forma Revenue</w:t>
            </w:r>
          </w:p>
        </w:tc>
        <w:tc>
          <w:tcPr>
            <w:tcW w:w="3180" w:type="dxa"/>
            <w:vAlign w:val="bottom"/>
            <w:gridSpan w:val="2"/>
          </w:tcPr>
          <w:p>
            <w:pPr>
              <w:jc w:val="right"/>
              <w:ind w:right="160"/>
              <w:spacing w:after="0" w:line="191" w:lineRule="exact"/>
              <w:rPr>
                <w:sz w:val="20"/>
                <w:szCs w:val="20"/>
                <w:color w:val="auto"/>
              </w:rPr>
            </w:pPr>
            <w:r>
              <w:rPr>
                <w:rFonts w:ascii="Arial" w:cs="Arial" w:eastAsia="Arial" w:hAnsi="Arial"/>
                <w:sz w:val="17"/>
                <w:szCs w:val="17"/>
                <w:color w:val="auto"/>
              </w:rPr>
              <w:t>$</w:t>
            </w:r>
          </w:p>
        </w:tc>
        <w:tc>
          <w:tcPr>
            <w:tcW w:w="1320" w:type="dxa"/>
            <w:vAlign w:val="bottom"/>
          </w:tcPr>
          <w:p>
            <w:pPr>
              <w:jc w:val="right"/>
              <w:spacing w:after="0" w:line="191" w:lineRule="exact"/>
              <w:rPr>
                <w:sz w:val="20"/>
                <w:szCs w:val="20"/>
                <w:color w:val="auto"/>
              </w:rPr>
            </w:pPr>
            <w:r>
              <w:rPr>
                <w:rFonts w:ascii="Arial" w:cs="Arial" w:eastAsia="Arial" w:hAnsi="Arial"/>
                <w:sz w:val="17"/>
                <w:szCs w:val="17"/>
                <w:color w:val="auto"/>
              </w:rPr>
              <w:t>4,039,420</w:t>
            </w:r>
          </w:p>
        </w:tc>
        <w:tc>
          <w:tcPr>
            <w:tcW w:w="280" w:type="dxa"/>
            <w:vAlign w:val="bottom"/>
          </w:tcPr>
          <w:p>
            <w:pPr>
              <w:spacing w:after="0"/>
              <w:rPr>
                <w:sz w:val="16"/>
                <w:szCs w:val="16"/>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91" w:lineRule="exact"/>
              <w:rPr>
                <w:sz w:val="20"/>
                <w:szCs w:val="20"/>
                <w:color w:val="auto"/>
              </w:rPr>
            </w:pPr>
            <w:r>
              <w:rPr>
                <w:rFonts w:ascii="Arial" w:cs="Arial" w:eastAsia="Arial" w:hAnsi="Arial"/>
                <w:sz w:val="17"/>
                <w:szCs w:val="17"/>
                <w:color w:val="auto"/>
              </w:rPr>
              <w:t>4,042,810</w:t>
            </w:r>
          </w:p>
        </w:tc>
        <w:tc>
          <w:tcPr>
            <w:tcW w:w="100" w:type="dxa"/>
            <w:vAlign w:val="bottom"/>
          </w:tcPr>
          <w:p>
            <w:pPr>
              <w:spacing w:after="0"/>
              <w:rPr>
                <w:sz w:val="16"/>
                <w:szCs w:val="16"/>
                <w:color w:val="auto"/>
              </w:rPr>
            </w:pPr>
          </w:p>
        </w:tc>
      </w:tr>
      <w:tr>
        <w:trPr>
          <w:trHeight w:val="203"/>
        </w:trPr>
        <w:tc>
          <w:tcPr>
            <w:tcW w:w="4800" w:type="dxa"/>
            <w:vAlign w:val="bottom"/>
            <w:shd w:val="clear" w:color="auto" w:fill="CFF0FC"/>
          </w:tcPr>
          <w:p>
            <w:pPr>
              <w:spacing w:after="0"/>
              <w:rPr>
                <w:sz w:val="20"/>
                <w:szCs w:val="20"/>
                <w:color w:val="auto"/>
              </w:rPr>
            </w:pPr>
            <w:r>
              <w:rPr>
                <w:rFonts w:ascii="Arial" w:cs="Arial" w:eastAsia="Arial" w:hAnsi="Arial"/>
                <w:sz w:val="17"/>
                <w:szCs w:val="17"/>
                <w:color w:val="auto"/>
              </w:rPr>
              <w:t>Pro forma Net Income including noncontrolling interests</w:t>
            </w:r>
          </w:p>
        </w:tc>
        <w:tc>
          <w:tcPr>
            <w:tcW w:w="2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125,298</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126,076</w:t>
            </w:r>
          </w:p>
        </w:tc>
        <w:tc>
          <w:tcPr>
            <w:tcW w:w="100" w:type="dxa"/>
            <w:vAlign w:val="bottom"/>
            <w:shd w:val="clear" w:color="auto" w:fill="CFF0FC"/>
          </w:tcPr>
          <w:p>
            <w:pPr>
              <w:spacing w:after="0"/>
              <w:rPr>
                <w:sz w:val="17"/>
                <w:szCs w:val="17"/>
                <w:color w:val="auto"/>
              </w:rPr>
            </w:pPr>
          </w:p>
        </w:tc>
      </w:tr>
      <w:tr>
        <w:trPr>
          <w:trHeight w:val="405"/>
        </w:trPr>
        <w:tc>
          <w:tcPr>
            <w:tcW w:w="4800" w:type="dxa"/>
            <w:vAlign w:val="bottom"/>
          </w:tcPr>
          <w:p>
            <w:pPr>
              <w:spacing w:after="0"/>
              <w:rPr>
                <w:sz w:val="24"/>
                <w:szCs w:val="24"/>
                <w:color w:val="auto"/>
              </w:rPr>
            </w:pPr>
          </w:p>
        </w:tc>
        <w:tc>
          <w:tcPr>
            <w:tcW w:w="3180" w:type="dxa"/>
            <w:vAlign w:val="bottom"/>
            <w:gridSpan w:val="2"/>
          </w:tcPr>
          <w:p>
            <w:pPr>
              <w:jc w:val="right"/>
              <w:ind w:right="2180"/>
              <w:spacing w:after="0"/>
              <w:rPr>
                <w:sz w:val="20"/>
                <w:szCs w:val="20"/>
                <w:color w:val="auto"/>
              </w:rPr>
            </w:pPr>
            <w:r>
              <w:rPr>
                <w:rFonts w:ascii="Arial" w:cs="Arial" w:eastAsia="Arial" w:hAnsi="Arial"/>
                <w:sz w:val="17"/>
                <w:szCs w:val="17"/>
                <w:color w:val="auto"/>
              </w:rPr>
              <w:t>F-24</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5"/>
        </w:trPr>
        <w:tc>
          <w:tcPr>
            <w:tcW w:w="4800" w:type="dxa"/>
            <w:vAlign w:val="bottom"/>
            <w:tcBorders>
              <w:bottom w:val="single" w:sz="8" w:color="9A9A9A"/>
            </w:tcBorders>
          </w:tcPr>
          <w:p>
            <w:pPr>
              <w:spacing w:after="0"/>
              <w:rPr>
                <w:sz w:val="8"/>
                <w:szCs w:val="8"/>
                <w:color w:val="auto"/>
              </w:rPr>
            </w:pPr>
          </w:p>
        </w:tc>
        <w:tc>
          <w:tcPr>
            <w:tcW w:w="29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7">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20" w:firstLine="735"/>
        <w:spacing w:after="0" w:line="237" w:lineRule="auto"/>
        <w:rPr>
          <w:sz w:val="20"/>
          <w:szCs w:val="20"/>
          <w:color w:val="auto"/>
        </w:rPr>
      </w:pPr>
      <w:r>
        <w:rPr>
          <w:rFonts w:ascii="Arial" w:cs="Arial" w:eastAsia="Arial" w:hAnsi="Arial"/>
          <w:sz w:val="17"/>
          <w:szCs w:val="17"/>
          <w:color w:val="auto"/>
        </w:rPr>
        <w:t>The unaudited pro forma supplemental information is based on estimates and assumptions which the Company believes are reasonable and reflects the pro forma impact of additional amortization related to the fair value of acquired intangible assets, the pro forma impact of reflecting acquisition costs, which consisted of legal, advisory and due diligence fees and expenses. This supplemental pro forma information has been prepared for comparative purposes and does not purport to be indicative of what would have occurred had the acquisition been consummated during</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the periods for which pro forma information is presented.</w:t>
      </w:r>
    </w:p>
    <w:p>
      <w:pPr>
        <w:spacing w:after="0" w:line="190" w:lineRule="exact"/>
        <w:rPr>
          <w:sz w:val="20"/>
          <w:szCs w:val="20"/>
          <w:color w:val="auto"/>
        </w:rPr>
      </w:pPr>
    </w:p>
    <w:p>
      <w:pPr>
        <w:ind w:left="740"/>
        <w:spacing w:after="0"/>
        <w:rPr>
          <w:sz w:val="20"/>
          <w:szCs w:val="20"/>
          <w:color w:val="auto"/>
        </w:rPr>
      </w:pPr>
      <w:r>
        <w:rPr>
          <w:rFonts w:ascii="Arial" w:cs="Arial" w:eastAsia="Arial" w:hAnsi="Arial"/>
          <w:sz w:val="17"/>
          <w:szCs w:val="17"/>
          <w:b w:val="1"/>
          <w:bCs w:val="1"/>
          <w:color w:val="auto"/>
        </w:rPr>
        <w:t>QRC Technologies</w:t>
      </w:r>
    </w:p>
    <w:p>
      <w:pPr>
        <w:spacing w:after="0" w:line="116" w:lineRule="exact"/>
        <w:rPr>
          <w:sz w:val="20"/>
          <w:szCs w:val="20"/>
          <w:color w:val="auto"/>
        </w:rPr>
      </w:pPr>
    </w:p>
    <w:p>
      <w:pPr>
        <w:ind w:right="100" w:firstLine="735"/>
        <w:spacing w:after="0" w:line="235" w:lineRule="auto"/>
        <w:rPr>
          <w:sz w:val="20"/>
          <w:szCs w:val="20"/>
          <w:color w:val="auto"/>
        </w:rPr>
      </w:pPr>
      <w:r>
        <w:rPr>
          <w:rFonts w:ascii="Arial" w:cs="Arial" w:eastAsia="Arial" w:hAnsi="Arial"/>
          <w:sz w:val="17"/>
          <w:szCs w:val="17"/>
          <w:color w:val="auto"/>
        </w:rPr>
        <w:t>On July 31, 2019 the Company acquired a 100% ownership interest in QRC Technologies (“QRC”), a privately-owned company, for $214.1 million in cash. QRC provides design and development of open-architecture radio-frequency products. The Company borrowed $140.0 million under the Revolving Credit Facility to partially fund the transaction. In connection with this acquisition, the Company recognized $4.9 million of acquisition-related expenses in “Selling, general and administrative expense” in the consolidated statements of income for the year ended December 31, 2019, including legal fees, consulting fees, and other miscellaneous direct expenses associated with the acquisition. QRC is an agile, disruptive product company that specializes in radio frequency spectrum survey, record and playback; signals intelligence; and electronic warfare missions. QRC complements our existing portfolio, increases our presence in the high-growth markets of spectrum awareness and surveillance, adds critical intellectual property that complements and expands our available capabilities for the Special Operations and Intelligence Communities.</w:t>
      </w:r>
    </w:p>
    <w:p>
      <w:pPr>
        <w:spacing w:after="0" w:line="193" w:lineRule="exact"/>
        <w:rPr>
          <w:sz w:val="20"/>
          <w:szCs w:val="20"/>
          <w:color w:val="auto"/>
        </w:rPr>
      </w:pPr>
    </w:p>
    <w:p>
      <w:pPr>
        <w:ind w:right="640" w:firstLine="735"/>
        <w:spacing w:after="0" w:line="242" w:lineRule="auto"/>
        <w:rPr>
          <w:sz w:val="20"/>
          <w:szCs w:val="20"/>
          <w:color w:val="auto"/>
        </w:rPr>
      </w:pPr>
      <w:r>
        <w:rPr>
          <w:rFonts w:ascii="Arial" w:cs="Arial" w:eastAsia="Arial" w:hAnsi="Arial"/>
          <w:sz w:val="17"/>
          <w:szCs w:val="17"/>
          <w:color w:val="auto"/>
        </w:rPr>
        <w:t>The following table summarizes the estimated fair values of the assets acquired and liabilities assumed based on the purchase price allocation as of the date of acquisition (in thousands):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Amount</w:t>
            </w:r>
          </w:p>
        </w:tc>
      </w:tr>
      <w:tr>
        <w:trPr>
          <w:trHeight w:val="196"/>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380" w:type="dxa"/>
            <w:vAlign w:val="bottom"/>
            <w:tcBorders>
              <w:top w:val="single" w:sz="8" w:color="auto"/>
            </w:tcBorders>
            <w:shd w:val="clear" w:color="auto" w:fill="CFF0FC"/>
          </w:tcPr>
          <w:p>
            <w:pPr>
              <w:jc w:val="right"/>
              <w:ind w:right="196"/>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5,925</w:t>
            </w: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9260" w:type="dxa"/>
            <w:vAlign w:val="bottom"/>
          </w:tcPr>
          <w:p>
            <w:pPr>
              <w:spacing w:after="0"/>
              <w:rPr>
                <w:sz w:val="20"/>
                <w:szCs w:val="20"/>
                <w:color w:val="auto"/>
              </w:rPr>
            </w:pPr>
            <w:r>
              <w:rPr>
                <w:rFonts w:ascii="Arial" w:cs="Arial" w:eastAsia="Arial" w:hAnsi="Arial"/>
                <w:sz w:val="17"/>
                <w:szCs w:val="17"/>
                <w:color w:val="auto"/>
              </w:rPr>
              <w:t>Accounts receivable</w:t>
            </w:r>
          </w:p>
        </w:tc>
        <w:tc>
          <w:tcPr>
            <w:tcW w:w="3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5,587</w:t>
            </w:r>
          </w:p>
        </w:tc>
        <w:tc>
          <w:tcPr>
            <w:tcW w:w="100" w:type="dxa"/>
            <w:vAlign w:val="bottom"/>
          </w:tcPr>
          <w:p>
            <w:pPr>
              <w:spacing w:after="0"/>
              <w:rPr>
                <w:sz w:val="17"/>
                <w:szCs w:val="17"/>
                <w:color w:val="auto"/>
              </w:rPr>
            </w:pPr>
          </w:p>
        </w:tc>
      </w:tr>
      <w:tr>
        <w:trPr>
          <w:trHeight w:val="203"/>
        </w:trPr>
        <w:tc>
          <w:tcPr>
            <w:tcW w:w="9260" w:type="dxa"/>
            <w:vAlign w:val="bottom"/>
            <w:shd w:val="clear" w:color="auto" w:fill="CFF0FC"/>
          </w:tcPr>
          <w:p>
            <w:pPr>
              <w:spacing w:after="0"/>
              <w:rPr>
                <w:sz w:val="20"/>
                <w:szCs w:val="20"/>
                <w:color w:val="auto"/>
              </w:rPr>
            </w:pPr>
            <w:r>
              <w:rPr>
                <w:rFonts w:ascii="Arial" w:cs="Arial" w:eastAsia="Arial" w:hAnsi="Arial"/>
                <w:sz w:val="17"/>
                <w:szCs w:val="17"/>
                <w:color w:val="auto"/>
              </w:rPr>
              <w:t>Prepaid expenses and other current assets</w:t>
            </w:r>
          </w:p>
        </w:tc>
        <w:tc>
          <w:tcPr>
            <w:tcW w:w="3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5,727</w:t>
            </w:r>
          </w:p>
        </w:tc>
        <w:tc>
          <w:tcPr>
            <w:tcW w:w="100" w:type="dxa"/>
            <w:vAlign w:val="bottom"/>
            <w:shd w:val="clear" w:color="auto" w:fill="CFF0FC"/>
          </w:tcPr>
          <w:p>
            <w:pPr>
              <w:spacing w:after="0"/>
              <w:rPr>
                <w:sz w:val="17"/>
                <w:szCs w:val="17"/>
                <w:color w:val="auto"/>
              </w:rPr>
            </w:pPr>
          </w:p>
        </w:tc>
      </w:tr>
      <w:tr>
        <w:trPr>
          <w:trHeight w:val="203"/>
        </w:trPr>
        <w:tc>
          <w:tcPr>
            <w:tcW w:w="9260" w:type="dxa"/>
            <w:vAlign w:val="bottom"/>
          </w:tcPr>
          <w:p>
            <w:pPr>
              <w:spacing w:after="0"/>
              <w:rPr>
                <w:sz w:val="20"/>
                <w:szCs w:val="20"/>
                <w:color w:val="auto"/>
              </w:rPr>
            </w:pPr>
            <w:r>
              <w:rPr>
                <w:rFonts w:ascii="Arial" w:cs="Arial" w:eastAsia="Arial" w:hAnsi="Arial"/>
                <w:sz w:val="17"/>
                <w:szCs w:val="17"/>
                <w:color w:val="auto"/>
              </w:rPr>
              <w:t>Property and equipment</w:t>
            </w:r>
          </w:p>
        </w:tc>
        <w:tc>
          <w:tcPr>
            <w:tcW w:w="3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1,205</w:t>
            </w:r>
          </w:p>
        </w:tc>
        <w:tc>
          <w:tcPr>
            <w:tcW w:w="100" w:type="dxa"/>
            <w:vAlign w:val="bottom"/>
          </w:tcPr>
          <w:p>
            <w:pPr>
              <w:spacing w:after="0"/>
              <w:rPr>
                <w:sz w:val="17"/>
                <w:szCs w:val="17"/>
                <w:color w:val="auto"/>
              </w:rPr>
            </w:pPr>
          </w:p>
        </w:tc>
      </w:tr>
      <w:tr>
        <w:trPr>
          <w:trHeight w:val="203"/>
        </w:trPr>
        <w:tc>
          <w:tcPr>
            <w:tcW w:w="9260" w:type="dxa"/>
            <w:vAlign w:val="bottom"/>
            <w:shd w:val="clear" w:color="auto" w:fill="CFF0FC"/>
          </w:tcPr>
          <w:p>
            <w:pPr>
              <w:spacing w:after="0"/>
              <w:rPr>
                <w:sz w:val="20"/>
                <w:szCs w:val="20"/>
                <w:color w:val="auto"/>
              </w:rPr>
            </w:pPr>
            <w:r>
              <w:rPr>
                <w:rFonts w:ascii="Arial" w:cs="Arial" w:eastAsia="Arial" w:hAnsi="Arial"/>
                <w:sz w:val="17"/>
                <w:szCs w:val="17"/>
                <w:color w:val="auto"/>
              </w:rPr>
              <w:t>Right of use assets, operating leases</w:t>
            </w:r>
          </w:p>
        </w:tc>
        <w:tc>
          <w:tcPr>
            <w:tcW w:w="3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5,228</w:t>
            </w:r>
          </w:p>
        </w:tc>
        <w:tc>
          <w:tcPr>
            <w:tcW w:w="100" w:type="dxa"/>
            <w:vAlign w:val="bottom"/>
            <w:shd w:val="clear" w:color="auto" w:fill="CFF0FC"/>
          </w:tcPr>
          <w:p>
            <w:pPr>
              <w:spacing w:after="0"/>
              <w:rPr>
                <w:sz w:val="17"/>
                <w:szCs w:val="17"/>
                <w:color w:val="auto"/>
              </w:rPr>
            </w:pPr>
          </w:p>
        </w:tc>
      </w:tr>
      <w:tr>
        <w:trPr>
          <w:trHeight w:val="203"/>
        </w:trPr>
        <w:tc>
          <w:tcPr>
            <w:tcW w:w="9260" w:type="dxa"/>
            <w:vAlign w:val="bottom"/>
          </w:tcPr>
          <w:p>
            <w:pPr>
              <w:spacing w:after="0"/>
              <w:rPr>
                <w:sz w:val="20"/>
                <w:szCs w:val="20"/>
                <w:color w:val="auto"/>
              </w:rPr>
            </w:pPr>
            <w:r>
              <w:rPr>
                <w:rFonts w:ascii="Arial" w:cs="Arial" w:eastAsia="Arial" w:hAnsi="Arial"/>
                <w:sz w:val="17"/>
                <w:szCs w:val="17"/>
                <w:color w:val="auto"/>
              </w:rPr>
              <w:t>Goodwill</w:t>
            </w:r>
          </w:p>
        </w:tc>
        <w:tc>
          <w:tcPr>
            <w:tcW w:w="3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125,091</w:t>
            </w:r>
          </w:p>
        </w:tc>
        <w:tc>
          <w:tcPr>
            <w:tcW w:w="100" w:type="dxa"/>
            <w:vAlign w:val="bottom"/>
          </w:tcPr>
          <w:p>
            <w:pPr>
              <w:spacing w:after="0"/>
              <w:rPr>
                <w:sz w:val="17"/>
                <w:szCs w:val="17"/>
                <w:color w:val="auto"/>
              </w:rPr>
            </w:pPr>
          </w:p>
        </w:tc>
      </w:tr>
      <w:tr>
        <w:trPr>
          <w:trHeight w:val="203"/>
        </w:trPr>
        <w:tc>
          <w:tcPr>
            <w:tcW w:w="9260" w:type="dxa"/>
            <w:vAlign w:val="bottom"/>
            <w:shd w:val="clear" w:color="auto" w:fill="CFF0FC"/>
          </w:tcPr>
          <w:p>
            <w:pPr>
              <w:spacing w:after="0"/>
              <w:rPr>
                <w:sz w:val="20"/>
                <w:szCs w:val="20"/>
                <w:color w:val="auto"/>
              </w:rPr>
            </w:pPr>
            <w:r>
              <w:rPr>
                <w:rFonts w:ascii="Arial" w:cs="Arial" w:eastAsia="Arial" w:hAnsi="Arial"/>
                <w:sz w:val="17"/>
                <w:szCs w:val="17"/>
                <w:color w:val="auto"/>
              </w:rPr>
              <w:t>Intangible assets</w:t>
            </w:r>
          </w:p>
        </w:tc>
        <w:tc>
          <w:tcPr>
            <w:tcW w:w="3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76,200</w:t>
            </w:r>
          </w:p>
        </w:tc>
        <w:tc>
          <w:tcPr>
            <w:tcW w:w="100" w:type="dxa"/>
            <w:vAlign w:val="bottom"/>
            <w:shd w:val="clear" w:color="auto" w:fill="CFF0FC"/>
          </w:tcPr>
          <w:p>
            <w:pPr>
              <w:spacing w:after="0"/>
              <w:rPr>
                <w:sz w:val="17"/>
                <w:szCs w:val="17"/>
                <w:color w:val="auto"/>
              </w:rPr>
            </w:pPr>
          </w:p>
        </w:tc>
      </w:tr>
      <w:tr>
        <w:trPr>
          <w:trHeight w:val="203"/>
        </w:trPr>
        <w:tc>
          <w:tcPr>
            <w:tcW w:w="9260" w:type="dxa"/>
            <w:vAlign w:val="bottom"/>
          </w:tcPr>
          <w:p>
            <w:pPr>
              <w:spacing w:after="0"/>
              <w:rPr>
                <w:sz w:val="20"/>
                <w:szCs w:val="20"/>
                <w:color w:val="auto"/>
              </w:rPr>
            </w:pPr>
            <w:r>
              <w:rPr>
                <w:rFonts w:ascii="Arial" w:cs="Arial" w:eastAsia="Arial" w:hAnsi="Arial"/>
                <w:sz w:val="17"/>
                <w:szCs w:val="17"/>
                <w:color w:val="auto"/>
              </w:rPr>
              <w:t>Accounts payable</w:t>
            </w:r>
          </w:p>
        </w:tc>
        <w:tc>
          <w:tcPr>
            <w:tcW w:w="380" w:type="dxa"/>
            <w:vAlign w:val="bottom"/>
          </w:tcPr>
          <w:p>
            <w:pPr>
              <w:spacing w:after="0"/>
              <w:rPr>
                <w:sz w:val="17"/>
                <w:szCs w:val="17"/>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7"/>
                <w:szCs w:val="17"/>
                <w:color w:val="auto"/>
              </w:rPr>
              <w:t>(1,567)</w:t>
            </w:r>
          </w:p>
        </w:tc>
      </w:tr>
      <w:tr>
        <w:trPr>
          <w:trHeight w:val="203"/>
        </w:trPr>
        <w:tc>
          <w:tcPr>
            <w:tcW w:w="9260" w:type="dxa"/>
            <w:vAlign w:val="bottom"/>
            <w:shd w:val="clear" w:color="auto" w:fill="CFF0FC"/>
          </w:tcPr>
          <w:p>
            <w:pPr>
              <w:spacing w:after="0"/>
              <w:rPr>
                <w:sz w:val="20"/>
                <w:szCs w:val="20"/>
                <w:color w:val="auto"/>
              </w:rPr>
            </w:pPr>
            <w:r>
              <w:rPr>
                <w:rFonts w:ascii="Arial" w:cs="Arial" w:eastAsia="Arial" w:hAnsi="Arial"/>
                <w:sz w:val="17"/>
                <w:szCs w:val="17"/>
                <w:color w:val="auto"/>
              </w:rPr>
              <w:t>Accrued expenses and other current liabilities</w:t>
            </w:r>
          </w:p>
        </w:tc>
        <w:tc>
          <w:tcPr>
            <w:tcW w:w="3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(4,025)</w:t>
            </w:r>
          </w:p>
        </w:tc>
      </w:tr>
      <w:tr>
        <w:trPr>
          <w:trHeight w:val="203"/>
        </w:trPr>
        <w:tc>
          <w:tcPr>
            <w:tcW w:w="9260" w:type="dxa"/>
            <w:vAlign w:val="bottom"/>
          </w:tcPr>
          <w:p>
            <w:pPr>
              <w:spacing w:after="0"/>
              <w:rPr>
                <w:sz w:val="20"/>
                <w:szCs w:val="20"/>
                <w:color w:val="auto"/>
              </w:rPr>
            </w:pPr>
            <w:r>
              <w:rPr>
                <w:rFonts w:ascii="Arial" w:cs="Arial" w:eastAsia="Arial" w:hAnsi="Arial"/>
                <w:sz w:val="17"/>
                <w:szCs w:val="17"/>
                <w:color w:val="auto"/>
              </w:rPr>
              <w:t>Short-term lease liabilities, operating leases</w:t>
            </w:r>
          </w:p>
        </w:tc>
        <w:tc>
          <w:tcPr>
            <w:tcW w:w="380" w:type="dxa"/>
            <w:vAlign w:val="bottom"/>
          </w:tcPr>
          <w:p>
            <w:pPr>
              <w:spacing w:after="0"/>
              <w:rPr>
                <w:sz w:val="17"/>
                <w:szCs w:val="17"/>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7"/>
                <w:szCs w:val="17"/>
                <w:color w:val="auto"/>
              </w:rPr>
              <w:t>(545)</w:t>
            </w:r>
          </w:p>
        </w:tc>
      </w:tr>
      <w:tr>
        <w:trPr>
          <w:trHeight w:val="203"/>
        </w:trPr>
        <w:tc>
          <w:tcPr>
            <w:tcW w:w="9260" w:type="dxa"/>
            <w:vAlign w:val="bottom"/>
            <w:shd w:val="clear" w:color="auto" w:fill="CFF0FC"/>
          </w:tcPr>
          <w:p>
            <w:pPr>
              <w:spacing w:after="0"/>
              <w:rPr>
                <w:sz w:val="20"/>
                <w:szCs w:val="20"/>
                <w:color w:val="auto"/>
              </w:rPr>
            </w:pPr>
            <w:r>
              <w:rPr>
                <w:rFonts w:ascii="Arial" w:cs="Arial" w:eastAsia="Arial" w:hAnsi="Arial"/>
                <w:sz w:val="17"/>
                <w:szCs w:val="17"/>
                <w:color w:val="auto"/>
              </w:rPr>
              <w:t>Long-term lease liabilities, operating leases</w:t>
            </w:r>
          </w:p>
        </w:tc>
        <w:tc>
          <w:tcPr>
            <w:tcW w:w="3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(4,683)</w:t>
            </w:r>
          </w:p>
        </w:tc>
      </w:tr>
      <w:tr>
        <w:trPr>
          <w:trHeight w:val="196"/>
        </w:trPr>
        <w:tc>
          <w:tcPr>
            <w:tcW w:w="9260" w:type="dxa"/>
            <w:vAlign w:val="bottom"/>
          </w:tcPr>
          <w:p>
            <w:pPr>
              <w:ind w:left="240"/>
              <w:spacing w:after="0"/>
              <w:rPr>
                <w:sz w:val="20"/>
                <w:szCs w:val="20"/>
                <w:color w:val="auto"/>
              </w:rPr>
            </w:pPr>
            <w:r>
              <w:rPr>
                <w:rFonts w:ascii="Arial" w:cs="Arial" w:eastAsia="Arial" w:hAnsi="Arial"/>
                <w:sz w:val="17"/>
                <w:szCs w:val="17"/>
                <w:color w:val="auto"/>
              </w:rPr>
              <w:t>Net assets acquired</w:t>
            </w: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214,143</w:t>
            </w:r>
          </w:p>
        </w:tc>
        <w:tc>
          <w:tcPr>
            <w:tcW w:w="100" w:type="dxa"/>
            <w:vAlign w:val="bottom"/>
          </w:tcPr>
          <w:p>
            <w:pPr>
              <w:spacing w:after="0"/>
              <w:rPr>
                <w:sz w:val="17"/>
                <w:szCs w:val="17"/>
                <w:color w:val="auto"/>
              </w:rPr>
            </w:pPr>
          </w:p>
        </w:tc>
      </w:tr>
      <w:tr>
        <w:trPr>
          <w:trHeight w:val="20"/>
        </w:trPr>
        <w:tc>
          <w:tcPr>
            <w:tcW w:w="9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Of the total purchase price, the following values were assigned to intangible assets (in thousands, except for years):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Gross</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2"/>
        </w:trPr>
        <w:tc>
          <w:tcPr>
            <w:tcW w:w="41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2"/>
          </w:tcPr>
          <w:p>
            <w:pPr>
              <w:jc w:val="center"/>
              <w:ind w:right="580"/>
              <w:spacing w:after="0" w:line="152" w:lineRule="exact"/>
              <w:rPr>
                <w:sz w:val="20"/>
                <w:szCs w:val="20"/>
                <w:color w:val="auto"/>
              </w:rPr>
            </w:pPr>
            <w:r>
              <w:rPr>
                <w:rFonts w:ascii="Arial" w:cs="Arial" w:eastAsia="Arial" w:hAnsi="Arial"/>
                <w:sz w:val="14"/>
                <w:szCs w:val="14"/>
                <w:b w:val="1"/>
                <w:bCs w:val="1"/>
                <w:color w:val="auto"/>
                <w:w w:val="93"/>
              </w:rPr>
              <w:t>Carrying</w:t>
            </w:r>
          </w:p>
        </w:tc>
        <w:tc>
          <w:tcPr>
            <w:tcW w:w="1660" w:type="dxa"/>
            <w:vAlign w:val="bottom"/>
            <w:gridSpan w:val="2"/>
          </w:tcPr>
          <w:p>
            <w:pPr>
              <w:jc w:val="center"/>
              <w:ind w:right="120"/>
              <w:spacing w:after="0" w:line="152" w:lineRule="exact"/>
              <w:rPr>
                <w:sz w:val="20"/>
                <w:szCs w:val="20"/>
                <w:color w:val="auto"/>
              </w:rPr>
            </w:pPr>
            <w:r>
              <w:rPr>
                <w:rFonts w:ascii="Arial" w:cs="Arial" w:eastAsia="Arial" w:hAnsi="Arial"/>
                <w:sz w:val="14"/>
                <w:szCs w:val="14"/>
                <w:b w:val="1"/>
                <w:bCs w:val="1"/>
                <w:color w:val="auto"/>
                <w:w w:val="95"/>
              </w:rPr>
              <w:t>Amortization</w:t>
            </w:r>
          </w:p>
        </w:tc>
      </w:tr>
      <w:tr>
        <w:trPr>
          <w:trHeight w:val="164"/>
        </w:trPr>
        <w:tc>
          <w:tcPr>
            <w:tcW w:w="4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100" w:type="dxa"/>
            <w:vAlign w:val="bottom"/>
          </w:tcPr>
          <w:p>
            <w:pPr>
              <w:spacing w:after="0"/>
              <w:rPr>
                <w:sz w:val="14"/>
                <w:szCs w:val="14"/>
                <w:color w:val="auto"/>
              </w:rPr>
            </w:pPr>
          </w:p>
        </w:tc>
      </w:tr>
      <w:tr>
        <w:trPr>
          <w:trHeight w:val="157"/>
        </w:trPr>
        <w:tc>
          <w:tcPr>
            <w:tcW w:w="41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6"/>
              </w:rPr>
              <w:t>(in years)</w:t>
            </w:r>
          </w:p>
        </w:tc>
      </w:tr>
      <w:tr>
        <w:trPr>
          <w:trHeight w:val="203"/>
        </w:trPr>
        <w:tc>
          <w:tcPr>
            <w:tcW w:w="4140" w:type="dxa"/>
            <w:vAlign w:val="bottom"/>
            <w:shd w:val="clear" w:color="auto" w:fill="CFF0FC"/>
          </w:tcPr>
          <w:p>
            <w:pPr>
              <w:spacing w:after="0"/>
              <w:rPr>
                <w:sz w:val="20"/>
                <w:szCs w:val="20"/>
                <w:color w:val="auto"/>
              </w:rPr>
            </w:pPr>
            <w:r>
              <w:rPr>
                <w:rFonts w:ascii="Arial" w:cs="Arial" w:eastAsia="Arial" w:hAnsi="Arial"/>
                <w:sz w:val="17"/>
                <w:szCs w:val="17"/>
                <w:color w:val="auto"/>
              </w:rPr>
              <w:t>Customer relationships</w:t>
            </w:r>
          </w:p>
        </w:tc>
        <w:tc>
          <w:tcPr>
            <w:tcW w:w="38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49,800</w:t>
            </w:r>
          </w:p>
        </w:tc>
        <w:tc>
          <w:tcPr>
            <w:tcW w:w="2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FF0FC"/>
          </w:tcPr>
          <w:p>
            <w:pPr>
              <w:spacing w:after="0"/>
              <w:rPr>
                <w:sz w:val="17"/>
                <w:szCs w:val="17"/>
                <w:color w:val="auto"/>
              </w:rPr>
            </w:pPr>
          </w:p>
        </w:tc>
      </w:tr>
      <w:tr>
        <w:trPr>
          <w:trHeight w:val="203"/>
        </w:trPr>
        <w:tc>
          <w:tcPr>
            <w:tcW w:w="4140" w:type="dxa"/>
            <w:vAlign w:val="bottom"/>
          </w:tcPr>
          <w:p>
            <w:pPr>
              <w:spacing w:after="0"/>
              <w:rPr>
                <w:sz w:val="20"/>
                <w:szCs w:val="20"/>
                <w:color w:val="auto"/>
              </w:rPr>
            </w:pPr>
            <w:r>
              <w:rPr>
                <w:rFonts w:ascii="Arial" w:cs="Arial" w:eastAsia="Arial" w:hAnsi="Arial"/>
                <w:sz w:val="17"/>
                <w:szCs w:val="17"/>
                <w:color w:val="auto"/>
              </w:rPr>
              <w:t>Developed technologies</w:t>
            </w:r>
          </w:p>
        </w:tc>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21,800</w:t>
            </w:r>
          </w:p>
        </w:tc>
        <w:tc>
          <w:tcPr>
            <w:tcW w:w="280" w:type="dxa"/>
            <w:vAlign w:val="bottom"/>
          </w:tcPr>
          <w:p>
            <w:pPr>
              <w:spacing w:after="0"/>
              <w:rPr>
                <w:sz w:val="17"/>
                <w:szCs w:val="17"/>
                <w:color w:val="auto"/>
              </w:rPr>
            </w:pPr>
          </w:p>
        </w:tc>
        <w:tc>
          <w:tcPr>
            <w:tcW w:w="1660" w:type="dxa"/>
            <w:vAlign w:val="bottom"/>
            <w:gridSpan w:val="2"/>
          </w:tcPr>
          <w:p>
            <w:pPr>
              <w:ind w:left="1120"/>
              <w:spacing w:after="0"/>
              <w:rPr>
                <w:sz w:val="20"/>
                <w:szCs w:val="20"/>
                <w:color w:val="auto"/>
              </w:rPr>
            </w:pPr>
            <w:r>
              <w:rPr>
                <w:rFonts w:ascii="Arial" w:cs="Arial" w:eastAsia="Arial" w:hAnsi="Arial"/>
                <w:sz w:val="17"/>
                <w:szCs w:val="17"/>
                <w:color w:val="auto"/>
              </w:rPr>
              <w:t>3 to 5</w:t>
            </w:r>
          </w:p>
        </w:tc>
      </w:tr>
      <w:tr>
        <w:trPr>
          <w:trHeight w:val="203"/>
        </w:trPr>
        <w:tc>
          <w:tcPr>
            <w:tcW w:w="4140" w:type="dxa"/>
            <w:vAlign w:val="bottom"/>
            <w:shd w:val="clear" w:color="auto" w:fill="CFF0FC"/>
          </w:tcPr>
          <w:p>
            <w:pPr>
              <w:spacing w:after="0"/>
              <w:rPr>
                <w:sz w:val="20"/>
                <w:szCs w:val="20"/>
                <w:color w:val="auto"/>
              </w:rPr>
            </w:pPr>
            <w:r>
              <w:rPr>
                <w:rFonts w:ascii="Arial" w:cs="Arial" w:eastAsia="Arial" w:hAnsi="Arial"/>
                <w:sz w:val="17"/>
                <w:szCs w:val="17"/>
                <w:color w:val="auto"/>
              </w:rPr>
              <w:t>In-process research and development</w:t>
            </w:r>
          </w:p>
        </w:tc>
        <w:tc>
          <w:tcPr>
            <w:tcW w:w="3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1,800</w:t>
            </w:r>
          </w:p>
        </w:tc>
        <w:tc>
          <w:tcPr>
            <w:tcW w:w="2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ind w:left="1120"/>
              <w:spacing w:after="0"/>
              <w:rPr>
                <w:sz w:val="20"/>
                <w:szCs w:val="20"/>
                <w:color w:val="auto"/>
              </w:rPr>
            </w:pPr>
            <w:r>
              <w:rPr>
                <w:rFonts w:ascii="Arial" w:cs="Arial" w:eastAsia="Arial" w:hAnsi="Arial"/>
                <w:sz w:val="17"/>
                <w:szCs w:val="17"/>
                <w:color w:val="auto"/>
              </w:rPr>
              <w:t>3 to 5</w:t>
            </w:r>
          </w:p>
        </w:tc>
      </w:tr>
      <w:tr>
        <w:trPr>
          <w:trHeight w:val="203"/>
        </w:trPr>
        <w:tc>
          <w:tcPr>
            <w:tcW w:w="4140" w:type="dxa"/>
            <w:vAlign w:val="bottom"/>
          </w:tcPr>
          <w:p>
            <w:pPr>
              <w:spacing w:after="0"/>
              <w:rPr>
                <w:sz w:val="20"/>
                <w:szCs w:val="20"/>
                <w:color w:val="auto"/>
              </w:rPr>
            </w:pPr>
            <w:r>
              <w:rPr>
                <w:rFonts w:ascii="Arial" w:cs="Arial" w:eastAsia="Arial" w:hAnsi="Arial"/>
                <w:sz w:val="17"/>
                <w:szCs w:val="17"/>
                <w:color w:val="auto"/>
              </w:rPr>
              <w:t>Non-compete agreements</w:t>
            </w:r>
          </w:p>
        </w:tc>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1,200</w:t>
            </w:r>
          </w:p>
        </w:tc>
        <w:tc>
          <w:tcPr>
            <w:tcW w:w="2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7"/>
                <w:szCs w:val="17"/>
                <w:color w:val="auto"/>
              </w:rPr>
            </w:pPr>
          </w:p>
        </w:tc>
      </w:tr>
      <w:tr>
        <w:trPr>
          <w:trHeight w:val="203"/>
        </w:trPr>
        <w:tc>
          <w:tcPr>
            <w:tcW w:w="4140" w:type="dxa"/>
            <w:vAlign w:val="bottom"/>
            <w:shd w:val="clear" w:color="auto" w:fill="CFF0FC"/>
          </w:tcPr>
          <w:p>
            <w:pPr>
              <w:spacing w:after="0"/>
              <w:rPr>
                <w:sz w:val="20"/>
                <w:szCs w:val="20"/>
                <w:color w:val="auto"/>
              </w:rPr>
            </w:pPr>
            <w:r>
              <w:rPr>
                <w:rFonts w:ascii="Arial" w:cs="Arial" w:eastAsia="Arial" w:hAnsi="Arial"/>
                <w:sz w:val="17"/>
                <w:szCs w:val="17"/>
                <w:color w:val="auto"/>
              </w:rPr>
              <w:t>Trade name</w:t>
            </w:r>
          </w:p>
        </w:tc>
        <w:tc>
          <w:tcPr>
            <w:tcW w:w="3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800</w:t>
            </w:r>
          </w:p>
        </w:tc>
        <w:tc>
          <w:tcPr>
            <w:tcW w:w="2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7"/>
                <w:szCs w:val="17"/>
                <w:color w:val="auto"/>
              </w:rPr>
            </w:pPr>
          </w:p>
        </w:tc>
      </w:tr>
      <w:tr>
        <w:trPr>
          <w:trHeight w:val="215"/>
        </w:trPr>
        <w:tc>
          <w:tcPr>
            <w:tcW w:w="4140" w:type="dxa"/>
            <w:vAlign w:val="bottom"/>
          </w:tcPr>
          <w:p>
            <w:pPr>
              <w:spacing w:after="0"/>
              <w:rPr>
                <w:sz w:val="20"/>
                <w:szCs w:val="20"/>
                <w:color w:val="auto"/>
              </w:rPr>
            </w:pPr>
            <w:r>
              <w:rPr>
                <w:rFonts w:ascii="Arial" w:cs="Arial" w:eastAsia="Arial" w:hAnsi="Arial"/>
                <w:sz w:val="17"/>
                <w:szCs w:val="17"/>
                <w:color w:val="auto"/>
              </w:rPr>
              <w:t>Backlog</w:t>
            </w:r>
          </w:p>
        </w:tc>
        <w:tc>
          <w:tcPr>
            <w:tcW w:w="3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800</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r>
      <w:tr>
        <w:trPr>
          <w:trHeight w:val="393"/>
        </w:trPr>
        <w:tc>
          <w:tcPr>
            <w:tcW w:w="4140" w:type="dxa"/>
            <w:vAlign w:val="bottom"/>
          </w:tcPr>
          <w:p>
            <w:pPr>
              <w:spacing w:after="0"/>
              <w:rPr>
                <w:sz w:val="24"/>
                <w:szCs w:val="24"/>
                <w:color w:val="auto"/>
              </w:rPr>
            </w:pPr>
          </w:p>
        </w:tc>
        <w:tc>
          <w:tcPr>
            <w:tcW w:w="3880" w:type="dxa"/>
            <w:vAlign w:val="bottom"/>
            <w:gridSpan w:val="2"/>
          </w:tcPr>
          <w:p>
            <w:pPr>
              <w:jc w:val="right"/>
              <w:ind w:right="2220"/>
              <w:spacing w:after="0"/>
              <w:rPr>
                <w:sz w:val="20"/>
                <w:szCs w:val="20"/>
                <w:color w:val="auto"/>
              </w:rPr>
            </w:pPr>
            <w:r>
              <w:rPr>
                <w:rFonts w:ascii="Arial" w:cs="Arial" w:eastAsia="Arial" w:hAnsi="Arial"/>
                <w:sz w:val="17"/>
                <w:szCs w:val="17"/>
                <w:color w:val="auto"/>
              </w:rPr>
              <w:t>F-25</w:t>
            </w: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5"/>
        </w:trPr>
        <w:tc>
          <w:tcPr>
            <w:tcW w:w="4140" w:type="dxa"/>
            <w:vAlign w:val="bottom"/>
            <w:tcBorders>
              <w:bottom w:val="single" w:sz="8" w:color="9A9A9A"/>
            </w:tcBorders>
          </w:tcPr>
          <w:p>
            <w:pPr>
              <w:spacing w:after="0"/>
              <w:rPr>
                <w:sz w:val="8"/>
                <w:szCs w:val="8"/>
                <w:color w:val="auto"/>
              </w:rPr>
            </w:pPr>
          </w:p>
        </w:tc>
        <w:tc>
          <w:tcPr>
            <w:tcW w:w="36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0">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60" w:firstLine="735"/>
        <w:spacing w:after="0" w:line="237" w:lineRule="auto"/>
        <w:rPr>
          <w:sz w:val="20"/>
          <w:szCs w:val="20"/>
          <w:color w:val="auto"/>
        </w:rPr>
      </w:pPr>
      <w:r>
        <w:rPr>
          <w:rFonts w:ascii="Arial" w:cs="Arial" w:eastAsia="Arial" w:hAnsi="Arial"/>
          <w:sz w:val="17"/>
          <w:szCs w:val="17"/>
          <w:color w:val="auto"/>
        </w:rPr>
        <w:t>Amortization expense of $13.1 million, $14.0 million and $5.7 million related to these intangible assets was recorded for the years ended December 31, 2021, December 31, 2020 and December 31, 2019, respectively. The entire value of goodwill of $125.1 million was assigned to the Federal Solutions reporting unit and represents synergies expected to be realized from this business combination. Goodwill in its entirety is deductible for tax purposes.</w:t>
      </w:r>
    </w:p>
    <w:p>
      <w:pPr>
        <w:spacing w:after="0" w:line="191" w:lineRule="exact"/>
        <w:rPr>
          <w:sz w:val="20"/>
          <w:szCs w:val="20"/>
          <w:color w:val="auto"/>
        </w:rPr>
      </w:pPr>
    </w:p>
    <w:p>
      <w:pPr>
        <w:ind w:right="20" w:firstLine="735"/>
        <w:spacing w:after="0" w:line="238" w:lineRule="auto"/>
        <w:rPr>
          <w:sz w:val="20"/>
          <w:szCs w:val="20"/>
          <w:color w:val="auto"/>
        </w:rPr>
      </w:pPr>
      <w:r>
        <w:rPr>
          <w:rFonts w:ascii="Arial" w:cs="Arial" w:eastAsia="Arial" w:hAnsi="Arial"/>
          <w:sz w:val="17"/>
          <w:szCs w:val="17"/>
          <w:color w:val="auto"/>
        </w:rPr>
        <w:t>The amount of revenue generated by QRC and included within consolidated revenues for the year ended December 31, 2019 was $11.2 million. The Company has determined that the presentation of net income from the date of acquisition is impracticable due to the integration of general corporate functions upon acquisition.</w:t>
      </w:r>
    </w:p>
    <w:p>
      <w:pPr>
        <w:spacing w:after="0" w:line="172" w:lineRule="exact"/>
        <w:rPr>
          <w:sz w:val="20"/>
          <w:szCs w:val="20"/>
          <w:color w:val="auto"/>
        </w:rPr>
      </w:pPr>
    </w:p>
    <w:p>
      <w:pPr>
        <w:ind w:left="740"/>
        <w:spacing w:after="0"/>
        <w:rPr>
          <w:sz w:val="20"/>
          <w:szCs w:val="20"/>
          <w:color w:val="auto"/>
        </w:rPr>
      </w:pPr>
      <w:r>
        <w:rPr>
          <w:rFonts w:ascii="Arial" w:cs="Arial" w:eastAsia="Arial" w:hAnsi="Arial"/>
          <w:sz w:val="17"/>
          <w:szCs w:val="17"/>
          <w:b w:val="1"/>
          <w:bCs w:val="1"/>
          <w:color w:val="auto"/>
        </w:rPr>
        <w:t>Supplemental Pro Forma Information (Unaudited)</w:t>
      </w:r>
    </w:p>
    <w:p>
      <w:pPr>
        <w:spacing w:after="0" w:line="218" w:lineRule="exact"/>
        <w:rPr>
          <w:sz w:val="20"/>
          <w:szCs w:val="20"/>
          <w:color w:val="auto"/>
        </w:rPr>
      </w:pPr>
    </w:p>
    <w:p>
      <w:pPr>
        <w:ind w:right="100" w:firstLine="735"/>
        <w:spacing w:after="0" w:line="242" w:lineRule="auto"/>
        <w:rPr>
          <w:sz w:val="20"/>
          <w:szCs w:val="20"/>
          <w:color w:val="auto"/>
        </w:rPr>
      </w:pPr>
      <w:r>
        <w:rPr>
          <w:rFonts w:ascii="Arial" w:cs="Arial" w:eastAsia="Arial" w:hAnsi="Arial"/>
          <w:sz w:val="17"/>
          <w:szCs w:val="17"/>
          <w:color w:val="auto"/>
        </w:rPr>
        <w:t>Supplemental information of unaudited pro forma operating results assuming the QRC Technologies acquisition had been consummated as of the beginning of fiscal year 2018 (December 30, 2017) (in thousands) is as follows: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72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57"/>
        </w:trPr>
        <w:tc>
          <w:tcPr>
            <w:tcW w:w="9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2"/>
          </w:tcPr>
          <w:p>
            <w:pPr>
              <w:ind w:left="240"/>
              <w:spacing w:after="0" w:line="157" w:lineRule="exact"/>
              <w:rPr>
                <w:sz w:val="20"/>
                <w:szCs w:val="20"/>
                <w:color w:val="auto"/>
              </w:rPr>
            </w:pPr>
            <w:r>
              <w:rPr>
                <w:rFonts w:ascii="Arial" w:cs="Arial" w:eastAsia="Arial" w:hAnsi="Arial"/>
                <w:sz w:val="14"/>
                <w:szCs w:val="14"/>
                <w:b w:val="1"/>
                <w:bCs w:val="1"/>
                <w:color w:val="auto"/>
              </w:rPr>
              <w:t>(unaudited)</w:t>
            </w:r>
          </w:p>
        </w:tc>
      </w:tr>
      <w:tr>
        <w:trPr>
          <w:trHeight w:val="203"/>
        </w:trPr>
        <w:tc>
          <w:tcPr>
            <w:tcW w:w="9260" w:type="dxa"/>
            <w:vAlign w:val="bottom"/>
            <w:shd w:val="clear" w:color="auto" w:fill="CFF0FC"/>
          </w:tcPr>
          <w:p>
            <w:pPr>
              <w:spacing w:after="0"/>
              <w:rPr>
                <w:sz w:val="20"/>
                <w:szCs w:val="20"/>
                <w:color w:val="auto"/>
              </w:rPr>
            </w:pPr>
            <w:r>
              <w:rPr>
                <w:rFonts w:ascii="Arial" w:cs="Arial" w:eastAsia="Arial" w:hAnsi="Arial"/>
                <w:sz w:val="17"/>
                <w:szCs w:val="17"/>
                <w:color w:val="auto"/>
              </w:rPr>
              <w:t>Pro forma Revenue</w:t>
            </w:r>
          </w:p>
        </w:tc>
        <w:tc>
          <w:tcPr>
            <w:tcW w:w="320" w:type="dxa"/>
            <w:vAlign w:val="bottom"/>
            <w:shd w:val="clear" w:color="auto" w:fill="CFF0FC"/>
          </w:tcPr>
          <w:p>
            <w:pPr>
              <w:jc w:val="right"/>
              <w:ind w:right="136"/>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3,976,361</w:t>
            </w:r>
          </w:p>
        </w:tc>
        <w:tc>
          <w:tcPr>
            <w:tcW w:w="100" w:type="dxa"/>
            <w:vAlign w:val="bottom"/>
            <w:shd w:val="clear" w:color="auto" w:fill="CFF0FC"/>
          </w:tcPr>
          <w:p>
            <w:pPr>
              <w:spacing w:after="0"/>
              <w:rPr>
                <w:sz w:val="17"/>
                <w:szCs w:val="17"/>
                <w:color w:val="auto"/>
              </w:rPr>
            </w:pPr>
          </w:p>
        </w:tc>
      </w:tr>
      <w:tr>
        <w:trPr>
          <w:trHeight w:val="215"/>
        </w:trPr>
        <w:tc>
          <w:tcPr>
            <w:tcW w:w="9260" w:type="dxa"/>
            <w:vAlign w:val="bottom"/>
          </w:tcPr>
          <w:p>
            <w:pPr>
              <w:spacing w:after="0"/>
              <w:rPr>
                <w:sz w:val="20"/>
                <w:szCs w:val="20"/>
                <w:color w:val="auto"/>
              </w:rPr>
            </w:pPr>
            <w:r>
              <w:rPr>
                <w:rFonts w:ascii="Arial" w:cs="Arial" w:eastAsia="Arial" w:hAnsi="Arial"/>
                <w:sz w:val="17"/>
                <w:szCs w:val="17"/>
                <w:color w:val="auto"/>
              </w:rPr>
              <w:t>Pro forma Net Income including noncontrolling interests</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138,692</w:t>
            </w:r>
          </w:p>
        </w:tc>
        <w:tc>
          <w:tcPr>
            <w:tcW w:w="100" w:type="dxa"/>
            <w:vAlign w:val="bottom"/>
          </w:tcPr>
          <w:p>
            <w:pPr>
              <w:spacing w:after="0"/>
              <w:rPr>
                <w:sz w:val="18"/>
                <w:szCs w:val="18"/>
                <w:color w:val="auto"/>
              </w:rPr>
            </w:pPr>
          </w:p>
        </w:tc>
      </w:tr>
    </w:tbl>
    <w:p>
      <w:pPr>
        <w:spacing w:after="0" w:line="89" w:lineRule="exact"/>
        <w:rPr>
          <w:sz w:val="20"/>
          <w:szCs w:val="20"/>
          <w:color w:val="auto"/>
        </w:rPr>
      </w:pPr>
    </w:p>
    <w:p>
      <w:pPr>
        <w:ind w:right="40" w:firstLine="589"/>
        <w:spacing w:after="0" w:line="236" w:lineRule="auto"/>
        <w:rPr>
          <w:sz w:val="20"/>
          <w:szCs w:val="20"/>
          <w:color w:val="auto"/>
        </w:rPr>
      </w:pPr>
      <w:r>
        <w:rPr>
          <w:rFonts w:ascii="Arial" w:cs="Arial" w:eastAsia="Arial" w:hAnsi="Arial"/>
          <w:sz w:val="17"/>
          <w:szCs w:val="17"/>
          <w:color w:val="auto"/>
        </w:rPr>
        <w:t>The unaudited pro forma supplemental information is based on estimates and assumptions which the Company believes are reasonable and reflects the pro forma impact of additional amortization related to the fair value of acquired intangible assets, the pro forma impact of reflecting acquisition costs, which consisted of legal, advisory and due diligence fees and expenses, and the additional pro forma interest expense related to the borrowings under the credit agreement as of the assumed acquisition date.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OGSystems</w:t>
      </w:r>
    </w:p>
    <w:p>
      <w:pPr>
        <w:spacing w:after="0" w:line="116" w:lineRule="exact"/>
        <w:rPr>
          <w:sz w:val="20"/>
          <w:szCs w:val="20"/>
          <w:color w:val="auto"/>
        </w:rPr>
      </w:pPr>
    </w:p>
    <w:p>
      <w:pPr>
        <w:ind w:right="80" w:firstLine="589"/>
        <w:spacing w:after="0" w:line="235" w:lineRule="auto"/>
        <w:rPr>
          <w:sz w:val="20"/>
          <w:szCs w:val="20"/>
          <w:color w:val="auto"/>
        </w:rPr>
      </w:pPr>
      <w:r>
        <w:rPr>
          <w:rFonts w:ascii="Arial" w:cs="Arial" w:eastAsia="Arial" w:hAnsi="Arial"/>
          <w:sz w:val="17"/>
          <w:szCs w:val="17"/>
          <w:color w:val="auto"/>
        </w:rPr>
        <w:t>On January 7, 2019, the Company acquired a 100% ownership interest in OGSystems, a privately-owned company, for $292.4 million paid in cash. OGSystems provides geospatial intelligence, big data analytics and threat mitigation for defense and intelligence customers. The Company borrowed $110 million under the Credit Agreement and $150 million on a short-term loan, as described in “Note 12—</w:t>
      </w:r>
      <w:r>
        <w:rPr>
          <w:rFonts w:ascii="Arial" w:cs="Arial" w:eastAsia="Arial" w:hAnsi="Arial"/>
          <w:sz w:val="17"/>
          <w:szCs w:val="17"/>
          <w:i w:val="1"/>
          <w:iCs w:val="1"/>
          <w:color w:val="auto"/>
        </w:rPr>
        <w:t>Debt and Credit Facilities</w:t>
      </w:r>
      <w:r>
        <w:rPr>
          <w:rFonts w:ascii="Arial" w:cs="Arial" w:eastAsia="Arial" w:hAnsi="Arial"/>
          <w:sz w:val="17"/>
          <w:szCs w:val="17"/>
          <w:color w:val="auto"/>
        </w:rPr>
        <w:t>,” to partially fund the acquisition. In connection with this acquisition, the Company recognized $5.4 million of acquisition-related expenses in “Selling, general and administrative expense” in the consolidated statements of income for the year ended December 31, 2019, including legal fees, consulting fees, and other miscellaneous direct expenses associated with the acquisition. OGSystems enhances the Company’s artificial intelligence and data analytics expertise with new technologies and solutions. Customers of both companies will benefit from existing, complementary technologies and increased scale, enabling end-to-end solutions under the shared vision of rapid prototyping and agile development.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20" w:firstLine="589"/>
        <w:spacing w:after="0" w:line="242" w:lineRule="auto"/>
        <w:rPr>
          <w:sz w:val="20"/>
          <w:szCs w:val="20"/>
          <w:color w:val="auto"/>
        </w:rPr>
      </w:pPr>
      <w:r>
        <w:rPr>
          <w:rFonts w:ascii="Arial" w:cs="Arial" w:eastAsia="Arial" w:hAnsi="Arial"/>
          <w:sz w:val="17"/>
          <w:szCs w:val="17"/>
          <w:color w:val="auto"/>
        </w:rPr>
        <w:t>The following table summarizes the estimated fair values of the assets acquired and liabilities assumed based on the purchase price allocation as of the date of acquisition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Amount</w:t>
            </w:r>
          </w:p>
        </w:tc>
      </w:tr>
      <w:tr>
        <w:trPr>
          <w:trHeight w:val="196"/>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380" w:type="dxa"/>
            <w:vAlign w:val="bottom"/>
            <w:tcBorders>
              <w:top w:val="single" w:sz="8" w:color="auto"/>
            </w:tcBorders>
            <w:shd w:val="clear" w:color="auto" w:fill="CFF0FC"/>
          </w:tcPr>
          <w:p>
            <w:pPr>
              <w:jc w:val="right"/>
              <w:ind w:right="196"/>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5,772</w:t>
            </w: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9260" w:type="dxa"/>
            <w:vAlign w:val="bottom"/>
          </w:tcPr>
          <w:p>
            <w:pPr>
              <w:spacing w:after="0"/>
              <w:rPr>
                <w:sz w:val="20"/>
                <w:szCs w:val="20"/>
                <w:color w:val="auto"/>
              </w:rPr>
            </w:pPr>
            <w:r>
              <w:rPr>
                <w:rFonts w:ascii="Arial" w:cs="Arial" w:eastAsia="Arial" w:hAnsi="Arial"/>
                <w:sz w:val="17"/>
                <w:szCs w:val="17"/>
                <w:color w:val="auto"/>
              </w:rPr>
              <w:t>Accounts receivable</w:t>
            </w:r>
          </w:p>
        </w:tc>
        <w:tc>
          <w:tcPr>
            <w:tcW w:w="3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9,904</w:t>
            </w:r>
          </w:p>
        </w:tc>
        <w:tc>
          <w:tcPr>
            <w:tcW w:w="100" w:type="dxa"/>
            <w:vAlign w:val="bottom"/>
          </w:tcPr>
          <w:p>
            <w:pPr>
              <w:spacing w:after="0"/>
              <w:rPr>
                <w:sz w:val="17"/>
                <w:szCs w:val="17"/>
                <w:color w:val="auto"/>
              </w:rPr>
            </w:pPr>
          </w:p>
        </w:tc>
      </w:tr>
      <w:tr>
        <w:trPr>
          <w:trHeight w:val="203"/>
        </w:trPr>
        <w:tc>
          <w:tcPr>
            <w:tcW w:w="9260" w:type="dxa"/>
            <w:vAlign w:val="bottom"/>
            <w:shd w:val="clear" w:color="auto" w:fill="CFF0FC"/>
          </w:tcPr>
          <w:p>
            <w:pPr>
              <w:spacing w:after="0"/>
              <w:rPr>
                <w:sz w:val="20"/>
                <w:szCs w:val="20"/>
                <w:color w:val="auto"/>
              </w:rPr>
            </w:pPr>
            <w:r>
              <w:rPr>
                <w:rFonts w:ascii="Arial" w:cs="Arial" w:eastAsia="Arial" w:hAnsi="Arial"/>
                <w:sz w:val="17"/>
                <w:szCs w:val="17"/>
                <w:color w:val="auto"/>
              </w:rPr>
              <w:t>Contract assets</w:t>
            </w:r>
          </w:p>
        </w:tc>
        <w:tc>
          <w:tcPr>
            <w:tcW w:w="3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9,747</w:t>
            </w:r>
          </w:p>
        </w:tc>
        <w:tc>
          <w:tcPr>
            <w:tcW w:w="100" w:type="dxa"/>
            <w:vAlign w:val="bottom"/>
            <w:shd w:val="clear" w:color="auto" w:fill="CFF0FC"/>
          </w:tcPr>
          <w:p>
            <w:pPr>
              <w:spacing w:after="0"/>
              <w:rPr>
                <w:sz w:val="17"/>
                <w:szCs w:val="17"/>
                <w:color w:val="auto"/>
              </w:rPr>
            </w:pPr>
          </w:p>
        </w:tc>
      </w:tr>
      <w:tr>
        <w:trPr>
          <w:trHeight w:val="203"/>
        </w:trPr>
        <w:tc>
          <w:tcPr>
            <w:tcW w:w="9260" w:type="dxa"/>
            <w:vAlign w:val="bottom"/>
          </w:tcPr>
          <w:p>
            <w:pPr>
              <w:spacing w:after="0"/>
              <w:rPr>
                <w:sz w:val="20"/>
                <w:szCs w:val="20"/>
                <w:color w:val="auto"/>
              </w:rPr>
            </w:pPr>
            <w:r>
              <w:rPr>
                <w:rFonts w:ascii="Arial" w:cs="Arial" w:eastAsia="Arial" w:hAnsi="Arial"/>
                <w:sz w:val="17"/>
                <w:szCs w:val="17"/>
                <w:color w:val="auto"/>
              </w:rPr>
              <w:t>Prepaid expenses and other current assets</w:t>
            </w:r>
          </w:p>
        </w:tc>
        <w:tc>
          <w:tcPr>
            <w:tcW w:w="3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4,307</w:t>
            </w:r>
          </w:p>
        </w:tc>
        <w:tc>
          <w:tcPr>
            <w:tcW w:w="100" w:type="dxa"/>
            <w:vAlign w:val="bottom"/>
          </w:tcPr>
          <w:p>
            <w:pPr>
              <w:spacing w:after="0"/>
              <w:rPr>
                <w:sz w:val="17"/>
                <w:szCs w:val="17"/>
                <w:color w:val="auto"/>
              </w:rPr>
            </w:pPr>
          </w:p>
        </w:tc>
      </w:tr>
      <w:tr>
        <w:trPr>
          <w:trHeight w:val="203"/>
        </w:trPr>
        <w:tc>
          <w:tcPr>
            <w:tcW w:w="9260" w:type="dxa"/>
            <w:vAlign w:val="bottom"/>
            <w:shd w:val="clear" w:color="auto" w:fill="CFF0FC"/>
          </w:tcPr>
          <w:p>
            <w:pPr>
              <w:spacing w:after="0"/>
              <w:rPr>
                <w:sz w:val="20"/>
                <w:szCs w:val="20"/>
                <w:color w:val="auto"/>
              </w:rPr>
            </w:pPr>
            <w:r>
              <w:rPr>
                <w:rFonts w:ascii="Arial" w:cs="Arial" w:eastAsia="Arial" w:hAnsi="Arial"/>
                <w:sz w:val="17"/>
                <w:szCs w:val="17"/>
                <w:color w:val="auto"/>
              </w:rPr>
              <w:t>Property and equipment</w:t>
            </w:r>
          </w:p>
        </w:tc>
        <w:tc>
          <w:tcPr>
            <w:tcW w:w="3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4,085</w:t>
            </w:r>
          </w:p>
        </w:tc>
        <w:tc>
          <w:tcPr>
            <w:tcW w:w="100" w:type="dxa"/>
            <w:vAlign w:val="bottom"/>
            <w:shd w:val="clear" w:color="auto" w:fill="CFF0FC"/>
          </w:tcPr>
          <w:p>
            <w:pPr>
              <w:spacing w:after="0"/>
              <w:rPr>
                <w:sz w:val="17"/>
                <w:szCs w:val="17"/>
                <w:color w:val="auto"/>
              </w:rPr>
            </w:pPr>
          </w:p>
        </w:tc>
      </w:tr>
      <w:tr>
        <w:trPr>
          <w:trHeight w:val="203"/>
        </w:trPr>
        <w:tc>
          <w:tcPr>
            <w:tcW w:w="9260" w:type="dxa"/>
            <w:vAlign w:val="bottom"/>
          </w:tcPr>
          <w:p>
            <w:pPr>
              <w:spacing w:after="0"/>
              <w:rPr>
                <w:sz w:val="20"/>
                <w:szCs w:val="20"/>
                <w:color w:val="auto"/>
              </w:rPr>
            </w:pPr>
            <w:r>
              <w:rPr>
                <w:rFonts w:ascii="Arial" w:cs="Arial" w:eastAsia="Arial" w:hAnsi="Arial"/>
                <w:sz w:val="17"/>
                <w:szCs w:val="17"/>
                <w:color w:val="auto"/>
              </w:rPr>
              <w:t>Right of use assets, operating leases</w:t>
            </w:r>
          </w:p>
        </w:tc>
        <w:tc>
          <w:tcPr>
            <w:tcW w:w="3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8,826</w:t>
            </w:r>
          </w:p>
        </w:tc>
        <w:tc>
          <w:tcPr>
            <w:tcW w:w="100" w:type="dxa"/>
            <w:vAlign w:val="bottom"/>
          </w:tcPr>
          <w:p>
            <w:pPr>
              <w:spacing w:after="0"/>
              <w:rPr>
                <w:sz w:val="17"/>
                <w:szCs w:val="17"/>
                <w:color w:val="auto"/>
              </w:rPr>
            </w:pPr>
          </w:p>
        </w:tc>
      </w:tr>
      <w:tr>
        <w:trPr>
          <w:trHeight w:val="203"/>
        </w:trPr>
        <w:tc>
          <w:tcPr>
            <w:tcW w:w="9260" w:type="dxa"/>
            <w:vAlign w:val="bottom"/>
            <w:shd w:val="clear" w:color="auto" w:fill="CFF0FC"/>
          </w:tcPr>
          <w:p>
            <w:pPr>
              <w:spacing w:after="0"/>
              <w:rPr>
                <w:sz w:val="20"/>
                <w:szCs w:val="20"/>
                <w:color w:val="auto"/>
              </w:rPr>
            </w:pPr>
            <w:r>
              <w:rPr>
                <w:rFonts w:ascii="Arial" w:cs="Arial" w:eastAsia="Arial" w:hAnsi="Arial"/>
                <w:sz w:val="17"/>
                <w:szCs w:val="17"/>
                <w:color w:val="auto"/>
              </w:rPr>
              <w:t>Goodwill</w:t>
            </w:r>
          </w:p>
        </w:tc>
        <w:tc>
          <w:tcPr>
            <w:tcW w:w="3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183,540</w:t>
            </w:r>
          </w:p>
        </w:tc>
        <w:tc>
          <w:tcPr>
            <w:tcW w:w="100" w:type="dxa"/>
            <w:vAlign w:val="bottom"/>
            <w:shd w:val="clear" w:color="auto" w:fill="CFF0FC"/>
          </w:tcPr>
          <w:p>
            <w:pPr>
              <w:spacing w:after="0"/>
              <w:rPr>
                <w:sz w:val="17"/>
                <w:szCs w:val="17"/>
                <w:color w:val="auto"/>
              </w:rPr>
            </w:pPr>
          </w:p>
        </w:tc>
      </w:tr>
      <w:tr>
        <w:trPr>
          <w:trHeight w:val="203"/>
        </w:trPr>
        <w:tc>
          <w:tcPr>
            <w:tcW w:w="9260" w:type="dxa"/>
            <w:vAlign w:val="bottom"/>
          </w:tcPr>
          <w:p>
            <w:pPr>
              <w:spacing w:after="0"/>
              <w:rPr>
                <w:sz w:val="20"/>
                <w:szCs w:val="20"/>
                <w:color w:val="auto"/>
              </w:rPr>
            </w:pPr>
            <w:r>
              <w:rPr>
                <w:rFonts w:ascii="Arial" w:cs="Arial" w:eastAsia="Arial" w:hAnsi="Arial"/>
                <w:sz w:val="17"/>
                <w:szCs w:val="17"/>
                <w:color w:val="auto"/>
              </w:rPr>
              <w:t>Intangible assets</w:t>
            </w:r>
          </w:p>
        </w:tc>
        <w:tc>
          <w:tcPr>
            <w:tcW w:w="3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92,300</w:t>
            </w:r>
          </w:p>
        </w:tc>
        <w:tc>
          <w:tcPr>
            <w:tcW w:w="100" w:type="dxa"/>
            <w:vAlign w:val="bottom"/>
          </w:tcPr>
          <w:p>
            <w:pPr>
              <w:spacing w:after="0"/>
              <w:rPr>
                <w:sz w:val="17"/>
                <w:szCs w:val="17"/>
                <w:color w:val="auto"/>
              </w:rPr>
            </w:pPr>
          </w:p>
        </w:tc>
      </w:tr>
      <w:tr>
        <w:trPr>
          <w:trHeight w:val="203"/>
        </w:trPr>
        <w:tc>
          <w:tcPr>
            <w:tcW w:w="9260" w:type="dxa"/>
            <w:vAlign w:val="bottom"/>
            <w:shd w:val="clear" w:color="auto" w:fill="CFF0FC"/>
          </w:tcPr>
          <w:p>
            <w:pPr>
              <w:spacing w:after="0"/>
              <w:rPr>
                <w:sz w:val="20"/>
                <w:szCs w:val="20"/>
                <w:color w:val="auto"/>
              </w:rPr>
            </w:pPr>
            <w:r>
              <w:rPr>
                <w:rFonts w:ascii="Arial" w:cs="Arial" w:eastAsia="Arial" w:hAnsi="Arial"/>
                <w:sz w:val="17"/>
                <w:szCs w:val="17"/>
                <w:color w:val="auto"/>
              </w:rPr>
              <w:t>Other noncurrent assets</w:t>
            </w:r>
          </w:p>
        </w:tc>
        <w:tc>
          <w:tcPr>
            <w:tcW w:w="3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FF0FC"/>
          </w:tcPr>
          <w:p>
            <w:pPr>
              <w:spacing w:after="0"/>
              <w:rPr>
                <w:sz w:val="17"/>
                <w:szCs w:val="17"/>
                <w:color w:val="auto"/>
              </w:rPr>
            </w:pPr>
          </w:p>
        </w:tc>
      </w:tr>
      <w:tr>
        <w:trPr>
          <w:trHeight w:val="203"/>
        </w:trPr>
        <w:tc>
          <w:tcPr>
            <w:tcW w:w="9260" w:type="dxa"/>
            <w:vAlign w:val="bottom"/>
          </w:tcPr>
          <w:p>
            <w:pPr>
              <w:spacing w:after="0"/>
              <w:rPr>
                <w:sz w:val="20"/>
                <w:szCs w:val="20"/>
                <w:color w:val="auto"/>
              </w:rPr>
            </w:pPr>
            <w:r>
              <w:rPr>
                <w:rFonts w:ascii="Arial" w:cs="Arial" w:eastAsia="Arial" w:hAnsi="Arial"/>
                <w:sz w:val="17"/>
                <w:szCs w:val="17"/>
                <w:color w:val="auto"/>
              </w:rPr>
              <w:t>Accounts payable</w:t>
            </w:r>
          </w:p>
        </w:tc>
        <w:tc>
          <w:tcPr>
            <w:tcW w:w="380" w:type="dxa"/>
            <w:vAlign w:val="bottom"/>
          </w:tcPr>
          <w:p>
            <w:pPr>
              <w:spacing w:after="0"/>
              <w:rPr>
                <w:sz w:val="17"/>
                <w:szCs w:val="17"/>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7"/>
                <w:szCs w:val="17"/>
                <w:color w:val="auto"/>
              </w:rPr>
              <w:t>(5,450)</w:t>
            </w:r>
          </w:p>
        </w:tc>
      </w:tr>
      <w:tr>
        <w:trPr>
          <w:trHeight w:val="203"/>
        </w:trPr>
        <w:tc>
          <w:tcPr>
            <w:tcW w:w="9260" w:type="dxa"/>
            <w:vAlign w:val="bottom"/>
            <w:shd w:val="clear" w:color="auto" w:fill="CFF0FC"/>
          </w:tcPr>
          <w:p>
            <w:pPr>
              <w:spacing w:after="0"/>
              <w:rPr>
                <w:sz w:val="20"/>
                <w:szCs w:val="20"/>
                <w:color w:val="auto"/>
              </w:rPr>
            </w:pPr>
            <w:r>
              <w:rPr>
                <w:rFonts w:ascii="Arial" w:cs="Arial" w:eastAsia="Arial" w:hAnsi="Arial"/>
                <w:sz w:val="17"/>
                <w:szCs w:val="17"/>
                <w:color w:val="auto"/>
              </w:rPr>
              <w:t>Accrued expenses and other current liabilities</w:t>
            </w:r>
          </w:p>
        </w:tc>
        <w:tc>
          <w:tcPr>
            <w:tcW w:w="3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(7,147)</w:t>
            </w:r>
          </w:p>
        </w:tc>
      </w:tr>
      <w:tr>
        <w:trPr>
          <w:trHeight w:val="203"/>
        </w:trPr>
        <w:tc>
          <w:tcPr>
            <w:tcW w:w="9260" w:type="dxa"/>
            <w:vAlign w:val="bottom"/>
          </w:tcPr>
          <w:p>
            <w:pPr>
              <w:spacing w:after="0"/>
              <w:rPr>
                <w:sz w:val="20"/>
                <w:szCs w:val="20"/>
                <w:color w:val="auto"/>
              </w:rPr>
            </w:pPr>
            <w:r>
              <w:rPr>
                <w:rFonts w:ascii="Arial" w:cs="Arial" w:eastAsia="Arial" w:hAnsi="Arial"/>
                <w:sz w:val="17"/>
                <w:szCs w:val="17"/>
                <w:color w:val="auto"/>
              </w:rPr>
              <w:t>Contract liabilities</w:t>
            </w:r>
          </w:p>
        </w:tc>
        <w:tc>
          <w:tcPr>
            <w:tcW w:w="380" w:type="dxa"/>
            <w:vAlign w:val="bottom"/>
          </w:tcPr>
          <w:p>
            <w:pPr>
              <w:spacing w:after="0"/>
              <w:rPr>
                <w:sz w:val="17"/>
                <w:szCs w:val="17"/>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7"/>
                <w:szCs w:val="17"/>
                <w:color w:val="auto"/>
              </w:rPr>
              <w:t>(1,300)</w:t>
            </w:r>
          </w:p>
        </w:tc>
      </w:tr>
      <w:tr>
        <w:trPr>
          <w:trHeight w:val="203"/>
        </w:trPr>
        <w:tc>
          <w:tcPr>
            <w:tcW w:w="9260" w:type="dxa"/>
            <w:vAlign w:val="bottom"/>
            <w:shd w:val="clear" w:color="auto" w:fill="CFF0FC"/>
          </w:tcPr>
          <w:p>
            <w:pPr>
              <w:spacing w:after="0"/>
              <w:rPr>
                <w:sz w:val="20"/>
                <w:szCs w:val="20"/>
                <w:color w:val="auto"/>
              </w:rPr>
            </w:pPr>
            <w:r>
              <w:rPr>
                <w:rFonts w:ascii="Arial" w:cs="Arial" w:eastAsia="Arial" w:hAnsi="Arial"/>
                <w:sz w:val="17"/>
                <w:szCs w:val="17"/>
                <w:color w:val="auto"/>
              </w:rPr>
              <w:t>Short-term lease liabilities, operating leases</w:t>
            </w:r>
          </w:p>
        </w:tc>
        <w:tc>
          <w:tcPr>
            <w:tcW w:w="3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(805)</w:t>
            </w:r>
          </w:p>
        </w:tc>
      </w:tr>
      <w:tr>
        <w:trPr>
          <w:trHeight w:val="203"/>
        </w:trPr>
        <w:tc>
          <w:tcPr>
            <w:tcW w:w="9260" w:type="dxa"/>
            <w:vAlign w:val="bottom"/>
          </w:tcPr>
          <w:p>
            <w:pPr>
              <w:spacing w:after="0"/>
              <w:rPr>
                <w:sz w:val="20"/>
                <w:szCs w:val="20"/>
                <w:color w:val="auto"/>
              </w:rPr>
            </w:pPr>
            <w:r>
              <w:rPr>
                <w:rFonts w:ascii="Arial" w:cs="Arial" w:eastAsia="Arial" w:hAnsi="Arial"/>
                <w:sz w:val="17"/>
                <w:szCs w:val="17"/>
                <w:color w:val="auto"/>
              </w:rPr>
              <w:t>Income tax payable</w:t>
            </w:r>
          </w:p>
        </w:tc>
        <w:tc>
          <w:tcPr>
            <w:tcW w:w="380" w:type="dxa"/>
            <w:vAlign w:val="bottom"/>
          </w:tcPr>
          <w:p>
            <w:pPr>
              <w:spacing w:after="0"/>
              <w:rPr>
                <w:sz w:val="17"/>
                <w:szCs w:val="17"/>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7"/>
                <w:szCs w:val="17"/>
                <w:color w:val="auto"/>
              </w:rPr>
              <w:t>(1,178)</w:t>
            </w:r>
          </w:p>
        </w:tc>
      </w:tr>
      <w:tr>
        <w:trPr>
          <w:trHeight w:val="203"/>
        </w:trPr>
        <w:tc>
          <w:tcPr>
            <w:tcW w:w="9260" w:type="dxa"/>
            <w:vAlign w:val="bottom"/>
            <w:shd w:val="clear" w:color="auto" w:fill="CFF0FC"/>
          </w:tcPr>
          <w:p>
            <w:pPr>
              <w:spacing w:after="0"/>
              <w:rPr>
                <w:sz w:val="20"/>
                <w:szCs w:val="20"/>
                <w:color w:val="auto"/>
              </w:rPr>
            </w:pPr>
            <w:r>
              <w:rPr>
                <w:rFonts w:ascii="Arial" w:cs="Arial" w:eastAsia="Arial" w:hAnsi="Arial"/>
                <w:sz w:val="17"/>
                <w:szCs w:val="17"/>
                <w:color w:val="auto"/>
              </w:rPr>
              <w:t>Deferred tax liabilities</w:t>
            </w:r>
          </w:p>
        </w:tc>
        <w:tc>
          <w:tcPr>
            <w:tcW w:w="3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(1,195)</w:t>
            </w:r>
          </w:p>
        </w:tc>
      </w:tr>
      <w:tr>
        <w:trPr>
          <w:trHeight w:val="203"/>
        </w:trPr>
        <w:tc>
          <w:tcPr>
            <w:tcW w:w="9260" w:type="dxa"/>
            <w:vAlign w:val="bottom"/>
          </w:tcPr>
          <w:p>
            <w:pPr>
              <w:spacing w:after="0"/>
              <w:rPr>
                <w:sz w:val="20"/>
                <w:szCs w:val="20"/>
                <w:color w:val="auto"/>
              </w:rPr>
            </w:pPr>
            <w:r>
              <w:rPr>
                <w:rFonts w:ascii="Arial" w:cs="Arial" w:eastAsia="Arial" w:hAnsi="Arial"/>
                <w:sz w:val="17"/>
                <w:szCs w:val="17"/>
                <w:color w:val="auto"/>
              </w:rPr>
              <w:t>Long-term lease liabilities, operating leases</w:t>
            </w:r>
          </w:p>
        </w:tc>
        <w:tc>
          <w:tcPr>
            <w:tcW w:w="380" w:type="dxa"/>
            <w:vAlign w:val="bottom"/>
          </w:tcPr>
          <w:p>
            <w:pPr>
              <w:spacing w:after="0"/>
              <w:rPr>
                <w:sz w:val="17"/>
                <w:szCs w:val="17"/>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7"/>
                <w:szCs w:val="17"/>
                <w:color w:val="auto"/>
              </w:rPr>
              <w:t>(8,021)</w:t>
            </w:r>
          </w:p>
        </w:tc>
      </w:tr>
      <w:tr>
        <w:trPr>
          <w:trHeight w:val="203"/>
        </w:trPr>
        <w:tc>
          <w:tcPr>
            <w:tcW w:w="9260" w:type="dxa"/>
            <w:vAlign w:val="bottom"/>
            <w:shd w:val="clear" w:color="auto" w:fill="CFF0FC"/>
          </w:tcPr>
          <w:p>
            <w:pPr>
              <w:spacing w:after="0"/>
              <w:rPr>
                <w:sz w:val="20"/>
                <w:szCs w:val="20"/>
                <w:color w:val="auto"/>
              </w:rPr>
            </w:pPr>
            <w:r>
              <w:rPr>
                <w:rFonts w:ascii="Arial" w:cs="Arial" w:eastAsia="Arial" w:hAnsi="Arial"/>
                <w:sz w:val="17"/>
                <w:szCs w:val="17"/>
                <w:color w:val="auto"/>
              </w:rPr>
              <w:t>Other long-term liabilities</w:t>
            </w:r>
          </w:p>
        </w:tc>
        <w:tc>
          <w:tcPr>
            <w:tcW w:w="3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(1,015)</w:t>
            </w:r>
          </w:p>
        </w:tc>
      </w:tr>
      <w:tr>
        <w:trPr>
          <w:trHeight w:val="196"/>
        </w:trPr>
        <w:tc>
          <w:tcPr>
            <w:tcW w:w="9260" w:type="dxa"/>
            <w:vAlign w:val="bottom"/>
          </w:tcPr>
          <w:p>
            <w:pPr>
              <w:ind w:left="240"/>
              <w:spacing w:after="0"/>
              <w:rPr>
                <w:sz w:val="20"/>
                <w:szCs w:val="20"/>
                <w:color w:val="auto"/>
              </w:rPr>
            </w:pPr>
            <w:r>
              <w:rPr>
                <w:rFonts w:ascii="Arial" w:cs="Arial" w:eastAsia="Arial" w:hAnsi="Arial"/>
                <w:sz w:val="17"/>
                <w:szCs w:val="17"/>
                <w:color w:val="auto"/>
              </w:rPr>
              <w:t>Net assets acquired</w:t>
            </w: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292,380</w:t>
            </w:r>
          </w:p>
        </w:tc>
        <w:tc>
          <w:tcPr>
            <w:tcW w:w="100" w:type="dxa"/>
            <w:vAlign w:val="bottom"/>
          </w:tcPr>
          <w:p>
            <w:pPr>
              <w:spacing w:after="0"/>
              <w:rPr>
                <w:sz w:val="17"/>
                <w:szCs w:val="17"/>
                <w:color w:val="auto"/>
              </w:rPr>
            </w:pPr>
          </w:p>
        </w:tc>
      </w:tr>
      <w:tr>
        <w:trPr>
          <w:trHeight w:val="20"/>
        </w:trPr>
        <w:tc>
          <w:tcPr>
            <w:tcW w:w="9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Of the total purchase price, the following values were assigned to intangible assets (in thousands, except for years):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Gross</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2"/>
        </w:trPr>
        <w:tc>
          <w:tcPr>
            <w:tcW w:w="48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2"/>
          </w:tcPr>
          <w:p>
            <w:pPr>
              <w:jc w:val="center"/>
              <w:ind w:right="580"/>
              <w:spacing w:after="0" w:line="152" w:lineRule="exact"/>
              <w:rPr>
                <w:sz w:val="20"/>
                <w:szCs w:val="20"/>
                <w:color w:val="auto"/>
              </w:rPr>
            </w:pPr>
            <w:r>
              <w:rPr>
                <w:rFonts w:ascii="Arial" w:cs="Arial" w:eastAsia="Arial" w:hAnsi="Arial"/>
                <w:sz w:val="14"/>
                <w:szCs w:val="14"/>
                <w:b w:val="1"/>
                <w:bCs w:val="1"/>
                <w:color w:val="auto"/>
                <w:w w:val="93"/>
              </w:rPr>
              <w:t>Carrying</w:t>
            </w:r>
          </w:p>
        </w:tc>
        <w:tc>
          <w:tcPr>
            <w:tcW w:w="1660" w:type="dxa"/>
            <w:vAlign w:val="bottom"/>
            <w:gridSpan w:val="2"/>
          </w:tcPr>
          <w:p>
            <w:pPr>
              <w:jc w:val="center"/>
              <w:ind w:right="120"/>
              <w:spacing w:after="0" w:line="152" w:lineRule="exact"/>
              <w:rPr>
                <w:sz w:val="20"/>
                <w:szCs w:val="20"/>
                <w:color w:val="auto"/>
              </w:rPr>
            </w:pPr>
            <w:r>
              <w:rPr>
                <w:rFonts w:ascii="Arial" w:cs="Arial" w:eastAsia="Arial" w:hAnsi="Arial"/>
                <w:sz w:val="14"/>
                <w:szCs w:val="14"/>
                <w:b w:val="1"/>
                <w:bCs w:val="1"/>
                <w:color w:val="auto"/>
                <w:w w:val="95"/>
              </w:rPr>
              <w:t>Amortization</w:t>
            </w:r>
          </w:p>
        </w:tc>
      </w:tr>
      <w:tr>
        <w:trPr>
          <w:trHeight w:val="164"/>
        </w:trPr>
        <w:tc>
          <w:tcPr>
            <w:tcW w:w="48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100" w:type="dxa"/>
            <w:vAlign w:val="bottom"/>
          </w:tcPr>
          <w:p>
            <w:pPr>
              <w:spacing w:after="0"/>
              <w:rPr>
                <w:sz w:val="14"/>
                <w:szCs w:val="14"/>
                <w:color w:val="auto"/>
              </w:rPr>
            </w:pPr>
          </w:p>
        </w:tc>
      </w:tr>
      <w:tr>
        <w:trPr>
          <w:trHeight w:val="157"/>
        </w:trPr>
        <w:tc>
          <w:tcPr>
            <w:tcW w:w="48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6"/>
              </w:rPr>
              <w:t>(in years)</w:t>
            </w:r>
          </w:p>
        </w:tc>
      </w:tr>
      <w:tr>
        <w:trPr>
          <w:trHeight w:val="203"/>
        </w:trPr>
        <w:tc>
          <w:tcPr>
            <w:tcW w:w="4840" w:type="dxa"/>
            <w:vAlign w:val="bottom"/>
            <w:shd w:val="clear" w:color="auto" w:fill="CFF0FC"/>
          </w:tcPr>
          <w:p>
            <w:pPr>
              <w:spacing w:after="0"/>
              <w:rPr>
                <w:sz w:val="20"/>
                <w:szCs w:val="20"/>
                <w:color w:val="auto"/>
              </w:rPr>
            </w:pPr>
            <w:r>
              <w:rPr>
                <w:rFonts w:ascii="Arial" w:cs="Arial" w:eastAsia="Arial" w:hAnsi="Arial"/>
                <w:sz w:val="17"/>
                <w:szCs w:val="17"/>
                <w:color w:val="auto"/>
              </w:rPr>
              <w:t>Customer relationships</w:t>
            </w:r>
          </w:p>
        </w:tc>
        <w:tc>
          <w:tcPr>
            <w:tcW w:w="31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57,100</w:t>
            </w:r>
          </w:p>
        </w:tc>
        <w:tc>
          <w:tcPr>
            <w:tcW w:w="2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FF0FC"/>
          </w:tcPr>
          <w:p>
            <w:pPr>
              <w:spacing w:after="0"/>
              <w:rPr>
                <w:sz w:val="17"/>
                <w:szCs w:val="17"/>
                <w:color w:val="auto"/>
              </w:rPr>
            </w:pPr>
          </w:p>
        </w:tc>
      </w:tr>
      <w:tr>
        <w:trPr>
          <w:trHeight w:val="203"/>
        </w:trPr>
        <w:tc>
          <w:tcPr>
            <w:tcW w:w="4840" w:type="dxa"/>
            <w:vAlign w:val="bottom"/>
          </w:tcPr>
          <w:p>
            <w:pPr>
              <w:spacing w:after="0"/>
              <w:rPr>
                <w:sz w:val="20"/>
                <w:szCs w:val="20"/>
                <w:color w:val="auto"/>
              </w:rPr>
            </w:pPr>
            <w:r>
              <w:rPr>
                <w:rFonts w:ascii="Arial" w:cs="Arial" w:eastAsia="Arial" w:hAnsi="Arial"/>
                <w:sz w:val="17"/>
                <w:szCs w:val="17"/>
                <w:color w:val="auto"/>
              </w:rPr>
              <w:t>Backlog</w:t>
            </w:r>
          </w:p>
        </w:tc>
        <w:tc>
          <w:tcPr>
            <w:tcW w:w="2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27,700</w:t>
            </w:r>
          </w:p>
        </w:tc>
        <w:tc>
          <w:tcPr>
            <w:tcW w:w="2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r>
      <w:tr>
        <w:trPr>
          <w:trHeight w:val="203"/>
        </w:trPr>
        <w:tc>
          <w:tcPr>
            <w:tcW w:w="4840" w:type="dxa"/>
            <w:vAlign w:val="bottom"/>
            <w:shd w:val="clear" w:color="auto" w:fill="CFF0FC"/>
          </w:tcPr>
          <w:p>
            <w:pPr>
              <w:spacing w:after="0"/>
              <w:rPr>
                <w:sz w:val="20"/>
                <w:szCs w:val="20"/>
                <w:color w:val="auto"/>
              </w:rPr>
            </w:pPr>
            <w:r>
              <w:rPr>
                <w:rFonts w:ascii="Arial" w:cs="Arial" w:eastAsia="Arial" w:hAnsi="Arial"/>
                <w:sz w:val="17"/>
                <w:szCs w:val="17"/>
                <w:color w:val="auto"/>
              </w:rPr>
              <w:t>Trade name</w:t>
            </w:r>
          </w:p>
        </w:tc>
        <w:tc>
          <w:tcPr>
            <w:tcW w:w="2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3,800</w:t>
            </w:r>
          </w:p>
        </w:tc>
        <w:tc>
          <w:tcPr>
            <w:tcW w:w="2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7"/>
                <w:szCs w:val="17"/>
                <w:color w:val="auto"/>
              </w:rPr>
            </w:pPr>
          </w:p>
        </w:tc>
      </w:tr>
      <w:tr>
        <w:trPr>
          <w:trHeight w:val="203"/>
        </w:trPr>
        <w:tc>
          <w:tcPr>
            <w:tcW w:w="4840" w:type="dxa"/>
            <w:vAlign w:val="bottom"/>
          </w:tcPr>
          <w:p>
            <w:pPr>
              <w:spacing w:after="0"/>
              <w:rPr>
                <w:sz w:val="20"/>
                <w:szCs w:val="20"/>
                <w:color w:val="auto"/>
              </w:rPr>
            </w:pPr>
            <w:r>
              <w:rPr>
                <w:rFonts w:ascii="Arial" w:cs="Arial" w:eastAsia="Arial" w:hAnsi="Arial"/>
                <w:sz w:val="17"/>
                <w:szCs w:val="17"/>
                <w:color w:val="auto"/>
              </w:rPr>
              <w:t>Non-compete agreements</w:t>
            </w:r>
          </w:p>
        </w:tc>
        <w:tc>
          <w:tcPr>
            <w:tcW w:w="2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2,400</w:t>
            </w:r>
          </w:p>
        </w:tc>
        <w:tc>
          <w:tcPr>
            <w:tcW w:w="2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r>
      <w:tr>
        <w:trPr>
          <w:trHeight w:val="203"/>
        </w:trPr>
        <w:tc>
          <w:tcPr>
            <w:tcW w:w="4840" w:type="dxa"/>
            <w:vAlign w:val="bottom"/>
            <w:shd w:val="clear" w:color="auto" w:fill="CFF0FC"/>
          </w:tcPr>
          <w:p>
            <w:pPr>
              <w:spacing w:after="0"/>
              <w:rPr>
                <w:sz w:val="20"/>
                <w:szCs w:val="20"/>
                <w:color w:val="auto"/>
              </w:rPr>
            </w:pPr>
            <w:r>
              <w:rPr>
                <w:rFonts w:ascii="Arial" w:cs="Arial" w:eastAsia="Arial" w:hAnsi="Arial"/>
                <w:sz w:val="17"/>
                <w:szCs w:val="17"/>
                <w:color w:val="auto"/>
              </w:rPr>
              <w:t>Developed technologies</w:t>
            </w:r>
          </w:p>
        </w:tc>
        <w:tc>
          <w:tcPr>
            <w:tcW w:w="31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1,300</w:t>
            </w:r>
          </w:p>
        </w:tc>
        <w:tc>
          <w:tcPr>
            <w:tcW w:w="2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7"/>
                <w:szCs w:val="17"/>
                <w:color w:val="auto"/>
              </w:rPr>
            </w:pPr>
          </w:p>
        </w:tc>
      </w:tr>
    </w:tbl>
    <w:p>
      <w:pPr>
        <w:spacing w:after="0" w:line="200" w:lineRule="exact"/>
        <w:rPr>
          <w:sz w:val="20"/>
          <w:szCs w:val="20"/>
          <w:color w:val="auto"/>
        </w:rPr>
      </w:pPr>
    </w:p>
    <w:p>
      <w:pPr>
        <w:spacing w:after="0" w:line="230" w:lineRule="exact"/>
        <w:rPr>
          <w:sz w:val="20"/>
          <w:szCs w:val="20"/>
          <w:color w:val="auto"/>
        </w:rPr>
      </w:pPr>
    </w:p>
    <w:p>
      <w:pPr>
        <w:jc w:val="both"/>
        <w:ind w:right="320" w:firstLine="589"/>
        <w:spacing w:after="0" w:line="238" w:lineRule="auto"/>
        <w:rPr>
          <w:sz w:val="20"/>
          <w:szCs w:val="20"/>
          <w:color w:val="auto"/>
        </w:rPr>
      </w:pPr>
      <w:r>
        <w:rPr>
          <w:rFonts w:ascii="Arial" w:cs="Arial" w:eastAsia="Arial" w:hAnsi="Arial"/>
          <w:sz w:val="17"/>
          <w:szCs w:val="17"/>
          <w:color w:val="auto"/>
        </w:rPr>
        <w:t>Amortization expense of $21.9 million and $23.8 million related to these intangible assets was recorded for the years ended December 31, 2021 and December 31, 2020, respectively. The entire value of goodwill of $183.5 million was assigned to the Federal Solutions reporting unit and represents synergies expected to be realized from this business combination. Goodwill of $16 million is deductible for tax purposes.</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amount of revenue generated by OGSystems and included within consolidated revenues for the year ended December 31, 2019 was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$143.4 million. The Company has determined that the presentation of net income from the date of acquisition is impracticable due to the integration of</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general corporate functions upon acquisition.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Supplemental Pro Forma Information (Unaudited)</w:t>
      </w:r>
    </w:p>
    <w:p>
      <w:pPr>
        <w:spacing w:after="0" w:line="116" w:lineRule="exact"/>
        <w:rPr>
          <w:sz w:val="20"/>
          <w:szCs w:val="20"/>
          <w:color w:val="auto"/>
        </w:rPr>
      </w:pPr>
    </w:p>
    <w:p>
      <w:pPr>
        <w:ind w:right="280" w:firstLine="589"/>
        <w:spacing w:after="0" w:line="242" w:lineRule="auto"/>
        <w:rPr>
          <w:sz w:val="20"/>
          <w:szCs w:val="20"/>
          <w:color w:val="auto"/>
        </w:rPr>
      </w:pPr>
      <w:r>
        <w:rPr>
          <w:rFonts w:ascii="Arial" w:cs="Arial" w:eastAsia="Arial" w:hAnsi="Arial"/>
          <w:sz w:val="17"/>
          <w:szCs w:val="17"/>
          <w:color w:val="auto"/>
        </w:rPr>
        <w:t>Supplemental information of unaudited pro forma operating results assuming the OGSystems acquisition had been consummated as of the beginning of fiscal year 2018 (December 30, 2017) (in thousands) is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72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57"/>
        </w:trPr>
        <w:tc>
          <w:tcPr>
            <w:tcW w:w="9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2"/>
          </w:tcPr>
          <w:p>
            <w:pPr>
              <w:ind w:left="240"/>
              <w:spacing w:after="0" w:line="157" w:lineRule="exact"/>
              <w:rPr>
                <w:sz w:val="20"/>
                <w:szCs w:val="20"/>
                <w:color w:val="auto"/>
              </w:rPr>
            </w:pPr>
            <w:r>
              <w:rPr>
                <w:rFonts w:ascii="Arial" w:cs="Arial" w:eastAsia="Arial" w:hAnsi="Arial"/>
                <w:sz w:val="14"/>
                <w:szCs w:val="14"/>
                <w:b w:val="1"/>
                <w:bCs w:val="1"/>
                <w:color w:val="auto"/>
              </w:rPr>
              <w:t>(unaudited)</w:t>
            </w:r>
          </w:p>
        </w:tc>
      </w:tr>
      <w:tr>
        <w:trPr>
          <w:trHeight w:val="203"/>
        </w:trPr>
        <w:tc>
          <w:tcPr>
            <w:tcW w:w="9260" w:type="dxa"/>
            <w:vAlign w:val="bottom"/>
            <w:shd w:val="clear" w:color="auto" w:fill="CFF0FC"/>
          </w:tcPr>
          <w:p>
            <w:pPr>
              <w:spacing w:after="0"/>
              <w:rPr>
                <w:sz w:val="20"/>
                <w:szCs w:val="20"/>
                <w:color w:val="auto"/>
              </w:rPr>
            </w:pPr>
            <w:r>
              <w:rPr>
                <w:rFonts w:ascii="Arial" w:cs="Arial" w:eastAsia="Arial" w:hAnsi="Arial"/>
                <w:sz w:val="17"/>
                <w:szCs w:val="17"/>
                <w:color w:val="auto"/>
              </w:rPr>
              <w:t>Pro forma Revenue</w:t>
            </w:r>
          </w:p>
        </w:tc>
        <w:tc>
          <w:tcPr>
            <w:tcW w:w="320" w:type="dxa"/>
            <w:vAlign w:val="bottom"/>
            <w:shd w:val="clear" w:color="auto" w:fill="CFF0FC"/>
          </w:tcPr>
          <w:p>
            <w:pPr>
              <w:jc w:val="right"/>
              <w:ind w:right="136"/>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3,956,767</w:t>
            </w:r>
          </w:p>
        </w:tc>
        <w:tc>
          <w:tcPr>
            <w:tcW w:w="100" w:type="dxa"/>
            <w:vAlign w:val="bottom"/>
            <w:shd w:val="clear" w:color="auto" w:fill="CFF0FC"/>
          </w:tcPr>
          <w:p>
            <w:pPr>
              <w:spacing w:after="0"/>
              <w:rPr>
                <w:sz w:val="17"/>
                <w:szCs w:val="17"/>
                <w:color w:val="auto"/>
              </w:rPr>
            </w:pPr>
          </w:p>
        </w:tc>
      </w:tr>
      <w:tr>
        <w:trPr>
          <w:trHeight w:val="215"/>
        </w:trPr>
        <w:tc>
          <w:tcPr>
            <w:tcW w:w="9260" w:type="dxa"/>
            <w:vAlign w:val="bottom"/>
          </w:tcPr>
          <w:p>
            <w:pPr>
              <w:spacing w:after="0"/>
              <w:rPr>
                <w:sz w:val="20"/>
                <w:szCs w:val="20"/>
                <w:color w:val="auto"/>
              </w:rPr>
            </w:pPr>
            <w:r>
              <w:rPr>
                <w:rFonts w:ascii="Arial" w:cs="Arial" w:eastAsia="Arial" w:hAnsi="Arial"/>
                <w:sz w:val="17"/>
                <w:szCs w:val="17"/>
                <w:color w:val="auto"/>
              </w:rPr>
              <w:t>Pro forma Net Income including noncontrolling interests</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134,046</w:t>
            </w:r>
          </w:p>
        </w:tc>
        <w:tc>
          <w:tcPr>
            <w:tcW w:w="100" w:type="dxa"/>
            <w:vAlign w:val="bottom"/>
          </w:tcPr>
          <w:p>
            <w:pPr>
              <w:spacing w:after="0"/>
              <w:rPr>
                <w:sz w:val="18"/>
                <w:szCs w:val="18"/>
                <w:color w:val="auto"/>
              </w:rPr>
            </w:pPr>
          </w:p>
        </w:tc>
      </w:tr>
    </w:tbl>
    <w:p>
      <w:pPr>
        <w:spacing w:after="0" w:line="190" w:lineRule="exact"/>
        <w:rPr>
          <w:sz w:val="20"/>
          <w:szCs w:val="20"/>
          <w:color w:val="auto"/>
        </w:rPr>
      </w:pPr>
    </w:p>
    <w:p>
      <w:pPr>
        <w:ind w:right="40" w:firstLine="589"/>
        <w:spacing w:after="0" w:line="236" w:lineRule="auto"/>
        <w:rPr>
          <w:sz w:val="20"/>
          <w:szCs w:val="20"/>
          <w:color w:val="auto"/>
        </w:rPr>
      </w:pPr>
      <w:r>
        <w:rPr>
          <w:rFonts w:ascii="Arial" w:cs="Arial" w:eastAsia="Arial" w:hAnsi="Arial"/>
          <w:sz w:val="17"/>
          <w:szCs w:val="17"/>
          <w:color w:val="auto"/>
        </w:rPr>
        <w:t>The unaudited pro forma supplemental information is based on estimates and assumptions which the Company believes are reasonable and reflects the pro forma impact of additional amortization related to the fair value of acquired intangible assets, the pro forma impact of reflecting acquisition costs, which consisted of legal, advisory and due diligence fees and expenses, and the additional pro forma interest expense related to the borrowings under the credit agreement as of the assumed acquisition date.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285" w:lineRule="exact"/>
        <w:rPr>
          <w:sz w:val="20"/>
          <w:szCs w:val="20"/>
          <w:color w:val="auto"/>
        </w:rPr>
      </w:pPr>
    </w:p>
    <w:p>
      <w:pPr>
        <w:ind w:left="600" w:right="8460" w:hanging="599"/>
        <w:spacing w:after="0" w:line="393" w:lineRule="auto"/>
        <w:tabs>
          <w:tab w:leader="none" w:pos="594"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Contracts with Customers </w:t>
      </w:r>
      <w:r>
        <w:rPr>
          <w:rFonts w:ascii="Arial" w:cs="Arial" w:eastAsia="Arial" w:hAnsi="Arial"/>
          <w:sz w:val="16"/>
          <w:szCs w:val="16"/>
          <w:b w:val="1"/>
          <w:bCs w:val="1"/>
          <w:i w:val="1"/>
          <w:iCs w:val="1"/>
          <w:color w:val="auto"/>
        </w:rPr>
        <w:t>Disaggregation of Revenue</w:t>
      </w:r>
    </w:p>
    <w:p>
      <w:pPr>
        <w:spacing w:after="0" w:line="1" w:lineRule="exact"/>
        <w:rPr>
          <w:sz w:val="20"/>
          <w:szCs w:val="20"/>
          <w:color w:val="auto"/>
        </w:rPr>
      </w:pPr>
    </w:p>
    <w:p>
      <w:pPr>
        <w:ind w:right="560" w:firstLine="589"/>
        <w:spacing w:after="0" w:line="242" w:lineRule="auto"/>
        <w:rPr>
          <w:sz w:val="20"/>
          <w:szCs w:val="20"/>
          <w:color w:val="auto"/>
        </w:rPr>
      </w:pPr>
      <w:r>
        <w:rPr>
          <w:rFonts w:ascii="Arial" w:cs="Arial" w:eastAsia="Arial" w:hAnsi="Arial"/>
          <w:sz w:val="17"/>
          <w:szCs w:val="17"/>
          <w:color w:val="auto"/>
        </w:rPr>
        <w:t>The Company’s contracts contain both fixed price and cost reimbursable components. Contract types are based on the component that represents the majority of the contract. The following table presents revenue disaggregated by contract type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64"/>
        </w:trPr>
        <w:tc>
          <w:tcPr>
            <w:tcW w:w="5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58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jc w:val="right"/>
              <w:ind w:right="60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jc w:val="right"/>
              <w:ind w:right="60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203"/>
        </w:trPr>
        <w:tc>
          <w:tcPr>
            <w:tcW w:w="5760" w:type="dxa"/>
            <w:vAlign w:val="bottom"/>
            <w:shd w:val="clear" w:color="auto" w:fill="CFF0FC"/>
          </w:tcPr>
          <w:p>
            <w:pPr>
              <w:spacing w:after="0"/>
              <w:rPr>
                <w:sz w:val="20"/>
                <w:szCs w:val="20"/>
                <w:color w:val="auto"/>
              </w:rPr>
            </w:pPr>
            <w:r>
              <w:rPr>
                <w:rFonts w:ascii="Arial" w:cs="Arial" w:eastAsia="Arial" w:hAnsi="Arial"/>
                <w:sz w:val="17"/>
                <w:szCs w:val="17"/>
                <w:color w:val="auto"/>
              </w:rPr>
              <w:t>Cost plus</w:t>
            </w: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1,674,276</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56"/>
              <w:spacing w:after="0"/>
              <w:rPr>
                <w:sz w:val="20"/>
                <w:szCs w:val="20"/>
                <w:color w:val="auto"/>
              </w:rPr>
            </w:pPr>
            <w:r>
              <w:rPr>
                <w:rFonts w:ascii="Arial" w:cs="Arial" w:eastAsia="Arial" w:hAnsi="Arial"/>
                <w:sz w:val="17"/>
                <w:szCs w:val="17"/>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1,631,140</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56"/>
              <w:spacing w:after="0"/>
              <w:rPr>
                <w:sz w:val="20"/>
                <w:szCs w:val="20"/>
                <w:color w:val="auto"/>
              </w:rPr>
            </w:pPr>
            <w:r>
              <w:rPr>
                <w:rFonts w:ascii="Arial" w:cs="Arial" w:eastAsia="Arial" w:hAnsi="Arial"/>
                <w:sz w:val="17"/>
                <w:szCs w:val="17"/>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1,705,832</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rPr>
                <w:sz w:val="20"/>
                <w:szCs w:val="20"/>
                <w:color w:val="auto"/>
              </w:rPr>
            </w:pPr>
            <w:r>
              <w:rPr>
                <w:rFonts w:ascii="Arial" w:cs="Arial" w:eastAsia="Arial" w:hAnsi="Arial"/>
                <w:sz w:val="17"/>
                <w:szCs w:val="17"/>
                <w:color w:val="auto"/>
              </w:rPr>
              <w:t>Time-and-Materials</w:t>
            </w: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1,021,568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1,034,596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1,074,037</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rPr>
                <w:sz w:val="20"/>
                <w:szCs w:val="20"/>
                <w:color w:val="auto"/>
              </w:rPr>
            </w:pPr>
            <w:r>
              <w:rPr>
                <w:rFonts w:ascii="Arial" w:cs="Arial" w:eastAsia="Arial" w:hAnsi="Arial"/>
                <w:sz w:val="17"/>
                <w:szCs w:val="17"/>
                <w:color w:val="auto"/>
              </w:rPr>
              <w:t>Fixed price</w:t>
            </w:r>
          </w:p>
        </w:tc>
        <w:tc>
          <w:tcPr>
            <w:tcW w:w="2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964,927</w:t>
            </w:r>
          </w:p>
        </w:tc>
        <w:tc>
          <w:tcPr>
            <w:tcW w:w="10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1,253,210</w:t>
            </w:r>
          </w:p>
        </w:tc>
        <w:tc>
          <w:tcPr>
            <w:tcW w:w="10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1,174,943</w:t>
            </w:r>
          </w:p>
        </w:tc>
        <w:tc>
          <w:tcPr>
            <w:tcW w:w="100" w:type="dxa"/>
            <w:vAlign w:val="bottom"/>
            <w:shd w:val="clear" w:color="auto" w:fill="CFF0FC"/>
          </w:tcPr>
          <w:p>
            <w:pPr>
              <w:spacing w:after="0"/>
              <w:rPr>
                <w:sz w:val="17"/>
                <w:szCs w:val="17"/>
                <w:color w:val="auto"/>
              </w:rPr>
            </w:pPr>
          </w:p>
        </w:tc>
      </w:tr>
      <w:tr>
        <w:trPr>
          <w:trHeight w:val="196"/>
        </w:trPr>
        <w:tc>
          <w:tcPr>
            <w:tcW w:w="5760" w:type="dxa"/>
            <w:vAlign w:val="bottom"/>
          </w:tcPr>
          <w:p>
            <w:pPr>
              <w:ind w:left="24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3,660,771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3,918,946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3,954,812</w:t>
            </w:r>
          </w:p>
        </w:tc>
        <w:tc>
          <w:tcPr>
            <w:tcW w:w="100" w:type="dxa"/>
            <w:vAlign w:val="bottom"/>
          </w:tcPr>
          <w:p>
            <w:pPr>
              <w:spacing w:after="0"/>
              <w:rPr>
                <w:sz w:val="17"/>
                <w:szCs w:val="17"/>
                <w:color w:val="auto"/>
              </w:rPr>
            </w:pPr>
          </w:p>
        </w:tc>
      </w:tr>
    </w:tbl>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Refer to “Note 21—</w:t>
      </w:r>
      <w:r>
        <w:rPr>
          <w:rFonts w:ascii="Arial" w:cs="Arial" w:eastAsia="Arial" w:hAnsi="Arial"/>
          <w:sz w:val="17"/>
          <w:szCs w:val="17"/>
          <w:i w:val="1"/>
          <w:iCs w:val="1"/>
          <w:color w:val="auto"/>
        </w:rPr>
        <w:t>Segments Information</w:t>
      </w:r>
      <w:r>
        <w:rPr>
          <w:rFonts w:ascii="Arial" w:cs="Arial" w:eastAsia="Arial" w:hAnsi="Arial"/>
          <w:sz w:val="17"/>
          <w:szCs w:val="17"/>
          <w:color w:val="auto"/>
        </w:rPr>
        <w:t>” for the Company’s revenues by business lines.</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Contract Assets and Contract Liabilities</w:t>
      </w:r>
    </w:p>
    <w:p>
      <w:pPr>
        <w:spacing w:after="0" w:line="11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Contract assets and contract liabilities balances at December 31, 2021 and December 31, 2020 were as follows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720" w:type="dxa"/>
            <w:vAlign w:val="bottom"/>
            <w:tcBorders>
              <w:bottom w:val="single" w:sz="8" w:color="CFF0FC"/>
            </w:tcBorders>
          </w:tcPr>
          <w:p>
            <w:pPr>
              <w:spacing w:after="0"/>
              <w:rPr>
                <w:sz w:val="14"/>
                <w:szCs w:val="14"/>
                <w:color w:val="auto"/>
              </w:rPr>
            </w:pPr>
          </w:p>
        </w:tc>
        <w:tc>
          <w:tcPr>
            <w:tcW w:w="1240" w:type="dxa"/>
            <w:vAlign w:val="bottom"/>
            <w:tcBorders>
              <w:bottom w:val="single" w:sz="8" w:color="CFF0FC"/>
            </w:tcBorders>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December 31, 2021</w:t>
            </w:r>
          </w:p>
        </w:tc>
        <w:tc>
          <w:tcPr>
            <w:tcW w:w="220" w:type="dxa"/>
            <w:vAlign w:val="bottom"/>
            <w:tcBorders>
              <w:bottom w:val="single" w:sz="8" w:color="CFF0FC"/>
            </w:tcBorders>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December 31, 2020</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4"/>
                <w:szCs w:val="14"/>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 change</w:t>
            </w:r>
          </w:p>
        </w:tc>
        <w:tc>
          <w:tcPr>
            <w:tcW w:w="160" w:type="dxa"/>
            <w:vAlign w:val="bottom"/>
            <w:tcBorders>
              <w:bottom w:val="single" w:sz="8" w:color="CFF0FC"/>
            </w:tcBorders>
          </w:tcPr>
          <w:p>
            <w:pPr>
              <w:spacing w:after="0"/>
              <w:rPr>
                <w:sz w:val="14"/>
                <w:szCs w:val="14"/>
                <w:color w:val="auto"/>
              </w:rPr>
            </w:pPr>
          </w:p>
        </w:tc>
      </w:tr>
      <w:tr>
        <w:trPr>
          <w:trHeight w:val="196"/>
        </w:trPr>
        <w:tc>
          <w:tcPr>
            <w:tcW w:w="3720" w:type="dxa"/>
            <w:vAlign w:val="bottom"/>
            <w:shd w:val="clear" w:color="auto" w:fill="CFF0FC"/>
          </w:tcPr>
          <w:p>
            <w:pPr>
              <w:spacing w:after="0"/>
              <w:rPr>
                <w:sz w:val="20"/>
                <w:szCs w:val="20"/>
                <w:color w:val="auto"/>
              </w:rPr>
            </w:pPr>
            <w:r>
              <w:rPr>
                <w:rFonts w:ascii="Arial" w:cs="Arial" w:eastAsia="Arial" w:hAnsi="Arial"/>
                <w:sz w:val="17"/>
                <w:szCs w:val="17"/>
                <w:color w:val="auto"/>
              </w:rPr>
              <w:t>Contract assets</w:t>
            </w:r>
          </w:p>
        </w:tc>
        <w:tc>
          <w:tcPr>
            <w:tcW w:w="1660" w:type="dxa"/>
            <w:vAlign w:val="bottom"/>
            <w:gridSpan w:val="2"/>
            <w:shd w:val="clear" w:color="auto" w:fill="CFF0FC"/>
          </w:tcPr>
          <w:p>
            <w:pPr>
              <w:jc w:val="right"/>
              <w:ind w:right="252"/>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579,216</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41"/>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576,568</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2,648</w:t>
            </w:r>
          </w:p>
        </w:tc>
        <w:tc>
          <w:tcPr>
            <w:tcW w:w="2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0.5%</w:t>
            </w:r>
          </w:p>
        </w:tc>
      </w:tr>
      <w:tr>
        <w:trPr>
          <w:trHeight w:val="203"/>
        </w:trPr>
        <w:tc>
          <w:tcPr>
            <w:tcW w:w="3720" w:type="dxa"/>
            <w:vAlign w:val="bottom"/>
          </w:tcPr>
          <w:p>
            <w:pPr>
              <w:spacing w:after="0"/>
              <w:rPr>
                <w:sz w:val="20"/>
                <w:szCs w:val="20"/>
                <w:color w:val="auto"/>
              </w:rPr>
            </w:pPr>
            <w:r>
              <w:rPr>
                <w:rFonts w:ascii="Arial" w:cs="Arial" w:eastAsia="Arial" w:hAnsi="Arial"/>
                <w:sz w:val="17"/>
                <w:szCs w:val="17"/>
                <w:color w:val="auto"/>
              </w:rPr>
              <w:t>Contract liabilities</w:t>
            </w: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171,671</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201,864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(30,193)</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-15.0%</w:t>
            </w:r>
          </w:p>
        </w:tc>
      </w:tr>
      <w:tr>
        <w:trPr>
          <w:trHeight w:val="20"/>
        </w:trPr>
        <w:tc>
          <w:tcPr>
            <w:tcW w:w="372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r>
        <w:trPr>
          <w:trHeight w:val="196"/>
        </w:trPr>
        <w:tc>
          <w:tcPr>
            <w:tcW w:w="3720" w:type="dxa"/>
            <w:vAlign w:val="bottom"/>
            <w:shd w:val="clear" w:color="auto" w:fill="CFF0FC"/>
          </w:tcPr>
          <w:p>
            <w:pPr>
              <w:spacing w:after="0"/>
              <w:rPr>
                <w:sz w:val="20"/>
                <w:szCs w:val="20"/>
                <w:color w:val="auto"/>
              </w:rPr>
            </w:pPr>
            <w:r>
              <w:rPr>
                <w:rFonts w:ascii="Arial" w:cs="Arial" w:eastAsia="Arial" w:hAnsi="Arial"/>
                <w:sz w:val="17"/>
                <w:szCs w:val="17"/>
                <w:color w:val="auto"/>
              </w:rPr>
              <w:t>Net contract assets (liabilities) (1)</w:t>
            </w:r>
          </w:p>
        </w:tc>
        <w:tc>
          <w:tcPr>
            <w:tcW w:w="1660" w:type="dxa"/>
            <w:vAlign w:val="bottom"/>
            <w:gridSpan w:val="2"/>
            <w:shd w:val="clear" w:color="auto" w:fill="CFF0FC"/>
          </w:tcPr>
          <w:p>
            <w:pPr>
              <w:jc w:val="right"/>
              <w:ind w:right="252"/>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407,545</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41"/>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374,704</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32,841</w:t>
            </w:r>
          </w:p>
        </w:tc>
        <w:tc>
          <w:tcPr>
            <w:tcW w:w="2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8.8%</w:t>
            </w:r>
          </w:p>
        </w:tc>
      </w:tr>
      <w:tr>
        <w:trPr>
          <w:trHeight w:val="20"/>
        </w:trPr>
        <w:tc>
          <w:tcPr>
            <w:tcW w:w="372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r>
    </w:tbl>
    <w:p>
      <w:pPr>
        <w:spacing w:after="0" w:line="227" w:lineRule="exact"/>
        <w:rPr>
          <w:sz w:val="20"/>
          <w:szCs w:val="20"/>
          <w:color w:val="auto"/>
        </w:rPr>
      </w:pPr>
    </w:p>
    <w:p>
      <w:pPr>
        <w:ind w:left="580" w:right="100" w:hanging="579"/>
        <w:spacing w:after="0" w:line="233" w:lineRule="auto"/>
        <w:tabs>
          <w:tab w:leader="none" w:pos="5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Total contract retentions included in net contract assets (liabilities) were $91.7 million as of December 31, 2021, of which $44.9 million are not expected to be paid in 2022. Total contract retentions included in net contract assets (liabilities) were $93.8 million as of December 31,</w:t>
      </w:r>
    </w:p>
    <w:p>
      <w:pPr>
        <w:ind w:left="580" w:right="300"/>
        <w:spacing w:after="0" w:line="237" w:lineRule="auto"/>
        <w:rPr>
          <w:rFonts w:ascii="Arial" w:cs="Arial" w:eastAsia="Arial" w:hAnsi="Arial"/>
          <w:sz w:val="17"/>
          <w:szCs w:val="17"/>
          <w:color w:val="auto"/>
        </w:rPr>
      </w:pPr>
      <w:r>
        <w:rPr>
          <w:rFonts w:ascii="Arial" w:cs="Arial" w:eastAsia="Arial" w:hAnsi="Arial"/>
          <w:sz w:val="17"/>
          <w:szCs w:val="17"/>
          <w:color w:val="auto"/>
        </w:rPr>
        <w:t>2020. Contract assets at December 31, 2021 and December 31, 2020 include approximately $98.6 million and $116.6 million, respectively, related to unapproved change orders, claims, and requests for equitable adjustment. For the years ended December 31, 2021 and December 31, 2020, no material losses were recognized related to the collectability of claims, unapproved change orders, and requests for equitable adjustment.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160" w:firstLine="589"/>
        <w:spacing w:after="0" w:line="238" w:lineRule="auto"/>
        <w:rPr>
          <w:sz w:val="20"/>
          <w:szCs w:val="20"/>
          <w:color w:val="auto"/>
        </w:rPr>
      </w:pPr>
      <w:r>
        <w:rPr>
          <w:rFonts w:ascii="Arial" w:cs="Arial" w:eastAsia="Arial" w:hAnsi="Arial"/>
          <w:sz w:val="17"/>
          <w:szCs w:val="17"/>
          <w:color w:val="auto"/>
        </w:rPr>
        <w:t>During the years ended December 31, 2021 and December 31, 2020, the Company recognized revenue of approximately $102.5 million and $137.4 million, respectively, that was included in the corresponding contract liability balance at December 31, 2020 and December 31, 2019, respectively. Certain changes in contract assets and contract liabilities consisted of the following: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74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CFF0FC"/>
            </w:tcBorders>
          </w:tcPr>
          <w:p>
            <w:pPr>
              <w:spacing w:after="0"/>
              <w:rPr>
                <w:sz w:val="14"/>
                <w:szCs w:val="14"/>
                <w:color w:val="auto"/>
              </w:rPr>
            </w:pPr>
          </w:p>
        </w:tc>
      </w:tr>
      <w:tr>
        <w:trPr>
          <w:trHeight w:val="196"/>
        </w:trPr>
        <w:tc>
          <w:tcPr>
            <w:tcW w:w="6740" w:type="dxa"/>
            <w:vAlign w:val="bottom"/>
            <w:shd w:val="clear" w:color="auto" w:fill="CFF0FC"/>
          </w:tcPr>
          <w:p>
            <w:pPr>
              <w:spacing w:after="0"/>
              <w:rPr>
                <w:sz w:val="20"/>
                <w:szCs w:val="20"/>
                <w:color w:val="auto"/>
              </w:rPr>
            </w:pPr>
            <w:r>
              <w:rPr>
                <w:rFonts w:ascii="Arial" w:cs="Arial" w:eastAsia="Arial" w:hAnsi="Arial"/>
                <w:sz w:val="17"/>
                <w:szCs w:val="17"/>
                <w:color w:val="auto"/>
              </w:rPr>
              <w:t>Acquired contract assets</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5,979</w:t>
            </w: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8,350</w:t>
            </w:r>
          </w:p>
        </w:tc>
        <w:tc>
          <w:tcPr>
            <w:tcW w:w="100" w:type="dxa"/>
            <w:vAlign w:val="bottom"/>
            <w:shd w:val="clear" w:color="auto" w:fill="CFF0FC"/>
          </w:tcPr>
          <w:p>
            <w:pPr>
              <w:spacing w:after="0"/>
              <w:rPr>
                <w:sz w:val="17"/>
                <w:szCs w:val="17"/>
                <w:color w:val="auto"/>
              </w:rPr>
            </w:pPr>
          </w:p>
        </w:tc>
      </w:tr>
      <w:tr>
        <w:trPr>
          <w:trHeight w:val="215"/>
        </w:trPr>
        <w:tc>
          <w:tcPr>
            <w:tcW w:w="6740" w:type="dxa"/>
            <w:vAlign w:val="bottom"/>
          </w:tcPr>
          <w:p>
            <w:pPr>
              <w:spacing w:after="0"/>
              <w:rPr>
                <w:sz w:val="20"/>
                <w:szCs w:val="20"/>
                <w:color w:val="auto"/>
              </w:rPr>
            </w:pPr>
            <w:r>
              <w:rPr>
                <w:rFonts w:ascii="Arial" w:cs="Arial" w:eastAsia="Arial" w:hAnsi="Arial"/>
                <w:sz w:val="17"/>
                <w:szCs w:val="17"/>
                <w:color w:val="auto"/>
              </w:rPr>
              <w:t>Acquired contract liabilities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320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300</w:t>
            </w:r>
          </w:p>
        </w:tc>
        <w:tc>
          <w:tcPr>
            <w:tcW w:w="100" w:type="dxa"/>
            <w:vAlign w:val="bottom"/>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There was no significant impairment of contract assets recognized during the years ended December 31, 2021 and December 31, 2020.</w:t>
      </w:r>
    </w:p>
    <w:p>
      <w:pPr>
        <w:spacing w:after="0" w:line="210" w:lineRule="exact"/>
        <w:rPr>
          <w:sz w:val="20"/>
          <w:szCs w:val="20"/>
          <w:color w:val="auto"/>
        </w:rPr>
      </w:pPr>
    </w:p>
    <w:p>
      <w:pPr>
        <w:ind w:right="320" w:firstLine="589"/>
        <w:spacing w:after="0" w:line="242" w:lineRule="auto"/>
        <w:rPr>
          <w:sz w:val="20"/>
          <w:szCs w:val="20"/>
          <w:color w:val="auto"/>
        </w:rPr>
      </w:pPr>
      <w:r>
        <w:rPr>
          <w:rFonts w:ascii="Arial" w:cs="Arial" w:eastAsia="Arial" w:hAnsi="Arial"/>
          <w:sz w:val="17"/>
          <w:szCs w:val="17"/>
          <w:color w:val="auto"/>
        </w:rPr>
        <w:t>Revisions in estimates, such as changes in estimated claims or incentives, related to performance obligations partially satisfied in previous periods that individually had an impact of $5 million or more on revenue resulted in the following changes in revenue: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660" w:type="dxa"/>
            <w:vAlign w:val="bottom"/>
          </w:tcPr>
          <w:p>
            <w:pPr>
              <w:spacing w:after="0"/>
              <w:rPr>
                <w:sz w:val="14"/>
                <w:szCs w:val="14"/>
                <w:color w:val="auto"/>
              </w:rPr>
            </w:pPr>
          </w:p>
        </w:tc>
        <w:tc>
          <w:tcPr>
            <w:tcW w:w="31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780" w:type="dxa"/>
            <w:vAlign w:val="bottom"/>
          </w:tcPr>
          <w:p>
            <w:pPr>
              <w:spacing w:after="0"/>
              <w:rPr>
                <w:sz w:val="14"/>
                <w:szCs w:val="14"/>
                <w:color w:val="auto"/>
              </w:rPr>
            </w:pPr>
          </w:p>
        </w:tc>
        <w:tc>
          <w:tcPr>
            <w:tcW w:w="1160" w:type="dxa"/>
            <w:vAlign w:val="bottom"/>
          </w:tcPr>
          <w:p>
            <w:pPr>
              <w:jc w:val="right"/>
              <w:ind w:right="44"/>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tcPr>
          <w:p>
            <w:pPr>
              <w:jc w:val="right"/>
              <w:ind w:right="704"/>
              <w:spacing w:after="0"/>
              <w:rPr>
                <w:sz w:val="20"/>
                <w:szCs w:val="20"/>
                <w:color w:val="auto"/>
              </w:rPr>
            </w:pPr>
            <w:r>
              <w:rPr>
                <w:rFonts w:ascii="Arial" w:cs="Arial" w:eastAsia="Arial" w:hAnsi="Arial"/>
                <w:sz w:val="14"/>
                <w:szCs w:val="14"/>
                <w:b w:val="1"/>
                <w:bCs w:val="1"/>
                <w:color w:val="auto"/>
              </w:rPr>
              <w:t>2019</w:t>
            </w:r>
          </w:p>
        </w:tc>
      </w:tr>
      <w:tr>
        <w:trPr>
          <w:trHeight w:val="203"/>
        </w:trPr>
        <w:tc>
          <w:tcPr>
            <w:tcW w:w="3660" w:type="dxa"/>
            <w:vAlign w:val="bottom"/>
            <w:shd w:val="clear" w:color="auto" w:fill="CFF0FC"/>
          </w:tcPr>
          <w:p>
            <w:pPr>
              <w:spacing w:after="0"/>
              <w:rPr>
                <w:sz w:val="20"/>
                <w:szCs w:val="20"/>
                <w:color w:val="auto"/>
              </w:rPr>
            </w:pPr>
            <w:r>
              <w:rPr>
                <w:rFonts w:ascii="Arial" w:cs="Arial" w:eastAsia="Arial" w:hAnsi="Arial"/>
                <w:sz w:val="17"/>
                <w:szCs w:val="17"/>
                <w:color w:val="auto"/>
              </w:rPr>
              <w:t>Revenue impact, net</w:t>
            </w:r>
          </w:p>
        </w:tc>
        <w:tc>
          <w:tcPr>
            <w:tcW w:w="3100" w:type="dxa"/>
            <w:vAlign w:val="bottom"/>
            <w:shd w:val="clear" w:color="auto" w:fill="CFF0FC"/>
          </w:tcPr>
          <w:p>
            <w:pPr>
              <w:jc w:val="right"/>
              <w:ind w:right="824"/>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ind w:right="16"/>
              <w:spacing w:after="0"/>
              <w:rPr>
                <w:sz w:val="20"/>
                <w:szCs w:val="20"/>
                <w:color w:val="auto"/>
              </w:rPr>
            </w:pPr>
            <w:r>
              <w:rPr>
                <w:rFonts w:ascii="Arial" w:cs="Arial" w:eastAsia="Arial" w:hAnsi="Arial"/>
                <w:sz w:val="17"/>
                <w:szCs w:val="17"/>
                <w:color w:val="auto"/>
              </w:rPr>
              <w:t>(30,828)</w:t>
            </w:r>
          </w:p>
        </w:tc>
        <w:tc>
          <w:tcPr>
            <w:tcW w:w="1160" w:type="dxa"/>
            <w:vAlign w:val="bottom"/>
            <w:shd w:val="clear" w:color="auto" w:fill="CFF0FC"/>
          </w:tcPr>
          <w:p>
            <w:pPr>
              <w:jc w:val="right"/>
              <w:ind w:right="904"/>
              <w:spacing w:after="0"/>
              <w:rPr>
                <w:sz w:val="20"/>
                <w:szCs w:val="20"/>
                <w:color w:val="auto"/>
              </w:rPr>
            </w:pPr>
            <w:r>
              <w:rPr>
                <w:rFonts w:ascii="Arial" w:cs="Arial" w:eastAsia="Arial" w:hAnsi="Arial"/>
                <w:sz w:val="17"/>
                <w:szCs w:val="17"/>
                <w:color w:val="auto"/>
              </w:rPr>
              <w:t>$</w:t>
            </w:r>
          </w:p>
        </w:tc>
        <w:tc>
          <w:tcPr>
            <w:tcW w:w="680" w:type="dxa"/>
            <w:vAlign w:val="bottom"/>
            <w:shd w:val="clear" w:color="auto" w:fill="CFF0FC"/>
          </w:tcPr>
          <w:p>
            <w:pPr>
              <w:jc w:val="right"/>
              <w:ind w:right="56"/>
              <w:spacing w:after="0"/>
              <w:rPr>
                <w:sz w:val="20"/>
                <w:szCs w:val="20"/>
                <w:color w:val="auto"/>
              </w:rPr>
            </w:pPr>
            <w:r>
              <w:rPr>
                <w:rFonts w:ascii="Arial" w:cs="Arial" w:eastAsia="Arial" w:hAnsi="Arial"/>
                <w:sz w:val="17"/>
                <w:szCs w:val="17"/>
                <w:color w:val="auto"/>
              </w:rPr>
              <w:t>8,875</w:t>
            </w:r>
          </w:p>
        </w:tc>
        <w:tc>
          <w:tcPr>
            <w:tcW w:w="500" w:type="dxa"/>
            <w:vAlign w:val="bottom"/>
            <w:shd w:val="clear" w:color="auto" w:fill="CFF0FC"/>
          </w:tcPr>
          <w:p>
            <w:pPr>
              <w:jc w:val="right"/>
              <w:ind w:right="196"/>
              <w:spacing w:after="0"/>
              <w:rPr>
                <w:sz w:val="20"/>
                <w:szCs w:val="20"/>
                <w:color w:val="auto"/>
              </w:rPr>
            </w:pPr>
            <w:r>
              <w:rPr>
                <w:rFonts w:ascii="Arial" w:cs="Arial" w:eastAsia="Arial" w:hAnsi="Arial"/>
                <w:sz w:val="17"/>
                <w:szCs w:val="17"/>
                <w:color w:val="auto"/>
              </w:rPr>
              <w:t>$</w:t>
            </w:r>
          </w:p>
        </w:tc>
        <w:tc>
          <w:tcPr>
            <w:tcW w:w="1360" w:type="dxa"/>
            <w:vAlign w:val="bottom"/>
            <w:shd w:val="clear" w:color="auto" w:fill="CFF0FC"/>
          </w:tcPr>
          <w:p>
            <w:pPr>
              <w:jc w:val="right"/>
              <w:ind w:right="44"/>
              <w:spacing w:after="0"/>
              <w:rPr>
                <w:sz w:val="20"/>
                <w:szCs w:val="20"/>
                <w:color w:val="auto"/>
              </w:rPr>
            </w:pPr>
            <w:r>
              <w:rPr>
                <w:rFonts w:ascii="Arial" w:cs="Arial" w:eastAsia="Arial" w:hAnsi="Arial"/>
                <w:sz w:val="17"/>
                <w:szCs w:val="17"/>
                <w:color w:val="auto"/>
              </w:rPr>
              <w:t>12,166</w:t>
            </w:r>
          </w:p>
        </w:tc>
      </w:tr>
    </w:tbl>
    <w:p>
      <w:pPr>
        <w:spacing w:after="0" w:line="3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Accounts Receivable, Net</w:t>
      </w:r>
    </w:p>
    <w:p>
      <w:pPr>
        <w:spacing w:after="0" w:line="21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Accounts receivable, net consisted of the following as of December 31, 2021 and December 31, 2020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tcBorders>
              <w:bottom w:val="single" w:sz="8" w:color="CFF0FC"/>
            </w:tcBorders>
          </w:tcPr>
          <w:p>
            <w:pPr>
              <w:spacing w:after="0"/>
              <w:rPr>
                <w:sz w:val="15"/>
                <w:szCs w:val="15"/>
                <w:color w:val="auto"/>
              </w:rPr>
            </w:pPr>
          </w:p>
        </w:tc>
        <w:tc>
          <w:tcPr>
            <w:tcW w:w="238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r>
      <w:tr>
        <w:trPr>
          <w:trHeight w:val="201"/>
        </w:trPr>
        <w:tc>
          <w:tcPr>
            <w:tcW w:w="4940" w:type="dxa"/>
            <w:vAlign w:val="bottom"/>
            <w:shd w:val="clear" w:color="auto" w:fill="CFF0FC"/>
          </w:tcPr>
          <w:p>
            <w:pPr>
              <w:spacing w:after="0"/>
              <w:rPr>
                <w:sz w:val="20"/>
                <w:szCs w:val="20"/>
                <w:color w:val="auto"/>
              </w:rPr>
            </w:pPr>
            <w:r>
              <w:rPr>
                <w:rFonts w:ascii="Arial" w:cs="Arial" w:eastAsia="Arial" w:hAnsi="Arial"/>
                <w:sz w:val="17"/>
                <w:szCs w:val="17"/>
                <w:color w:val="auto"/>
              </w:rPr>
              <w:t>Billed</w:t>
            </w:r>
          </w:p>
        </w:tc>
        <w:tc>
          <w:tcPr>
            <w:tcW w:w="3460" w:type="dxa"/>
            <w:vAlign w:val="bottom"/>
            <w:gridSpan w:val="2"/>
            <w:shd w:val="clear" w:color="auto" w:fill="CFF0FC"/>
          </w:tcPr>
          <w:p>
            <w:pPr>
              <w:jc w:val="right"/>
              <w:ind w:right="912"/>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434,776</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36"/>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512,357</w:t>
            </w:r>
          </w:p>
        </w:tc>
        <w:tc>
          <w:tcPr>
            <w:tcW w:w="100" w:type="dxa"/>
            <w:vAlign w:val="bottom"/>
            <w:shd w:val="clear" w:color="auto" w:fill="CFF0FC"/>
          </w:tcPr>
          <w:p>
            <w:pPr>
              <w:spacing w:after="0"/>
              <w:rPr>
                <w:sz w:val="17"/>
                <w:szCs w:val="17"/>
                <w:color w:val="auto"/>
              </w:rPr>
            </w:pPr>
          </w:p>
        </w:tc>
      </w:tr>
      <w:tr>
        <w:trPr>
          <w:trHeight w:val="203"/>
        </w:trPr>
        <w:tc>
          <w:tcPr>
            <w:tcW w:w="49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Unbilled</w:t>
            </w:r>
          </w:p>
        </w:tc>
        <w:tc>
          <w:tcPr>
            <w:tcW w:w="2380" w:type="dxa"/>
            <w:vAlign w:val="bottom"/>
            <w:tcBorders>
              <w:bottom w:val="single" w:sz="8" w:color="CFF0FC"/>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167,490</w:t>
            </w:r>
          </w:p>
        </w:tc>
        <w:tc>
          <w:tcPr>
            <w:tcW w:w="26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190,222</w:t>
            </w:r>
          </w:p>
        </w:tc>
        <w:tc>
          <w:tcPr>
            <w:tcW w:w="100" w:type="dxa"/>
            <w:vAlign w:val="bottom"/>
            <w:tcBorders>
              <w:bottom w:val="single" w:sz="8" w:color="CFF0FC"/>
            </w:tcBorders>
          </w:tcPr>
          <w:p>
            <w:pPr>
              <w:spacing w:after="0"/>
              <w:rPr>
                <w:sz w:val="17"/>
                <w:szCs w:val="17"/>
                <w:color w:val="auto"/>
              </w:rPr>
            </w:pPr>
          </w:p>
        </w:tc>
      </w:tr>
      <w:tr>
        <w:trPr>
          <w:trHeight w:val="196"/>
        </w:trPr>
        <w:tc>
          <w:tcPr>
            <w:tcW w:w="49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Total accounts receivable, gross</w:t>
            </w:r>
          </w:p>
        </w:tc>
        <w:tc>
          <w:tcPr>
            <w:tcW w:w="23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602,266</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702,579</w:t>
            </w:r>
          </w:p>
        </w:tc>
        <w:tc>
          <w:tcPr>
            <w:tcW w:w="100" w:type="dxa"/>
            <w:vAlign w:val="bottom"/>
            <w:shd w:val="clear" w:color="auto" w:fill="CFF0FC"/>
          </w:tcPr>
          <w:p>
            <w:pPr>
              <w:spacing w:after="0"/>
              <w:rPr>
                <w:sz w:val="17"/>
                <w:szCs w:val="17"/>
                <w:color w:val="auto"/>
              </w:rPr>
            </w:pPr>
          </w:p>
        </w:tc>
      </w:tr>
      <w:tr>
        <w:trPr>
          <w:trHeight w:val="203"/>
        </w:trPr>
        <w:tc>
          <w:tcPr>
            <w:tcW w:w="4940" w:type="dxa"/>
            <w:vAlign w:val="bottom"/>
          </w:tcPr>
          <w:p>
            <w:pPr>
              <w:spacing w:after="0"/>
              <w:rPr>
                <w:sz w:val="20"/>
                <w:szCs w:val="20"/>
                <w:color w:val="auto"/>
              </w:rPr>
            </w:pPr>
            <w:r>
              <w:rPr>
                <w:rFonts w:ascii="Arial" w:cs="Arial" w:eastAsia="Arial" w:hAnsi="Arial"/>
                <w:sz w:val="17"/>
                <w:szCs w:val="17"/>
                <w:color w:val="auto"/>
              </w:rPr>
              <w:t>Allowance for doubtful accounts</w:t>
            </w:r>
          </w:p>
        </w:tc>
        <w:tc>
          <w:tcPr>
            <w:tcW w:w="2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(3,955)</w:t>
            </w: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7"/>
                <w:szCs w:val="17"/>
                <w:color w:val="auto"/>
              </w:rPr>
              <w:t>(4,001)</w:t>
            </w:r>
          </w:p>
        </w:tc>
      </w:tr>
      <w:tr>
        <w:trPr>
          <w:trHeight w:val="20"/>
        </w:trPr>
        <w:tc>
          <w:tcPr>
            <w:tcW w:w="4940" w:type="dxa"/>
            <w:vAlign w:val="bottom"/>
            <w:shd w:val="clear" w:color="auto" w:fill="CFF0FC"/>
          </w:tcPr>
          <w:p>
            <w:pPr>
              <w:spacing w:after="0" w:line="20" w:lineRule="exact"/>
              <w:rPr>
                <w:sz w:val="1"/>
                <w:szCs w:val="1"/>
                <w:color w:val="auto"/>
              </w:rPr>
            </w:pPr>
          </w:p>
        </w:tc>
        <w:tc>
          <w:tcPr>
            <w:tcW w:w="23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9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Total accounts receivable, net</w:t>
            </w:r>
          </w:p>
        </w:tc>
        <w:tc>
          <w:tcPr>
            <w:tcW w:w="3460" w:type="dxa"/>
            <w:vAlign w:val="bottom"/>
            <w:gridSpan w:val="2"/>
            <w:shd w:val="clear" w:color="auto" w:fill="CFF0FC"/>
          </w:tcPr>
          <w:p>
            <w:pPr>
              <w:jc w:val="right"/>
              <w:ind w:right="912"/>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598,311</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36"/>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698,578</w:t>
            </w:r>
          </w:p>
        </w:tc>
        <w:tc>
          <w:tcPr>
            <w:tcW w:w="100" w:type="dxa"/>
            <w:vAlign w:val="bottom"/>
            <w:shd w:val="clear" w:color="auto" w:fill="CFF0FC"/>
          </w:tcPr>
          <w:p>
            <w:pPr>
              <w:spacing w:after="0"/>
              <w:rPr>
                <w:sz w:val="17"/>
                <w:szCs w:val="17"/>
                <w:color w:val="auto"/>
              </w:rPr>
            </w:pPr>
          </w:p>
        </w:tc>
      </w:tr>
      <w:tr>
        <w:trPr>
          <w:trHeight w:val="20"/>
        </w:trPr>
        <w:tc>
          <w:tcPr>
            <w:tcW w:w="4940" w:type="dxa"/>
            <w:vAlign w:val="bottom"/>
            <w:tcBorders>
              <w:top w:val="single" w:sz="8" w:color="CFF0FC"/>
            </w:tcBorders>
          </w:tcPr>
          <w:p>
            <w:pPr>
              <w:spacing w:after="0" w:line="20" w:lineRule="exact"/>
              <w:rPr>
                <w:sz w:val="1"/>
                <w:szCs w:val="1"/>
                <w:color w:val="auto"/>
              </w:rPr>
            </w:pPr>
          </w:p>
        </w:tc>
        <w:tc>
          <w:tcPr>
            <w:tcW w:w="23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both"/>
        <w:ind w:right="600" w:firstLine="735"/>
        <w:spacing w:after="0" w:line="272" w:lineRule="auto"/>
        <w:rPr>
          <w:sz w:val="20"/>
          <w:szCs w:val="20"/>
          <w:color w:val="auto"/>
        </w:rPr>
      </w:pPr>
      <w:r>
        <w:rPr>
          <w:rFonts w:ascii="Arial" w:cs="Arial" w:eastAsia="Arial" w:hAnsi="Arial"/>
          <w:sz w:val="16"/>
          <w:szCs w:val="16"/>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w:t>
      </w:r>
    </w:p>
    <w:p>
      <w:pPr>
        <w:spacing w:after="0" w:line="166" w:lineRule="exact"/>
        <w:rPr>
          <w:sz w:val="20"/>
          <w:szCs w:val="20"/>
          <w:color w:val="auto"/>
        </w:rPr>
      </w:pPr>
    </w:p>
    <w:p>
      <w:pPr>
        <w:ind w:right="60" w:firstLine="833"/>
        <w:spacing w:after="0" w:line="236" w:lineRule="auto"/>
        <w:rPr>
          <w:sz w:val="20"/>
          <w:szCs w:val="20"/>
          <w:color w:val="auto"/>
        </w:rPr>
      </w:pPr>
      <w:r>
        <w:rPr>
          <w:rFonts w:ascii="Arial" w:cs="Arial" w:eastAsia="Arial" w:hAnsi="Arial"/>
          <w:sz w:val="17"/>
          <w:szCs w:val="17"/>
          <w:color w:val="auto"/>
        </w:rPr>
        <w:t>The allowance for doubtful accounts was determined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 We have not seen and do not expect there to be a material risk of non-payment from either our government agency or commercial customers related to COVID-19 impacts; however, we have experienced payment delays due to administrative limitations from both types of customers.</w:t>
      </w:r>
    </w:p>
    <w:p>
      <w:pPr>
        <w:spacing w:after="0" w:line="276"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Transaction Price Allocated to the Remaining Unsatisfied Performance Obligations</w:t>
      </w:r>
    </w:p>
    <w:p>
      <w:pPr>
        <w:spacing w:after="0" w:line="114" w:lineRule="exact"/>
        <w:rPr>
          <w:sz w:val="20"/>
          <w:szCs w:val="20"/>
          <w:color w:val="auto"/>
        </w:rPr>
      </w:pPr>
    </w:p>
    <w:p>
      <w:pPr>
        <w:ind w:right="360" w:firstLine="589"/>
        <w:spacing w:after="0" w:line="242" w:lineRule="auto"/>
        <w:rPr>
          <w:sz w:val="20"/>
          <w:szCs w:val="20"/>
          <w:color w:val="auto"/>
        </w:rPr>
      </w:pPr>
      <w:r>
        <w:rPr>
          <w:rFonts w:ascii="Arial" w:cs="Arial" w:eastAsia="Arial" w:hAnsi="Arial"/>
          <w:sz w:val="17"/>
          <w:szCs w:val="17"/>
          <w:color w:val="auto"/>
        </w:rPr>
        <w:t>The Company’s remaining unsatisfied performance obligations (“RUPO”) as of December 31, 2021 represent a measure of the total dollar value of work to be performed on contracts awarded and in progress. The Company had $5.8 billion in RUPO as of December 31, 2021.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100" w:firstLine="735"/>
        <w:spacing w:after="0" w:line="237" w:lineRule="auto"/>
        <w:rPr>
          <w:sz w:val="20"/>
          <w:szCs w:val="20"/>
          <w:color w:val="auto"/>
        </w:rPr>
      </w:pPr>
      <w:r>
        <w:rPr>
          <w:rFonts w:ascii="Arial" w:cs="Arial" w:eastAsia="Arial" w:hAnsi="Arial"/>
          <w:sz w:val="17"/>
          <w:szCs w:val="17"/>
          <w:color w:val="auto"/>
        </w:rPr>
        <w:t>RUPO will increase with awards of new contracts and decrease as the Company performs work and recognizes revenue on existing contracts. Projects are included within RUPO at such time the project is awarded and agreement on contract terms has been reached. The difference between RUPO and backlog relates to unexercised option years that are included within backlog and the value of Indefinite Delivery/Indefinite Quantity (“IDIQ”) contracts included in backlog for which task orders have not been issued.</w:t>
      </w:r>
    </w:p>
    <w:p>
      <w:pPr>
        <w:spacing w:after="0" w:line="191" w:lineRule="exact"/>
        <w:rPr>
          <w:sz w:val="20"/>
          <w:szCs w:val="20"/>
          <w:color w:val="auto"/>
        </w:rPr>
      </w:pPr>
    </w:p>
    <w:p>
      <w:pPr>
        <w:ind w:right="100" w:firstLine="735"/>
        <w:spacing w:after="0" w:line="237" w:lineRule="auto"/>
        <w:rPr>
          <w:sz w:val="20"/>
          <w:szCs w:val="20"/>
          <w:color w:val="auto"/>
        </w:rPr>
      </w:pPr>
      <w:r>
        <w:rPr>
          <w:rFonts w:ascii="Arial" w:cs="Arial" w:eastAsia="Arial" w:hAnsi="Arial"/>
          <w:sz w:val="17"/>
          <w:szCs w:val="17"/>
          <w:color w:val="auto"/>
        </w:rPr>
        <w:t>RUPO is comprised of: (a) original transaction price, (b) change orders for which written confirmations from our customers have been received, (c) pending change orders for which the Company expects to receive confirmations in the ordinary course of business, and (d) claim amounts that the Company has made against customers for which it has determined that it has a legal basis under existing contractual arrangements and a significant reversal of revenue is not probable, less revenue recognized to-date.</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Company expects to satisfy its RUPO as of December 31, 2021 over the following periods (in thousands):</w:t>
      </w:r>
    </w:p>
    <w:tbl>
      <w:tblPr>
        <w:tblLayout w:type="fixed"/>
        <w:tblInd w:w="0" w:type="dxa"/>
        <w:tblCellMar>
          <w:top w:w="0" w:type="dxa"/>
          <w:left w:w="0" w:type="dxa"/>
          <w:bottom w:w="0" w:type="dxa"/>
          <w:right w:w="0" w:type="dxa"/>
        </w:tblCellMar>
      </w:tblPr>
      <w:tr>
        <w:trPr>
          <w:trHeight w:val="149"/>
        </w:trPr>
        <w:tc>
          <w:tcPr>
            <w:tcW w:w="5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Within One to</w:t>
            </w: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4"/>
        </w:trPr>
        <w:tc>
          <w:tcPr>
            <w:tcW w:w="57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Period RUPO Will Be Satisfied</w:t>
            </w: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Within One Year</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Two Years</w:t>
            </w: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FF0FC"/>
            </w:tcBorders>
          </w:tcPr>
          <w:p>
            <w:pPr>
              <w:spacing w:after="0"/>
              <w:rPr>
                <w:sz w:val="14"/>
                <w:szCs w:val="14"/>
                <w:color w:val="auto"/>
              </w:rPr>
            </w:pPr>
          </w:p>
        </w:tc>
      </w:tr>
      <w:tr>
        <w:trPr>
          <w:trHeight w:val="196"/>
        </w:trPr>
        <w:tc>
          <w:tcPr>
            <w:tcW w:w="5760" w:type="dxa"/>
            <w:vAlign w:val="bottom"/>
            <w:shd w:val="clear" w:color="auto" w:fill="CFF0FC"/>
          </w:tcPr>
          <w:p>
            <w:pPr>
              <w:spacing w:after="0"/>
              <w:rPr>
                <w:sz w:val="20"/>
                <w:szCs w:val="20"/>
                <w:color w:val="auto"/>
              </w:rPr>
            </w:pPr>
            <w:r>
              <w:rPr>
                <w:rFonts w:ascii="Arial" w:cs="Arial" w:eastAsia="Arial" w:hAnsi="Arial"/>
                <w:sz w:val="17"/>
                <w:szCs w:val="17"/>
                <w:color w:val="auto"/>
              </w:rPr>
              <w:t>Federal Solutions</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1,436,578</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705,773</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6"/>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422,666</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Critical Infrastructure</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1,451,596</w:t>
            </w:r>
          </w:p>
        </w:tc>
        <w:tc>
          <w:tcPr>
            <w:tcW w:w="2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868,205</w:t>
            </w:r>
          </w:p>
        </w:tc>
        <w:tc>
          <w:tcPr>
            <w:tcW w:w="2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875,202</w:t>
            </w:r>
          </w:p>
        </w:tc>
        <w:tc>
          <w:tcPr>
            <w:tcW w:w="100" w:type="dxa"/>
            <w:vAlign w:val="bottom"/>
            <w:tcBorders>
              <w:bottom w:val="single" w:sz="8" w:color="CFF0FC"/>
            </w:tcBorders>
          </w:tcPr>
          <w:p>
            <w:pPr>
              <w:spacing w:after="0"/>
              <w:rPr>
                <w:sz w:val="17"/>
                <w:szCs w:val="17"/>
                <w:color w:val="auto"/>
              </w:rPr>
            </w:pPr>
          </w:p>
        </w:tc>
      </w:tr>
      <w:tr>
        <w:trPr>
          <w:trHeight w:val="196"/>
        </w:trPr>
        <w:tc>
          <w:tcPr>
            <w:tcW w:w="5760" w:type="dxa"/>
            <w:vAlign w:val="bottom"/>
            <w:shd w:val="clear" w:color="auto" w:fill="CFF0FC"/>
          </w:tcPr>
          <w:p>
            <w:pPr>
              <w:ind w:left="180"/>
              <w:spacing w:after="0"/>
              <w:rPr>
                <w:sz w:val="20"/>
                <w:szCs w:val="20"/>
                <w:color w:val="auto"/>
              </w:rPr>
            </w:pPr>
            <w:r>
              <w:rPr>
                <w:rFonts w:ascii="Arial" w:cs="Arial" w:eastAsia="Arial" w:hAnsi="Arial"/>
                <w:sz w:val="17"/>
                <w:szCs w:val="17"/>
                <w:color w:val="auto"/>
              </w:rPr>
              <w:t>Total</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2,888,174</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1,573,978</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6"/>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1,297,868</w:t>
            </w:r>
          </w:p>
        </w:tc>
        <w:tc>
          <w:tcPr>
            <w:tcW w:w="100" w:type="dxa"/>
            <w:vAlign w:val="bottom"/>
            <w:shd w:val="clear" w:color="auto" w:fill="CFF0FC"/>
          </w:tcPr>
          <w:p>
            <w:pPr>
              <w:spacing w:after="0"/>
              <w:rPr>
                <w:sz w:val="17"/>
                <w:szCs w:val="17"/>
                <w:color w:val="auto"/>
              </w:rPr>
            </w:pPr>
          </w:p>
        </w:tc>
      </w:tr>
      <w:tr>
        <w:trPr>
          <w:trHeight w:val="20"/>
        </w:trPr>
        <w:tc>
          <w:tcPr>
            <w:tcW w:w="57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7" w:lineRule="exact"/>
        <w:rPr>
          <w:sz w:val="20"/>
          <w:szCs w:val="20"/>
          <w:color w:val="auto"/>
        </w:rPr>
      </w:pPr>
    </w:p>
    <w:p>
      <w:pPr>
        <w:ind w:left="760" w:hanging="759"/>
        <w:spacing w:after="0"/>
        <w:tabs>
          <w:tab w:leader="none" w:pos="760"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Leases</w:t>
      </w:r>
    </w:p>
    <w:p>
      <w:pPr>
        <w:spacing w:after="0" w:line="116" w:lineRule="exact"/>
        <w:rPr>
          <w:sz w:val="20"/>
          <w:szCs w:val="20"/>
          <w:color w:val="auto"/>
        </w:rPr>
      </w:pPr>
    </w:p>
    <w:p>
      <w:pPr>
        <w:ind w:right="80" w:firstLine="589"/>
        <w:spacing w:after="0" w:line="264" w:lineRule="auto"/>
        <w:rPr>
          <w:sz w:val="20"/>
          <w:szCs w:val="20"/>
          <w:color w:val="auto"/>
        </w:rPr>
      </w:pPr>
      <w:r>
        <w:rPr>
          <w:rFonts w:ascii="Arial" w:cs="Arial" w:eastAsia="Arial" w:hAnsi="Arial"/>
          <w:sz w:val="16"/>
          <w:szCs w:val="16"/>
          <w:color w:val="auto"/>
        </w:rPr>
        <w:t>The Company has operating and finance leases for corporate and project office spaces, vehicles, heavy machinery and office equipment. Our leases have remaining lease terms of one year to eight years, some of which may include options to extend the leases for up to five years, and some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of which may include options to terminate the leases after the third year.</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components of lease costs for the years ended December 31, 2021 and December 31, 2020 are as follows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160" w:type="dxa"/>
            <w:vAlign w:val="bottom"/>
            <w:tcBorders>
              <w:bottom w:val="single" w:sz="8" w:color="CFF0FC"/>
            </w:tcBorders>
          </w:tcPr>
          <w:p>
            <w:pPr>
              <w:spacing w:after="0"/>
              <w:rPr>
                <w:sz w:val="14"/>
                <w:szCs w:val="14"/>
                <w:color w:val="auto"/>
              </w:rPr>
            </w:pPr>
          </w:p>
        </w:tc>
        <w:tc>
          <w:tcPr>
            <w:tcW w:w="258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196"/>
        </w:trPr>
        <w:tc>
          <w:tcPr>
            <w:tcW w:w="516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cost</w:t>
            </w:r>
          </w:p>
        </w:tc>
        <w:tc>
          <w:tcPr>
            <w:tcW w:w="3560" w:type="dxa"/>
            <w:vAlign w:val="bottom"/>
            <w:gridSpan w:val="2"/>
            <w:shd w:val="clear" w:color="auto" w:fill="CFF0FC"/>
          </w:tcPr>
          <w:p>
            <w:pPr>
              <w:jc w:val="right"/>
              <w:ind w:right="832"/>
              <w:spacing w:after="0"/>
              <w:rPr>
                <w:sz w:val="20"/>
                <w:szCs w:val="20"/>
                <w:color w:val="auto"/>
              </w:rPr>
            </w:pPr>
            <w:r>
              <w:rPr>
                <w:rFonts w:ascii="Arial" w:cs="Arial" w:eastAsia="Arial" w:hAnsi="Arial"/>
                <w:sz w:val="17"/>
                <w:szCs w:val="17"/>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61,800</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66,159</w:t>
            </w: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7"/>
                <w:szCs w:val="17"/>
                <w:color w:val="auto"/>
              </w:rPr>
              <w:t>Short-term lease cost</w:t>
            </w:r>
          </w:p>
        </w:tc>
        <w:tc>
          <w:tcPr>
            <w:tcW w:w="2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11,261</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15,624</w:t>
            </w:r>
          </w:p>
        </w:tc>
        <w:tc>
          <w:tcPr>
            <w:tcW w:w="100" w:type="dxa"/>
            <w:vAlign w:val="bottom"/>
          </w:tcPr>
          <w:p>
            <w:pPr>
              <w:spacing w:after="0"/>
              <w:rPr>
                <w:sz w:val="17"/>
                <w:szCs w:val="17"/>
                <w:color w:val="auto"/>
              </w:rPr>
            </w:pPr>
          </w:p>
        </w:tc>
      </w:tr>
      <w:tr>
        <w:trPr>
          <w:trHeight w:val="203"/>
        </w:trPr>
        <w:tc>
          <w:tcPr>
            <w:tcW w:w="5160" w:type="dxa"/>
            <w:vAlign w:val="bottom"/>
            <w:shd w:val="clear" w:color="auto" w:fill="CFF0FC"/>
          </w:tcPr>
          <w:p>
            <w:pPr>
              <w:spacing w:after="0"/>
              <w:rPr>
                <w:sz w:val="20"/>
                <w:szCs w:val="20"/>
                <w:color w:val="auto"/>
              </w:rPr>
            </w:pPr>
            <w:r>
              <w:rPr>
                <w:rFonts w:ascii="Arial" w:cs="Arial" w:eastAsia="Arial" w:hAnsi="Arial"/>
                <w:sz w:val="17"/>
                <w:szCs w:val="17"/>
                <w:color w:val="auto"/>
              </w:rPr>
              <w:t>Amortization of right-of-use assets</w:t>
            </w:r>
          </w:p>
        </w:tc>
        <w:tc>
          <w:tcPr>
            <w:tcW w:w="25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2,128</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1,496</w:t>
            </w: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7"/>
                <w:szCs w:val="17"/>
                <w:color w:val="auto"/>
              </w:rPr>
              <w:t>Interest on lease liabilities</w:t>
            </w:r>
          </w:p>
        </w:tc>
        <w:tc>
          <w:tcPr>
            <w:tcW w:w="2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106</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146</w:t>
            </w:r>
          </w:p>
        </w:tc>
        <w:tc>
          <w:tcPr>
            <w:tcW w:w="100" w:type="dxa"/>
            <w:vAlign w:val="bottom"/>
          </w:tcPr>
          <w:p>
            <w:pPr>
              <w:spacing w:after="0"/>
              <w:rPr>
                <w:sz w:val="17"/>
                <w:szCs w:val="17"/>
                <w:color w:val="auto"/>
              </w:rPr>
            </w:pPr>
          </w:p>
        </w:tc>
      </w:tr>
      <w:tr>
        <w:trPr>
          <w:trHeight w:val="203"/>
        </w:trPr>
        <w:tc>
          <w:tcPr>
            <w:tcW w:w="5160" w:type="dxa"/>
            <w:vAlign w:val="bottom"/>
            <w:shd w:val="clear" w:color="auto" w:fill="CFF0FC"/>
          </w:tcPr>
          <w:p>
            <w:pPr>
              <w:spacing w:after="0"/>
              <w:rPr>
                <w:sz w:val="20"/>
                <w:szCs w:val="20"/>
                <w:color w:val="auto"/>
              </w:rPr>
            </w:pPr>
            <w:r>
              <w:rPr>
                <w:rFonts w:ascii="Arial" w:cs="Arial" w:eastAsia="Arial" w:hAnsi="Arial"/>
                <w:sz w:val="17"/>
                <w:szCs w:val="17"/>
                <w:color w:val="auto"/>
              </w:rPr>
              <w:t>Sublease income</w:t>
            </w:r>
          </w:p>
        </w:tc>
        <w:tc>
          <w:tcPr>
            <w:tcW w:w="25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(3,049)</w:t>
            </w: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(3,731)</w:t>
            </w:r>
          </w:p>
        </w:tc>
      </w:tr>
      <w:tr>
        <w:trPr>
          <w:trHeight w:val="20"/>
        </w:trPr>
        <w:tc>
          <w:tcPr>
            <w:tcW w:w="5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160" w:type="dxa"/>
            <w:vAlign w:val="bottom"/>
          </w:tcPr>
          <w:p>
            <w:pPr>
              <w:ind w:left="240"/>
              <w:spacing w:after="0"/>
              <w:rPr>
                <w:sz w:val="20"/>
                <w:szCs w:val="20"/>
                <w:color w:val="auto"/>
              </w:rPr>
            </w:pPr>
            <w:r>
              <w:rPr>
                <w:rFonts w:ascii="Arial" w:cs="Arial" w:eastAsia="Arial" w:hAnsi="Arial"/>
                <w:sz w:val="17"/>
                <w:szCs w:val="17"/>
                <w:color w:val="auto"/>
              </w:rPr>
              <w:t>Total lease cost</w:t>
            </w:r>
          </w:p>
        </w:tc>
        <w:tc>
          <w:tcPr>
            <w:tcW w:w="3560" w:type="dxa"/>
            <w:vAlign w:val="bottom"/>
            <w:gridSpan w:val="2"/>
          </w:tcPr>
          <w:p>
            <w:pPr>
              <w:jc w:val="right"/>
              <w:ind w:right="832"/>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72,246</w:t>
            </w:r>
          </w:p>
        </w:tc>
        <w:tc>
          <w:tcPr>
            <w:tcW w:w="280" w:type="dxa"/>
            <w:vAlign w:val="bottom"/>
          </w:tcPr>
          <w:p>
            <w:pPr>
              <w:spacing w:after="0"/>
              <w:rPr>
                <w:sz w:val="17"/>
                <w:szCs w:val="17"/>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79,694</w:t>
            </w:r>
          </w:p>
        </w:tc>
        <w:tc>
          <w:tcPr>
            <w:tcW w:w="100" w:type="dxa"/>
            <w:vAlign w:val="bottom"/>
          </w:tcPr>
          <w:p>
            <w:pPr>
              <w:spacing w:after="0"/>
              <w:rPr>
                <w:sz w:val="17"/>
                <w:szCs w:val="17"/>
                <w:color w:val="auto"/>
              </w:rPr>
            </w:pPr>
          </w:p>
        </w:tc>
      </w:tr>
      <w:tr>
        <w:trPr>
          <w:trHeight w:val="20"/>
        </w:trPr>
        <w:tc>
          <w:tcPr>
            <w:tcW w:w="5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0" w:firstLine="589"/>
        <w:spacing w:after="0" w:line="242" w:lineRule="auto"/>
        <w:rPr>
          <w:sz w:val="20"/>
          <w:szCs w:val="20"/>
          <w:color w:val="auto"/>
        </w:rPr>
      </w:pPr>
      <w:r>
        <w:rPr>
          <w:rFonts w:ascii="Arial" w:cs="Arial" w:eastAsia="Arial" w:hAnsi="Arial"/>
          <w:sz w:val="17"/>
          <w:szCs w:val="17"/>
          <w:color w:val="auto"/>
        </w:rPr>
        <w:t>Supplemental cash flow information related to leases for the years ended December 31, 2021 and December 31, 2020 is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580" w:type="dxa"/>
            <w:vAlign w:val="bottom"/>
            <w:tcBorders>
              <w:bottom w:val="single" w:sz="8" w:color="CFF0FC"/>
            </w:tcBorders>
          </w:tcPr>
          <w:p>
            <w:pPr>
              <w:spacing w:after="0"/>
              <w:rPr>
                <w:sz w:val="14"/>
                <w:szCs w:val="14"/>
                <w:color w:val="auto"/>
              </w:rPr>
            </w:pPr>
          </w:p>
        </w:tc>
        <w:tc>
          <w:tcPr>
            <w:tcW w:w="316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196"/>
        </w:trPr>
        <w:tc>
          <w:tcPr>
            <w:tcW w:w="4580" w:type="dxa"/>
            <w:vAlign w:val="bottom"/>
            <w:shd w:val="clear" w:color="auto" w:fill="CFF0FC"/>
          </w:tcPr>
          <w:p>
            <w:pPr>
              <w:spacing w:after="0"/>
              <w:rPr>
                <w:sz w:val="20"/>
                <w:szCs w:val="20"/>
                <w:color w:val="auto"/>
              </w:rPr>
            </w:pPr>
            <w:r>
              <w:rPr>
                <w:rFonts w:ascii="Arial" w:cs="Arial" w:eastAsia="Arial" w:hAnsi="Arial"/>
                <w:sz w:val="17"/>
                <w:szCs w:val="17"/>
                <w:color w:val="auto"/>
              </w:rPr>
              <w:t>Operating cash flows for operating leases</w:t>
            </w:r>
          </w:p>
        </w:tc>
        <w:tc>
          <w:tcPr>
            <w:tcW w:w="4140" w:type="dxa"/>
            <w:vAlign w:val="bottom"/>
            <w:gridSpan w:val="2"/>
            <w:shd w:val="clear" w:color="auto" w:fill="CFF0FC"/>
          </w:tcPr>
          <w:p>
            <w:pPr>
              <w:jc w:val="right"/>
              <w:ind w:right="832"/>
              <w:spacing w:after="0"/>
              <w:rPr>
                <w:sz w:val="20"/>
                <w:szCs w:val="20"/>
                <w:color w:val="auto"/>
              </w:rPr>
            </w:pPr>
            <w:r>
              <w:rPr>
                <w:rFonts w:ascii="Arial" w:cs="Arial" w:eastAsia="Arial" w:hAnsi="Arial"/>
                <w:sz w:val="17"/>
                <w:szCs w:val="17"/>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68,563</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62,117</w:t>
            </w:r>
          </w:p>
        </w:tc>
        <w:tc>
          <w:tcPr>
            <w:tcW w:w="100" w:type="dxa"/>
            <w:vAlign w:val="bottom"/>
            <w:shd w:val="clear" w:color="auto" w:fill="CFF0FC"/>
          </w:tcPr>
          <w:p>
            <w:pPr>
              <w:spacing w:after="0"/>
              <w:rPr>
                <w:sz w:val="17"/>
                <w:szCs w:val="17"/>
                <w:color w:val="auto"/>
              </w:rPr>
            </w:pPr>
          </w:p>
        </w:tc>
      </w:tr>
      <w:tr>
        <w:trPr>
          <w:trHeight w:val="203"/>
        </w:trPr>
        <w:tc>
          <w:tcPr>
            <w:tcW w:w="4580" w:type="dxa"/>
            <w:vAlign w:val="bottom"/>
          </w:tcPr>
          <w:p>
            <w:pPr>
              <w:spacing w:after="0"/>
              <w:rPr>
                <w:sz w:val="20"/>
                <w:szCs w:val="20"/>
                <w:color w:val="auto"/>
              </w:rPr>
            </w:pPr>
            <w:r>
              <w:rPr>
                <w:rFonts w:ascii="Arial" w:cs="Arial" w:eastAsia="Arial" w:hAnsi="Arial"/>
                <w:sz w:val="17"/>
                <w:szCs w:val="17"/>
                <w:color w:val="auto"/>
              </w:rPr>
              <w:t>Operating cash flows for financing activities</w:t>
            </w:r>
          </w:p>
        </w:tc>
        <w:tc>
          <w:tcPr>
            <w:tcW w:w="3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107</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147</w:t>
            </w:r>
          </w:p>
        </w:tc>
        <w:tc>
          <w:tcPr>
            <w:tcW w:w="100" w:type="dxa"/>
            <w:vAlign w:val="bottom"/>
          </w:tcPr>
          <w:p>
            <w:pPr>
              <w:spacing w:after="0"/>
              <w:rPr>
                <w:sz w:val="17"/>
                <w:szCs w:val="17"/>
                <w:color w:val="auto"/>
              </w:rPr>
            </w:pPr>
          </w:p>
        </w:tc>
      </w:tr>
      <w:tr>
        <w:trPr>
          <w:trHeight w:val="203"/>
        </w:trPr>
        <w:tc>
          <w:tcPr>
            <w:tcW w:w="4580" w:type="dxa"/>
            <w:vAlign w:val="bottom"/>
            <w:shd w:val="clear" w:color="auto" w:fill="CFF0FC"/>
          </w:tcPr>
          <w:p>
            <w:pPr>
              <w:spacing w:after="0"/>
              <w:rPr>
                <w:sz w:val="20"/>
                <w:szCs w:val="20"/>
                <w:color w:val="auto"/>
              </w:rPr>
            </w:pPr>
            <w:r>
              <w:rPr>
                <w:rFonts w:ascii="Arial" w:cs="Arial" w:eastAsia="Arial" w:hAnsi="Arial"/>
                <w:sz w:val="17"/>
                <w:szCs w:val="17"/>
                <w:color w:val="auto"/>
              </w:rPr>
              <w:t>Financing cash flows for finance leases</w:t>
            </w:r>
          </w:p>
        </w:tc>
        <w:tc>
          <w:tcPr>
            <w:tcW w:w="3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2,082</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1,551</w:t>
            </w:r>
          </w:p>
        </w:tc>
        <w:tc>
          <w:tcPr>
            <w:tcW w:w="100" w:type="dxa"/>
            <w:vAlign w:val="bottom"/>
            <w:shd w:val="clear" w:color="auto" w:fill="CFF0FC"/>
          </w:tcPr>
          <w:p>
            <w:pPr>
              <w:spacing w:after="0"/>
              <w:rPr>
                <w:sz w:val="17"/>
                <w:szCs w:val="17"/>
                <w:color w:val="auto"/>
              </w:rPr>
            </w:pPr>
          </w:p>
        </w:tc>
      </w:tr>
      <w:tr>
        <w:trPr>
          <w:trHeight w:val="202"/>
        </w:trPr>
        <w:tc>
          <w:tcPr>
            <w:tcW w:w="4580" w:type="dxa"/>
            <w:vAlign w:val="bottom"/>
          </w:tcPr>
          <w:p>
            <w:pPr>
              <w:spacing w:after="0"/>
              <w:rPr>
                <w:sz w:val="20"/>
                <w:szCs w:val="20"/>
                <w:color w:val="auto"/>
              </w:rPr>
            </w:pPr>
            <w:r>
              <w:rPr>
                <w:rFonts w:ascii="Arial" w:cs="Arial" w:eastAsia="Arial" w:hAnsi="Arial"/>
                <w:sz w:val="17"/>
                <w:szCs w:val="17"/>
                <w:color w:val="auto"/>
              </w:rPr>
              <w:t>Right-of-use assets obtained in exchange for new</w:t>
            </w:r>
          </w:p>
        </w:tc>
        <w:tc>
          <w:tcPr>
            <w:tcW w:w="3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1"/>
        </w:trPr>
        <w:tc>
          <w:tcPr>
            <w:tcW w:w="4580" w:type="dxa"/>
            <w:vAlign w:val="bottom"/>
          </w:tcPr>
          <w:p>
            <w:pPr>
              <w:ind w:left="140"/>
              <w:spacing w:after="0" w:line="191" w:lineRule="exact"/>
              <w:rPr>
                <w:sz w:val="20"/>
                <w:szCs w:val="20"/>
                <w:color w:val="auto"/>
              </w:rPr>
            </w:pPr>
            <w:r>
              <w:rPr>
                <w:rFonts w:ascii="Arial" w:cs="Arial" w:eastAsia="Arial" w:hAnsi="Arial"/>
                <w:sz w:val="17"/>
                <w:szCs w:val="17"/>
                <w:color w:val="auto"/>
              </w:rPr>
              <w:t>operating lease liabilities</w:t>
            </w:r>
          </w:p>
        </w:tc>
        <w:tc>
          <w:tcPr>
            <w:tcW w:w="3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line="191" w:lineRule="exact"/>
              <w:rPr>
                <w:sz w:val="20"/>
                <w:szCs w:val="20"/>
                <w:color w:val="auto"/>
              </w:rPr>
            </w:pPr>
            <w:r>
              <w:rPr>
                <w:rFonts w:ascii="Arial" w:cs="Arial" w:eastAsia="Arial" w:hAnsi="Arial"/>
                <w:sz w:val="17"/>
                <w:szCs w:val="17"/>
                <w:color w:val="auto"/>
              </w:rPr>
              <w:t>18,931</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Arial" w:cs="Arial" w:eastAsia="Arial" w:hAnsi="Arial"/>
                <w:sz w:val="17"/>
                <w:szCs w:val="17"/>
                <w:color w:val="auto"/>
              </w:rPr>
              <w:t>23,949</w:t>
            </w:r>
          </w:p>
        </w:tc>
        <w:tc>
          <w:tcPr>
            <w:tcW w:w="100" w:type="dxa"/>
            <w:vAlign w:val="bottom"/>
          </w:tcPr>
          <w:p>
            <w:pPr>
              <w:spacing w:after="0"/>
              <w:rPr>
                <w:sz w:val="16"/>
                <w:szCs w:val="16"/>
                <w:color w:val="auto"/>
              </w:rPr>
            </w:pPr>
          </w:p>
        </w:tc>
      </w:tr>
      <w:tr>
        <w:trPr>
          <w:trHeight w:val="202"/>
        </w:trPr>
        <w:tc>
          <w:tcPr>
            <w:tcW w:w="4580" w:type="dxa"/>
            <w:vAlign w:val="bottom"/>
            <w:shd w:val="clear" w:color="auto" w:fill="CFF0FC"/>
          </w:tcPr>
          <w:p>
            <w:pPr>
              <w:spacing w:after="0"/>
              <w:rPr>
                <w:sz w:val="20"/>
                <w:szCs w:val="20"/>
                <w:color w:val="auto"/>
              </w:rPr>
            </w:pPr>
            <w:r>
              <w:rPr>
                <w:rFonts w:ascii="Arial" w:cs="Arial" w:eastAsia="Arial" w:hAnsi="Arial"/>
                <w:sz w:val="17"/>
                <w:szCs w:val="17"/>
                <w:color w:val="auto"/>
              </w:rPr>
              <w:t>Right-of-use assets obtained in exchange for new</w:t>
            </w:r>
          </w:p>
        </w:tc>
        <w:tc>
          <w:tcPr>
            <w:tcW w:w="3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1"/>
        </w:trPr>
        <w:tc>
          <w:tcPr>
            <w:tcW w:w="4580" w:type="dxa"/>
            <w:vAlign w:val="bottom"/>
            <w:shd w:val="clear" w:color="auto" w:fill="CFF0FC"/>
          </w:tcPr>
          <w:p>
            <w:pPr>
              <w:ind w:left="140"/>
              <w:spacing w:after="0" w:line="191" w:lineRule="exact"/>
              <w:rPr>
                <w:sz w:val="20"/>
                <w:szCs w:val="20"/>
                <w:color w:val="auto"/>
              </w:rPr>
            </w:pPr>
            <w:r>
              <w:rPr>
                <w:rFonts w:ascii="Arial" w:cs="Arial" w:eastAsia="Arial" w:hAnsi="Arial"/>
                <w:sz w:val="17"/>
                <w:szCs w:val="17"/>
                <w:color w:val="auto"/>
              </w:rPr>
              <w:t>finance lease liabilities</w:t>
            </w:r>
          </w:p>
        </w:tc>
        <w:tc>
          <w:tcPr>
            <w:tcW w:w="4140" w:type="dxa"/>
            <w:vAlign w:val="bottom"/>
            <w:gridSpan w:val="2"/>
            <w:shd w:val="clear" w:color="auto" w:fill="CFF0FC"/>
          </w:tcPr>
          <w:p>
            <w:pPr>
              <w:jc w:val="right"/>
              <w:ind w:right="832"/>
              <w:spacing w:after="0" w:line="191" w:lineRule="exact"/>
              <w:rPr>
                <w:sz w:val="20"/>
                <w:szCs w:val="20"/>
                <w:color w:val="auto"/>
              </w:rPr>
            </w:pPr>
            <w:r>
              <w:rPr>
                <w:rFonts w:ascii="Arial" w:cs="Arial" w:eastAsia="Arial" w:hAnsi="Arial"/>
                <w:sz w:val="17"/>
                <w:szCs w:val="17"/>
                <w:color w:val="auto"/>
              </w:rPr>
              <w:t>$</w:t>
            </w:r>
          </w:p>
        </w:tc>
        <w:tc>
          <w:tcPr>
            <w:tcW w:w="580" w:type="dxa"/>
            <w:vAlign w:val="bottom"/>
            <w:shd w:val="clear" w:color="auto" w:fill="CFF0FC"/>
          </w:tcPr>
          <w:p>
            <w:pPr>
              <w:jc w:val="right"/>
              <w:spacing w:after="0" w:line="191" w:lineRule="exact"/>
              <w:rPr>
                <w:sz w:val="20"/>
                <w:szCs w:val="20"/>
                <w:color w:val="auto"/>
              </w:rPr>
            </w:pPr>
            <w:r>
              <w:rPr>
                <w:rFonts w:ascii="Arial" w:cs="Arial" w:eastAsia="Arial" w:hAnsi="Arial"/>
                <w:sz w:val="17"/>
                <w:szCs w:val="17"/>
                <w:color w:val="auto"/>
              </w:rPr>
              <w:t>2,003</w:t>
            </w: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line="191" w:lineRule="exact"/>
              <w:rPr>
                <w:sz w:val="20"/>
                <w:szCs w:val="20"/>
                <w:color w:val="auto"/>
              </w:rPr>
            </w:pPr>
            <w:r>
              <w:rPr>
                <w:rFonts w:ascii="Arial" w:cs="Arial" w:eastAsia="Arial" w:hAnsi="Arial"/>
                <w:sz w:val="17"/>
                <w:szCs w:val="17"/>
                <w:color w:val="auto"/>
              </w:rPr>
              <w:t>1,018</w:t>
            </w:r>
          </w:p>
        </w:tc>
        <w:tc>
          <w:tcPr>
            <w:tcW w:w="100" w:type="dxa"/>
            <w:vAlign w:val="bottom"/>
            <w:shd w:val="clear" w:color="auto" w:fill="CFF0FC"/>
          </w:tcPr>
          <w:p>
            <w:pPr>
              <w:spacing w:after="0"/>
              <w:rPr>
                <w:sz w:val="16"/>
                <w:szCs w:val="16"/>
                <w:color w:val="auto"/>
              </w:rPr>
            </w:pPr>
          </w:p>
        </w:tc>
      </w:tr>
      <w:tr>
        <w:trPr>
          <w:trHeight w:val="608"/>
        </w:trPr>
        <w:tc>
          <w:tcPr>
            <w:tcW w:w="4580" w:type="dxa"/>
            <w:vAlign w:val="bottom"/>
          </w:tcPr>
          <w:p>
            <w:pPr>
              <w:spacing w:after="0"/>
              <w:rPr>
                <w:sz w:val="24"/>
                <w:szCs w:val="24"/>
                <w:color w:val="auto"/>
              </w:rPr>
            </w:pPr>
          </w:p>
        </w:tc>
        <w:tc>
          <w:tcPr>
            <w:tcW w:w="4140" w:type="dxa"/>
            <w:vAlign w:val="bottom"/>
            <w:gridSpan w:val="2"/>
          </w:tcPr>
          <w:p>
            <w:pPr>
              <w:jc w:val="right"/>
              <w:ind w:right="2852"/>
              <w:spacing w:after="0"/>
              <w:rPr>
                <w:sz w:val="20"/>
                <w:szCs w:val="20"/>
                <w:color w:val="auto"/>
              </w:rPr>
            </w:pPr>
            <w:r>
              <w:rPr>
                <w:rFonts w:ascii="Arial" w:cs="Arial" w:eastAsia="Arial" w:hAnsi="Arial"/>
                <w:sz w:val="17"/>
                <w:szCs w:val="17"/>
                <w:color w:val="auto"/>
              </w:rPr>
              <w:t>F-30</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5"/>
        </w:trPr>
        <w:tc>
          <w:tcPr>
            <w:tcW w:w="4580" w:type="dxa"/>
            <w:vAlign w:val="bottom"/>
            <w:tcBorders>
              <w:bottom w:val="single" w:sz="8" w:color="9A9A9A"/>
            </w:tcBorders>
          </w:tcPr>
          <w:p>
            <w:pPr>
              <w:spacing w:after="0"/>
              <w:rPr>
                <w:sz w:val="8"/>
                <w:szCs w:val="8"/>
                <w:color w:val="auto"/>
              </w:rPr>
            </w:pPr>
          </w:p>
        </w:tc>
        <w:tc>
          <w:tcPr>
            <w:tcW w:w="31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1">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16" w:lineRule="exact"/>
        <w:rPr>
          <w:sz w:val="20"/>
          <w:szCs w:val="20"/>
          <w:color w:val="auto"/>
        </w:rPr>
      </w:pPr>
    </w:p>
    <w:p>
      <w:pPr>
        <w:ind w:right="580" w:firstLine="589"/>
        <w:spacing w:after="0" w:line="242" w:lineRule="auto"/>
        <w:rPr>
          <w:sz w:val="20"/>
          <w:szCs w:val="20"/>
          <w:color w:val="auto"/>
        </w:rPr>
      </w:pPr>
      <w:r>
        <w:rPr>
          <w:rFonts w:ascii="Arial" w:cs="Arial" w:eastAsia="Arial" w:hAnsi="Arial"/>
          <w:sz w:val="17"/>
          <w:szCs w:val="17"/>
          <w:color w:val="auto"/>
        </w:rPr>
        <w:t>Supplemental balance sheet and other information related to leases as of December 31, 2021 and December 31, 2020 is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6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r>
      <w:tr>
        <w:trPr>
          <w:trHeight w:val="196"/>
        </w:trPr>
        <w:tc>
          <w:tcPr>
            <w:tcW w:w="762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Leases:</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7"/>
                <w:szCs w:val="17"/>
                <w:color w:val="auto"/>
              </w:rPr>
              <w:t>Right-of-use assets</w:t>
            </w: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182,672</w:t>
            </w:r>
          </w:p>
        </w:tc>
        <w:tc>
          <w:tcPr>
            <w:tcW w:w="240" w:type="dxa"/>
            <w:vAlign w:val="bottom"/>
          </w:tcPr>
          <w:p>
            <w:pPr>
              <w:spacing w:after="0"/>
              <w:rPr>
                <w:sz w:val="17"/>
                <w:szCs w:val="17"/>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210,398</w:t>
            </w:r>
          </w:p>
        </w:tc>
        <w:tc>
          <w:tcPr>
            <w:tcW w:w="160" w:type="dxa"/>
            <w:vAlign w:val="bottom"/>
          </w:tcPr>
          <w:p>
            <w:pPr>
              <w:spacing w:after="0"/>
              <w:rPr>
                <w:sz w:val="17"/>
                <w:szCs w:val="17"/>
                <w:color w:val="auto"/>
              </w:rPr>
            </w:pPr>
          </w:p>
        </w:tc>
      </w:tr>
      <w:tr>
        <w:trPr>
          <w:trHeight w:val="203"/>
        </w:trPr>
        <w:tc>
          <w:tcPr>
            <w:tcW w:w="7620" w:type="dxa"/>
            <w:vAlign w:val="bottom"/>
            <w:shd w:val="clear" w:color="auto" w:fill="CFF0FC"/>
          </w:tcPr>
          <w:p>
            <w:pPr>
              <w:spacing w:after="0"/>
              <w:rPr>
                <w:sz w:val="20"/>
                <w:szCs w:val="20"/>
                <w:color w:val="auto"/>
              </w:rPr>
            </w:pPr>
            <w:r>
              <w:rPr>
                <w:rFonts w:ascii="Arial" w:cs="Arial" w:eastAsia="Arial" w:hAnsi="Arial"/>
                <w:sz w:val="17"/>
                <w:szCs w:val="17"/>
                <w:color w:val="auto"/>
              </w:rPr>
              <w:t>Lease liabilities:</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7620" w:type="dxa"/>
            <w:vAlign w:val="bottom"/>
          </w:tcPr>
          <w:p>
            <w:pPr>
              <w:ind w:left="240"/>
              <w:spacing w:after="0"/>
              <w:rPr>
                <w:sz w:val="20"/>
                <w:szCs w:val="20"/>
                <w:color w:val="auto"/>
              </w:rPr>
            </w:pPr>
            <w:r>
              <w:rPr>
                <w:rFonts w:ascii="Arial" w:cs="Arial" w:eastAsia="Arial" w:hAnsi="Arial"/>
                <w:sz w:val="17"/>
                <w:szCs w:val="17"/>
                <w:color w:val="auto"/>
              </w:rPr>
              <w:t>Current</w:t>
            </w: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55,902</w:t>
            </w:r>
          </w:p>
        </w:tc>
        <w:tc>
          <w:tcPr>
            <w:tcW w:w="240" w:type="dxa"/>
            <w:vAlign w:val="bottom"/>
          </w:tcPr>
          <w:p>
            <w:pPr>
              <w:spacing w:after="0"/>
              <w:rPr>
                <w:sz w:val="17"/>
                <w:szCs w:val="17"/>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54,133</w:t>
            </w:r>
          </w:p>
        </w:tc>
        <w:tc>
          <w:tcPr>
            <w:tcW w:w="160" w:type="dxa"/>
            <w:vAlign w:val="bottom"/>
          </w:tcPr>
          <w:p>
            <w:pPr>
              <w:spacing w:after="0"/>
              <w:rPr>
                <w:sz w:val="17"/>
                <w:szCs w:val="17"/>
                <w:color w:val="auto"/>
              </w:rPr>
            </w:pPr>
          </w:p>
        </w:tc>
      </w:tr>
      <w:tr>
        <w:trPr>
          <w:trHeight w:val="203"/>
        </w:trPr>
        <w:tc>
          <w:tcPr>
            <w:tcW w:w="76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Long-term</w:t>
            </w: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148,893</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182,467</w:t>
            </w:r>
          </w:p>
        </w:tc>
        <w:tc>
          <w:tcPr>
            <w:tcW w:w="160" w:type="dxa"/>
            <w:vAlign w:val="bottom"/>
            <w:shd w:val="clear" w:color="auto" w:fill="CFF0FC"/>
          </w:tcPr>
          <w:p>
            <w:pPr>
              <w:spacing w:after="0"/>
              <w:rPr>
                <w:sz w:val="17"/>
                <w:szCs w:val="17"/>
                <w:color w:val="auto"/>
              </w:rPr>
            </w:pPr>
          </w:p>
        </w:tc>
      </w:tr>
      <w:tr>
        <w:trPr>
          <w:trHeight w:val="236"/>
        </w:trPr>
        <w:tc>
          <w:tcPr>
            <w:tcW w:w="7620" w:type="dxa"/>
            <w:vAlign w:val="bottom"/>
          </w:tcPr>
          <w:p>
            <w:pPr>
              <w:spacing w:after="0"/>
              <w:rPr>
                <w:sz w:val="20"/>
                <w:szCs w:val="20"/>
                <w:color w:val="auto"/>
              </w:rPr>
            </w:pPr>
            <w:r>
              <w:rPr>
                <w:rFonts w:ascii="Arial" w:cs="Arial" w:eastAsia="Arial" w:hAnsi="Arial"/>
                <w:sz w:val="17"/>
                <w:szCs w:val="17"/>
                <w:color w:val="auto"/>
              </w:rPr>
              <w:t>Total operating lease liabilities</w:t>
            </w: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204,795</w:t>
            </w:r>
          </w:p>
        </w:tc>
        <w:tc>
          <w:tcPr>
            <w:tcW w:w="240" w:type="dxa"/>
            <w:vAlign w:val="bottom"/>
          </w:tcPr>
          <w:p>
            <w:pPr>
              <w:spacing w:after="0"/>
              <w:rPr>
                <w:sz w:val="20"/>
                <w:szCs w:val="20"/>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236,600</w:t>
            </w:r>
          </w:p>
        </w:tc>
        <w:tc>
          <w:tcPr>
            <w:tcW w:w="160" w:type="dxa"/>
            <w:vAlign w:val="bottom"/>
          </w:tcPr>
          <w:p>
            <w:pPr>
              <w:spacing w:after="0"/>
              <w:rPr>
                <w:sz w:val="20"/>
                <w:szCs w:val="20"/>
                <w:color w:val="auto"/>
              </w:rPr>
            </w:pPr>
          </w:p>
        </w:tc>
      </w:tr>
      <w:tr>
        <w:trPr>
          <w:trHeight w:val="181"/>
        </w:trPr>
        <w:tc>
          <w:tcPr>
            <w:tcW w:w="7620" w:type="dxa"/>
            <w:vAlign w:val="bottom"/>
            <w:tcBorders>
              <w:top w:val="single" w:sz="8" w:color="CFF0FC"/>
            </w:tcBorders>
            <w:shd w:val="clear" w:color="auto" w:fill="CFF0FC"/>
          </w:tcPr>
          <w:p>
            <w:pPr>
              <w:spacing w:after="0" w:line="181" w:lineRule="exact"/>
              <w:rPr>
                <w:sz w:val="20"/>
                <w:szCs w:val="20"/>
                <w:color w:val="auto"/>
              </w:rPr>
            </w:pPr>
            <w:r>
              <w:rPr>
                <w:rFonts w:ascii="Arial" w:cs="Arial" w:eastAsia="Arial" w:hAnsi="Arial"/>
                <w:sz w:val="17"/>
                <w:szCs w:val="17"/>
                <w:color w:val="auto"/>
              </w:rPr>
              <w:t>Finance Leases:</w:t>
            </w:r>
          </w:p>
        </w:tc>
        <w:tc>
          <w:tcPr>
            <w:tcW w:w="3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7"/>
                <w:szCs w:val="17"/>
                <w:color w:val="auto"/>
              </w:rPr>
              <w:t>Other noncurrent assets</w:t>
            </w: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4,389</w:t>
            </w:r>
          </w:p>
        </w:tc>
        <w:tc>
          <w:tcPr>
            <w:tcW w:w="240" w:type="dxa"/>
            <w:vAlign w:val="bottom"/>
          </w:tcPr>
          <w:p>
            <w:pPr>
              <w:spacing w:after="0"/>
              <w:rPr>
                <w:sz w:val="17"/>
                <w:szCs w:val="17"/>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3,363</w:t>
            </w:r>
          </w:p>
        </w:tc>
        <w:tc>
          <w:tcPr>
            <w:tcW w:w="160" w:type="dxa"/>
            <w:vAlign w:val="bottom"/>
          </w:tcPr>
          <w:p>
            <w:pPr>
              <w:spacing w:after="0"/>
              <w:rPr>
                <w:sz w:val="17"/>
                <w:szCs w:val="17"/>
                <w:color w:val="auto"/>
              </w:rPr>
            </w:pPr>
          </w:p>
        </w:tc>
      </w:tr>
      <w:tr>
        <w:trPr>
          <w:trHeight w:val="203"/>
        </w:trPr>
        <w:tc>
          <w:tcPr>
            <w:tcW w:w="7620" w:type="dxa"/>
            <w:vAlign w:val="bottom"/>
            <w:shd w:val="clear" w:color="auto" w:fill="CFF0FC"/>
          </w:tcPr>
          <w:p>
            <w:pPr>
              <w:spacing w:after="0"/>
              <w:rPr>
                <w:sz w:val="20"/>
                <w:szCs w:val="20"/>
                <w:color w:val="auto"/>
              </w:rPr>
            </w:pPr>
            <w:r>
              <w:rPr>
                <w:rFonts w:ascii="Arial" w:cs="Arial" w:eastAsia="Arial" w:hAnsi="Arial"/>
                <w:sz w:val="17"/>
                <w:szCs w:val="17"/>
                <w:color w:val="auto"/>
              </w:rPr>
              <w:t>Accrued expenses and other current liabilities</w:t>
            </w:r>
          </w:p>
        </w:tc>
        <w:tc>
          <w:tcPr>
            <w:tcW w:w="360" w:type="dxa"/>
            <w:vAlign w:val="bottom"/>
            <w:shd w:val="clear" w:color="auto" w:fill="CFF0FC"/>
          </w:tcPr>
          <w:p>
            <w:pPr>
              <w:jc w:val="right"/>
              <w:ind w:right="176"/>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1,822</w:t>
            </w:r>
          </w:p>
        </w:tc>
        <w:tc>
          <w:tcPr>
            <w:tcW w:w="2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1,461</w:t>
            </w:r>
          </w:p>
        </w:tc>
        <w:tc>
          <w:tcPr>
            <w:tcW w:w="160" w:type="dxa"/>
            <w:vAlign w:val="bottom"/>
            <w:shd w:val="clear" w:color="auto" w:fill="CFF0FC"/>
          </w:tcPr>
          <w:p>
            <w:pPr>
              <w:spacing w:after="0"/>
              <w:rPr>
                <w:sz w:val="17"/>
                <w:szCs w:val="17"/>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7"/>
                <w:szCs w:val="17"/>
                <w:color w:val="auto"/>
              </w:rPr>
              <w:t>Other long-term liabilities</w:t>
            </w: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2,422</w:t>
            </w:r>
          </w:p>
        </w:tc>
        <w:tc>
          <w:tcPr>
            <w:tcW w:w="240" w:type="dxa"/>
            <w:vAlign w:val="bottom"/>
          </w:tcPr>
          <w:p>
            <w:pPr>
              <w:spacing w:after="0"/>
              <w:rPr>
                <w:sz w:val="17"/>
                <w:szCs w:val="17"/>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1,733</w:t>
            </w:r>
          </w:p>
        </w:tc>
        <w:tc>
          <w:tcPr>
            <w:tcW w:w="160" w:type="dxa"/>
            <w:vAlign w:val="bottom"/>
          </w:tcPr>
          <w:p>
            <w:pPr>
              <w:spacing w:after="0"/>
              <w:rPr>
                <w:sz w:val="17"/>
                <w:szCs w:val="17"/>
                <w:color w:val="auto"/>
              </w:rPr>
            </w:pPr>
          </w:p>
        </w:tc>
      </w:tr>
      <w:tr>
        <w:trPr>
          <w:trHeight w:val="203"/>
        </w:trPr>
        <w:tc>
          <w:tcPr>
            <w:tcW w:w="76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7"/>
                <w:szCs w:val="17"/>
                <w:color w:val="auto"/>
              </w:rPr>
              <w:t>Weighted Average Remaining Lease Term:</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762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leases</w:t>
            </w:r>
          </w:p>
        </w:tc>
        <w:tc>
          <w:tcPr>
            <w:tcW w:w="3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4.3 Years</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 years</w:t>
            </w:r>
          </w:p>
        </w:tc>
      </w:tr>
      <w:tr>
        <w:trPr>
          <w:trHeight w:val="203"/>
        </w:trPr>
        <w:tc>
          <w:tcPr>
            <w:tcW w:w="7620" w:type="dxa"/>
            <w:vAlign w:val="bottom"/>
          </w:tcPr>
          <w:p>
            <w:pPr>
              <w:spacing w:after="0"/>
              <w:rPr>
                <w:sz w:val="20"/>
                <w:szCs w:val="20"/>
                <w:color w:val="auto"/>
              </w:rPr>
            </w:pPr>
            <w:r>
              <w:rPr>
                <w:rFonts w:ascii="Arial" w:cs="Arial" w:eastAsia="Arial" w:hAnsi="Arial"/>
                <w:sz w:val="17"/>
                <w:szCs w:val="17"/>
                <w:color w:val="auto"/>
              </w:rPr>
              <w:t>Finance leases</w:t>
            </w:r>
          </w:p>
        </w:tc>
        <w:tc>
          <w:tcPr>
            <w:tcW w:w="360" w:type="dxa"/>
            <w:vAlign w:val="bottom"/>
          </w:tcPr>
          <w:p>
            <w:pPr>
              <w:spacing w:after="0"/>
              <w:rPr>
                <w:sz w:val="17"/>
                <w:szCs w:val="17"/>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7"/>
                <w:szCs w:val="17"/>
                <w:color w:val="auto"/>
              </w:rPr>
              <w:t>2.9 years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3 years</w:t>
            </w:r>
          </w:p>
        </w:tc>
      </w:tr>
      <w:tr>
        <w:trPr>
          <w:trHeight w:val="203"/>
        </w:trPr>
        <w:tc>
          <w:tcPr>
            <w:tcW w:w="7620" w:type="dxa"/>
            <w:vAlign w:val="bottom"/>
            <w:shd w:val="clear" w:color="auto" w:fill="CFF0FC"/>
          </w:tcPr>
          <w:p>
            <w:pPr>
              <w:spacing w:after="0"/>
              <w:rPr>
                <w:sz w:val="20"/>
                <w:szCs w:val="20"/>
                <w:color w:val="auto"/>
              </w:rPr>
            </w:pPr>
            <w:r>
              <w:rPr>
                <w:rFonts w:ascii="Arial" w:cs="Arial" w:eastAsia="Arial" w:hAnsi="Arial"/>
                <w:sz w:val="17"/>
                <w:szCs w:val="17"/>
                <w:color w:val="auto"/>
              </w:rPr>
              <w:t>Weighted Average Discount Rate:</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7"/>
                <w:szCs w:val="17"/>
                <w:color w:val="auto"/>
              </w:rPr>
              <w:t>Operating leases</w:t>
            </w:r>
          </w:p>
        </w:tc>
        <w:tc>
          <w:tcPr>
            <w:tcW w:w="360" w:type="dxa"/>
            <w:vAlign w:val="bottom"/>
          </w:tcPr>
          <w:p>
            <w:pPr>
              <w:spacing w:after="0"/>
              <w:rPr>
                <w:sz w:val="17"/>
                <w:szCs w:val="17"/>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3.7%</w:t>
            </w:r>
          </w:p>
        </w:tc>
      </w:tr>
      <w:tr>
        <w:trPr>
          <w:trHeight w:val="203"/>
        </w:trPr>
        <w:tc>
          <w:tcPr>
            <w:tcW w:w="7620" w:type="dxa"/>
            <w:vAlign w:val="bottom"/>
            <w:shd w:val="clear" w:color="auto" w:fill="CFF0FC"/>
          </w:tcPr>
          <w:p>
            <w:pPr>
              <w:spacing w:after="0"/>
              <w:rPr>
                <w:sz w:val="20"/>
                <w:szCs w:val="20"/>
                <w:color w:val="auto"/>
              </w:rPr>
            </w:pPr>
            <w:r>
              <w:rPr>
                <w:rFonts w:ascii="Arial" w:cs="Arial" w:eastAsia="Arial" w:hAnsi="Arial"/>
                <w:sz w:val="17"/>
                <w:szCs w:val="17"/>
                <w:color w:val="auto"/>
              </w:rPr>
              <w:t>Finance leases</w:t>
            </w:r>
          </w:p>
        </w:tc>
        <w:tc>
          <w:tcPr>
            <w:tcW w:w="3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3.8%</w:t>
            </w:r>
          </w:p>
        </w:tc>
      </w:tr>
    </w:tbl>
    <w:p>
      <w:pPr>
        <w:spacing w:after="0" w:line="22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 of December 31, 2021, the Company has no additional operating leases that have not yet commenced.</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 maturity analysis of the future undiscounted cash flows associated with the Company’s operating and finance lease liabilities as of</w:t>
      </w:r>
    </w:p>
    <w:p>
      <w:pPr>
        <w:spacing w:after="0"/>
        <w:rPr>
          <w:sz w:val="20"/>
          <w:szCs w:val="20"/>
          <w:color w:val="auto"/>
        </w:rPr>
      </w:pPr>
      <w:r>
        <w:rPr>
          <w:rFonts w:ascii="Arial" w:cs="Arial" w:eastAsia="Arial" w:hAnsi="Arial"/>
          <w:sz w:val="17"/>
          <w:szCs w:val="17"/>
          <w:color w:val="auto"/>
        </w:rPr>
        <w:t>December 31, 2021 is as follows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Operating</w:t>
            </w:r>
          </w:p>
        </w:tc>
        <w:tc>
          <w:tcPr>
            <w:tcW w:w="300" w:type="dxa"/>
            <w:vAlign w:val="bottom"/>
          </w:tcPr>
          <w:p>
            <w:pPr>
              <w:spacing w:after="0"/>
              <w:rPr>
                <w:sz w:val="13"/>
                <w:szCs w:val="13"/>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Finance</w:t>
            </w:r>
          </w:p>
        </w:tc>
      </w:tr>
      <w:tr>
        <w:trPr>
          <w:trHeight w:val="164"/>
        </w:trPr>
        <w:tc>
          <w:tcPr>
            <w:tcW w:w="5360" w:type="dxa"/>
            <w:vAlign w:val="bottom"/>
            <w:tcBorders>
              <w:bottom w:val="single" w:sz="8" w:color="CFF0FC"/>
            </w:tcBorders>
          </w:tcPr>
          <w:p>
            <w:pPr>
              <w:spacing w:after="0"/>
              <w:rPr>
                <w:sz w:val="14"/>
                <w:szCs w:val="14"/>
                <w:color w:val="auto"/>
              </w:rPr>
            </w:pPr>
          </w:p>
        </w:tc>
        <w:tc>
          <w:tcPr>
            <w:tcW w:w="23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Leases</w:t>
            </w:r>
          </w:p>
        </w:tc>
        <w:tc>
          <w:tcPr>
            <w:tcW w:w="2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Leases</w:t>
            </w:r>
          </w:p>
        </w:tc>
        <w:tc>
          <w:tcPr>
            <w:tcW w:w="100" w:type="dxa"/>
            <w:vAlign w:val="bottom"/>
            <w:tcBorders>
              <w:bottom w:val="single" w:sz="8" w:color="CFF0FC"/>
            </w:tcBorders>
          </w:tcPr>
          <w:p>
            <w:pPr>
              <w:spacing w:after="0"/>
              <w:rPr>
                <w:sz w:val="14"/>
                <w:szCs w:val="14"/>
                <w:color w:val="auto"/>
              </w:rPr>
            </w:pPr>
          </w:p>
        </w:tc>
      </w:tr>
      <w:tr>
        <w:trPr>
          <w:trHeight w:val="196"/>
        </w:trPr>
        <w:tc>
          <w:tcPr>
            <w:tcW w:w="5360" w:type="dxa"/>
            <w:vAlign w:val="bottom"/>
            <w:shd w:val="clear" w:color="auto" w:fill="CFF0FC"/>
          </w:tcPr>
          <w:p>
            <w:pPr>
              <w:spacing w:after="0"/>
              <w:rPr>
                <w:sz w:val="20"/>
                <w:szCs w:val="20"/>
                <w:color w:val="auto"/>
              </w:rPr>
            </w:pPr>
            <w:r>
              <w:rPr>
                <w:rFonts w:ascii="Arial" w:cs="Arial" w:eastAsia="Arial" w:hAnsi="Arial"/>
                <w:sz w:val="17"/>
                <w:szCs w:val="17"/>
                <w:color w:val="auto"/>
              </w:rPr>
              <w:t>2022</w:t>
            </w:r>
          </w:p>
        </w:tc>
        <w:tc>
          <w:tcPr>
            <w:tcW w:w="26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61,449</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1,885</w:t>
            </w:r>
          </w:p>
        </w:tc>
        <w:tc>
          <w:tcPr>
            <w:tcW w:w="100" w:type="dxa"/>
            <w:vAlign w:val="bottom"/>
            <w:shd w:val="clear" w:color="auto" w:fill="CFF0FC"/>
          </w:tcPr>
          <w:p>
            <w:pPr>
              <w:spacing w:after="0"/>
              <w:rPr>
                <w:sz w:val="17"/>
                <w:szCs w:val="17"/>
                <w:color w:val="auto"/>
              </w:rPr>
            </w:pPr>
          </w:p>
        </w:tc>
      </w:tr>
      <w:tr>
        <w:trPr>
          <w:trHeight w:val="203"/>
        </w:trPr>
        <w:tc>
          <w:tcPr>
            <w:tcW w:w="5360" w:type="dxa"/>
            <w:vAlign w:val="bottom"/>
          </w:tcPr>
          <w:p>
            <w:pPr>
              <w:spacing w:after="0"/>
              <w:rPr>
                <w:sz w:val="20"/>
                <w:szCs w:val="20"/>
                <w:color w:val="auto"/>
              </w:rPr>
            </w:pPr>
            <w:r>
              <w:rPr>
                <w:rFonts w:ascii="Arial" w:cs="Arial" w:eastAsia="Arial" w:hAnsi="Arial"/>
                <w:sz w:val="17"/>
                <w:szCs w:val="17"/>
                <w:color w:val="auto"/>
              </w:rPr>
              <w:t>2023</w:t>
            </w:r>
          </w:p>
        </w:tc>
        <w:tc>
          <w:tcPr>
            <w:tcW w:w="2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52,893</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1,211</w:t>
            </w:r>
          </w:p>
        </w:tc>
        <w:tc>
          <w:tcPr>
            <w:tcW w:w="100" w:type="dxa"/>
            <w:vAlign w:val="bottom"/>
          </w:tcPr>
          <w:p>
            <w:pPr>
              <w:spacing w:after="0"/>
              <w:rPr>
                <w:sz w:val="17"/>
                <w:szCs w:val="17"/>
                <w:color w:val="auto"/>
              </w:rPr>
            </w:pPr>
          </w:p>
        </w:tc>
      </w:tr>
      <w:tr>
        <w:trPr>
          <w:trHeight w:val="203"/>
        </w:trPr>
        <w:tc>
          <w:tcPr>
            <w:tcW w:w="5360" w:type="dxa"/>
            <w:vAlign w:val="bottom"/>
            <w:shd w:val="clear" w:color="auto" w:fill="CFF0FC"/>
          </w:tcPr>
          <w:p>
            <w:pPr>
              <w:spacing w:after="0"/>
              <w:rPr>
                <w:sz w:val="20"/>
                <w:szCs w:val="20"/>
                <w:color w:val="auto"/>
              </w:rPr>
            </w:pPr>
            <w:r>
              <w:rPr>
                <w:rFonts w:ascii="Arial" w:cs="Arial" w:eastAsia="Arial" w:hAnsi="Arial"/>
                <w:sz w:val="17"/>
                <w:szCs w:val="17"/>
                <w:color w:val="auto"/>
              </w:rPr>
              <w:t>2024</w:t>
            </w:r>
          </w:p>
        </w:tc>
        <w:tc>
          <w:tcPr>
            <w:tcW w:w="2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41,973</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803</w:t>
            </w:r>
          </w:p>
        </w:tc>
        <w:tc>
          <w:tcPr>
            <w:tcW w:w="100" w:type="dxa"/>
            <w:vAlign w:val="bottom"/>
            <w:shd w:val="clear" w:color="auto" w:fill="CFF0FC"/>
          </w:tcPr>
          <w:p>
            <w:pPr>
              <w:spacing w:after="0"/>
              <w:rPr>
                <w:sz w:val="17"/>
                <w:szCs w:val="17"/>
                <w:color w:val="auto"/>
              </w:rPr>
            </w:pPr>
          </w:p>
        </w:tc>
      </w:tr>
      <w:tr>
        <w:trPr>
          <w:trHeight w:val="203"/>
        </w:trPr>
        <w:tc>
          <w:tcPr>
            <w:tcW w:w="5360" w:type="dxa"/>
            <w:vAlign w:val="bottom"/>
          </w:tcPr>
          <w:p>
            <w:pPr>
              <w:spacing w:after="0"/>
              <w:rPr>
                <w:sz w:val="20"/>
                <w:szCs w:val="20"/>
                <w:color w:val="auto"/>
              </w:rPr>
            </w:pPr>
            <w:r>
              <w:rPr>
                <w:rFonts w:ascii="Arial" w:cs="Arial" w:eastAsia="Arial" w:hAnsi="Arial"/>
                <w:sz w:val="17"/>
                <w:szCs w:val="17"/>
                <w:color w:val="auto"/>
              </w:rPr>
              <w:t>2025</w:t>
            </w:r>
          </w:p>
        </w:tc>
        <w:tc>
          <w:tcPr>
            <w:tcW w:w="2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30,965</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440</w:t>
            </w:r>
          </w:p>
        </w:tc>
        <w:tc>
          <w:tcPr>
            <w:tcW w:w="100" w:type="dxa"/>
            <w:vAlign w:val="bottom"/>
          </w:tcPr>
          <w:p>
            <w:pPr>
              <w:spacing w:after="0"/>
              <w:rPr>
                <w:sz w:val="17"/>
                <w:szCs w:val="17"/>
                <w:color w:val="auto"/>
              </w:rPr>
            </w:pPr>
          </w:p>
        </w:tc>
      </w:tr>
      <w:tr>
        <w:trPr>
          <w:trHeight w:val="203"/>
        </w:trPr>
        <w:tc>
          <w:tcPr>
            <w:tcW w:w="5360" w:type="dxa"/>
            <w:vAlign w:val="bottom"/>
            <w:shd w:val="clear" w:color="auto" w:fill="CFF0FC"/>
          </w:tcPr>
          <w:p>
            <w:pPr>
              <w:spacing w:after="0"/>
              <w:rPr>
                <w:sz w:val="20"/>
                <w:szCs w:val="20"/>
                <w:color w:val="auto"/>
              </w:rPr>
            </w:pPr>
            <w:r>
              <w:rPr>
                <w:rFonts w:ascii="Arial" w:cs="Arial" w:eastAsia="Arial" w:hAnsi="Arial"/>
                <w:sz w:val="17"/>
                <w:szCs w:val="17"/>
                <w:color w:val="auto"/>
              </w:rPr>
              <w:t>2026</w:t>
            </w:r>
          </w:p>
        </w:tc>
        <w:tc>
          <w:tcPr>
            <w:tcW w:w="2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17,326</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FF0FC"/>
          </w:tcPr>
          <w:p>
            <w:pPr>
              <w:spacing w:after="0"/>
              <w:rPr>
                <w:sz w:val="17"/>
                <w:szCs w:val="17"/>
                <w:color w:val="auto"/>
              </w:rPr>
            </w:pPr>
          </w:p>
        </w:tc>
      </w:tr>
      <w:tr>
        <w:trPr>
          <w:trHeight w:val="203"/>
        </w:trPr>
        <w:tc>
          <w:tcPr>
            <w:tcW w:w="53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Thereafter</w:t>
            </w:r>
          </w:p>
        </w:tc>
        <w:tc>
          <w:tcPr>
            <w:tcW w:w="23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14,540</w:t>
            </w:r>
          </w:p>
        </w:tc>
        <w:tc>
          <w:tcPr>
            <w:tcW w:w="2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7"/>
                <w:szCs w:val="17"/>
                <w:color w:val="auto"/>
              </w:rPr>
            </w:pPr>
          </w:p>
        </w:tc>
      </w:tr>
      <w:tr>
        <w:trPr>
          <w:trHeight w:val="196"/>
        </w:trPr>
        <w:tc>
          <w:tcPr>
            <w:tcW w:w="53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lease payments</w:t>
            </w:r>
          </w:p>
        </w:tc>
        <w:tc>
          <w:tcPr>
            <w:tcW w:w="2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219,146</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4,349</w:t>
            </w:r>
          </w:p>
        </w:tc>
        <w:tc>
          <w:tcPr>
            <w:tcW w:w="100" w:type="dxa"/>
            <w:vAlign w:val="bottom"/>
            <w:shd w:val="clear" w:color="auto" w:fill="CFF0FC"/>
          </w:tcPr>
          <w:p>
            <w:pPr>
              <w:spacing w:after="0"/>
              <w:rPr>
                <w:sz w:val="17"/>
                <w:szCs w:val="17"/>
                <w:color w:val="auto"/>
              </w:rPr>
            </w:pPr>
          </w:p>
        </w:tc>
      </w:tr>
      <w:tr>
        <w:trPr>
          <w:trHeight w:val="203"/>
        </w:trPr>
        <w:tc>
          <w:tcPr>
            <w:tcW w:w="5360" w:type="dxa"/>
            <w:vAlign w:val="bottom"/>
          </w:tcPr>
          <w:p>
            <w:pPr>
              <w:spacing w:after="0"/>
              <w:rPr>
                <w:sz w:val="20"/>
                <w:szCs w:val="20"/>
                <w:color w:val="auto"/>
              </w:rPr>
            </w:pPr>
            <w:r>
              <w:rPr>
                <w:rFonts w:ascii="Arial" w:cs="Arial" w:eastAsia="Arial" w:hAnsi="Arial"/>
                <w:sz w:val="17"/>
                <w:szCs w:val="17"/>
                <w:color w:val="auto"/>
              </w:rPr>
              <w:t>Less: imputed interest</w:t>
            </w:r>
          </w:p>
        </w:tc>
        <w:tc>
          <w:tcPr>
            <w:tcW w:w="2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(14,351)</w:t>
            </w:r>
          </w:p>
        </w:tc>
        <w:tc>
          <w:tcPr>
            <w:tcW w:w="30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7"/>
                <w:szCs w:val="17"/>
                <w:color w:val="auto"/>
              </w:rPr>
              <w:t>(105)</w:t>
            </w:r>
          </w:p>
        </w:tc>
      </w:tr>
      <w:tr>
        <w:trPr>
          <w:trHeight w:val="20"/>
        </w:trPr>
        <w:tc>
          <w:tcPr>
            <w:tcW w:w="5360" w:type="dxa"/>
            <w:vAlign w:val="bottom"/>
            <w:shd w:val="clear" w:color="auto" w:fill="CFF0FC"/>
          </w:tcPr>
          <w:p>
            <w:pPr>
              <w:spacing w:after="0" w:line="20" w:lineRule="exact"/>
              <w:rPr>
                <w:sz w:val="1"/>
                <w:szCs w:val="1"/>
                <w:color w:val="auto"/>
              </w:rPr>
            </w:pPr>
          </w:p>
        </w:tc>
        <w:tc>
          <w:tcPr>
            <w:tcW w:w="23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3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present value of lease liabilities</w:t>
            </w:r>
          </w:p>
        </w:tc>
        <w:tc>
          <w:tcPr>
            <w:tcW w:w="26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204,795</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4,244</w:t>
            </w:r>
          </w:p>
        </w:tc>
        <w:tc>
          <w:tcPr>
            <w:tcW w:w="100" w:type="dxa"/>
            <w:vAlign w:val="bottom"/>
            <w:shd w:val="clear" w:color="auto" w:fill="CFF0FC"/>
          </w:tcPr>
          <w:p>
            <w:pPr>
              <w:spacing w:after="0"/>
              <w:rPr>
                <w:sz w:val="17"/>
                <w:szCs w:val="17"/>
                <w:color w:val="auto"/>
              </w:rPr>
            </w:pP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23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03" w:lineRule="exact"/>
        <w:rPr>
          <w:sz w:val="20"/>
          <w:szCs w:val="20"/>
          <w:color w:val="auto"/>
        </w:rPr>
      </w:pPr>
    </w:p>
    <w:p>
      <w:pPr>
        <w:ind w:right="140" w:firstLine="589"/>
        <w:spacing w:after="0" w:line="242" w:lineRule="auto"/>
        <w:rPr>
          <w:sz w:val="20"/>
          <w:szCs w:val="20"/>
          <w:color w:val="auto"/>
        </w:rPr>
      </w:pPr>
      <w:r>
        <w:rPr>
          <w:rFonts w:ascii="Arial" w:cs="Arial" w:eastAsia="Arial" w:hAnsi="Arial"/>
          <w:sz w:val="17"/>
          <w:szCs w:val="17"/>
          <w:color w:val="auto"/>
        </w:rPr>
        <w:t>Rental expense for the years ended December 31, 2021, December 31, 2020 and December 31, 2019 was $73.1 million, $81.8 million and $ 82.1 million, respectively, and is recorded in “Selling, general and administrative expenses” in the consolidated statements of income.</w:t>
      </w:r>
    </w:p>
    <w:p>
      <w:pPr>
        <w:spacing w:after="0" w:line="270" w:lineRule="exact"/>
        <w:rPr>
          <w:sz w:val="20"/>
          <w:szCs w:val="20"/>
          <w:color w:val="auto"/>
        </w:rPr>
      </w:pPr>
    </w:p>
    <w:p>
      <w:pPr>
        <w:ind w:left="600" w:right="5360" w:hanging="599"/>
        <w:spacing w:after="0" w:line="370" w:lineRule="auto"/>
        <w:tabs>
          <w:tab w:leader="none" w:pos="594"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Employee Stock Purchase and Equity-Based Compensation Plans Employee Stock Purchase Plan</w:t>
      </w:r>
    </w:p>
    <w:p>
      <w:pPr>
        <w:jc w:val="both"/>
        <w:ind w:right="20" w:firstLine="589"/>
        <w:spacing w:after="0" w:line="238" w:lineRule="auto"/>
        <w:rPr>
          <w:sz w:val="20"/>
          <w:szCs w:val="20"/>
          <w:color w:val="auto"/>
        </w:rPr>
      </w:pPr>
      <w:r>
        <w:rPr>
          <w:rFonts w:ascii="Arial" w:cs="Arial" w:eastAsia="Arial" w:hAnsi="Arial"/>
          <w:sz w:val="17"/>
          <w:szCs w:val="17"/>
          <w:color w:val="auto"/>
        </w:rPr>
        <w:t>The Parsons Corporation Employee Stock Purchase Plan (“ESPP”) was adopted effective March 1, 2020. Under the ESPP, eligible employees who elect to participate are granted the right to purchase shares of Parsons common stock at a discount of 5% of the market value on the last trading day of the offering period.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3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presents stock issuance activity for the years ended December 31, 2021 and December 31, 2020 (in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480" w:type="dxa"/>
            <w:vAlign w:val="bottom"/>
            <w:tcBorders>
              <w:bottom w:val="single" w:sz="8" w:color="CFF0FC"/>
            </w:tcBorders>
          </w:tcPr>
          <w:p>
            <w:pPr>
              <w:spacing w:after="0"/>
              <w:rPr>
                <w:sz w:val="14"/>
                <w:szCs w:val="14"/>
                <w:color w:val="auto"/>
              </w:rPr>
            </w:pPr>
          </w:p>
        </w:tc>
        <w:tc>
          <w:tcPr>
            <w:tcW w:w="284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196"/>
        </w:trPr>
        <w:tc>
          <w:tcPr>
            <w:tcW w:w="5480" w:type="dxa"/>
            <w:vAlign w:val="bottom"/>
            <w:shd w:val="clear" w:color="auto" w:fill="CFF0FC"/>
          </w:tcPr>
          <w:p>
            <w:pPr>
              <w:spacing w:after="0"/>
              <w:rPr>
                <w:sz w:val="20"/>
                <w:szCs w:val="20"/>
                <w:color w:val="auto"/>
              </w:rPr>
            </w:pPr>
            <w:r>
              <w:rPr>
                <w:rFonts w:ascii="Arial" w:cs="Arial" w:eastAsia="Arial" w:hAnsi="Arial"/>
                <w:sz w:val="17"/>
                <w:szCs w:val="17"/>
                <w:color w:val="auto"/>
              </w:rPr>
              <w:t>Purchase price paid for shares sold</w:t>
            </w:r>
          </w:p>
        </w:tc>
        <w:tc>
          <w:tcPr>
            <w:tcW w:w="3660" w:type="dxa"/>
            <w:vAlign w:val="bottom"/>
            <w:gridSpan w:val="2"/>
            <w:shd w:val="clear" w:color="auto" w:fill="CFF0FC"/>
          </w:tcPr>
          <w:p>
            <w:pPr>
              <w:jc w:val="right"/>
              <w:ind w:right="652"/>
              <w:spacing w:after="0"/>
              <w:rPr>
                <w:sz w:val="20"/>
                <w:szCs w:val="20"/>
                <w:color w:val="auto"/>
              </w:rPr>
            </w:pPr>
            <w:r>
              <w:rPr>
                <w:rFonts w:ascii="Arial" w:cs="Arial" w:eastAsia="Arial" w:hAnsi="Arial"/>
                <w:sz w:val="17"/>
                <w:szCs w:val="17"/>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5,556</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4,386</w:t>
            </w:r>
          </w:p>
        </w:tc>
        <w:tc>
          <w:tcPr>
            <w:tcW w:w="100" w:type="dxa"/>
            <w:vAlign w:val="bottom"/>
            <w:shd w:val="clear" w:color="auto" w:fill="CFF0FC"/>
          </w:tcPr>
          <w:p>
            <w:pPr>
              <w:spacing w:after="0"/>
              <w:rPr>
                <w:sz w:val="17"/>
                <w:szCs w:val="17"/>
                <w:color w:val="auto"/>
              </w:rPr>
            </w:pPr>
          </w:p>
        </w:tc>
      </w:tr>
      <w:tr>
        <w:trPr>
          <w:trHeight w:val="215"/>
        </w:trPr>
        <w:tc>
          <w:tcPr>
            <w:tcW w:w="5480" w:type="dxa"/>
            <w:vAlign w:val="bottom"/>
          </w:tcPr>
          <w:p>
            <w:pPr>
              <w:spacing w:after="0"/>
              <w:rPr>
                <w:sz w:val="20"/>
                <w:szCs w:val="20"/>
                <w:color w:val="auto"/>
              </w:rPr>
            </w:pPr>
            <w:r>
              <w:rPr>
                <w:rFonts w:ascii="Arial" w:cs="Arial" w:eastAsia="Arial" w:hAnsi="Arial"/>
                <w:sz w:val="17"/>
                <w:szCs w:val="17"/>
                <w:color w:val="auto"/>
              </w:rPr>
              <w:t>Number of shares sold</w:t>
            </w:r>
          </w:p>
        </w:tc>
        <w:tc>
          <w:tcPr>
            <w:tcW w:w="2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161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8"/>
                <w:szCs w:val="18"/>
                <w:color w:val="auto"/>
              </w:rPr>
            </w:pPr>
          </w:p>
        </w:tc>
      </w:tr>
    </w:tbl>
    <w:p>
      <w:pPr>
        <w:spacing w:after="0" w:line="89" w:lineRule="exact"/>
        <w:rPr>
          <w:sz w:val="20"/>
          <w:szCs w:val="20"/>
          <w:color w:val="auto"/>
        </w:rPr>
      </w:pPr>
    </w:p>
    <w:p>
      <w:pPr>
        <w:ind w:left="600" w:right="160"/>
        <w:spacing w:after="0" w:line="358" w:lineRule="auto"/>
        <w:rPr>
          <w:sz w:val="20"/>
          <w:szCs w:val="20"/>
          <w:color w:val="auto"/>
        </w:rPr>
      </w:pPr>
      <w:r>
        <w:rPr>
          <w:rFonts w:ascii="Arial" w:cs="Arial" w:eastAsia="Arial" w:hAnsi="Arial"/>
          <w:sz w:val="17"/>
          <w:szCs w:val="17"/>
          <w:color w:val="auto"/>
        </w:rPr>
        <w:t xml:space="preserve">The average purchase price for the year ended December 31, 2021 and December 31, 2020 was $34.46 and $34.53 per share, respectively. </w:t>
      </w:r>
      <w:r>
        <w:rPr>
          <w:rFonts w:ascii="Arial" w:cs="Arial" w:eastAsia="Arial" w:hAnsi="Arial"/>
          <w:sz w:val="17"/>
          <w:szCs w:val="17"/>
          <w:b w:val="1"/>
          <w:bCs w:val="1"/>
          <w:color w:val="auto"/>
        </w:rPr>
        <w:t>Equity-Based Compensation Plans</w:t>
      </w:r>
    </w:p>
    <w:p>
      <w:pPr>
        <w:ind w:right="220" w:firstLine="589"/>
        <w:spacing w:after="0" w:line="236" w:lineRule="auto"/>
        <w:rPr>
          <w:sz w:val="20"/>
          <w:szCs w:val="20"/>
          <w:color w:val="auto"/>
        </w:rPr>
      </w:pPr>
      <w:r>
        <w:rPr>
          <w:rFonts w:ascii="Arial" w:cs="Arial" w:eastAsia="Arial" w:hAnsi="Arial"/>
          <w:sz w:val="17"/>
          <w:szCs w:val="17"/>
          <w:color w:val="auto"/>
        </w:rPr>
        <w:t>The Company issues stock-based awards through the Incentive Award Plan. Prior to the adoption of the Incentive Award Plan on April 15, 2019, the Company issued awards under the Shareholder Value Plan, Long-Term Growth Plan and Restricted Award Plan. Through these plans the Company may issue stock options (including incentive and non-qualified stock options), stock appreciation rights, restricted stock, restricted stock units, an “other” stock or cash-based awards, or a dividend equivalent award. The compensation expense for these awards is recorded in “Selling, general and administrative expenses” in the Company’s consolidated financial statements.</w:t>
      </w:r>
    </w:p>
    <w:p>
      <w:pPr>
        <w:spacing w:after="0" w:line="91" w:lineRule="exact"/>
        <w:rPr>
          <w:sz w:val="20"/>
          <w:szCs w:val="20"/>
          <w:color w:val="auto"/>
        </w:rPr>
      </w:pPr>
    </w:p>
    <w:p>
      <w:pPr>
        <w:ind w:right="80" w:firstLine="589"/>
        <w:spacing w:after="0" w:line="243" w:lineRule="auto"/>
        <w:rPr>
          <w:sz w:val="20"/>
          <w:szCs w:val="20"/>
          <w:color w:val="auto"/>
        </w:rPr>
      </w:pPr>
      <w:r>
        <w:rPr>
          <w:rFonts w:ascii="Arial" w:cs="Arial" w:eastAsia="Arial" w:hAnsi="Arial"/>
          <w:sz w:val="17"/>
          <w:szCs w:val="17"/>
          <w:color w:val="auto"/>
        </w:rPr>
        <w:t>Stock-based compensation expense was $16.8 million, $8.2 million, and $49.0 million for the years ended December 31, 2021, December 31, 2020 and December 31, 2019, respectively, net of recognized tax benefits of $2.8 million, $1.5 million, and $16.7 million for 2021, 2020 and 2019, respectively. The tax benefit realized related to awards vested during 2021, 2020, and 2019 was $6.3 million, $10.3 million, and $3.3</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million, respectively. We recognize forfeitures as they occur.</w:t>
      </w:r>
    </w:p>
    <w:p>
      <w:pPr>
        <w:spacing w:after="0" w:line="109" w:lineRule="exact"/>
        <w:rPr>
          <w:sz w:val="20"/>
          <w:szCs w:val="20"/>
          <w:color w:val="auto"/>
        </w:rPr>
      </w:pPr>
    </w:p>
    <w:p>
      <w:pPr>
        <w:ind w:right="420" w:firstLine="865"/>
        <w:spacing w:after="0" w:line="242" w:lineRule="auto"/>
        <w:rPr>
          <w:sz w:val="20"/>
          <w:szCs w:val="20"/>
          <w:color w:val="auto"/>
        </w:rPr>
      </w:pPr>
      <w:r>
        <w:rPr>
          <w:rFonts w:ascii="Arial" w:cs="Arial" w:eastAsia="Arial" w:hAnsi="Arial"/>
          <w:sz w:val="17"/>
          <w:szCs w:val="17"/>
          <w:color w:val="auto"/>
        </w:rPr>
        <w:t>With the adoption of the Incentive Award Plan on April 15, 2019, the Company has discontinued issuing awards under the other plans described above. Outstanding awards granted out of the discontinued plans will continue to vest and will settle in cash.</w:t>
      </w:r>
    </w:p>
    <w:p>
      <w:pPr>
        <w:spacing w:after="0" w:line="88" w:lineRule="exact"/>
        <w:rPr>
          <w:sz w:val="20"/>
          <w:szCs w:val="20"/>
          <w:color w:val="auto"/>
        </w:rPr>
      </w:pPr>
    </w:p>
    <w:p>
      <w:pPr>
        <w:ind w:right="560" w:firstLine="589"/>
        <w:spacing w:after="0" w:line="272" w:lineRule="auto"/>
        <w:rPr>
          <w:sz w:val="20"/>
          <w:szCs w:val="20"/>
          <w:color w:val="auto"/>
        </w:rPr>
      </w:pPr>
      <w:r>
        <w:rPr>
          <w:rFonts w:ascii="Arial" w:cs="Arial" w:eastAsia="Arial" w:hAnsi="Arial"/>
          <w:sz w:val="16"/>
          <w:szCs w:val="16"/>
          <w:color w:val="auto"/>
        </w:rPr>
        <w:t>At December 31, 2021, the amount of compensation cost relating to non-vested awards not yet recognized in the consolidated financial statements is $19.4 million. The majority of these unrecognized compensation costs will be recognized by the third quarter of fiscal 2023.</w:t>
      </w:r>
    </w:p>
    <w:p>
      <w:pPr>
        <w:spacing w:after="0" w:line="47" w:lineRule="exact"/>
        <w:rPr>
          <w:sz w:val="20"/>
          <w:szCs w:val="20"/>
          <w:color w:val="auto"/>
        </w:rPr>
      </w:pPr>
    </w:p>
    <w:p>
      <w:pPr>
        <w:ind w:right="40" w:firstLine="589"/>
        <w:spacing w:after="0" w:line="249" w:lineRule="auto"/>
        <w:rPr>
          <w:sz w:val="20"/>
          <w:szCs w:val="20"/>
          <w:color w:val="auto"/>
        </w:rPr>
      </w:pPr>
      <w:r>
        <w:rPr>
          <w:rFonts w:ascii="Arial" w:cs="Arial" w:eastAsia="Arial" w:hAnsi="Arial"/>
          <w:sz w:val="17"/>
          <w:szCs w:val="17"/>
          <w:color w:val="auto"/>
        </w:rPr>
        <w:t>As discussed in “Note 1—</w:t>
      </w:r>
      <w:r>
        <w:rPr>
          <w:rFonts w:ascii="Arial" w:cs="Arial" w:eastAsia="Arial" w:hAnsi="Arial"/>
          <w:sz w:val="17"/>
          <w:szCs w:val="17"/>
          <w:i w:val="1"/>
          <w:iCs w:val="1"/>
          <w:color w:val="auto"/>
        </w:rPr>
        <w:t>Description of Operations”</w:t>
      </w:r>
      <w:r>
        <w:rPr>
          <w:rFonts w:ascii="Arial" w:cs="Arial" w:eastAsia="Arial" w:hAnsi="Arial"/>
          <w:sz w:val="17"/>
          <w:szCs w:val="17"/>
          <w:color w:val="auto"/>
        </w:rPr>
        <w:t>, the Company consummated its IPO on May 8, 2019. Subsequent to the IPO, the fair value of a share of the Company’s common stock is based on quoted prices on the NYSE. Please see “Note 19—</w:t>
      </w:r>
      <w:r>
        <w:rPr>
          <w:rFonts w:ascii="Arial" w:cs="Arial" w:eastAsia="Arial" w:hAnsi="Arial"/>
          <w:sz w:val="17"/>
          <w:szCs w:val="17"/>
          <w:i w:val="1"/>
          <w:iCs w:val="1"/>
          <w:color w:val="auto"/>
        </w:rPr>
        <w:t>Fair Value of Financial Instruments”</w:t>
      </w:r>
      <w:r>
        <w:rPr>
          <w:rFonts w:ascii="Arial" w:cs="Arial" w:eastAsia="Arial" w:hAnsi="Arial"/>
          <w:sz w:val="17"/>
          <w:szCs w:val="17"/>
          <w:color w:val="auto"/>
        </w:rPr>
        <w:t xml:space="preserve"> for a description of how the fair value of a share of the Company’s common stock was determined prior to the IPO.</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Stock Appreciation Rights</w:t>
      </w:r>
    </w:p>
    <w:p>
      <w:pPr>
        <w:spacing w:after="0" w:line="116" w:lineRule="exact"/>
        <w:rPr>
          <w:sz w:val="20"/>
          <w:szCs w:val="20"/>
          <w:color w:val="auto"/>
        </w:rPr>
      </w:pPr>
    </w:p>
    <w:p>
      <w:pPr>
        <w:ind w:right="140" w:firstLine="589"/>
        <w:spacing w:after="0" w:line="235" w:lineRule="auto"/>
        <w:rPr>
          <w:sz w:val="20"/>
          <w:szCs w:val="20"/>
          <w:color w:val="auto"/>
        </w:rPr>
      </w:pPr>
      <w:r>
        <w:rPr>
          <w:rFonts w:ascii="Arial" w:cs="Arial" w:eastAsia="Arial" w:hAnsi="Arial"/>
          <w:sz w:val="17"/>
          <w:szCs w:val="17"/>
          <w:color w:val="auto"/>
        </w:rPr>
        <w:t>Stock Appreciation Rights (“SARs”) were issued under the Shareholder Value Plan (“SVP”). Outstanding awards provide a cash incentive based on the increase in the Company’s share price over a three-year period, multiplied by a number of phantom share units. If at the end of a performance cycle the Company’s share price has not increased, then no award payment will be made. The awards issued under the SVP are time-vested cash-settled SARs. The SARs vest at the end of three years and expense is recognized on an accelerated basis over the vesting period. The grant date fair value of the award is determined by using the Black-Scholes option-pricing model. SARs are remeasured, using the Black-Scholes option-pricing model, to an updated fair value at each reporting period until the award is settled. The fair value of the grant on the vesting date is determined based on the 60-trading day weighted average closing price of the Company’s common stock on the NYSE. Compensation cost is trued-up at each reporting period for changes in fair value pro-rated for the portion of the requisite service period rendered.</w:t>
      </w:r>
    </w:p>
    <w:p>
      <w:pPr>
        <w:spacing w:after="0" w:line="92" w:lineRule="exact"/>
        <w:rPr>
          <w:sz w:val="20"/>
          <w:szCs w:val="20"/>
          <w:color w:val="auto"/>
        </w:rPr>
      </w:pPr>
    </w:p>
    <w:p>
      <w:pPr>
        <w:ind w:right="300" w:firstLine="589"/>
        <w:spacing w:after="0" w:line="242" w:lineRule="auto"/>
        <w:rPr>
          <w:sz w:val="20"/>
          <w:szCs w:val="20"/>
          <w:color w:val="auto"/>
        </w:rPr>
      </w:pPr>
      <w:r>
        <w:rPr>
          <w:rFonts w:ascii="Arial" w:cs="Arial" w:eastAsia="Arial" w:hAnsi="Arial"/>
          <w:sz w:val="17"/>
          <w:szCs w:val="17"/>
          <w:color w:val="auto"/>
        </w:rPr>
        <w:t>The final SVP grant vested on December 31, 2020 based on the 60-trading day weighted average closing price of the Company’s common stock on the NYSE.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31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presents the number of SARs granted, vested, and forfeited for the years ended December 31, 2020 and December 31,</w:t>
      </w:r>
    </w:p>
    <w:p>
      <w:pPr>
        <w:spacing w:after="0"/>
        <w:rPr>
          <w:sz w:val="20"/>
          <w:szCs w:val="20"/>
          <w:color w:val="auto"/>
        </w:rPr>
      </w:pPr>
      <w:r>
        <w:rPr>
          <w:rFonts w:ascii="Arial" w:cs="Arial" w:eastAsia="Arial" w:hAnsi="Arial"/>
          <w:sz w:val="17"/>
          <w:szCs w:val="17"/>
          <w:color w:val="auto"/>
        </w:rPr>
        <w:t>2019:</w:t>
      </w:r>
    </w:p>
    <w:tbl>
      <w:tblPr>
        <w:tblLayout w:type="fixed"/>
        <w:tblInd w:w="0" w:type="dxa"/>
        <w:tblCellMar>
          <w:top w:w="0" w:type="dxa"/>
          <w:left w:w="0" w:type="dxa"/>
          <w:bottom w:w="0" w:type="dxa"/>
          <w:right w:w="0" w:type="dxa"/>
        </w:tblCellMar>
      </w:tblPr>
      <w:tr>
        <w:trPr>
          <w:trHeight w:val="149"/>
        </w:trPr>
        <w:tc>
          <w:tcPr>
            <w:tcW w:w="6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Weighted Average Grant-</w:t>
            </w:r>
          </w:p>
        </w:tc>
      </w:tr>
      <w:tr>
        <w:trPr>
          <w:trHeight w:val="164"/>
        </w:trPr>
        <w:tc>
          <w:tcPr>
            <w:tcW w:w="6140" w:type="dxa"/>
            <w:vAlign w:val="bottom"/>
          </w:tcPr>
          <w:p>
            <w:pPr>
              <w:spacing w:after="0"/>
              <w:rPr>
                <w:sz w:val="14"/>
                <w:szCs w:val="14"/>
                <w:color w:val="auto"/>
              </w:rPr>
            </w:pPr>
          </w:p>
        </w:tc>
        <w:tc>
          <w:tcPr>
            <w:tcW w:w="1900" w:type="dxa"/>
            <w:vAlign w:val="bottom"/>
          </w:tcPr>
          <w:p>
            <w:pPr>
              <w:ind w:left="820"/>
              <w:spacing w:after="0"/>
              <w:rPr>
                <w:sz w:val="20"/>
                <w:szCs w:val="20"/>
                <w:color w:val="auto"/>
              </w:rPr>
            </w:pPr>
            <w:r>
              <w:rPr>
                <w:rFonts w:ascii="Arial" w:cs="Arial" w:eastAsia="Arial" w:hAnsi="Arial"/>
                <w:sz w:val="14"/>
                <w:szCs w:val="14"/>
                <w:b w:val="1"/>
                <w:bCs w:val="1"/>
                <w:color w:val="auto"/>
                <w:w w:val="97"/>
              </w:rPr>
              <w:t>Number of Units</w:t>
            </w: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Date Fair Value</w:t>
            </w:r>
          </w:p>
        </w:tc>
      </w:tr>
      <w:tr>
        <w:trPr>
          <w:trHeight w:val="196"/>
        </w:trPr>
        <w:tc>
          <w:tcPr>
            <w:tcW w:w="6140" w:type="dxa"/>
            <w:vAlign w:val="bottom"/>
          </w:tcPr>
          <w:p>
            <w:pPr>
              <w:spacing w:after="0"/>
              <w:rPr>
                <w:sz w:val="20"/>
                <w:szCs w:val="20"/>
                <w:color w:val="auto"/>
              </w:rPr>
            </w:pPr>
            <w:r>
              <w:rPr>
                <w:rFonts w:ascii="Arial" w:cs="Arial" w:eastAsia="Arial" w:hAnsi="Arial"/>
                <w:sz w:val="17"/>
                <w:szCs w:val="17"/>
                <w:color w:val="auto"/>
              </w:rPr>
              <w:t>Unvested at December 31, 2018</w:t>
            </w:r>
          </w:p>
        </w:tc>
        <w:tc>
          <w:tcPr>
            <w:tcW w:w="190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3,416,654</w:t>
            </w:r>
          </w:p>
        </w:tc>
        <w:tc>
          <w:tcPr>
            <w:tcW w:w="4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3.00</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61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8040" w:type="dxa"/>
            <w:vAlign w:val="bottom"/>
            <w:gridSpan w:val="2"/>
          </w:tcPr>
          <w:p>
            <w:pPr>
              <w:spacing w:after="0" w:line="181" w:lineRule="exact"/>
              <w:rPr>
                <w:sz w:val="20"/>
                <w:szCs w:val="20"/>
                <w:color w:val="auto"/>
              </w:rPr>
            </w:pPr>
            <w:r>
              <w:rPr>
                <w:rFonts w:ascii="Arial" w:cs="Arial" w:eastAsia="Arial" w:hAnsi="Arial"/>
                <w:sz w:val="17"/>
                <w:szCs w:val="17"/>
                <w:color w:val="auto"/>
              </w:rPr>
              <w:t>Granted</w:t>
            </w:r>
          </w:p>
        </w:tc>
        <w:tc>
          <w:tcPr>
            <w:tcW w:w="820" w:type="dxa"/>
            <w:vAlign w:val="bottom"/>
          </w:tcPr>
          <w:p>
            <w:pPr>
              <w:jc w:val="right"/>
              <w:spacing w:after="0" w:line="181" w:lineRule="exact"/>
              <w:rPr>
                <w:sz w:val="20"/>
                <w:szCs w:val="20"/>
                <w:color w:val="auto"/>
              </w:rPr>
            </w:pPr>
            <w:r>
              <w:rPr>
                <w:rFonts w:ascii="Arial" w:cs="Arial" w:eastAsia="Arial" w:hAnsi="Arial"/>
                <w:sz w:val="17"/>
                <w:szCs w:val="17"/>
                <w:color w:val="auto"/>
              </w:rPr>
              <w:t>-</w:t>
            </w:r>
          </w:p>
        </w:tc>
        <w:tc>
          <w:tcPr>
            <w:tcW w:w="46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line="181"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5"/>
                <w:szCs w:val="15"/>
                <w:color w:val="auto"/>
              </w:rPr>
            </w:pPr>
          </w:p>
        </w:tc>
      </w:tr>
      <w:tr>
        <w:trPr>
          <w:trHeight w:val="203"/>
        </w:trPr>
        <w:tc>
          <w:tcPr>
            <w:tcW w:w="6140" w:type="dxa"/>
            <w:vAlign w:val="bottom"/>
          </w:tcPr>
          <w:p>
            <w:pPr>
              <w:spacing w:after="0"/>
              <w:rPr>
                <w:sz w:val="20"/>
                <w:szCs w:val="20"/>
                <w:color w:val="auto"/>
              </w:rPr>
            </w:pPr>
            <w:r>
              <w:rPr>
                <w:rFonts w:ascii="Arial" w:cs="Arial" w:eastAsia="Arial" w:hAnsi="Arial"/>
                <w:sz w:val="17"/>
                <w:szCs w:val="17"/>
                <w:color w:val="auto"/>
              </w:rPr>
              <w:t>Vested</w:t>
            </w:r>
          </w:p>
        </w:tc>
        <w:tc>
          <w:tcPr>
            <w:tcW w:w="19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0"/>
              <w:spacing w:after="0"/>
              <w:rPr>
                <w:sz w:val="20"/>
                <w:szCs w:val="20"/>
                <w:color w:val="auto"/>
              </w:rPr>
            </w:pPr>
            <w:r>
              <w:rPr>
                <w:rFonts w:ascii="Arial" w:cs="Arial" w:eastAsia="Arial" w:hAnsi="Arial"/>
                <w:sz w:val="17"/>
                <w:szCs w:val="17"/>
                <w:color w:val="auto"/>
                <w:w w:val="98"/>
              </w:rPr>
              <w:t>(1,547,142)</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FF0FC"/>
          </w:tcPr>
          <w:p>
            <w:pPr>
              <w:spacing w:after="0"/>
              <w:rPr>
                <w:sz w:val="17"/>
                <w:szCs w:val="17"/>
                <w:color w:val="auto"/>
              </w:rPr>
            </w:pPr>
          </w:p>
        </w:tc>
      </w:tr>
      <w:tr>
        <w:trPr>
          <w:trHeight w:val="203"/>
        </w:trPr>
        <w:tc>
          <w:tcPr>
            <w:tcW w:w="8040" w:type="dxa"/>
            <w:vAlign w:val="bottom"/>
            <w:gridSpan w:val="2"/>
          </w:tcPr>
          <w:p>
            <w:pPr>
              <w:spacing w:after="0"/>
              <w:rPr>
                <w:sz w:val="20"/>
                <w:szCs w:val="20"/>
                <w:color w:val="auto"/>
              </w:rPr>
            </w:pPr>
            <w:r>
              <w:rPr>
                <w:rFonts w:ascii="Arial" w:cs="Arial" w:eastAsia="Arial" w:hAnsi="Arial"/>
                <w:sz w:val="17"/>
                <w:szCs w:val="17"/>
                <w:color w:val="auto"/>
              </w:rPr>
              <w:t>Forfeited</w:t>
            </w:r>
          </w:p>
        </w:tc>
        <w:tc>
          <w:tcPr>
            <w:tcW w:w="1280" w:type="dxa"/>
            <w:vAlign w:val="bottom"/>
            <w:gridSpan w:val="2"/>
          </w:tcPr>
          <w:p>
            <w:pPr>
              <w:jc w:val="right"/>
              <w:ind w:right="400"/>
              <w:spacing w:after="0"/>
              <w:rPr>
                <w:sz w:val="20"/>
                <w:szCs w:val="20"/>
                <w:color w:val="auto"/>
              </w:rPr>
            </w:pPr>
            <w:r>
              <w:rPr>
                <w:rFonts w:ascii="Arial" w:cs="Arial" w:eastAsia="Arial" w:hAnsi="Arial"/>
                <w:sz w:val="17"/>
                <w:szCs w:val="17"/>
                <w:color w:val="auto"/>
              </w:rPr>
              <w:t>(391,884)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3.00</w:t>
            </w:r>
          </w:p>
        </w:tc>
        <w:tc>
          <w:tcPr>
            <w:tcW w:w="100" w:type="dxa"/>
            <w:vAlign w:val="bottom"/>
          </w:tcPr>
          <w:p>
            <w:pPr>
              <w:spacing w:after="0"/>
              <w:rPr>
                <w:sz w:val="17"/>
                <w:szCs w:val="17"/>
                <w:color w:val="auto"/>
              </w:rPr>
            </w:pPr>
          </w:p>
        </w:tc>
      </w:tr>
      <w:tr>
        <w:trPr>
          <w:trHeight w:val="196"/>
        </w:trPr>
        <w:tc>
          <w:tcPr>
            <w:tcW w:w="6140" w:type="dxa"/>
            <w:vAlign w:val="bottom"/>
          </w:tcPr>
          <w:p>
            <w:pPr>
              <w:spacing w:after="0"/>
              <w:rPr>
                <w:sz w:val="20"/>
                <w:szCs w:val="20"/>
                <w:color w:val="auto"/>
              </w:rPr>
            </w:pPr>
            <w:r>
              <w:rPr>
                <w:rFonts w:ascii="Arial" w:cs="Arial" w:eastAsia="Arial" w:hAnsi="Arial"/>
                <w:sz w:val="17"/>
                <w:szCs w:val="17"/>
                <w:color w:val="auto"/>
              </w:rPr>
              <w:t>Unvested at December 31, 2019</w:t>
            </w:r>
          </w:p>
        </w:tc>
        <w:tc>
          <w:tcPr>
            <w:tcW w:w="190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1,477,628</w:t>
            </w:r>
          </w:p>
        </w:tc>
        <w:tc>
          <w:tcPr>
            <w:tcW w:w="4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3.00</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61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8040" w:type="dxa"/>
            <w:vAlign w:val="bottom"/>
            <w:gridSpan w:val="2"/>
          </w:tcPr>
          <w:p>
            <w:pPr>
              <w:spacing w:after="0" w:line="181" w:lineRule="exact"/>
              <w:rPr>
                <w:sz w:val="20"/>
                <w:szCs w:val="20"/>
                <w:color w:val="auto"/>
              </w:rPr>
            </w:pPr>
            <w:r>
              <w:rPr>
                <w:rFonts w:ascii="Arial" w:cs="Arial" w:eastAsia="Arial" w:hAnsi="Arial"/>
                <w:sz w:val="17"/>
                <w:szCs w:val="17"/>
                <w:color w:val="auto"/>
              </w:rPr>
              <w:t>Granted</w:t>
            </w:r>
          </w:p>
        </w:tc>
        <w:tc>
          <w:tcPr>
            <w:tcW w:w="820" w:type="dxa"/>
            <w:vAlign w:val="bottom"/>
          </w:tcPr>
          <w:p>
            <w:pPr>
              <w:jc w:val="right"/>
              <w:spacing w:after="0" w:line="181" w:lineRule="exact"/>
              <w:rPr>
                <w:sz w:val="20"/>
                <w:szCs w:val="20"/>
                <w:color w:val="auto"/>
              </w:rPr>
            </w:pPr>
            <w:r>
              <w:rPr>
                <w:rFonts w:ascii="Arial" w:cs="Arial" w:eastAsia="Arial" w:hAnsi="Arial"/>
                <w:sz w:val="17"/>
                <w:szCs w:val="17"/>
                <w:color w:val="auto"/>
              </w:rPr>
              <w:t>-</w:t>
            </w:r>
          </w:p>
        </w:tc>
        <w:tc>
          <w:tcPr>
            <w:tcW w:w="46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line="181"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5"/>
                <w:szCs w:val="15"/>
                <w:color w:val="auto"/>
              </w:rPr>
            </w:pPr>
          </w:p>
        </w:tc>
      </w:tr>
      <w:tr>
        <w:trPr>
          <w:trHeight w:val="203"/>
        </w:trPr>
        <w:tc>
          <w:tcPr>
            <w:tcW w:w="6140" w:type="dxa"/>
            <w:vAlign w:val="bottom"/>
          </w:tcPr>
          <w:p>
            <w:pPr>
              <w:spacing w:after="0"/>
              <w:rPr>
                <w:sz w:val="20"/>
                <w:szCs w:val="20"/>
                <w:color w:val="auto"/>
              </w:rPr>
            </w:pPr>
            <w:r>
              <w:rPr>
                <w:rFonts w:ascii="Arial" w:cs="Arial" w:eastAsia="Arial" w:hAnsi="Arial"/>
                <w:sz w:val="17"/>
                <w:szCs w:val="17"/>
                <w:color w:val="auto"/>
              </w:rPr>
              <w:t>Vested</w:t>
            </w:r>
          </w:p>
        </w:tc>
        <w:tc>
          <w:tcPr>
            <w:tcW w:w="19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0"/>
              <w:spacing w:after="0"/>
              <w:rPr>
                <w:sz w:val="20"/>
                <w:szCs w:val="20"/>
                <w:color w:val="auto"/>
              </w:rPr>
            </w:pPr>
            <w:r>
              <w:rPr>
                <w:rFonts w:ascii="Arial" w:cs="Arial" w:eastAsia="Arial" w:hAnsi="Arial"/>
                <w:sz w:val="17"/>
                <w:szCs w:val="17"/>
                <w:color w:val="auto"/>
                <w:w w:val="98"/>
              </w:rPr>
              <w:t>(1,434,836)</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FF0FC"/>
          </w:tcPr>
          <w:p>
            <w:pPr>
              <w:spacing w:after="0"/>
              <w:rPr>
                <w:sz w:val="17"/>
                <w:szCs w:val="17"/>
                <w:color w:val="auto"/>
              </w:rPr>
            </w:pPr>
          </w:p>
        </w:tc>
      </w:tr>
      <w:tr>
        <w:trPr>
          <w:trHeight w:val="203"/>
        </w:trPr>
        <w:tc>
          <w:tcPr>
            <w:tcW w:w="8040" w:type="dxa"/>
            <w:vAlign w:val="bottom"/>
            <w:gridSpan w:val="2"/>
          </w:tcPr>
          <w:p>
            <w:pPr>
              <w:spacing w:after="0"/>
              <w:rPr>
                <w:sz w:val="20"/>
                <w:szCs w:val="20"/>
                <w:color w:val="auto"/>
              </w:rPr>
            </w:pPr>
            <w:r>
              <w:rPr>
                <w:rFonts w:ascii="Arial" w:cs="Arial" w:eastAsia="Arial" w:hAnsi="Arial"/>
                <w:sz w:val="17"/>
                <w:szCs w:val="17"/>
                <w:color w:val="auto"/>
              </w:rPr>
              <w:t>Forfeited</w:t>
            </w:r>
          </w:p>
        </w:tc>
        <w:tc>
          <w:tcPr>
            <w:tcW w:w="1280" w:type="dxa"/>
            <w:vAlign w:val="bottom"/>
            <w:gridSpan w:val="2"/>
          </w:tcPr>
          <w:p>
            <w:pPr>
              <w:jc w:val="right"/>
              <w:ind w:right="400"/>
              <w:spacing w:after="0"/>
              <w:rPr>
                <w:sz w:val="20"/>
                <w:szCs w:val="20"/>
                <w:color w:val="auto"/>
              </w:rPr>
            </w:pPr>
            <w:r>
              <w:rPr>
                <w:rFonts w:ascii="Arial" w:cs="Arial" w:eastAsia="Arial" w:hAnsi="Arial"/>
                <w:sz w:val="17"/>
                <w:szCs w:val="17"/>
                <w:color w:val="auto"/>
              </w:rPr>
              <w:t>(42,792)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3.00</w:t>
            </w:r>
          </w:p>
        </w:tc>
        <w:tc>
          <w:tcPr>
            <w:tcW w:w="100" w:type="dxa"/>
            <w:vAlign w:val="bottom"/>
          </w:tcPr>
          <w:p>
            <w:pPr>
              <w:spacing w:after="0"/>
              <w:rPr>
                <w:sz w:val="17"/>
                <w:szCs w:val="17"/>
                <w:color w:val="auto"/>
              </w:rPr>
            </w:pPr>
          </w:p>
        </w:tc>
      </w:tr>
      <w:tr>
        <w:trPr>
          <w:trHeight w:val="196"/>
        </w:trPr>
        <w:tc>
          <w:tcPr>
            <w:tcW w:w="6140" w:type="dxa"/>
            <w:vAlign w:val="bottom"/>
          </w:tcPr>
          <w:p>
            <w:pPr>
              <w:spacing w:after="0"/>
              <w:rPr>
                <w:sz w:val="20"/>
                <w:szCs w:val="20"/>
                <w:color w:val="auto"/>
              </w:rPr>
            </w:pPr>
            <w:r>
              <w:rPr>
                <w:rFonts w:ascii="Arial" w:cs="Arial" w:eastAsia="Arial" w:hAnsi="Arial"/>
                <w:sz w:val="17"/>
                <w:szCs w:val="17"/>
                <w:color w:val="auto"/>
              </w:rPr>
              <w:t>Unvested at December 31, 2020</w:t>
            </w:r>
          </w:p>
        </w:tc>
        <w:tc>
          <w:tcPr>
            <w:tcW w:w="190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61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Long-Term Growth Units</w:t>
      </w:r>
    </w:p>
    <w:p>
      <w:pPr>
        <w:spacing w:after="0" w:line="116" w:lineRule="exact"/>
        <w:rPr>
          <w:sz w:val="20"/>
          <w:szCs w:val="20"/>
          <w:color w:val="auto"/>
        </w:rPr>
      </w:pPr>
    </w:p>
    <w:p>
      <w:pPr>
        <w:ind w:firstLine="589"/>
        <w:spacing w:after="0" w:line="235" w:lineRule="auto"/>
        <w:rPr>
          <w:sz w:val="20"/>
          <w:szCs w:val="20"/>
          <w:color w:val="auto"/>
        </w:rPr>
      </w:pPr>
      <w:r>
        <w:rPr>
          <w:rFonts w:ascii="Arial" w:cs="Arial" w:eastAsia="Arial" w:hAnsi="Arial"/>
          <w:sz w:val="17"/>
          <w:szCs w:val="17"/>
          <w:color w:val="auto"/>
        </w:rPr>
        <w:t>Long-Term Growth Units awards were issued under the Long-Term Growth Plan. Outstanding awards provide a cash incentive based on performance conditions. The grant date fair value of the award is based on fair value of the Company’s common stock on the grant day. These awards vest at the end of three years and expense is recognized on an accelerated basis over the vesting period subject to the probability of meeting the performance requirements and adjusted for the number of shares expected to be earned. Awards are remeasured to an updated fair value at each reporting period until the award is settled. The updated fair value is based on the 60-trading day weighted average closing price of the Company’s common stock on the NYSE on the last day of the reporting period. Compensation cost is trued-up at each reporting period for changes in fair value and expected shares pro-rated for the portion of the requisite service period rendered.</w:t>
      </w:r>
    </w:p>
    <w:p>
      <w:pPr>
        <w:spacing w:after="0" w:line="8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presents the number of Long-Term Growth Units granted, vested, and forfeited (at target shares) for the years ended</w:t>
      </w:r>
    </w:p>
    <w:p>
      <w:pPr>
        <w:spacing w:after="0"/>
        <w:rPr>
          <w:sz w:val="20"/>
          <w:szCs w:val="20"/>
          <w:color w:val="auto"/>
        </w:rPr>
      </w:pPr>
      <w:r>
        <w:rPr>
          <w:rFonts w:ascii="Arial" w:cs="Arial" w:eastAsia="Arial" w:hAnsi="Arial"/>
          <w:sz w:val="17"/>
          <w:szCs w:val="17"/>
          <w:color w:val="auto"/>
        </w:rPr>
        <w:t>December 31, 2020 and December 31, 2019:</w:t>
      </w:r>
    </w:p>
    <w:tbl>
      <w:tblPr>
        <w:tblLayout w:type="fixed"/>
        <w:tblInd w:w="0" w:type="dxa"/>
        <w:tblCellMar>
          <w:top w:w="0" w:type="dxa"/>
          <w:left w:w="0" w:type="dxa"/>
          <w:bottom w:w="0" w:type="dxa"/>
          <w:right w:w="0" w:type="dxa"/>
        </w:tblCellMar>
      </w:tblPr>
      <w:tr>
        <w:trPr>
          <w:trHeight w:val="149"/>
        </w:trPr>
        <w:tc>
          <w:tcPr>
            <w:tcW w:w="6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Weighted Average Grant-</w:t>
            </w:r>
          </w:p>
        </w:tc>
      </w:tr>
      <w:tr>
        <w:trPr>
          <w:trHeight w:val="164"/>
        </w:trPr>
        <w:tc>
          <w:tcPr>
            <w:tcW w:w="6140" w:type="dxa"/>
            <w:vAlign w:val="bottom"/>
          </w:tcPr>
          <w:p>
            <w:pPr>
              <w:spacing w:after="0"/>
              <w:rPr>
                <w:sz w:val="14"/>
                <w:szCs w:val="14"/>
                <w:color w:val="auto"/>
              </w:rPr>
            </w:pPr>
          </w:p>
        </w:tc>
        <w:tc>
          <w:tcPr>
            <w:tcW w:w="196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Number of Units</w:t>
            </w:r>
          </w:p>
        </w:tc>
        <w:tc>
          <w:tcPr>
            <w:tcW w:w="7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Date Fair Value</w:t>
            </w:r>
          </w:p>
        </w:tc>
        <w:tc>
          <w:tcPr>
            <w:tcW w:w="100" w:type="dxa"/>
            <w:vAlign w:val="bottom"/>
          </w:tcPr>
          <w:p>
            <w:pPr>
              <w:spacing w:after="0"/>
              <w:rPr>
                <w:sz w:val="14"/>
                <w:szCs w:val="14"/>
                <w:color w:val="auto"/>
              </w:rPr>
            </w:pPr>
          </w:p>
        </w:tc>
      </w:tr>
      <w:tr>
        <w:trPr>
          <w:trHeight w:val="236"/>
        </w:trPr>
        <w:tc>
          <w:tcPr>
            <w:tcW w:w="8100" w:type="dxa"/>
            <w:vAlign w:val="bottom"/>
            <w:gridSpan w:val="2"/>
          </w:tcPr>
          <w:p>
            <w:pPr>
              <w:spacing w:after="0"/>
              <w:rPr>
                <w:sz w:val="20"/>
                <w:szCs w:val="20"/>
                <w:color w:val="auto"/>
              </w:rPr>
            </w:pPr>
            <w:r>
              <w:rPr>
                <w:rFonts w:ascii="Arial" w:cs="Arial" w:eastAsia="Arial" w:hAnsi="Arial"/>
                <w:sz w:val="17"/>
                <w:szCs w:val="17"/>
                <w:color w:val="auto"/>
              </w:rPr>
              <w:t>Unvested at December 31, 2018</w:t>
            </w:r>
          </w:p>
        </w:tc>
        <w:tc>
          <w:tcPr>
            <w:tcW w:w="760" w:type="dxa"/>
            <w:vAlign w:val="bottom"/>
          </w:tcPr>
          <w:p>
            <w:pPr>
              <w:jc w:val="right"/>
              <w:spacing w:after="0"/>
              <w:rPr>
                <w:sz w:val="20"/>
                <w:szCs w:val="20"/>
                <w:color w:val="auto"/>
              </w:rPr>
            </w:pPr>
            <w:r>
              <w:rPr>
                <w:rFonts w:ascii="Arial" w:cs="Arial" w:eastAsia="Arial" w:hAnsi="Arial"/>
                <w:sz w:val="17"/>
                <w:szCs w:val="17"/>
                <w:color w:val="auto"/>
              </w:rPr>
              <w:t>299,781</w:t>
            </w:r>
          </w:p>
        </w:tc>
        <w:tc>
          <w:tcPr>
            <w:tcW w:w="4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20.23</w:t>
            </w:r>
          </w:p>
        </w:tc>
        <w:tc>
          <w:tcPr>
            <w:tcW w:w="100" w:type="dxa"/>
            <w:vAlign w:val="bottom"/>
          </w:tcPr>
          <w:p>
            <w:pPr>
              <w:spacing w:after="0"/>
              <w:rPr>
                <w:sz w:val="20"/>
                <w:szCs w:val="20"/>
                <w:color w:val="auto"/>
              </w:rPr>
            </w:pPr>
          </w:p>
        </w:tc>
      </w:tr>
      <w:tr>
        <w:trPr>
          <w:trHeight w:val="181"/>
        </w:trPr>
        <w:tc>
          <w:tcPr>
            <w:tcW w:w="6140" w:type="dxa"/>
            <w:vAlign w:val="bottom"/>
          </w:tcPr>
          <w:p>
            <w:pPr>
              <w:spacing w:after="0" w:line="181" w:lineRule="exact"/>
              <w:rPr>
                <w:sz w:val="20"/>
                <w:szCs w:val="20"/>
                <w:color w:val="auto"/>
              </w:rPr>
            </w:pPr>
            <w:r>
              <w:rPr>
                <w:rFonts w:ascii="Arial" w:cs="Arial" w:eastAsia="Arial" w:hAnsi="Arial"/>
                <w:sz w:val="17"/>
                <w:szCs w:val="17"/>
                <w:color w:val="auto"/>
              </w:rPr>
              <w:t>Granted</w:t>
            </w:r>
          </w:p>
        </w:tc>
        <w:tc>
          <w:tcPr>
            <w:tcW w:w="196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spacing w:after="0" w:line="181" w:lineRule="exact"/>
              <w:rPr>
                <w:sz w:val="20"/>
                <w:szCs w:val="20"/>
                <w:color w:val="auto"/>
              </w:rPr>
            </w:pPr>
            <w:r>
              <w:rPr>
                <w:rFonts w:ascii="Arial" w:cs="Arial" w:eastAsia="Arial" w:hAnsi="Arial"/>
                <w:sz w:val="17"/>
                <w:szCs w:val="17"/>
                <w:color w:val="auto"/>
              </w:rPr>
              <w:t>-</w:t>
            </w:r>
          </w:p>
        </w:tc>
        <w:tc>
          <w:tcPr>
            <w:tcW w:w="46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jc w:val="right"/>
              <w:spacing w:after="0" w:line="181" w:lineRule="exact"/>
              <w:rPr>
                <w:sz w:val="20"/>
                <w:szCs w:val="20"/>
                <w:color w:val="auto"/>
              </w:rPr>
            </w:pPr>
            <w:r>
              <w:rPr>
                <w:rFonts w:ascii="Arial" w:cs="Arial" w:eastAsia="Arial" w:hAnsi="Arial"/>
                <w:sz w:val="17"/>
                <w:szCs w:val="17"/>
                <w:color w:val="auto"/>
                <w:w w:val="84"/>
              </w:rPr>
              <w:t>$</w:t>
            </w:r>
          </w:p>
        </w:tc>
        <w:tc>
          <w:tcPr>
            <w:tcW w:w="1720" w:type="dxa"/>
            <w:vAlign w:val="bottom"/>
            <w:tcBorders>
              <w:top w:val="single" w:sz="8" w:color="CFF0FC"/>
            </w:tcBorders>
            <w:shd w:val="clear" w:color="auto" w:fill="CFF0FC"/>
          </w:tcPr>
          <w:p>
            <w:pPr>
              <w:jc w:val="right"/>
              <w:spacing w:after="0" w:line="181" w:lineRule="exact"/>
              <w:rPr>
                <w:sz w:val="20"/>
                <w:szCs w:val="20"/>
                <w:color w:val="auto"/>
              </w:rPr>
            </w:pPr>
            <w:r>
              <w:rPr>
                <w:rFonts w:ascii="Arial" w:cs="Arial" w:eastAsia="Arial" w:hAnsi="Arial"/>
                <w:sz w:val="17"/>
                <w:szCs w:val="17"/>
                <w:color w:val="auto"/>
              </w:rPr>
              <w:t>-</w:t>
            </w:r>
          </w:p>
        </w:tc>
        <w:tc>
          <w:tcPr>
            <w:tcW w:w="100" w:type="dxa"/>
            <w:vAlign w:val="bottom"/>
            <w:tcBorders>
              <w:top w:val="single" w:sz="8" w:color="CFF0FC"/>
            </w:tcBorders>
            <w:shd w:val="clear" w:color="auto" w:fill="CFF0FC"/>
          </w:tcPr>
          <w:p>
            <w:pPr>
              <w:spacing w:after="0"/>
              <w:rPr>
                <w:sz w:val="15"/>
                <w:szCs w:val="15"/>
                <w:color w:val="auto"/>
              </w:rPr>
            </w:pPr>
          </w:p>
        </w:tc>
      </w:tr>
      <w:tr>
        <w:trPr>
          <w:trHeight w:val="203"/>
        </w:trPr>
        <w:tc>
          <w:tcPr>
            <w:tcW w:w="8100" w:type="dxa"/>
            <w:vAlign w:val="bottom"/>
            <w:gridSpan w:val="2"/>
          </w:tcPr>
          <w:p>
            <w:pPr>
              <w:spacing w:after="0"/>
              <w:rPr>
                <w:sz w:val="20"/>
                <w:szCs w:val="20"/>
                <w:color w:val="auto"/>
              </w:rPr>
            </w:pPr>
            <w:r>
              <w:rPr>
                <w:rFonts w:ascii="Arial" w:cs="Arial" w:eastAsia="Arial" w:hAnsi="Arial"/>
                <w:sz w:val="17"/>
                <w:szCs w:val="17"/>
                <w:color w:val="auto"/>
              </w:rPr>
              <w:t>Vested</w:t>
            </w:r>
          </w:p>
        </w:tc>
        <w:tc>
          <w:tcPr>
            <w:tcW w:w="1220" w:type="dxa"/>
            <w:vAlign w:val="bottom"/>
            <w:gridSpan w:val="2"/>
          </w:tcPr>
          <w:p>
            <w:pPr>
              <w:jc w:val="right"/>
              <w:ind w:right="400"/>
              <w:spacing w:after="0"/>
              <w:rPr>
                <w:sz w:val="20"/>
                <w:szCs w:val="20"/>
                <w:color w:val="auto"/>
              </w:rPr>
            </w:pPr>
            <w:r>
              <w:rPr>
                <w:rFonts w:ascii="Arial" w:cs="Arial" w:eastAsia="Arial" w:hAnsi="Arial"/>
                <w:sz w:val="17"/>
                <w:szCs w:val="17"/>
                <w:color w:val="auto"/>
              </w:rPr>
              <w:t>(137,760)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20.00</w:t>
            </w:r>
          </w:p>
        </w:tc>
        <w:tc>
          <w:tcPr>
            <w:tcW w:w="100" w:type="dxa"/>
            <w:vAlign w:val="bottom"/>
          </w:tcPr>
          <w:p>
            <w:pPr>
              <w:spacing w:after="0"/>
              <w:rPr>
                <w:sz w:val="17"/>
                <w:szCs w:val="17"/>
                <w:color w:val="auto"/>
              </w:rPr>
            </w:pPr>
          </w:p>
        </w:tc>
      </w:tr>
      <w:tr>
        <w:trPr>
          <w:trHeight w:val="203"/>
        </w:trPr>
        <w:tc>
          <w:tcPr>
            <w:tcW w:w="6140" w:type="dxa"/>
            <w:vAlign w:val="bottom"/>
          </w:tcPr>
          <w:p>
            <w:pPr>
              <w:spacing w:after="0"/>
              <w:rPr>
                <w:sz w:val="20"/>
                <w:szCs w:val="20"/>
                <w:color w:val="auto"/>
              </w:rPr>
            </w:pPr>
            <w:r>
              <w:rPr>
                <w:rFonts w:ascii="Arial" w:cs="Arial" w:eastAsia="Arial" w:hAnsi="Arial"/>
                <w:sz w:val="17"/>
                <w:szCs w:val="17"/>
                <w:color w:val="auto"/>
              </w:rPr>
              <w:t>Forfeited</w:t>
            </w:r>
          </w:p>
        </w:tc>
        <w:tc>
          <w:tcPr>
            <w:tcW w:w="19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0"/>
              <w:spacing w:after="0"/>
              <w:rPr>
                <w:sz w:val="20"/>
                <w:szCs w:val="20"/>
                <w:color w:val="auto"/>
              </w:rPr>
            </w:pPr>
            <w:r>
              <w:rPr>
                <w:rFonts w:ascii="Arial" w:cs="Arial" w:eastAsia="Arial" w:hAnsi="Arial"/>
                <w:sz w:val="17"/>
                <w:szCs w:val="17"/>
                <w:color w:val="auto"/>
              </w:rPr>
              <w:t>(34,584)</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20.27</w:t>
            </w:r>
          </w:p>
        </w:tc>
        <w:tc>
          <w:tcPr>
            <w:tcW w:w="100" w:type="dxa"/>
            <w:vAlign w:val="bottom"/>
            <w:shd w:val="clear" w:color="auto" w:fill="CFF0FC"/>
          </w:tcPr>
          <w:p>
            <w:pPr>
              <w:spacing w:after="0"/>
              <w:rPr>
                <w:sz w:val="17"/>
                <w:szCs w:val="17"/>
                <w:color w:val="auto"/>
              </w:rPr>
            </w:pPr>
          </w:p>
        </w:tc>
      </w:tr>
      <w:tr>
        <w:trPr>
          <w:trHeight w:val="236"/>
        </w:trPr>
        <w:tc>
          <w:tcPr>
            <w:tcW w:w="6140" w:type="dxa"/>
            <w:vAlign w:val="bottom"/>
          </w:tcPr>
          <w:p>
            <w:pPr>
              <w:spacing w:after="0"/>
              <w:rPr>
                <w:sz w:val="20"/>
                <w:szCs w:val="20"/>
                <w:color w:val="auto"/>
              </w:rPr>
            </w:pPr>
            <w:r>
              <w:rPr>
                <w:rFonts w:ascii="Arial" w:cs="Arial" w:eastAsia="Arial" w:hAnsi="Arial"/>
                <w:sz w:val="17"/>
                <w:szCs w:val="17"/>
                <w:color w:val="auto"/>
              </w:rPr>
              <w:t>Unvested at December 31, 2019</w:t>
            </w:r>
          </w:p>
        </w:tc>
        <w:tc>
          <w:tcPr>
            <w:tcW w:w="19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127,437</w:t>
            </w:r>
          </w:p>
        </w:tc>
        <w:tc>
          <w:tcPr>
            <w:tcW w:w="4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20.23</w:t>
            </w:r>
          </w:p>
        </w:tc>
        <w:tc>
          <w:tcPr>
            <w:tcW w:w="100" w:type="dxa"/>
            <w:vAlign w:val="bottom"/>
            <w:tcBorders>
              <w:bottom w:val="single" w:sz="8" w:color="CFF0FC"/>
            </w:tcBorders>
          </w:tcPr>
          <w:p>
            <w:pPr>
              <w:spacing w:after="0"/>
              <w:rPr>
                <w:sz w:val="20"/>
                <w:szCs w:val="20"/>
                <w:color w:val="auto"/>
              </w:rPr>
            </w:pPr>
          </w:p>
        </w:tc>
      </w:tr>
      <w:tr>
        <w:trPr>
          <w:trHeight w:val="181"/>
        </w:trPr>
        <w:tc>
          <w:tcPr>
            <w:tcW w:w="6140" w:type="dxa"/>
            <w:vAlign w:val="bottom"/>
          </w:tcPr>
          <w:p>
            <w:pPr>
              <w:spacing w:after="0" w:line="181" w:lineRule="exact"/>
              <w:rPr>
                <w:sz w:val="20"/>
                <w:szCs w:val="20"/>
                <w:color w:val="auto"/>
              </w:rPr>
            </w:pPr>
            <w:r>
              <w:rPr>
                <w:rFonts w:ascii="Arial" w:cs="Arial" w:eastAsia="Arial" w:hAnsi="Arial"/>
                <w:sz w:val="17"/>
                <w:szCs w:val="17"/>
                <w:color w:val="auto"/>
              </w:rPr>
              <w:t>Granted</w:t>
            </w:r>
          </w:p>
        </w:tc>
        <w:tc>
          <w:tcPr>
            <w:tcW w:w="19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1" w:lineRule="exact"/>
              <w:rPr>
                <w:sz w:val="20"/>
                <w:szCs w:val="20"/>
                <w:color w:val="auto"/>
              </w:rPr>
            </w:pPr>
            <w:r>
              <w:rPr>
                <w:rFonts w:ascii="Arial" w:cs="Arial" w:eastAsia="Arial" w:hAnsi="Arial"/>
                <w:sz w:val="17"/>
                <w:szCs w:val="17"/>
                <w:color w:val="auto"/>
              </w:rPr>
              <w:t>-</w:t>
            </w:r>
          </w:p>
        </w:tc>
        <w:tc>
          <w:tcPr>
            <w:tcW w:w="4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1" w:lineRule="exact"/>
              <w:rPr>
                <w:sz w:val="20"/>
                <w:szCs w:val="20"/>
                <w:color w:val="auto"/>
              </w:rPr>
            </w:pPr>
            <w:r>
              <w:rPr>
                <w:rFonts w:ascii="Arial" w:cs="Arial" w:eastAsia="Arial" w:hAnsi="Arial"/>
                <w:sz w:val="17"/>
                <w:szCs w:val="17"/>
                <w:color w:val="auto"/>
                <w:w w:val="84"/>
              </w:rPr>
              <w:t>$</w:t>
            </w:r>
          </w:p>
        </w:tc>
        <w:tc>
          <w:tcPr>
            <w:tcW w:w="1720" w:type="dxa"/>
            <w:vAlign w:val="bottom"/>
            <w:shd w:val="clear" w:color="auto" w:fill="CFF0FC"/>
          </w:tcPr>
          <w:p>
            <w:pPr>
              <w:jc w:val="right"/>
              <w:spacing w:after="0" w:line="181" w:lineRule="exact"/>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5"/>
                <w:szCs w:val="15"/>
                <w:color w:val="auto"/>
              </w:rPr>
            </w:pPr>
          </w:p>
        </w:tc>
      </w:tr>
      <w:tr>
        <w:trPr>
          <w:trHeight w:val="203"/>
        </w:trPr>
        <w:tc>
          <w:tcPr>
            <w:tcW w:w="8100" w:type="dxa"/>
            <w:vAlign w:val="bottom"/>
            <w:gridSpan w:val="2"/>
          </w:tcPr>
          <w:p>
            <w:pPr>
              <w:spacing w:after="0"/>
              <w:rPr>
                <w:sz w:val="20"/>
                <w:szCs w:val="20"/>
                <w:color w:val="auto"/>
              </w:rPr>
            </w:pPr>
            <w:r>
              <w:rPr>
                <w:rFonts w:ascii="Arial" w:cs="Arial" w:eastAsia="Arial" w:hAnsi="Arial"/>
                <w:sz w:val="17"/>
                <w:szCs w:val="17"/>
                <w:color w:val="auto"/>
              </w:rPr>
              <w:t>Vested</w:t>
            </w:r>
          </w:p>
        </w:tc>
        <w:tc>
          <w:tcPr>
            <w:tcW w:w="1220" w:type="dxa"/>
            <w:vAlign w:val="bottom"/>
            <w:gridSpan w:val="2"/>
          </w:tcPr>
          <w:p>
            <w:pPr>
              <w:jc w:val="right"/>
              <w:ind w:right="400"/>
              <w:spacing w:after="0"/>
              <w:rPr>
                <w:sz w:val="20"/>
                <w:szCs w:val="20"/>
                <w:color w:val="auto"/>
              </w:rPr>
            </w:pPr>
            <w:r>
              <w:rPr>
                <w:rFonts w:ascii="Arial" w:cs="Arial" w:eastAsia="Arial" w:hAnsi="Arial"/>
                <w:sz w:val="17"/>
                <w:szCs w:val="17"/>
                <w:color w:val="auto"/>
              </w:rPr>
              <w:t>(125,948)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22.67</w:t>
            </w:r>
          </w:p>
        </w:tc>
        <w:tc>
          <w:tcPr>
            <w:tcW w:w="100" w:type="dxa"/>
            <w:vAlign w:val="bottom"/>
          </w:tcPr>
          <w:p>
            <w:pPr>
              <w:spacing w:after="0"/>
              <w:rPr>
                <w:sz w:val="17"/>
                <w:szCs w:val="17"/>
                <w:color w:val="auto"/>
              </w:rPr>
            </w:pPr>
          </w:p>
        </w:tc>
      </w:tr>
      <w:tr>
        <w:trPr>
          <w:trHeight w:val="203"/>
        </w:trPr>
        <w:tc>
          <w:tcPr>
            <w:tcW w:w="6140" w:type="dxa"/>
            <w:vAlign w:val="bottom"/>
          </w:tcPr>
          <w:p>
            <w:pPr>
              <w:spacing w:after="0"/>
              <w:rPr>
                <w:sz w:val="20"/>
                <w:szCs w:val="20"/>
                <w:color w:val="auto"/>
              </w:rPr>
            </w:pPr>
            <w:r>
              <w:rPr>
                <w:rFonts w:ascii="Arial" w:cs="Arial" w:eastAsia="Arial" w:hAnsi="Arial"/>
                <w:sz w:val="17"/>
                <w:szCs w:val="17"/>
                <w:color w:val="auto"/>
              </w:rPr>
              <w:t>Forfeited</w:t>
            </w:r>
          </w:p>
        </w:tc>
        <w:tc>
          <w:tcPr>
            <w:tcW w:w="19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0"/>
              <w:spacing w:after="0"/>
              <w:rPr>
                <w:sz w:val="20"/>
                <w:szCs w:val="20"/>
                <w:color w:val="auto"/>
              </w:rPr>
            </w:pPr>
            <w:r>
              <w:rPr>
                <w:rFonts w:ascii="Arial" w:cs="Arial" w:eastAsia="Arial" w:hAnsi="Arial"/>
                <w:sz w:val="17"/>
                <w:szCs w:val="17"/>
                <w:color w:val="auto"/>
              </w:rPr>
              <w:t>(1,489)</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22.67</w:t>
            </w:r>
          </w:p>
        </w:tc>
        <w:tc>
          <w:tcPr>
            <w:tcW w:w="100" w:type="dxa"/>
            <w:vAlign w:val="bottom"/>
            <w:shd w:val="clear" w:color="auto" w:fill="CFF0FC"/>
          </w:tcPr>
          <w:p>
            <w:pPr>
              <w:spacing w:after="0"/>
              <w:rPr>
                <w:sz w:val="17"/>
                <w:szCs w:val="17"/>
                <w:color w:val="auto"/>
              </w:rPr>
            </w:pPr>
          </w:p>
        </w:tc>
      </w:tr>
      <w:tr>
        <w:trPr>
          <w:trHeight w:val="196"/>
        </w:trPr>
        <w:tc>
          <w:tcPr>
            <w:tcW w:w="6140" w:type="dxa"/>
            <w:vAlign w:val="bottom"/>
          </w:tcPr>
          <w:p>
            <w:pPr>
              <w:spacing w:after="0"/>
              <w:rPr>
                <w:sz w:val="20"/>
                <w:szCs w:val="20"/>
                <w:color w:val="auto"/>
              </w:rPr>
            </w:pPr>
            <w:r>
              <w:rPr>
                <w:rFonts w:ascii="Arial" w:cs="Arial" w:eastAsia="Arial" w:hAnsi="Arial"/>
                <w:sz w:val="17"/>
                <w:szCs w:val="17"/>
                <w:color w:val="auto"/>
              </w:rPr>
              <w:t>Unvested at December 31, 2020</w:t>
            </w:r>
          </w:p>
        </w:tc>
        <w:tc>
          <w:tcPr>
            <w:tcW w:w="19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
        </w:trPr>
        <w:tc>
          <w:tcPr>
            <w:tcW w:w="61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Restricted Award Units</w:t>
      </w:r>
    </w:p>
    <w:p>
      <w:pPr>
        <w:spacing w:after="0" w:line="116" w:lineRule="exact"/>
        <w:rPr>
          <w:sz w:val="20"/>
          <w:szCs w:val="20"/>
          <w:color w:val="auto"/>
        </w:rPr>
      </w:pPr>
    </w:p>
    <w:p>
      <w:pPr>
        <w:ind w:right="20" w:firstLine="589"/>
        <w:spacing w:after="0" w:line="236" w:lineRule="auto"/>
        <w:rPr>
          <w:sz w:val="20"/>
          <w:szCs w:val="20"/>
          <w:color w:val="auto"/>
        </w:rPr>
      </w:pPr>
      <w:r>
        <w:rPr>
          <w:rFonts w:ascii="Arial" w:cs="Arial" w:eastAsia="Arial" w:hAnsi="Arial"/>
          <w:sz w:val="17"/>
          <w:szCs w:val="17"/>
          <w:color w:val="auto"/>
        </w:rPr>
        <w:t>Restricted Award Units awards were issued under the Restricted Award Plan. Outstanding awards provide a cash incentive based on the fair value of the Company’s common stock on the vesting date. The grant date fair value of the award is based on the fair value of the Company’s common stock on the grant date. These awards vest and expense is recognized on an accelerated basis over the respective vesting periods. Awards are remeasured to an updated fair value at each reporting period until the award is settled. The updated fair value is based on the 60-trading day weighted average closing price of the Company’s common stock on the NYSE on the last day of the reporting period. Compensation cost is trued-up at each reporting period for changes in fair value pro-rated for the portion of the requisite service period rendered.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31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presents the number of Restricted Award Units granted, vested, and forfeited for the years ended December 31, 2021,</w:t>
      </w:r>
    </w:p>
    <w:p>
      <w:pPr>
        <w:spacing w:after="0"/>
        <w:rPr>
          <w:sz w:val="20"/>
          <w:szCs w:val="20"/>
          <w:color w:val="auto"/>
        </w:rPr>
      </w:pPr>
      <w:r>
        <w:rPr>
          <w:rFonts w:ascii="Arial" w:cs="Arial" w:eastAsia="Arial" w:hAnsi="Arial"/>
          <w:sz w:val="17"/>
          <w:szCs w:val="17"/>
          <w:color w:val="auto"/>
        </w:rPr>
        <w:t>December 31, 2020, and December 31, 2019:</w:t>
      </w:r>
    </w:p>
    <w:tbl>
      <w:tblPr>
        <w:tblLayout w:type="fixed"/>
        <w:tblInd w:w="0" w:type="dxa"/>
        <w:tblCellMar>
          <w:top w:w="0" w:type="dxa"/>
          <w:left w:w="0" w:type="dxa"/>
          <w:bottom w:w="0" w:type="dxa"/>
          <w:right w:w="0" w:type="dxa"/>
        </w:tblCellMar>
      </w:tblPr>
      <w:tr>
        <w:trPr>
          <w:trHeight w:val="149"/>
        </w:trPr>
        <w:tc>
          <w:tcPr>
            <w:tcW w:w="6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Weighted Average Grant-</w:t>
            </w:r>
          </w:p>
        </w:tc>
      </w:tr>
      <w:tr>
        <w:trPr>
          <w:trHeight w:val="164"/>
        </w:trPr>
        <w:tc>
          <w:tcPr>
            <w:tcW w:w="6140" w:type="dxa"/>
            <w:vAlign w:val="bottom"/>
          </w:tcPr>
          <w:p>
            <w:pPr>
              <w:spacing w:after="0"/>
              <w:rPr>
                <w:sz w:val="14"/>
                <w:szCs w:val="14"/>
                <w:color w:val="auto"/>
              </w:rPr>
            </w:pPr>
          </w:p>
        </w:tc>
        <w:tc>
          <w:tcPr>
            <w:tcW w:w="1960" w:type="dxa"/>
            <w:vAlign w:val="bottom"/>
          </w:tcPr>
          <w:p>
            <w:pPr>
              <w:ind w:left="820"/>
              <w:spacing w:after="0"/>
              <w:rPr>
                <w:sz w:val="20"/>
                <w:szCs w:val="20"/>
                <w:color w:val="auto"/>
              </w:rPr>
            </w:pPr>
            <w:r>
              <w:rPr>
                <w:rFonts w:ascii="Arial" w:cs="Arial" w:eastAsia="Arial" w:hAnsi="Arial"/>
                <w:sz w:val="14"/>
                <w:szCs w:val="14"/>
                <w:b w:val="1"/>
                <w:bCs w:val="1"/>
                <w:color w:val="auto"/>
              </w:rPr>
              <w:t>Number of Units</w:t>
            </w: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Date Fair Value</w:t>
            </w:r>
          </w:p>
        </w:tc>
      </w:tr>
      <w:tr>
        <w:trPr>
          <w:trHeight w:val="196"/>
        </w:trPr>
        <w:tc>
          <w:tcPr>
            <w:tcW w:w="6140" w:type="dxa"/>
            <w:vAlign w:val="bottom"/>
          </w:tcPr>
          <w:p>
            <w:pPr>
              <w:spacing w:after="0"/>
              <w:rPr>
                <w:sz w:val="20"/>
                <w:szCs w:val="20"/>
                <w:color w:val="auto"/>
              </w:rPr>
            </w:pPr>
            <w:r>
              <w:rPr>
                <w:rFonts w:ascii="Arial" w:cs="Arial" w:eastAsia="Arial" w:hAnsi="Arial"/>
                <w:sz w:val="17"/>
                <w:szCs w:val="17"/>
                <w:color w:val="auto"/>
              </w:rPr>
              <w:t>Unvested at December 31, 2018</w:t>
            </w:r>
          </w:p>
        </w:tc>
        <w:tc>
          <w:tcPr>
            <w:tcW w:w="1960" w:type="dxa"/>
            <w:vAlign w:val="bottom"/>
            <w:tcBorders>
              <w:top w:val="single" w:sz="8" w:color="auto"/>
              <w:bottom w:val="single" w:sz="8" w:color="auto"/>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589,350</w:t>
            </w:r>
          </w:p>
        </w:tc>
        <w:tc>
          <w:tcPr>
            <w:tcW w:w="4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21.31</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61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8100" w:type="dxa"/>
            <w:vAlign w:val="bottom"/>
            <w:gridSpan w:val="2"/>
          </w:tcPr>
          <w:p>
            <w:pPr>
              <w:spacing w:after="0" w:line="181" w:lineRule="exact"/>
              <w:rPr>
                <w:sz w:val="20"/>
                <w:szCs w:val="20"/>
                <w:color w:val="auto"/>
              </w:rPr>
            </w:pPr>
            <w:r>
              <w:rPr>
                <w:rFonts w:ascii="Arial" w:cs="Arial" w:eastAsia="Arial" w:hAnsi="Arial"/>
                <w:sz w:val="17"/>
                <w:szCs w:val="17"/>
                <w:color w:val="auto"/>
              </w:rPr>
              <w:t>Granted</w:t>
            </w:r>
          </w:p>
        </w:tc>
        <w:tc>
          <w:tcPr>
            <w:tcW w:w="760" w:type="dxa"/>
            <w:vAlign w:val="bottom"/>
          </w:tcPr>
          <w:p>
            <w:pPr>
              <w:jc w:val="right"/>
              <w:spacing w:after="0" w:line="181" w:lineRule="exact"/>
              <w:rPr>
                <w:sz w:val="20"/>
                <w:szCs w:val="20"/>
                <w:color w:val="auto"/>
              </w:rPr>
            </w:pPr>
            <w:r>
              <w:rPr>
                <w:rFonts w:ascii="Arial" w:cs="Arial" w:eastAsia="Arial" w:hAnsi="Arial"/>
                <w:sz w:val="17"/>
                <w:szCs w:val="17"/>
                <w:color w:val="auto"/>
              </w:rPr>
              <w:t>-</w:t>
            </w:r>
          </w:p>
        </w:tc>
        <w:tc>
          <w:tcPr>
            <w:tcW w:w="46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line="181"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5"/>
                <w:szCs w:val="15"/>
                <w:color w:val="auto"/>
              </w:rPr>
            </w:pPr>
          </w:p>
        </w:tc>
      </w:tr>
      <w:tr>
        <w:trPr>
          <w:trHeight w:val="203"/>
        </w:trPr>
        <w:tc>
          <w:tcPr>
            <w:tcW w:w="6140" w:type="dxa"/>
            <w:vAlign w:val="bottom"/>
          </w:tcPr>
          <w:p>
            <w:pPr>
              <w:spacing w:after="0"/>
              <w:rPr>
                <w:sz w:val="20"/>
                <w:szCs w:val="20"/>
                <w:color w:val="auto"/>
              </w:rPr>
            </w:pPr>
            <w:r>
              <w:rPr>
                <w:rFonts w:ascii="Arial" w:cs="Arial" w:eastAsia="Arial" w:hAnsi="Arial"/>
                <w:sz w:val="17"/>
                <w:szCs w:val="17"/>
                <w:color w:val="auto"/>
              </w:rPr>
              <w:t>Vested</w:t>
            </w:r>
          </w:p>
        </w:tc>
        <w:tc>
          <w:tcPr>
            <w:tcW w:w="19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0"/>
              <w:spacing w:after="0"/>
              <w:rPr>
                <w:sz w:val="20"/>
                <w:szCs w:val="20"/>
                <w:color w:val="auto"/>
              </w:rPr>
            </w:pPr>
            <w:r>
              <w:rPr>
                <w:rFonts w:ascii="Arial" w:cs="Arial" w:eastAsia="Arial" w:hAnsi="Arial"/>
                <w:sz w:val="17"/>
                <w:szCs w:val="17"/>
                <w:color w:val="auto"/>
              </w:rPr>
              <w:t>(281,805)</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20.33</w:t>
            </w:r>
          </w:p>
        </w:tc>
        <w:tc>
          <w:tcPr>
            <w:tcW w:w="100" w:type="dxa"/>
            <w:vAlign w:val="bottom"/>
            <w:shd w:val="clear" w:color="auto" w:fill="CFF0FC"/>
          </w:tcPr>
          <w:p>
            <w:pPr>
              <w:spacing w:after="0"/>
              <w:rPr>
                <w:sz w:val="17"/>
                <w:szCs w:val="17"/>
                <w:color w:val="auto"/>
              </w:rPr>
            </w:pPr>
          </w:p>
        </w:tc>
      </w:tr>
      <w:tr>
        <w:trPr>
          <w:trHeight w:val="203"/>
        </w:trPr>
        <w:tc>
          <w:tcPr>
            <w:tcW w:w="8100" w:type="dxa"/>
            <w:vAlign w:val="bottom"/>
            <w:gridSpan w:val="2"/>
          </w:tcPr>
          <w:p>
            <w:pPr>
              <w:spacing w:after="0"/>
              <w:rPr>
                <w:sz w:val="20"/>
                <w:szCs w:val="20"/>
                <w:color w:val="auto"/>
              </w:rPr>
            </w:pPr>
            <w:r>
              <w:rPr>
                <w:rFonts w:ascii="Arial" w:cs="Arial" w:eastAsia="Arial" w:hAnsi="Arial"/>
                <w:sz w:val="17"/>
                <w:szCs w:val="17"/>
                <w:color w:val="auto"/>
              </w:rPr>
              <w:t>Forfeited</w:t>
            </w:r>
          </w:p>
        </w:tc>
        <w:tc>
          <w:tcPr>
            <w:tcW w:w="1220" w:type="dxa"/>
            <w:vAlign w:val="bottom"/>
            <w:gridSpan w:val="2"/>
          </w:tcPr>
          <w:p>
            <w:pPr>
              <w:jc w:val="right"/>
              <w:ind w:right="400"/>
              <w:spacing w:after="0"/>
              <w:rPr>
                <w:sz w:val="20"/>
                <w:szCs w:val="20"/>
                <w:color w:val="auto"/>
              </w:rPr>
            </w:pPr>
            <w:r>
              <w:rPr>
                <w:rFonts w:ascii="Arial" w:cs="Arial" w:eastAsia="Arial" w:hAnsi="Arial"/>
                <w:sz w:val="17"/>
                <w:szCs w:val="17"/>
                <w:color w:val="auto"/>
              </w:rPr>
              <w:t>(58,101)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21.31</w:t>
            </w:r>
          </w:p>
        </w:tc>
        <w:tc>
          <w:tcPr>
            <w:tcW w:w="100" w:type="dxa"/>
            <w:vAlign w:val="bottom"/>
          </w:tcPr>
          <w:p>
            <w:pPr>
              <w:spacing w:after="0"/>
              <w:rPr>
                <w:sz w:val="17"/>
                <w:szCs w:val="17"/>
                <w:color w:val="auto"/>
              </w:rPr>
            </w:pPr>
          </w:p>
        </w:tc>
      </w:tr>
      <w:tr>
        <w:trPr>
          <w:trHeight w:val="196"/>
        </w:trPr>
        <w:tc>
          <w:tcPr>
            <w:tcW w:w="6140" w:type="dxa"/>
            <w:vAlign w:val="bottom"/>
          </w:tcPr>
          <w:p>
            <w:pPr>
              <w:spacing w:after="0"/>
              <w:rPr>
                <w:sz w:val="20"/>
                <w:szCs w:val="20"/>
                <w:color w:val="auto"/>
              </w:rPr>
            </w:pPr>
            <w:r>
              <w:rPr>
                <w:rFonts w:ascii="Arial" w:cs="Arial" w:eastAsia="Arial" w:hAnsi="Arial"/>
                <w:sz w:val="17"/>
                <w:szCs w:val="17"/>
                <w:color w:val="auto"/>
              </w:rPr>
              <w:t>Unvested at December 31, 2019</w:t>
            </w:r>
          </w:p>
        </w:tc>
        <w:tc>
          <w:tcPr>
            <w:tcW w:w="1960" w:type="dxa"/>
            <w:vAlign w:val="bottom"/>
            <w:tcBorders>
              <w:top w:val="single" w:sz="8" w:color="auto"/>
              <w:bottom w:val="single" w:sz="8" w:color="auto"/>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249,444</w:t>
            </w:r>
          </w:p>
        </w:tc>
        <w:tc>
          <w:tcPr>
            <w:tcW w:w="4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22.40</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61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8100" w:type="dxa"/>
            <w:vAlign w:val="bottom"/>
            <w:gridSpan w:val="2"/>
          </w:tcPr>
          <w:p>
            <w:pPr>
              <w:spacing w:after="0" w:line="181" w:lineRule="exact"/>
              <w:rPr>
                <w:sz w:val="20"/>
                <w:szCs w:val="20"/>
                <w:color w:val="auto"/>
              </w:rPr>
            </w:pPr>
            <w:r>
              <w:rPr>
                <w:rFonts w:ascii="Arial" w:cs="Arial" w:eastAsia="Arial" w:hAnsi="Arial"/>
                <w:sz w:val="17"/>
                <w:szCs w:val="17"/>
                <w:color w:val="auto"/>
              </w:rPr>
              <w:t>Granted</w:t>
            </w:r>
          </w:p>
        </w:tc>
        <w:tc>
          <w:tcPr>
            <w:tcW w:w="760" w:type="dxa"/>
            <w:vAlign w:val="bottom"/>
          </w:tcPr>
          <w:p>
            <w:pPr>
              <w:jc w:val="right"/>
              <w:spacing w:after="0" w:line="181" w:lineRule="exact"/>
              <w:rPr>
                <w:sz w:val="20"/>
                <w:szCs w:val="20"/>
                <w:color w:val="auto"/>
              </w:rPr>
            </w:pPr>
            <w:r>
              <w:rPr>
                <w:rFonts w:ascii="Arial" w:cs="Arial" w:eastAsia="Arial" w:hAnsi="Arial"/>
                <w:sz w:val="17"/>
                <w:szCs w:val="17"/>
                <w:color w:val="auto"/>
              </w:rPr>
              <w:t>-</w:t>
            </w:r>
          </w:p>
        </w:tc>
        <w:tc>
          <w:tcPr>
            <w:tcW w:w="46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line="181"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5"/>
                <w:szCs w:val="15"/>
                <w:color w:val="auto"/>
              </w:rPr>
            </w:pPr>
          </w:p>
        </w:tc>
      </w:tr>
      <w:tr>
        <w:trPr>
          <w:trHeight w:val="203"/>
        </w:trPr>
        <w:tc>
          <w:tcPr>
            <w:tcW w:w="6140" w:type="dxa"/>
            <w:vAlign w:val="bottom"/>
          </w:tcPr>
          <w:p>
            <w:pPr>
              <w:spacing w:after="0"/>
              <w:rPr>
                <w:sz w:val="20"/>
                <w:szCs w:val="20"/>
                <w:color w:val="auto"/>
              </w:rPr>
            </w:pPr>
            <w:r>
              <w:rPr>
                <w:rFonts w:ascii="Arial" w:cs="Arial" w:eastAsia="Arial" w:hAnsi="Arial"/>
                <w:sz w:val="17"/>
                <w:szCs w:val="17"/>
                <w:color w:val="auto"/>
              </w:rPr>
              <w:t>Vested</w:t>
            </w:r>
          </w:p>
        </w:tc>
        <w:tc>
          <w:tcPr>
            <w:tcW w:w="19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0"/>
              <w:spacing w:after="0"/>
              <w:rPr>
                <w:sz w:val="20"/>
                <w:szCs w:val="20"/>
                <w:color w:val="auto"/>
              </w:rPr>
            </w:pPr>
            <w:r>
              <w:rPr>
                <w:rFonts w:ascii="Arial" w:cs="Arial" w:eastAsia="Arial" w:hAnsi="Arial"/>
                <w:sz w:val="17"/>
                <w:szCs w:val="17"/>
                <w:color w:val="auto"/>
              </w:rPr>
              <w:t>(234,028)</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22.38</w:t>
            </w:r>
          </w:p>
        </w:tc>
        <w:tc>
          <w:tcPr>
            <w:tcW w:w="100" w:type="dxa"/>
            <w:vAlign w:val="bottom"/>
            <w:shd w:val="clear" w:color="auto" w:fill="CFF0FC"/>
          </w:tcPr>
          <w:p>
            <w:pPr>
              <w:spacing w:after="0"/>
              <w:rPr>
                <w:sz w:val="17"/>
                <w:szCs w:val="17"/>
                <w:color w:val="auto"/>
              </w:rPr>
            </w:pPr>
          </w:p>
        </w:tc>
      </w:tr>
      <w:tr>
        <w:trPr>
          <w:trHeight w:val="203"/>
        </w:trPr>
        <w:tc>
          <w:tcPr>
            <w:tcW w:w="8100" w:type="dxa"/>
            <w:vAlign w:val="bottom"/>
            <w:gridSpan w:val="2"/>
          </w:tcPr>
          <w:p>
            <w:pPr>
              <w:spacing w:after="0"/>
              <w:rPr>
                <w:sz w:val="20"/>
                <w:szCs w:val="20"/>
                <w:color w:val="auto"/>
              </w:rPr>
            </w:pPr>
            <w:r>
              <w:rPr>
                <w:rFonts w:ascii="Arial" w:cs="Arial" w:eastAsia="Arial" w:hAnsi="Arial"/>
                <w:sz w:val="17"/>
                <w:szCs w:val="17"/>
                <w:color w:val="auto"/>
              </w:rPr>
              <w:t>Forfeited</w:t>
            </w:r>
          </w:p>
        </w:tc>
        <w:tc>
          <w:tcPr>
            <w:tcW w:w="1220" w:type="dxa"/>
            <w:vAlign w:val="bottom"/>
            <w:gridSpan w:val="2"/>
          </w:tcPr>
          <w:p>
            <w:pPr>
              <w:jc w:val="right"/>
              <w:ind w:right="400"/>
              <w:spacing w:after="0"/>
              <w:rPr>
                <w:sz w:val="20"/>
                <w:szCs w:val="20"/>
                <w:color w:val="auto"/>
              </w:rPr>
            </w:pPr>
            <w:r>
              <w:rPr>
                <w:rFonts w:ascii="Arial" w:cs="Arial" w:eastAsia="Arial" w:hAnsi="Arial"/>
                <w:sz w:val="17"/>
                <w:szCs w:val="17"/>
                <w:color w:val="auto"/>
              </w:rPr>
              <w:t>(9,017)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22.67</w:t>
            </w:r>
          </w:p>
        </w:tc>
        <w:tc>
          <w:tcPr>
            <w:tcW w:w="100" w:type="dxa"/>
            <w:vAlign w:val="bottom"/>
          </w:tcPr>
          <w:p>
            <w:pPr>
              <w:spacing w:after="0"/>
              <w:rPr>
                <w:sz w:val="17"/>
                <w:szCs w:val="17"/>
                <w:color w:val="auto"/>
              </w:rPr>
            </w:pPr>
          </w:p>
        </w:tc>
      </w:tr>
      <w:tr>
        <w:trPr>
          <w:trHeight w:val="196"/>
        </w:trPr>
        <w:tc>
          <w:tcPr>
            <w:tcW w:w="6140" w:type="dxa"/>
            <w:vAlign w:val="bottom"/>
          </w:tcPr>
          <w:p>
            <w:pPr>
              <w:spacing w:after="0"/>
              <w:rPr>
                <w:sz w:val="20"/>
                <w:szCs w:val="20"/>
                <w:color w:val="auto"/>
              </w:rPr>
            </w:pPr>
            <w:r>
              <w:rPr>
                <w:rFonts w:ascii="Arial" w:cs="Arial" w:eastAsia="Arial" w:hAnsi="Arial"/>
                <w:sz w:val="17"/>
                <w:szCs w:val="17"/>
                <w:color w:val="auto"/>
              </w:rPr>
              <w:t>Unvested at December 31, 2020</w:t>
            </w:r>
          </w:p>
        </w:tc>
        <w:tc>
          <w:tcPr>
            <w:tcW w:w="1960" w:type="dxa"/>
            <w:vAlign w:val="bottom"/>
            <w:tcBorders>
              <w:top w:val="single" w:sz="8" w:color="auto"/>
              <w:bottom w:val="single" w:sz="8" w:color="auto"/>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6,399</w:t>
            </w:r>
          </w:p>
        </w:tc>
        <w:tc>
          <w:tcPr>
            <w:tcW w:w="4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22.67</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61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8100" w:type="dxa"/>
            <w:vAlign w:val="bottom"/>
            <w:gridSpan w:val="2"/>
          </w:tcPr>
          <w:p>
            <w:pPr>
              <w:spacing w:after="0" w:line="181" w:lineRule="exact"/>
              <w:rPr>
                <w:sz w:val="20"/>
                <w:szCs w:val="20"/>
                <w:color w:val="auto"/>
              </w:rPr>
            </w:pPr>
            <w:r>
              <w:rPr>
                <w:rFonts w:ascii="Arial" w:cs="Arial" w:eastAsia="Arial" w:hAnsi="Arial"/>
                <w:sz w:val="17"/>
                <w:szCs w:val="17"/>
                <w:color w:val="auto"/>
              </w:rPr>
              <w:t>Granted</w:t>
            </w:r>
          </w:p>
        </w:tc>
        <w:tc>
          <w:tcPr>
            <w:tcW w:w="760" w:type="dxa"/>
            <w:vAlign w:val="bottom"/>
          </w:tcPr>
          <w:p>
            <w:pPr>
              <w:jc w:val="right"/>
              <w:spacing w:after="0" w:line="181" w:lineRule="exact"/>
              <w:rPr>
                <w:sz w:val="20"/>
                <w:szCs w:val="20"/>
                <w:color w:val="auto"/>
              </w:rPr>
            </w:pPr>
            <w:r>
              <w:rPr>
                <w:rFonts w:ascii="Arial" w:cs="Arial" w:eastAsia="Arial" w:hAnsi="Arial"/>
                <w:sz w:val="17"/>
                <w:szCs w:val="17"/>
                <w:color w:val="auto"/>
              </w:rPr>
              <w:t>-</w:t>
            </w:r>
          </w:p>
        </w:tc>
        <w:tc>
          <w:tcPr>
            <w:tcW w:w="46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line="181"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5"/>
                <w:szCs w:val="15"/>
                <w:color w:val="auto"/>
              </w:rPr>
            </w:pPr>
          </w:p>
        </w:tc>
      </w:tr>
      <w:tr>
        <w:trPr>
          <w:trHeight w:val="203"/>
        </w:trPr>
        <w:tc>
          <w:tcPr>
            <w:tcW w:w="6140" w:type="dxa"/>
            <w:vAlign w:val="bottom"/>
          </w:tcPr>
          <w:p>
            <w:pPr>
              <w:spacing w:after="0"/>
              <w:rPr>
                <w:sz w:val="20"/>
                <w:szCs w:val="20"/>
                <w:color w:val="auto"/>
              </w:rPr>
            </w:pPr>
            <w:r>
              <w:rPr>
                <w:rFonts w:ascii="Arial" w:cs="Arial" w:eastAsia="Arial" w:hAnsi="Arial"/>
                <w:sz w:val="17"/>
                <w:szCs w:val="17"/>
                <w:color w:val="auto"/>
              </w:rPr>
              <w:t>Vested</w:t>
            </w:r>
          </w:p>
        </w:tc>
        <w:tc>
          <w:tcPr>
            <w:tcW w:w="19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0"/>
              <w:spacing w:after="0"/>
              <w:rPr>
                <w:sz w:val="20"/>
                <w:szCs w:val="20"/>
                <w:color w:val="auto"/>
              </w:rPr>
            </w:pPr>
            <w:r>
              <w:rPr>
                <w:rFonts w:ascii="Arial" w:cs="Arial" w:eastAsia="Arial" w:hAnsi="Arial"/>
                <w:sz w:val="17"/>
                <w:szCs w:val="17"/>
                <w:color w:val="auto"/>
              </w:rPr>
              <w:t>(6,399)</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22.38</w:t>
            </w:r>
          </w:p>
        </w:tc>
        <w:tc>
          <w:tcPr>
            <w:tcW w:w="100" w:type="dxa"/>
            <w:vAlign w:val="bottom"/>
            <w:shd w:val="clear" w:color="auto" w:fill="CFF0FC"/>
          </w:tcPr>
          <w:p>
            <w:pPr>
              <w:spacing w:after="0"/>
              <w:rPr>
                <w:sz w:val="17"/>
                <w:szCs w:val="17"/>
                <w:color w:val="auto"/>
              </w:rPr>
            </w:pPr>
          </w:p>
        </w:tc>
      </w:tr>
      <w:tr>
        <w:trPr>
          <w:trHeight w:val="203"/>
        </w:trPr>
        <w:tc>
          <w:tcPr>
            <w:tcW w:w="8100" w:type="dxa"/>
            <w:vAlign w:val="bottom"/>
            <w:gridSpan w:val="2"/>
          </w:tcPr>
          <w:p>
            <w:pPr>
              <w:spacing w:after="0"/>
              <w:rPr>
                <w:sz w:val="20"/>
                <w:szCs w:val="20"/>
                <w:color w:val="auto"/>
              </w:rPr>
            </w:pPr>
            <w:r>
              <w:rPr>
                <w:rFonts w:ascii="Arial" w:cs="Arial" w:eastAsia="Arial" w:hAnsi="Arial"/>
                <w:sz w:val="17"/>
                <w:szCs w:val="17"/>
                <w:color w:val="auto"/>
              </w:rPr>
              <w:t>Forfeited</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196"/>
        </w:trPr>
        <w:tc>
          <w:tcPr>
            <w:tcW w:w="6140" w:type="dxa"/>
            <w:vAlign w:val="bottom"/>
          </w:tcPr>
          <w:p>
            <w:pPr>
              <w:spacing w:after="0"/>
              <w:rPr>
                <w:sz w:val="20"/>
                <w:szCs w:val="20"/>
                <w:color w:val="auto"/>
              </w:rPr>
            </w:pPr>
            <w:r>
              <w:rPr>
                <w:rFonts w:ascii="Arial" w:cs="Arial" w:eastAsia="Arial" w:hAnsi="Arial"/>
                <w:sz w:val="17"/>
                <w:szCs w:val="17"/>
                <w:color w:val="auto"/>
              </w:rPr>
              <w:t>Unvested at December 31, 2021</w:t>
            </w:r>
          </w:p>
        </w:tc>
        <w:tc>
          <w:tcPr>
            <w:tcW w:w="1960" w:type="dxa"/>
            <w:vAlign w:val="bottom"/>
            <w:tcBorders>
              <w:top w:val="single" w:sz="8" w:color="auto"/>
              <w:bottom w:val="single" w:sz="8" w:color="auto"/>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61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ind w:right="120" w:firstLine="589"/>
        <w:spacing w:after="0" w:line="242" w:lineRule="auto"/>
        <w:rPr>
          <w:sz w:val="20"/>
          <w:szCs w:val="20"/>
          <w:color w:val="auto"/>
        </w:rPr>
      </w:pPr>
      <w:r>
        <w:rPr>
          <w:rFonts w:ascii="Arial" w:cs="Arial" w:eastAsia="Arial" w:hAnsi="Arial"/>
          <w:sz w:val="17"/>
          <w:szCs w:val="17"/>
          <w:color w:val="auto"/>
        </w:rPr>
        <w:t>The following table presents the amount paid for cash settled awards, by award type, for the years ended December 31, 2021, December 31, 2020, and December 31, 2019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Pr>
          <w:p>
            <w:pPr>
              <w:jc w:val="right"/>
              <w:ind w:right="421"/>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172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w:t>
            </w:r>
          </w:p>
        </w:tc>
      </w:tr>
      <w:tr>
        <w:trPr>
          <w:trHeight w:val="164"/>
        </w:trPr>
        <w:tc>
          <w:tcPr>
            <w:tcW w:w="3360" w:type="dxa"/>
            <w:vAlign w:val="bottom"/>
            <w:tcBorders>
              <w:bottom w:val="single" w:sz="8" w:color="CFF0FC"/>
            </w:tcBorders>
          </w:tcPr>
          <w:p>
            <w:pPr>
              <w:spacing w:after="0"/>
              <w:rPr>
                <w:sz w:val="14"/>
                <w:szCs w:val="14"/>
                <w:color w:val="auto"/>
              </w:rPr>
            </w:pPr>
          </w:p>
        </w:tc>
        <w:tc>
          <w:tcPr>
            <w:tcW w:w="14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721"/>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7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196"/>
        </w:trPr>
        <w:tc>
          <w:tcPr>
            <w:tcW w:w="3360" w:type="dxa"/>
            <w:vAlign w:val="bottom"/>
            <w:shd w:val="clear" w:color="auto" w:fill="CFF0FC"/>
          </w:tcPr>
          <w:p>
            <w:pPr>
              <w:spacing w:after="0"/>
              <w:rPr>
                <w:sz w:val="20"/>
                <w:szCs w:val="20"/>
                <w:color w:val="auto"/>
              </w:rPr>
            </w:pPr>
            <w:r>
              <w:rPr>
                <w:rFonts w:ascii="Arial" w:cs="Arial" w:eastAsia="Arial" w:hAnsi="Arial"/>
                <w:sz w:val="17"/>
                <w:szCs w:val="17"/>
                <w:color w:val="auto"/>
              </w:rPr>
              <w:t>Stock Appreciation Rights</w:t>
            </w: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15,798</w:t>
            </w: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26,920</w:t>
            </w: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6"/>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5,261</w:t>
            </w:r>
          </w:p>
        </w:tc>
        <w:tc>
          <w:tcPr>
            <w:tcW w:w="100" w:type="dxa"/>
            <w:vAlign w:val="bottom"/>
            <w:shd w:val="clear" w:color="auto" w:fill="CFF0FC"/>
          </w:tcPr>
          <w:p>
            <w:pPr>
              <w:spacing w:after="0"/>
              <w:rPr>
                <w:sz w:val="17"/>
                <w:szCs w:val="17"/>
                <w:color w:val="auto"/>
              </w:rPr>
            </w:pPr>
          </w:p>
        </w:tc>
      </w:tr>
      <w:tr>
        <w:trPr>
          <w:trHeight w:val="203"/>
        </w:trPr>
        <w:tc>
          <w:tcPr>
            <w:tcW w:w="3360" w:type="dxa"/>
            <w:vAlign w:val="bottom"/>
          </w:tcPr>
          <w:p>
            <w:pPr>
              <w:spacing w:after="0"/>
              <w:rPr>
                <w:sz w:val="20"/>
                <w:szCs w:val="20"/>
                <w:color w:val="auto"/>
              </w:rPr>
            </w:pPr>
            <w:r>
              <w:rPr>
                <w:rFonts w:ascii="Arial" w:cs="Arial" w:eastAsia="Arial" w:hAnsi="Arial"/>
                <w:sz w:val="17"/>
                <w:szCs w:val="17"/>
                <w:color w:val="auto"/>
              </w:rPr>
              <w:t>Long-Term Growth</w:t>
            </w: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3,778</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3,617</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1,108</w:t>
            </w:r>
          </w:p>
        </w:tc>
        <w:tc>
          <w:tcPr>
            <w:tcW w:w="100" w:type="dxa"/>
            <w:vAlign w:val="bottom"/>
          </w:tcPr>
          <w:p>
            <w:pPr>
              <w:spacing w:after="0"/>
              <w:rPr>
                <w:sz w:val="17"/>
                <w:szCs w:val="17"/>
                <w:color w:val="auto"/>
              </w:rPr>
            </w:pPr>
          </w:p>
        </w:tc>
      </w:tr>
      <w:tr>
        <w:trPr>
          <w:trHeight w:val="203"/>
        </w:trPr>
        <w:tc>
          <w:tcPr>
            <w:tcW w:w="3360" w:type="dxa"/>
            <w:vAlign w:val="bottom"/>
            <w:shd w:val="clear" w:color="auto" w:fill="CFF0FC"/>
          </w:tcPr>
          <w:p>
            <w:pPr>
              <w:spacing w:after="0"/>
              <w:rPr>
                <w:sz w:val="20"/>
                <w:szCs w:val="20"/>
                <w:color w:val="auto"/>
              </w:rPr>
            </w:pPr>
            <w:r>
              <w:rPr>
                <w:rFonts w:ascii="Arial" w:cs="Arial" w:eastAsia="Arial" w:hAnsi="Arial"/>
                <w:sz w:val="17"/>
                <w:szCs w:val="17"/>
                <w:color w:val="auto"/>
              </w:rPr>
              <w:t>Restricted Award Units</w:t>
            </w:r>
          </w:p>
        </w:tc>
        <w:tc>
          <w:tcPr>
            <w:tcW w:w="14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7,067</w:t>
            </w:r>
          </w:p>
        </w:tc>
        <w:tc>
          <w:tcPr>
            <w:tcW w:w="38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9,408</w:t>
            </w:r>
          </w:p>
        </w:tc>
        <w:tc>
          <w:tcPr>
            <w:tcW w:w="36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5,537</w:t>
            </w:r>
          </w:p>
        </w:tc>
        <w:tc>
          <w:tcPr>
            <w:tcW w:w="100" w:type="dxa"/>
            <w:vAlign w:val="bottom"/>
            <w:shd w:val="clear" w:color="auto" w:fill="CFF0FC"/>
          </w:tcPr>
          <w:p>
            <w:pPr>
              <w:spacing w:after="0"/>
              <w:rPr>
                <w:sz w:val="17"/>
                <w:szCs w:val="17"/>
                <w:color w:val="auto"/>
              </w:rPr>
            </w:pPr>
          </w:p>
        </w:tc>
      </w:tr>
      <w:tr>
        <w:trPr>
          <w:trHeight w:val="196"/>
        </w:trPr>
        <w:tc>
          <w:tcPr>
            <w:tcW w:w="336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17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26,643</w:t>
            </w: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39,945</w:t>
            </w:r>
          </w:p>
        </w:tc>
        <w:tc>
          <w:tcPr>
            <w:tcW w:w="360" w:type="dxa"/>
            <w:vAlign w:val="bottom"/>
          </w:tcPr>
          <w:p>
            <w:pPr>
              <w:spacing w:after="0"/>
              <w:rPr>
                <w:sz w:val="17"/>
                <w:szCs w:val="17"/>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11,906</w:t>
            </w:r>
          </w:p>
        </w:tc>
        <w:tc>
          <w:tcPr>
            <w:tcW w:w="100" w:type="dxa"/>
            <w:vAlign w:val="bottom"/>
          </w:tcPr>
          <w:p>
            <w:pPr>
              <w:spacing w:after="0"/>
              <w:rPr>
                <w:sz w:val="17"/>
                <w:szCs w:val="17"/>
                <w:color w:val="auto"/>
              </w:rPr>
            </w:pPr>
          </w:p>
        </w:tc>
      </w:tr>
      <w:tr>
        <w:trPr>
          <w:trHeight w:val="20"/>
        </w:trPr>
        <w:tc>
          <w:tcPr>
            <w:tcW w:w="3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Restricted Stock Units</w:t>
      </w:r>
    </w:p>
    <w:p>
      <w:pPr>
        <w:spacing w:after="0" w:line="116" w:lineRule="exact"/>
        <w:rPr>
          <w:sz w:val="20"/>
          <w:szCs w:val="20"/>
          <w:color w:val="auto"/>
        </w:rPr>
      </w:pPr>
    </w:p>
    <w:p>
      <w:pPr>
        <w:ind w:right="40" w:firstLine="589"/>
        <w:spacing w:after="0" w:line="235" w:lineRule="auto"/>
        <w:rPr>
          <w:sz w:val="20"/>
          <w:szCs w:val="20"/>
          <w:color w:val="auto"/>
        </w:rPr>
      </w:pPr>
      <w:r>
        <w:rPr>
          <w:rFonts w:ascii="Arial" w:cs="Arial" w:eastAsia="Arial" w:hAnsi="Arial"/>
          <w:sz w:val="17"/>
          <w:szCs w:val="17"/>
          <w:color w:val="auto"/>
        </w:rPr>
        <w:t>Restricted Stock Units awards are issued under the Incentive Award Plan and are settled by the issuance of the Company’s common stock. Outstanding awards have been granted based on either service or service and performance conditions. The fair value of the award is based on the closing price of the Company’s common stock on the grant date. Awards vest over three-year periods, either annually or cliff. Expense is recognized on an accelerated basis for awards with service conditions only and on a straight-line basis for awards that include performance conditions. Expense recognition of awards with performance criteria are subject to the probability of meeting the performance conditions and adjusted for the number of shares expected to be earned. Compensation cost for awards with performance conditions are trued-up at each reporting period for changes in the expected shares pro-rated for the portion of the requisite service period rendered.</w:t>
      </w:r>
    </w:p>
    <w:p>
      <w:pPr>
        <w:spacing w:after="0" w:line="8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presents the number of shares of restricted stock units granted (at target shares for awards with performance conditions)</w:t>
      </w:r>
    </w:p>
    <w:p>
      <w:pPr>
        <w:spacing w:after="0"/>
        <w:rPr>
          <w:sz w:val="20"/>
          <w:szCs w:val="20"/>
          <w:color w:val="auto"/>
        </w:rPr>
      </w:pPr>
      <w:r>
        <w:rPr>
          <w:rFonts w:ascii="Arial" w:cs="Arial" w:eastAsia="Arial" w:hAnsi="Arial"/>
          <w:sz w:val="17"/>
          <w:szCs w:val="17"/>
          <w:color w:val="auto"/>
        </w:rPr>
        <w:t>for the years ended December 31, 2021, December 31, 2020 and December 31, 2019:</w:t>
      </w:r>
    </w:p>
    <w:tbl>
      <w:tblPr>
        <w:tblLayout w:type="fixed"/>
        <w:tblInd w:w="0" w:type="dxa"/>
        <w:tblCellMar>
          <w:top w:w="0" w:type="dxa"/>
          <w:left w:w="0" w:type="dxa"/>
          <w:bottom w:w="0" w:type="dxa"/>
          <w:right w:w="0" w:type="dxa"/>
        </w:tblCellMar>
      </w:tblPr>
      <w:tr>
        <w:trPr>
          <w:trHeight w:val="149"/>
        </w:trPr>
        <w:tc>
          <w:tcPr>
            <w:tcW w:w="5700" w:type="dxa"/>
            <w:vAlign w:val="bottom"/>
          </w:tcPr>
          <w:p>
            <w:pPr>
              <w:spacing w:after="0"/>
              <w:rPr>
                <w:sz w:val="12"/>
                <w:szCs w:val="12"/>
                <w:color w:val="auto"/>
              </w:rPr>
            </w:pPr>
          </w:p>
        </w:tc>
        <w:tc>
          <w:tcPr>
            <w:tcW w:w="190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December 31,</w:t>
            </w:r>
          </w:p>
        </w:tc>
        <w:tc>
          <w:tcPr>
            <w:tcW w:w="190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December 31,</w:t>
            </w:r>
          </w:p>
        </w:tc>
        <w:tc>
          <w:tcPr>
            <w:tcW w:w="1740" w:type="dxa"/>
            <w:vAlign w:val="bottom"/>
            <w:gridSpan w:val="2"/>
          </w:tcPr>
          <w:p>
            <w:pPr>
              <w:ind w:left="38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64"/>
        </w:trPr>
        <w:tc>
          <w:tcPr>
            <w:tcW w:w="5700" w:type="dxa"/>
            <w:vAlign w:val="bottom"/>
            <w:tcBorders>
              <w:bottom w:val="single" w:sz="8" w:color="CFF0FC"/>
            </w:tcBorders>
          </w:tcPr>
          <w:p>
            <w:pPr>
              <w:spacing w:after="0"/>
              <w:rPr>
                <w:sz w:val="14"/>
                <w:szCs w:val="14"/>
                <w:color w:val="auto"/>
              </w:rPr>
            </w:pPr>
          </w:p>
        </w:tc>
        <w:tc>
          <w:tcPr>
            <w:tcW w:w="162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164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164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196"/>
        </w:trPr>
        <w:tc>
          <w:tcPr>
            <w:tcW w:w="5700" w:type="dxa"/>
            <w:vAlign w:val="bottom"/>
            <w:shd w:val="clear" w:color="auto" w:fill="CFF0FC"/>
          </w:tcPr>
          <w:p>
            <w:pPr>
              <w:spacing w:after="0"/>
              <w:rPr>
                <w:sz w:val="20"/>
                <w:szCs w:val="20"/>
                <w:color w:val="auto"/>
              </w:rPr>
            </w:pPr>
            <w:r>
              <w:rPr>
                <w:rFonts w:ascii="Arial" w:cs="Arial" w:eastAsia="Arial" w:hAnsi="Arial"/>
                <w:sz w:val="17"/>
                <w:szCs w:val="17"/>
                <w:color w:val="auto"/>
              </w:rPr>
              <w:t>Restricted Stock Units (service condition)</w:t>
            </w: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450,675</w:t>
            </w:r>
          </w:p>
        </w:tc>
        <w:tc>
          <w:tcPr>
            <w:tcW w:w="28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313,735</w:t>
            </w:r>
          </w:p>
        </w:tc>
        <w:tc>
          <w:tcPr>
            <w:tcW w:w="26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270,544</w:t>
            </w:r>
          </w:p>
        </w:tc>
        <w:tc>
          <w:tcPr>
            <w:tcW w:w="100" w:type="dxa"/>
            <w:vAlign w:val="bottom"/>
            <w:shd w:val="clear" w:color="auto" w:fill="CFF0FC"/>
          </w:tcPr>
          <w:p>
            <w:pPr>
              <w:spacing w:after="0"/>
              <w:rPr>
                <w:sz w:val="17"/>
                <w:szCs w:val="17"/>
                <w:color w:val="auto"/>
              </w:rPr>
            </w:pPr>
          </w:p>
        </w:tc>
      </w:tr>
      <w:tr>
        <w:trPr>
          <w:trHeight w:val="215"/>
        </w:trPr>
        <w:tc>
          <w:tcPr>
            <w:tcW w:w="5700" w:type="dxa"/>
            <w:vAlign w:val="bottom"/>
          </w:tcPr>
          <w:p>
            <w:pPr>
              <w:spacing w:after="0"/>
              <w:rPr>
                <w:sz w:val="20"/>
                <w:szCs w:val="20"/>
                <w:color w:val="auto"/>
              </w:rPr>
            </w:pPr>
            <w:r>
              <w:rPr>
                <w:rFonts w:ascii="Arial" w:cs="Arial" w:eastAsia="Arial" w:hAnsi="Arial"/>
                <w:sz w:val="17"/>
                <w:szCs w:val="17"/>
                <w:color w:val="auto"/>
              </w:rPr>
              <w:t>Restricted Stock Units (service and performance condition)</w:t>
            </w:r>
          </w:p>
        </w:tc>
        <w:tc>
          <w:tcPr>
            <w:tcW w:w="1620" w:type="dxa"/>
            <w:vAlign w:val="bottom"/>
          </w:tcPr>
          <w:p>
            <w:pPr>
              <w:jc w:val="right"/>
              <w:spacing w:after="0"/>
              <w:rPr>
                <w:sz w:val="20"/>
                <w:szCs w:val="20"/>
                <w:color w:val="auto"/>
              </w:rPr>
            </w:pPr>
            <w:r>
              <w:rPr>
                <w:rFonts w:ascii="Arial" w:cs="Arial" w:eastAsia="Arial" w:hAnsi="Arial"/>
                <w:sz w:val="17"/>
                <w:szCs w:val="17"/>
                <w:color w:val="auto"/>
              </w:rPr>
              <w:t>374,535</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269,710</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327,675</w:t>
            </w:r>
          </w:p>
        </w:tc>
        <w:tc>
          <w:tcPr>
            <w:tcW w:w="100" w:type="dxa"/>
            <w:vAlign w:val="bottom"/>
          </w:tcPr>
          <w:p>
            <w:pPr>
              <w:spacing w:after="0"/>
              <w:rPr>
                <w:sz w:val="18"/>
                <w:szCs w:val="18"/>
                <w:color w:val="auto"/>
              </w:rPr>
            </w:pPr>
          </w:p>
        </w:tc>
      </w:tr>
    </w:tbl>
    <w:p>
      <w:pPr>
        <w:spacing w:after="0" w:line="89" w:lineRule="exact"/>
        <w:rPr>
          <w:sz w:val="20"/>
          <w:szCs w:val="20"/>
          <w:color w:val="auto"/>
        </w:rPr>
      </w:pPr>
    </w:p>
    <w:p>
      <w:pPr>
        <w:ind w:right="60" w:firstLine="589"/>
        <w:spacing w:after="0" w:line="238" w:lineRule="auto"/>
        <w:rPr>
          <w:sz w:val="20"/>
          <w:szCs w:val="20"/>
          <w:color w:val="auto"/>
        </w:rPr>
      </w:pPr>
      <w:r>
        <w:rPr>
          <w:rFonts w:ascii="Arial" w:cs="Arial" w:eastAsia="Arial" w:hAnsi="Arial"/>
          <w:sz w:val="17"/>
          <w:szCs w:val="17"/>
          <w:color w:val="auto"/>
        </w:rPr>
        <w:t>The number of units granted for awards with performance conditions in the above table is based on performance against the target amount. The number of shares ultimately issued, which could be greater or less than target, will be based on achieving specific performance conditions related to the awards.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317" w:lineRule="exact"/>
        <w:rPr>
          <w:sz w:val="20"/>
          <w:szCs w:val="20"/>
          <w:color w:val="auto"/>
        </w:rPr>
      </w:pPr>
    </w:p>
    <w:p>
      <w:pPr>
        <w:ind w:right="140" w:firstLine="589"/>
        <w:spacing w:after="0" w:line="241" w:lineRule="auto"/>
        <w:rPr>
          <w:sz w:val="20"/>
          <w:szCs w:val="20"/>
          <w:color w:val="auto"/>
        </w:rPr>
      </w:pPr>
      <w:r>
        <w:rPr>
          <w:rFonts w:ascii="Arial" w:cs="Arial" w:eastAsia="Arial" w:hAnsi="Arial"/>
          <w:sz w:val="17"/>
          <w:szCs w:val="17"/>
          <w:color w:val="auto"/>
        </w:rPr>
        <w:t>The following table presents the number and weighted average grant-date fair value of restricted stock units (at target shares for awards with performance conditions) for the years ended December 31, 2021, December 31, 2020 and December 31, 2019:</w:t>
      </w:r>
    </w:p>
    <w:tbl>
      <w:tblPr>
        <w:tblLayout w:type="fixed"/>
        <w:tblInd w:w="0" w:type="dxa"/>
        <w:tblCellMar>
          <w:top w:w="0" w:type="dxa"/>
          <w:left w:w="0" w:type="dxa"/>
          <w:bottom w:w="0" w:type="dxa"/>
          <w:right w:w="0" w:type="dxa"/>
        </w:tblCellMar>
      </w:tblPr>
      <w:tr>
        <w:trPr>
          <w:trHeight w:val="142"/>
        </w:trPr>
        <w:tc>
          <w:tcPr>
            <w:tcW w:w="68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Weighted Average Grant-Date</w:t>
            </w:r>
          </w:p>
        </w:tc>
      </w:tr>
      <w:tr>
        <w:trPr>
          <w:trHeight w:val="164"/>
        </w:trPr>
        <w:tc>
          <w:tcPr>
            <w:tcW w:w="6840" w:type="dxa"/>
            <w:vAlign w:val="bottom"/>
            <w:tcBorders>
              <w:bottom w:val="single" w:sz="8" w:color="CFF0FC"/>
            </w:tcBorders>
          </w:tcPr>
          <w:p>
            <w:pPr>
              <w:spacing w:after="0"/>
              <w:rPr>
                <w:sz w:val="14"/>
                <w:szCs w:val="14"/>
                <w:color w:val="auto"/>
              </w:rPr>
            </w:pPr>
          </w:p>
        </w:tc>
        <w:tc>
          <w:tcPr>
            <w:tcW w:w="19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Number of Units</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FF0FC"/>
            </w:tcBorders>
          </w:tcPr>
          <w:p>
            <w:pPr>
              <w:spacing w:after="0"/>
              <w:rPr>
                <w:sz w:val="14"/>
                <w:szCs w:val="14"/>
                <w:color w:val="auto"/>
              </w:rPr>
            </w:pPr>
          </w:p>
        </w:tc>
      </w:tr>
      <w:tr>
        <w:trPr>
          <w:trHeight w:val="196"/>
        </w:trPr>
        <w:tc>
          <w:tcPr>
            <w:tcW w:w="6840" w:type="dxa"/>
            <w:vAlign w:val="bottom"/>
            <w:shd w:val="clear" w:color="auto" w:fill="CFF0FC"/>
          </w:tcPr>
          <w:p>
            <w:pPr>
              <w:spacing w:after="0"/>
              <w:rPr>
                <w:sz w:val="20"/>
                <w:szCs w:val="20"/>
                <w:color w:val="auto"/>
              </w:rPr>
            </w:pPr>
            <w:r>
              <w:rPr>
                <w:rFonts w:ascii="Arial" w:cs="Arial" w:eastAsia="Arial" w:hAnsi="Arial"/>
                <w:sz w:val="17"/>
                <w:szCs w:val="17"/>
                <w:color w:val="auto"/>
              </w:rPr>
              <w:t>Outstanding at December 31, 2018</w:t>
            </w:r>
          </w:p>
        </w:tc>
        <w:tc>
          <w:tcPr>
            <w:tcW w:w="1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212"/>
              <w:spacing w:after="0"/>
              <w:rPr>
                <w:sz w:val="20"/>
                <w:szCs w:val="20"/>
                <w:color w:val="auto"/>
              </w:rPr>
            </w:pPr>
            <w:r>
              <w:rPr>
                <w:rFonts w:ascii="Arial" w:cs="Arial" w:eastAsia="Arial" w:hAnsi="Arial"/>
                <w:sz w:val="17"/>
                <w:szCs w:val="17"/>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7"/>
                <w:szCs w:val="17"/>
                <w:color w:val="auto"/>
              </w:rPr>
            </w:pPr>
          </w:p>
        </w:tc>
      </w:tr>
      <w:tr>
        <w:trPr>
          <w:trHeight w:val="203"/>
        </w:trPr>
        <w:tc>
          <w:tcPr>
            <w:tcW w:w="6840" w:type="dxa"/>
            <w:vAlign w:val="bottom"/>
          </w:tcPr>
          <w:p>
            <w:pPr>
              <w:spacing w:after="0"/>
              <w:rPr>
                <w:sz w:val="20"/>
                <w:szCs w:val="20"/>
                <w:color w:val="auto"/>
              </w:rPr>
            </w:pPr>
            <w:r>
              <w:rPr>
                <w:rFonts w:ascii="Arial" w:cs="Arial" w:eastAsia="Arial" w:hAnsi="Arial"/>
                <w:sz w:val="17"/>
                <w:szCs w:val="17"/>
                <w:color w:val="auto"/>
              </w:rPr>
              <w:t>Granted</w:t>
            </w:r>
          </w:p>
        </w:tc>
        <w:tc>
          <w:tcPr>
            <w:tcW w:w="1980" w:type="dxa"/>
            <w:vAlign w:val="bottom"/>
          </w:tcPr>
          <w:p>
            <w:pPr>
              <w:jc w:val="right"/>
              <w:spacing w:after="0"/>
              <w:rPr>
                <w:sz w:val="20"/>
                <w:szCs w:val="20"/>
                <w:color w:val="auto"/>
              </w:rPr>
            </w:pPr>
            <w:r>
              <w:rPr>
                <w:rFonts w:ascii="Arial" w:cs="Arial" w:eastAsia="Arial" w:hAnsi="Arial"/>
                <w:sz w:val="17"/>
                <w:szCs w:val="17"/>
                <w:color w:val="auto"/>
              </w:rPr>
              <w:t>598,219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34.06</w:t>
            </w:r>
          </w:p>
        </w:tc>
        <w:tc>
          <w:tcPr>
            <w:tcW w:w="100" w:type="dxa"/>
            <w:vAlign w:val="bottom"/>
          </w:tcPr>
          <w:p>
            <w:pPr>
              <w:spacing w:after="0"/>
              <w:rPr>
                <w:sz w:val="17"/>
                <w:szCs w:val="17"/>
                <w:color w:val="auto"/>
              </w:rPr>
            </w:pPr>
          </w:p>
        </w:tc>
      </w:tr>
      <w:tr>
        <w:trPr>
          <w:trHeight w:val="203"/>
        </w:trPr>
        <w:tc>
          <w:tcPr>
            <w:tcW w:w="6840" w:type="dxa"/>
            <w:vAlign w:val="bottom"/>
            <w:shd w:val="clear" w:color="auto" w:fill="CFF0FC"/>
          </w:tcPr>
          <w:p>
            <w:pPr>
              <w:spacing w:after="0"/>
              <w:rPr>
                <w:sz w:val="20"/>
                <w:szCs w:val="20"/>
                <w:color w:val="auto"/>
              </w:rPr>
            </w:pPr>
            <w:r>
              <w:rPr>
                <w:rFonts w:ascii="Arial" w:cs="Arial" w:eastAsia="Arial" w:hAnsi="Arial"/>
                <w:sz w:val="17"/>
                <w:szCs w:val="17"/>
                <w:color w:val="auto"/>
              </w:rPr>
              <w:t>Vested</w:t>
            </w:r>
          </w:p>
        </w:tc>
        <w:tc>
          <w:tcPr>
            <w:tcW w:w="21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(74,704)</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34.02</w:t>
            </w:r>
          </w:p>
        </w:tc>
        <w:tc>
          <w:tcPr>
            <w:tcW w:w="100" w:type="dxa"/>
            <w:vAlign w:val="bottom"/>
            <w:shd w:val="clear" w:color="auto" w:fill="CFF0FC"/>
          </w:tcPr>
          <w:p>
            <w:pPr>
              <w:spacing w:after="0"/>
              <w:rPr>
                <w:sz w:val="17"/>
                <w:szCs w:val="17"/>
                <w:color w:val="auto"/>
              </w:rPr>
            </w:pPr>
          </w:p>
        </w:tc>
      </w:tr>
      <w:tr>
        <w:trPr>
          <w:trHeight w:val="203"/>
        </w:trPr>
        <w:tc>
          <w:tcPr>
            <w:tcW w:w="6840" w:type="dxa"/>
            <w:vAlign w:val="bottom"/>
          </w:tcPr>
          <w:p>
            <w:pPr>
              <w:spacing w:after="0"/>
              <w:rPr>
                <w:sz w:val="20"/>
                <w:szCs w:val="20"/>
                <w:color w:val="auto"/>
              </w:rPr>
            </w:pPr>
            <w:r>
              <w:rPr>
                <w:rFonts w:ascii="Arial" w:cs="Arial" w:eastAsia="Arial" w:hAnsi="Arial"/>
                <w:sz w:val="17"/>
                <w:szCs w:val="17"/>
                <w:color w:val="auto"/>
              </w:rPr>
              <w:t>Forfeited</w:t>
            </w:r>
          </w:p>
        </w:tc>
        <w:tc>
          <w:tcPr>
            <w:tcW w:w="2180" w:type="dxa"/>
            <w:vAlign w:val="bottom"/>
            <w:gridSpan w:val="2"/>
          </w:tcPr>
          <w:p>
            <w:pPr>
              <w:jc w:val="right"/>
              <w:ind w:right="140"/>
              <w:spacing w:after="0"/>
              <w:rPr>
                <w:sz w:val="20"/>
                <w:szCs w:val="20"/>
                <w:color w:val="auto"/>
              </w:rPr>
            </w:pPr>
            <w:r>
              <w:rPr>
                <w:rFonts w:ascii="Arial" w:cs="Arial" w:eastAsia="Arial" w:hAnsi="Arial"/>
                <w:sz w:val="17"/>
                <w:szCs w:val="17"/>
                <w:color w:val="auto"/>
              </w:rPr>
              <w:t>(16,875)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34.02</w:t>
            </w:r>
          </w:p>
        </w:tc>
        <w:tc>
          <w:tcPr>
            <w:tcW w:w="100" w:type="dxa"/>
            <w:vAlign w:val="bottom"/>
          </w:tcPr>
          <w:p>
            <w:pPr>
              <w:spacing w:after="0"/>
              <w:rPr>
                <w:sz w:val="17"/>
                <w:szCs w:val="17"/>
                <w:color w:val="auto"/>
              </w:rPr>
            </w:pPr>
          </w:p>
        </w:tc>
      </w:tr>
      <w:tr>
        <w:trPr>
          <w:trHeight w:val="196"/>
        </w:trPr>
        <w:tc>
          <w:tcPr>
            <w:tcW w:w="6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Outstanding at December 31, 2019</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506,640</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500" w:type="dxa"/>
            <w:vAlign w:val="bottom"/>
            <w:tcBorders>
              <w:top w:val="single" w:sz="8" w:color="CFF0FC"/>
              <w:bottom w:val="single" w:sz="8" w:color="CFF0FC"/>
            </w:tcBorders>
            <w:gridSpan w:val="2"/>
            <w:shd w:val="clear" w:color="auto" w:fill="CFF0FC"/>
          </w:tcPr>
          <w:p>
            <w:pPr>
              <w:jc w:val="right"/>
              <w:ind w:right="212"/>
              <w:spacing w:after="0"/>
              <w:rPr>
                <w:sz w:val="20"/>
                <w:szCs w:val="20"/>
                <w:color w:val="auto"/>
              </w:rPr>
            </w:pPr>
            <w:r>
              <w:rPr>
                <w:rFonts w:ascii="Arial" w:cs="Arial" w:eastAsia="Arial" w:hAnsi="Arial"/>
                <w:sz w:val="17"/>
                <w:szCs w:val="17"/>
                <w:color w:val="auto"/>
              </w:rPr>
              <w:t>$</w:t>
            </w:r>
          </w:p>
        </w:tc>
        <w:tc>
          <w:tcPr>
            <w:tcW w:w="16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34.07</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684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6840" w:type="dxa"/>
            <w:vAlign w:val="bottom"/>
          </w:tcPr>
          <w:p>
            <w:pPr>
              <w:spacing w:after="0" w:line="181" w:lineRule="exact"/>
              <w:rPr>
                <w:sz w:val="20"/>
                <w:szCs w:val="20"/>
                <w:color w:val="auto"/>
              </w:rPr>
            </w:pPr>
            <w:r>
              <w:rPr>
                <w:rFonts w:ascii="Arial" w:cs="Arial" w:eastAsia="Arial" w:hAnsi="Arial"/>
                <w:sz w:val="17"/>
                <w:szCs w:val="17"/>
                <w:color w:val="auto"/>
              </w:rPr>
              <w:t>Granted</w:t>
            </w:r>
          </w:p>
        </w:tc>
        <w:tc>
          <w:tcPr>
            <w:tcW w:w="1980" w:type="dxa"/>
            <w:vAlign w:val="bottom"/>
          </w:tcPr>
          <w:p>
            <w:pPr>
              <w:jc w:val="right"/>
              <w:spacing w:after="0" w:line="181" w:lineRule="exact"/>
              <w:rPr>
                <w:sz w:val="20"/>
                <w:szCs w:val="20"/>
                <w:color w:val="auto"/>
              </w:rPr>
            </w:pPr>
            <w:r>
              <w:rPr>
                <w:rFonts w:ascii="Arial" w:cs="Arial" w:eastAsia="Arial" w:hAnsi="Arial"/>
                <w:sz w:val="17"/>
                <w:szCs w:val="17"/>
                <w:color w:val="auto"/>
              </w:rPr>
              <w:t>583,445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20" w:type="dxa"/>
            <w:vAlign w:val="bottom"/>
          </w:tcPr>
          <w:p>
            <w:pPr>
              <w:jc w:val="right"/>
              <w:spacing w:after="0" w:line="181" w:lineRule="exact"/>
              <w:rPr>
                <w:sz w:val="20"/>
                <w:szCs w:val="20"/>
                <w:color w:val="auto"/>
              </w:rPr>
            </w:pPr>
            <w:r>
              <w:rPr>
                <w:rFonts w:ascii="Arial" w:cs="Arial" w:eastAsia="Arial" w:hAnsi="Arial"/>
                <w:sz w:val="17"/>
                <w:szCs w:val="17"/>
                <w:color w:val="auto"/>
              </w:rPr>
              <w:t>37.92</w:t>
            </w:r>
          </w:p>
        </w:tc>
        <w:tc>
          <w:tcPr>
            <w:tcW w:w="100" w:type="dxa"/>
            <w:vAlign w:val="bottom"/>
          </w:tcPr>
          <w:p>
            <w:pPr>
              <w:spacing w:after="0"/>
              <w:rPr>
                <w:sz w:val="15"/>
                <w:szCs w:val="15"/>
                <w:color w:val="auto"/>
              </w:rPr>
            </w:pPr>
          </w:p>
        </w:tc>
      </w:tr>
      <w:tr>
        <w:trPr>
          <w:trHeight w:val="203"/>
        </w:trPr>
        <w:tc>
          <w:tcPr>
            <w:tcW w:w="6840" w:type="dxa"/>
            <w:vAlign w:val="bottom"/>
            <w:shd w:val="clear" w:color="auto" w:fill="CFF0FC"/>
          </w:tcPr>
          <w:p>
            <w:pPr>
              <w:spacing w:after="0"/>
              <w:rPr>
                <w:sz w:val="20"/>
                <w:szCs w:val="20"/>
                <w:color w:val="auto"/>
              </w:rPr>
            </w:pPr>
            <w:r>
              <w:rPr>
                <w:rFonts w:ascii="Arial" w:cs="Arial" w:eastAsia="Arial" w:hAnsi="Arial"/>
                <w:sz w:val="17"/>
                <w:szCs w:val="17"/>
                <w:color w:val="auto"/>
              </w:rPr>
              <w:t>Vested</w:t>
            </w:r>
          </w:p>
        </w:tc>
        <w:tc>
          <w:tcPr>
            <w:tcW w:w="21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(104,016)</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34.34</w:t>
            </w:r>
          </w:p>
        </w:tc>
        <w:tc>
          <w:tcPr>
            <w:tcW w:w="100" w:type="dxa"/>
            <w:vAlign w:val="bottom"/>
            <w:shd w:val="clear" w:color="auto" w:fill="CFF0FC"/>
          </w:tcPr>
          <w:p>
            <w:pPr>
              <w:spacing w:after="0"/>
              <w:rPr>
                <w:sz w:val="17"/>
                <w:szCs w:val="17"/>
                <w:color w:val="auto"/>
              </w:rPr>
            </w:pPr>
          </w:p>
        </w:tc>
      </w:tr>
      <w:tr>
        <w:trPr>
          <w:trHeight w:val="203"/>
        </w:trPr>
        <w:tc>
          <w:tcPr>
            <w:tcW w:w="6840" w:type="dxa"/>
            <w:vAlign w:val="bottom"/>
          </w:tcPr>
          <w:p>
            <w:pPr>
              <w:spacing w:after="0"/>
              <w:rPr>
                <w:sz w:val="20"/>
                <w:szCs w:val="20"/>
                <w:color w:val="auto"/>
              </w:rPr>
            </w:pPr>
            <w:r>
              <w:rPr>
                <w:rFonts w:ascii="Arial" w:cs="Arial" w:eastAsia="Arial" w:hAnsi="Arial"/>
                <w:sz w:val="17"/>
                <w:szCs w:val="17"/>
                <w:color w:val="auto"/>
              </w:rPr>
              <w:t>Forfeited</w:t>
            </w:r>
          </w:p>
        </w:tc>
        <w:tc>
          <w:tcPr>
            <w:tcW w:w="2180" w:type="dxa"/>
            <w:vAlign w:val="bottom"/>
            <w:gridSpan w:val="2"/>
          </w:tcPr>
          <w:p>
            <w:pPr>
              <w:jc w:val="right"/>
              <w:ind w:right="140"/>
              <w:spacing w:after="0"/>
              <w:rPr>
                <w:sz w:val="20"/>
                <w:szCs w:val="20"/>
                <w:color w:val="auto"/>
              </w:rPr>
            </w:pPr>
            <w:r>
              <w:rPr>
                <w:rFonts w:ascii="Arial" w:cs="Arial" w:eastAsia="Arial" w:hAnsi="Arial"/>
                <w:sz w:val="17"/>
                <w:szCs w:val="17"/>
                <w:color w:val="auto"/>
              </w:rPr>
              <w:t>(54,284)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35.54</w:t>
            </w:r>
          </w:p>
        </w:tc>
        <w:tc>
          <w:tcPr>
            <w:tcW w:w="100" w:type="dxa"/>
            <w:vAlign w:val="bottom"/>
          </w:tcPr>
          <w:p>
            <w:pPr>
              <w:spacing w:after="0"/>
              <w:rPr>
                <w:sz w:val="17"/>
                <w:szCs w:val="17"/>
                <w:color w:val="auto"/>
              </w:rPr>
            </w:pPr>
          </w:p>
        </w:tc>
      </w:tr>
      <w:tr>
        <w:trPr>
          <w:trHeight w:val="196"/>
        </w:trPr>
        <w:tc>
          <w:tcPr>
            <w:tcW w:w="6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Outstanding at December 31, 2020</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931,785</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500" w:type="dxa"/>
            <w:vAlign w:val="bottom"/>
            <w:tcBorders>
              <w:top w:val="single" w:sz="8" w:color="CFF0FC"/>
              <w:bottom w:val="single" w:sz="8" w:color="CFF0FC"/>
            </w:tcBorders>
            <w:gridSpan w:val="2"/>
            <w:shd w:val="clear" w:color="auto" w:fill="CFF0FC"/>
          </w:tcPr>
          <w:p>
            <w:pPr>
              <w:jc w:val="right"/>
              <w:ind w:right="212"/>
              <w:spacing w:after="0"/>
              <w:rPr>
                <w:sz w:val="20"/>
                <w:szCs w:val="20"/>
                <w:color w:val="auto"/>
              </w:rPr>
            </w:pPr>
            <w:r>
              <w:rPr>
                <w:rFonts w:ascii="Arial" w:cs="Arial" w:eastAsia="Arial" w:hAnsi="Arial"/>
                <w:sz w:val="17"/>
                <w:szCs w:val="17"/>
                <w:color w:val="auto"/>
              </w:rPr>
              <w:t>$</w:t>
            </w:r>
          </w:p>
        </w:tc>
        <w:tc>
          <w:tcPr>
            <w:tcW w:w="16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36.32</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684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6840" w:type="dxa"/>
            <w:vAlign w:val="bottom"/>
          </w:tcPr>
          <w:p>
            <w:pPr>
              <w:spacing w:after="0" w:line="181" w:lineRule="exact"/>
              <w:rPr>
                <w:sz w:val="20"/>
                <w:szCs w:val="20"/>
                <w:color w:val="auto"/>
              </w:rPr>
            </w:pPr>
            <w:r>
              <w:rPr>
                <w:rFonts w:ascii="Arial" w:cs="Arial" w:eastAsia="Arial" w:hAnsi="Arial"/>
                <w:sz w:val="17"/>
                <w:szCs w:val="17"/>
                <w:color w:val="auto"/>
              </w:rPr>
              <w:t>Granted</w:t>
            </w:r>
          </w:p>
        </w:tc>
        <w:tc>
          <w:tcPr>
            <w:tcW w:w="1980" w:type="dxa"/>
            <w:vAlign w:val="bottom"/>
          </w:tcPr>
          <w:p>
            <w:pPr>
              <w:jc w:val="right"/>
              <w:spacing w:after="0" w:line="181" w:lineRule="exact"/>
              <w:rPr>
                <w:sz w:val="20"/>
                <w:szCs w:val="20"/>
                <w:color w:val="auto"/>
              </w:rPr>
            </w:pPr>
            <w:r>
              <w:rPr>
                <w:rFonts w:ascii="Arial" w:cs="Arial" w:eastAsia="Arial" w:hAnsi="Arial"/>
                <w:sz w:val="17"/>
                <w:szCs w:val="17"/>
                <w:color w:val="auto"/>
              </w:rPr>
              <w:t>825,210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20" w:type="dxa"/>
            <w:vAlign w:val="bottom"/>
          </w:tcPr>
          <w:p>
            <w:pPr>
              <w:jc w:val="right"/>
              <w:spacing w:after="0" w:line="181" w:lineRule="exact"/>
              <w:rPr>
                <w:sz w:val="20"/>
                <w:szCs w:val="20"/>
                <w:color w:val="auto"/>
              </w:rPr>
            </w:pPr>
            <w:r>
              <w:rPr>
                <w:rFonts w:ascii="Arial" w:cs="Arial" w:eastAsia="Arial" w:hAnsi="Arial"/>
                <w:sz w:val="17"/>
                <w:szCs w:val="17"/>
                <w:color w:val="auto"/>
              </w:rPr>
              <w:t>37.09</w:t>
            </w:r>
          </w:p>
        </w:tc>
        <w:tc>
          <w:tcPr>
            <w:tcW w:w="100" w:type="dxa"/>
            <w:vAlign w:val="bottom"/>
          </w:tcPr>
          <w:p>
            <w:pPr>
              <w:spacing w:after="0"/>
              <w:rPr>
                <w:sz w:val="15"/>
                <w:szCs w:val="15"/>
                <w:color w:val="auto"/>
              </w:rPr>
            </w:pPr>
          </w:p>
        </w:tc>
      </w:tr>
      <w:tr>
        <w:trPr>
          <w:trHeight w:val="203"/>
        </w:trPr>
        <w:tc>
          <w:tcPr>
            <w:tcW w:w="6840" w:type="dxa"/>
            <w:vAlign w:val="bottom"/>
            <w:shd w:val="clear" w:color="auto" w:fill="CFF0FC"/>
          </w:tcPr>
          <w:p>
            <w:pPr>
              <w:spacing w:after="0"/>
              <w:rPr>
                <w:sz w:val="20"/>
                <w:szCs w:val="20"/>
                <w:color w:val="auto"/>
              </w:rPr>
            </w:pPr>
            <w:r>
              <w:rPr>
                <w:rFonts w:ascii="Arial" w:cs="Arial" w:eastAsia="Arial" w:hAnsi="Arial"/>
                <w:sz w:val="17"/>
                <w:szCs w:val="17"/>
                <w:color w:val="auto"/>
              </w:rPr>
              <w:t>Vested</w:t>
            </w:r>
          </w:p>
        </w:tc>
        <w:tc>
          <w:tcPr>
            <w:tcW w:w="21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(222,228)</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36.49</w:t>
            </w:r>
          </w:p>
        </w:tc>
        <w:tc>
          <w:tcPr>
            <w:tcW w:w="100" w:type="dxa"/>
            <w:vAlign w:val="bottom"/>
            <w:shd w:val="clear" w:color="auto" w:fill="CFF0FC"/>
          </w:tcPr>
          <w:p>
            <w:pPr>
              <w:spacing w:after="0"/>
              <w:rPr>
                <w:sz w:val="17"/>
                <w:szCs w:val="17"/>
                <w:color w:val="auto"/>
              </w:rPr>
            </w:pPr>
          </w:p>
        </w:tc>
      </w:tr>
      <w:tr>
        <w:trPr>
          <w:trHeight w:val="203"/>
        </w:trPr>
        <w:tc>
          <w:tcPr>
            <w:tcW w:w="6840" w:type="dxa"/>
            <w:vAlign w:val="bottom"/>
          </w:tcPr>
          <w:p>
            <w:pPr>
              <w:spacing w:after="0"/>
              <w:rPr>
                <w:sz w:val="20"/>
                <w:szCs w:val="20"/>
                <w:color w:val="auto"/>
              </w:rPr>
            </w:pPr>
            <w:r>
              <w:rPr>
                <w:rFonts w:ascii="Arial" w:cs="Arial" w:eastAsia="Arial" w:hAnsi="Arial"/>
                <w:sz w:val="17"/>
                <w:szCs w:val="17"/>
                <w:color w:val="auto"/>
              </w:rPr>
              <w:t>Forfeited</w:t>
            </w:r>
          </w:p>
        </w:tc>
        <w:tc>
          <w:tcPr>
            <w:tcW w:w="2180" w:type="dxa"/>
            <w:vAlign w:val="bottom"/>
            <w:gridSpan w:val="2"/>
          </w:tcPr>
          <w:p>
            <w:pPr>
              <w:jc w:val="right"/>
              <w:ind w:right="140"/>
              <w:spacing w:after="0"/>
              <w:rPr>
                <w:sz w:val="20"/>
                <w:szCs w:val="20"/>
                <w:color w:val="auto"/>
              </w:rPr>
            </w:pPr>
            <w:r>
              <w:rPr>
                <w:rFonts w:ascii="Arial" w:cs="Arial" w:eastAsia="Arial" w:hAnsi="Arial"/>
                <w:sz w:val="17"/>
                <w:szCs w:val="17"/>
                <w:color w:val="auto"/>
              </w:rPr>
              <w:t>(175,524)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36.39</w:t>
            </w:r>
          </w:p>
        </w:tc>
        <w:tc>
          <w:tcPr>
            <w:tcW w:w="100" w:type="dxa"/>
            <w:vAlign w:val="bottom"/>
          </w:tcPr>
          <w:p>
            <w:pPr>
              <w:spacing w:after="0"/>
              <w:rPr>
                <w:sz w:val="17"/>
                <w:szCs w:val="17"/>
                <w:color w:val="auto"/>
              </w:rPr>
            </w:pPr>
          </w:p>
        </w:tc>
      </w:tr>
      <w:tr>
        <w:trPr>
          <w:trHeight w:val="196"/>
        </w:trPr>
        <w:tc>
          <w:tcPr>
            <w:tcW w:w="6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Outstanding at December 31, 2021</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1,359,243</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500" w:type="dxa"/>
            <w:vAlign w:val="bottom"/>
            <w:tcBorders>
              <w:top w:val="single" w:sz="8" w:color="CFF0FC"/>
              <w:bottom w:val="single" w:sz="8" w:color="CFF0FC"/>
            </w:tcBorders>
            <w:gridSpan w:val="2"/>
            <w:shd w:val="clear" w:color="auto" w:fill="CFF0FC"/>
          </w:tcPr>
          <w:p>
            <w:pPr>
              <w:jc w:val="right"/>
              <w:ind w:right="212"/>
              <w:spacing w:after="0"/>
              <w:rPr>
                <w:sz w:val="20"/>
                <w:szCs w:val="20"/>
                <w:color w:val="auto"/>
              </w:rPr>
            </w:pPr>
            <w:r>
              <w:rPr>
                <w:rFonts w:ascii="Arial" w:cs="Arial" w:eastAsia="Arial" w:hAnsi="Arial"/>
                <w:sz w:val="17"/>
                <w:szCs w:val="17"/>
                <w:color w:val="auto"/>
              </w:rPr>
              <w:t>$</w:t>
            </w:r>
          </w:p>
        </w:tc>
        <w:tc>
          <w:tcPr>
            <w:tcW w:w="16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36.75</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684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1" w:lineRule="exact"/>
        <w:rPr>
          <w:sz w:val="20"/>
          <w:szCs w:val="20"/>
          <w:color w:val="auto"/>
        </w:rPr>
      </w:pPr>
    </w:p>
    <w:p>
      <w:pPr>
        <w:ind w:right="120" w:firstLine="589"/>
        <w:spacing w:after="0" w:line="236" w:lineRule="auto"/>
        <w:rPr>
          <w:sz w:val="20"/>
          <w:szCs w:val="20"/>
          <w:color w:val="auto"/>
        </w:rPr>
      </w:pPr>
      <w:r>
        <w:rPr>
          <w:rFonts w:ascii="Arial" w:cs="Arial" w:eastAsia="Arial" w:hAnsi="Arial"/>
          <w:sz w:val="17"/>
          <w:szCs w:val="17"/>
          <w:color w:val="auto"/>
        </w:rPr>
        <w:t>For the year ended December 31, 2021, 188,408 shares of restricted stock units were issued, and 63,482 shares of common stock related to employee statutory income tax withholding were retired. For the year ended December 31, 2020, 78,476 shares of restricted stock units were issued, and 36,921 shares of common stock related to employee statutory income tax withholding were retired. For the year ended December 31, 2019, 74,704 shares of restricted stock units were issued, and 27,962 shares of common stock related to employee statutory income tax withholding were retired.</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presents the number of shares of restricted stock outstanding (at target shares for awards with performance conditions) at</w:t>
      </w:r>
    </w:p>
    <w:p>
      <w:pPr>
        <w:spacing w:after="0"/>
        <w:rPr>
          <w:sz w:val="20"/>
          <w:szCs w:val="20"/>
          <w:color w:val="auto"/>
        </w:rPr>
      </w:pPr>
      <w:r>
        <w:rPr>
          <w:rFonts w:ascii="Arial" w:cs="Arial" w:eastAsia="Arial" w:hAnsi="Arial"/>
          <w:sz w:val="17"/>
          <w:szCs w:val="17"/>
          <w:color w:val="auto"/>
        </w:rPr>
        <w:t>December 31, 2021, December 31, 2020 and December 31, 2019:</w:t>
      </w:r>
    </w:p>
    <w:tbl>
      <w:tblPr>
        <w:tblLayout w:type="fixed"/>
        <w:tblInd w:w="0" w:type="dxa"/>
        <w:tblCellMar>
          <w:top w:w="0" w:type="dxa"/>
          <w:left w:w="0" w:type="dxa"/>
          <w:bottom w:w="0" w:type="dxa"/>
          <w:right w:w="0" w:type="dxa"/>
        </w:tblCellMar>
      </w:tblPr>
      <w:tr>
        <w:trPr>
          <w:trHeight w:val="149"/>
        </w:trPr>
        <w:tc>
          <w:tcPr>
            <w:tcW w:w="5700" w:type="dxa"/>
            <w:vAlign w:val="bottom"/>
          </w:tcPr>
          <w:p>
            <w:pPr>
              <w:spacing w:after="0"/>
              <w:rPr>
                <w:sz w:val="12"/>
                <w:szCs w:val="12"/>
                <w:color w:val="auto"/>
              </w:rPr>
            </w:pPr>
          </w:p>
        </w:tc>
        <w:tc>
          <w:tcPr>
            <w:tcW w:w="190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December 31,</w:t>
            </w:r>
          </w:p>
        </w:tc>
        <w:tc>
          <w:tcPr>
            <w:tcW w:w="190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December 31,</w:t>
            </w:r>
          </w:p>
        </w:tc>
        <w:tc>
          <w:tcPr>
            <w:tcW w:w="1740" w:type="dxa"/>
            <w:vAlign w:val="bottom"/>
            <w:gridSpan w:val="2"/>
          </w:tcPr>
          <w:p>
            <w:pPr>
              <w:ind w:left="38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64"/>
        </w:trPr>
        <w:tc>
          <w:tcPr>
            <w:tcW w:w="5700" w:type="dxa"/>
            <w:vAlign w:val="bottom"/>
            <w:tcBorders>
              <w:bottom w:val="single" w:sz="8" w:color="CFF0FC"/>
            </w:tcBorders>
          </w:tcPr>
          <w:p>
            <w:pPr>
              <w:spacing w:after="0"/>
              <w:rPr>
                <w:sz w:val="14"/>
                <w:szCs w:val="14"/>
                <w:color w:val="auto"/>
              </w:rPr>
            </w:pPr>
          </w:p>
        </w:tc>
        <w:tc>
          <w:tcPr>
            <w:tcW w:w="162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164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164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196"/>
        </w:trPr>
        <w:tc>
          <w:tcPr>
            <w:tcW w:w="5700" w:type="dxa"/>
            <w:vAlign w:val="bottom"/>
            <w:shd w:val="clear" w:color="auto" w:fill="CFF0FC"/>
          </w:tcPr>
          <w:p>
            <w:pPr>
              <w:spacing w:after="0"/>
              <w:rPr>
                <w:sz w:val="20"/>
                <w:szCs w:val="20"/>
                <w:color w:val="auto"/>
              </w:rPr>
            </w:pPr>
            <w:r>
              <w:rPr>
                <w:rFonts w:ascii="Arial" w:cs="Arial" w:eastAsia="Arial" w:hAnsi="Arial"/>
                <w:sz w:val="17"/>
                <w:szCs w:val="17"/>
                <w:color w:val="auto"/>
              </w:rPr>
              <w:t>Restricted Stock Units (service condition)</w:t>
            </w: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526,349</w:t>
            </w:r>
          </w:p>
        </w:tc>
        <w:tc>
          <w:tcPr>
            <w:tcW w:w="28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374,819</w:t>
            </w:r>
          </w:p>
        </w:tc>
        <w:tc>
          <w:tcPr>
            <w:tcW w:w="26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189,090</w:t>
            </w:r>
          </w:p>
        </w:tc>
        <w:tc>
          <w:tcPr>
            <w:tcW w:w="100" w:type="dxa"/>
            <w:vAlign w:val="bottom"/>
            <w:shd w:val="clear" w:color="auto" w:fill="CFF0FC"/>
          </w:tcPr>
          <w:p>
            <w:pPr>
              <w:spacing w:after="0"/>
              <w:rPr>
                <w:sz w:val="17"/>
                <w:szCs w:val="17"/>
                <w:color w:val="auto"/>
              </w:rPr>
            </w:pPr>
          </w:p>
        </w:tc>
      </w:tr>
      <w:tr>
        <w:trPr>
          <w:trHeight w:val="215"/>
        </w:trPr>
        <w:tc>
          <w:tcPr>
            <w:tcW w:w="5700" w:type="dxa"/>
            <w:vAlign w:val="bottom"/>
          </w:tcPr>
          <w:p>
            <w:pPr>
              <w:spacing w:after="0"/>
              <w:rPr>
                <w:sz w:val="20"/>
                <w:szCs w:val="20"/>
                <w:color w:val="auto"/>
              </w:rPr>
            </w:pPr>
            <w:r>
              <w:rPr>
                <w:rFonts w:ascii="Arial" w:cs="Arial" w:eastAsia="Arial" w:hAnsi="Arial"/>
                <w:sz w:val="17"/>
                <w:szCs w:val="17"/>
                <w:color w:val="auto"/>
              </w:rPr>
              <w:t>Restricted Stock Units (service and performance condition)</w:t>
            </w:r>
          </w:p>
        </w:tc>
        <w:tc>
          <w:tcPr>
            <w:tcW w:w="1620" w:type="dxa"/>
            <w:vAlign w:val="bottom"/>
          </w:tcPr>
          <w:p>
            <w:pPr>
              <w:jc w:val="right"/>
              <w:spacing w:after="0"/>
              <w:rPr>
                <w:sz w:val="20"/>
                <w:szCs w:val="20"/>
                <w:color w:val="auto"/>
              </w:rPr>
            </w:pPr>
            <w:r>
              <w:rPr>
                <w:rFonts w:ascii="Arial" w:cs="Arial" w:eastAsia="Arial" w:hAnsi="Arial"/>
                <w:sz w:val="17"/>
                <w:szCs w:val="17"/>
                <w:color w:val="auto"/>
              </w:rPr>
              <w:t>832,894</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556,966</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317,550</w:t>
            </w:r>
          </w:p>
        </w:tc>
        <w:tc>
          <w:tcPr>
            <w:tcW w:w="100" w:type="dxa"/>
            <w:vAlign w:val="bottom"/>
          </w:tcPr>
          <w:p>
            <w:pPr>
              <w:spacing w:after="0"/>
              <w:rPr>
                <w:sz w:val="18"/>
                <w:szCs w:val="18"/>
                <w:color w:val="auto"/>
              </w:rPr>
            </w:pPr>
          </w:p>
        </w:tc>
      </w:tr>
    </w:tbl>
    <w:p>
      <w:pPr>
        <w:spacing w:after="0" w:line="200" w:lineRule="exact"/>
        <w:rPr>
          <w:sz w:val="20"/>
          <w:szCs w:val="20"/>
          <w:color w:val="auto"/>
        </w:rPr>
      </w:pPr>
    </w:p>
    <w:p>
      <w:pPr>
        <w:spacing w:after="0" w:line="300" w:lineRule="exact"/>
        <w:rPr>
          <w:sz w:val="20"/>
          <w:szCs w:val="20"/>
          <w:color w:val="auto"/>
        </w:rPr>
      </w:pPr>
    </w:p>
    <w:p>
      <w:pPr>
        <w:ind w:left="580" w:hanging="579"/>
        <w:spacing w:after="0"/>
        <w:tabs>
          <w:tab w:leader="none" w:pos="580"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Goodwill</w:t>
      </w:r>
    </w:p>
    <w:p>
      <w:pPr>
        <w:spacing w:after="0" w:line="116" w:lineRule="exact"/>
        <w:rPr>
          <w:sz w:val="20"/>
          <w:szCs w:val="20"/>
          <w:color w:val="auto"/>
        </w:rPr>
      </w:pPr>
    </w:p>
    <w:p>
      <w:pPr>
        <w:ind w:right="240" w:firstLine="589"/>
        <w:spacing w:after="0" w:line="242" w:lineRule="auto"/>
        <w:rPr>
          <w:sz w:val="20"/>
          <w:szCs w:val="20"/>
          <w:color w:val="auto"/>
        </w:rPr>
      </w:pPr>
      <w:r>
        <w:rPr>
          <w:rFonts w:ascii="Arial" w:cs="Arial" w:eastAsia="Arial" w:hAnsi="Arial"/>
          <w:sz w:val="17"/>
          <w:szCs w:val="17"/>
          <w:color w:val="auto"/>
        </w:rPr>
        <w:t>The following table summarizes the changes in the carrying value of goodwill by reporting segment for the years ended December 31, 2021 and December 31, 2020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right="42"/>
              <w:spacing w:after="0"/>
              <w:rPr>
                <w:sz w:val="20"/>
                <w:szCs w:val="20"/>
                <w:color w:val="auto"/>
              </w:rPr>
            </w:pPr>
            <w:r>
              <w:rPr>
                <w:rFonts w:ascii="Arial" w:cs="Arial" w:eastAsia="Arial" w:hAnsi="Arial"/>
                <w:sz w:val="14"/>
                <w:szCs w:val="14"/>
                <w:b w:val="1"/>
                <w:bCs w:val="1"/>
                <w:color w:val="auto"/>
                <w:w w:val="96"/>
              </w:rPr>
              <w:t>December 31,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Foreign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December 31,</w:t>
            </w:r>
          </w:p>
        </w:tc>
      </w:tr>
      <w:tr>
        <w:trPr>
          <w:trHeight w:val="164"/>
        </w:trPr>
        <w:tc>
          <w:tcPr>
            <w:tcW w:w="3460" w:type="dxa"/>
            <w:vAlign w:val="bottom"/>
            <w:tcBorders>
              <w:bottom w:val="single" w:sz="8" w:color="CFF0FC"/>
            </w:tcBorders>
          </w:tcPr>
          <w:p>
            <w:pPr>
              <w:spacing w:after="0"/>
              <w:rPr>
                <w:sz w:val="14"/>
                <w:szCs w:val="14"/>
                <w:color w:val="auto"/>
              </w:rPr>
            </w:pPr>
          </w:p>
        </w:tc>
        <w:tc>
          <w:tcPr>
            <w:tcW w:w="19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Acquisitions</w:t>
            </w:r>
          </w:p>
        </w:tc>
        <w:tc>
          <w:tcPr>
            <w:tcW w:w="2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6"/>
              </w:rPr>
              <w:t>Exchange</w:t>
            </w:r>
          </w:p>
        </w:tc>
        <w:tc>
          <w:tcPr>
            <w:tcW w:w="100" w:type="dxa"/>
            <w:vAlign w:val="bottom"/>
            <w:tcBorders>
              <w:bottom w:val="single" w:sz="8" w:color="CFF0FC"/>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FF0FC"/>
            </w:tcBorders>
          </w:tcPr>
          <w:p>
            <w:pPr>
              <w:spacing w:after="0"/>
              <w:rPr>
                <w:sz w:val="14"/>
                <w:szCs w:val="14"/>
                <w:color w:val="auto"/>
              </w:rPr>
            </w:pPr>
          </w:p>
        </w:tc>
      </w:tr>
      <w:tr>
        <w:trPr>
          <w:trHeight w:val="196"/>
        </w:trPr>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Federal Solutions</w:t>
            </w:r>
          </w:p>
        </w:tc>
        <w:tc>
          <w:tcPr>
            <w:tcW w:w="19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1,188,882</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150,235</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1,339,117</w:t>
            </w:r>
          </w:p>
        </w:tc>
        <w:tc>
          <w:tcPr>
            <w:tcW w:w="100" w:type="dxa"/>
            <w:vAlign w:val="bottom"/>
            <w:shd w:val="clear" w:color="auto" w:fill="CFF0FC"/>
          </w:tcPr>
          <w:p>
            <w:pPr>
              <w:spacing w:after="0"/>
              <w:rPr>
                <w:sz w:val="17"/>
                <w:szCs w:val="17"/>
                <w:color w:val="auto"/>
              </w:rPr>
            </w:pPr>
          </w:p>
        </w:tc>
      </w:tr>
      <w:tr>
        <w:trPr>
          <w:trHeight w:val="203"/>
        </w:trPr>
        <w:tc>
          <w:tcPr>
            <w:tcW w:w="34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Critical Infrastructure</w:t>
            </w:r>
          </w:p>
        </w:tc>
        <w:tc>
          <w:tcPr>
            <w:tcW w:w="190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73,096</w:t>
            </w:r>
          </w:p>
        </w:tc>
        <w:tc>
          <w:tcPr>
            <w:tcW w:w="24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477</w:t>
            </w:r>
          </w:p>
        </w:tc>
        <w:tc>
          <w:tcPr>
            <w:tcW w:w="100" w:type="dxa"/>
            <w:vAlign w:val="bottom"/>
            <w:tcBorders>
              <w:bottom w:val="single" w:sz="8" w:color="CFF0FC"/>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73,573</w:t>
            </w:r>
          </w:p>
        </w:tc>
        <w:tc>
          <w:tcPr>
            <w:tcW w:w="100" w:type="dxa"/>
            <w:vAlign w:val="bottom"/>
            <w:tcBorders>
              <w:bottom w:val="single" w:sz="8" w:color="CFF0FC"/>
            </w:tcBorders>
          </w:tcPr>
          <w:p>
            <w:pPr>
              <w:spacing w:after="0"/>
              <w:rPr>
                <w:sz w:val="17"/>
                <w:szCs w:val="17"/>
                <w:color w:val="auto"/>
              </w:rPr>
            </w:pPr>
          </w:p>
        </w:tc>
      </w:tr>
      <w:tr>
        <w:trPr>
          <w:trHeight w:val="196"/>
        </w:trPr>
        <w:tc>
          <w:tcPr>
            <w:tcW w:w="34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Total</w:t>
            </w:r>
          </w:p>
        </w:tc>
        <w:tc>
          <w:tcPr>
            <w:tcW w:w="19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1,261,978</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150,235</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477</w:t>
            </w:r>
          </w:p>
        </w:tc>
        <w:tc>
          <w:tcPr>
            <w:tcW w:w="10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1,412,690</w:t>
            </w:r>
          </w:p>
        </w:tc>
        <w:tc>
          <w:tcPr>
            <w:tcW w:w="100" w:type="dxa"/>
            <w:vAlign w:val="bottom"/>
            <w:shd w:val="clear" w:color="auto" w:fill="CFF0FC"/>
          </w:tcPr>
          <w:p>
            <w:pPr>
              <w:spacing w:after="0"/>
              <w:rPr>
                <w:sz w:val="17"/>
                <w:szCs w:val="17"/>
                <w:color w:val="auto"/>
              </w:rPr>
            </w:pPr>
          </w:p>
        </w:tc>
      </w:tr>
      <w:tr>
        <w:trPr>
          <w:trHeight w:val="20"/>
        </w:trPr>
        <w:tc>
          <w:tcPr>
            <w:tcW w:w="3460" w:type="dxa"/>
            <w:vAlign w:val="bottom"/>
            <w:tcBorders>
              <w:top w:val="single" w:sz="8" w:color="CFF0FC"/>
            </w:tcBorders>
          </w:tcPr>
          <w:p>
            <w:pPr>
              <w:spacing w:after="0" w:line="20" w:lineRule="exact"/>
              <w:rPr>
                <w:sz w:val="1"/>
                <w:szCs w:val="1"/>
                <w:color w:val="auto"/>
              </w:rPr>
            </w:pPr>
          </w:p>
        </w:tc>
        <w:tc>
          <w:tcPr>
            <w:tcW w:w="19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588"/>
        </w:trPr>
        <w:tc>
          <w:tcPr>
            <w:tcW w:w="3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jc w:val="center"/>
              <w:ind w:right="42"/>
              <w:spacing w:after="0"/>
              <w:rPr>
                <w:sz w:val="20"/>
                <w:szCs w:val="20"/>
                <w:color w:val="auto"/>
              </w:rPr>
            </w:pPr>
            <w:r>
              <w:rPr>
                <w:rFonts w:ascii="Arial" w:cs="Arial" w:eastAsia="Arial" w:hAnsi="Arial"/>
                <w:sz w:val="14"/>
                <w:szCs w:val="14"/>
                <w:b w:val="1"/>
                <w:bCs w:val="1"/>
                <w:color w:val="auto"/>
                <w:w w:val="96"/>
              </w:rPr>
              <w:t>December 31,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Foreign</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December 31,</w:t>
            </w:r>
          </w:p>
        </w:tc>
      </w:tr>
      <w:tr>
        <w:trPr>
          <w:trHeight w:val="164"/>
        </w:trPr>
        <w:tc>
          <w:tcPr>
            <w:tcW w:w="3460" w:type="dxa"/>
            <w:vAlign w:val="bottom"/>
            <w:tcBorders>
              <w:bottom w:val="single" w:sz="8" w:color="CFF0FC"/>
            </w:tcBorders>
          </w:tcPr>
          <w:p>
            <w:pPr>
              <w:spacing w:after="0"/>
              <w:rPr>
                <w:sz w:val="14"/>
                <w:szCs w:val="14"/>
                <w:color w:val="auto"/>
              </w:rPr>
            </w:pPr>
          </w:p>
        </w:tc>
        <w:tc>
          <w:tcPr>
            <w:tcW w:w="19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Acquisitions</w:t>
            </w:r>
          </w:p>
        </w:tc>
        <w:tc>
          <w:tcPr>
            <w:tcW w:w="2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6"/>
              </w:rPr>
              <w:t>Exchange</w:t>
            </w:r>
          </w:p>
        </w:tc>
        <w:tc>
          <w:tcPr>
            <w:tcW w:w="100" w:type="dxa"/>
            <w:vAlign w:val="bottom"/>
            <w:tcBorders>
              <w:bottom w:val="single" w:sz="8" w:color="CFF0FC"/>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FF0FC"/>
            </w:tcBorders>
          </w:tcPr>
          <w:p>
            <w:pPr>
              <w:spacing w:after="0"/>
              <w:rPr>
                <w:sz w:val="14"/>
                <w:szCs w:val="14"/>
                <w:color w:val="auto"/>
              </w:rPr>
            </w:pPr>
          </w:p>
        </w:tc>
      </w:tr>
      <w:tr>
        <w:trPr>
          <w:trHeight w:val="196"/>
        </w:trPr>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Federal Solutions</w:t>
            </w:r>
          </w:p>
        </w:tc>
        <w:tc>
          <w:tcPr>
            <w:tcW w:w="19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975,405</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213,477</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1,188,882</w:t>
            </w:r>
          </w:p>
        </w:tc>
        <w:tc>
          <w:tcPr>
            <w:tcW w:w="100" w:type="dxa"/>
            <w:vAlign w:val="bottom"/>
            <w:shd w:val="clear" w:color="auto" w:fill="CFF0FC"/>
          </w:tcPr>
          <w:p>
            <w:pPr>
              <w:spacing w:after="0"/>
              <w:rPr>
                <w:sz w:val="17"/>
                <w:szCs w:val="17"/>
                <w:color w:val="auto"/>
              </w:rPr>
            </w:pPr>
          </w:p>
        </w:tc>
      </w:tr>
      <w:tr>
        <w:trPr>
          <w:trHeight w:val="203"/>
        </w:trPr>
        <w:tc>
          <w:tcPr>
            <w:tcW w:w="34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Critical Infrastructure</w:t>
            </w:r>
          </w:p>
        </w:tc>
        <w:tc>
          <w:tcPr>
            <w:tcW w:w="190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72,020</w:t>
            </w:r>
          </w:p>
        </w:tc>
        <w:tc>
          <w:tcPr>
            <w:tcW w:w="24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1,076</w:t>
            </w:r>
          </w:p>
        </w:tc>
        <w:tc>
          <w:tcPr>
            <w:tcW w:w="100" w:type="dxa"/>
            <w:vAlign w:val="bottom"/>
            <w:tcBorders>
              <w:bottom w:val="single" w:sz="8" w:color="CFF0FC"/>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73,096</w:t>
            </w:r>
          </w:p>
        </w:tc>
        <w:tc>
          <w:tcPr>
            <w:tcW w:w="100" w:type="dxa"/>
            <w:vAlign w:val="bottom"/>
            <w:tcBorders>
              <w:bottom w:val="single" w:sz="8" w:color="CFF0FC"/>
            </w:tcBorders>
          </w:tcPr>
          <w:p>
            <w:pPr>
              <w:spacing w:after="0"/>
              <w:rPr>
                <w:sz w:val="17"/>
                <w:szCs w:val="17"/>
                <w:color w:val="auto"/>
              </w:rPr>
            </w:pPr>
          </w:p>
        </w:tc>
      </w:tr>
      <w:tr>
        <w:trPr>
          <w:trHeight w:val="196"/>
        </w:trPr>
        <w:tc>
          <w:tcPr>
            <w:tcW w:w="34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Total</w:t>
            </w:r>
          </w:p>
        </w:tc>
        <w:tc>
          <w:tcPr>
            <w:tcW w:w="19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1,047,425</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213,477</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1,076</w:t>
            </w:r>
          </w:p>
        </w:tc>
        <w:tc>
          <w:tcPr>
            <w:tcW w:w="10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1,261,978</w:t>
            </w:r>
          </w:p>
        </w:tc>
        <w:tc>
          <w:tcPr>
            <w:tcW w:w="100" w:type="dxa"/>
            <w:vAlign w:val="bottom"/>
            <w:shd w:val="clear" w:color="auto" w:fill="CFF0FC"/>
          </w:tcPr>
          <w:p>
            <w:pPr>
              <w:spacing w:after="0"/>
              <w:rPr>
                <w:sz w:val="17"/>
                <w:szCs w:val="17"/>
                <w:color w:val="auto"/>
              </w:rPr>
            </w:pPr>
          </w:p>
        </w:tc>
      </w:tr>
      <w:tr>
        <w:trPr>
          <w:trHeight w:val="20"/>
        </w:trPr>
        <w:tc>
          <w:tcPr>
            <w:tcW w:w="3460" w:type="dxa"/>
            <w:vAlign w:val="bottom"/>
            <w:tcBorders>
              <w:top w:val="single" w:sz="8" w:color="CFF0FC"/>
            </w:tcBorders>
          </w:tcPr>
          <w:p>
            <w:pPr>
              <w:spacing w:after="0" w:line="20" w:lineRule="exact"/>
              <w:rPr>
                <w:sz w:val="1"/>
                <w:szCs w:val="1"/>
                <w:color w:val="auto"/>
              </w:rPr>
            </w:pPr>
          </w:p>
        </w:tc>
        <w:tc>
          <w:tcPr>
            <w:tcW w:w="19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611"/>
        </w:trPr>
        <w:tc>
          <w:tcPr>
            <w:tcW w:w="3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jc w:val="right"/>
              <w:ind w:right="722"/>
              <w:spacing w:after="0"/>
              <w:rPr>
                <w:sz w:val="20"/>
                <w:szCs w:val="20"/>
                <w:color w:val="auto"/>
              </w:rPr>
            </w:pPr>
            <w:r>
              <w:rPr>
                <w:rFonts w:ascii="Arial" w:cs="Arial" w:eastAsia="Arial" w:hAnsi="Arial"/>
                <w:sz w:val="17"/>
                <w:szCs w:val="17"/>
                <w:color w:val="auto"/>
                <w:w w:val="97"/>
              </w:rPr>
              <w:t>F-35</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5"/>
        </w:trPr>
        <w:tc>
          <w:tcPr>
            <w:tcW w:w="346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2">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16" w:lineRule="exact"/>
        <w:rPr>
          <w:sz w:val="20"/>
          <w:szCs w:val="20"/>
          <w:color w:val="auto"/>
        </w:rPr>
      </w:pPr>
    </w:p>
    <w:p>
      <w:pPr>
        <w:ind w:right="20" w:firstLine="636"/>
        <w:spacing w:after="0" w:line="238" w:lineRule="auto"/>
        <w:rPr>
          <w:sz w:val="20"/>
          <w:szCs w:val="20"/>
          <w:color w:val="auto"/>
        </w:rPr>
      </w:pPr>
      <w:r>
        <w:rPr>
          <w:rFonts w:ascii="Arial" w:cs="Arial" w:eastAsia="Arial" w:hAnsi="Arial"/>
          <w:sz w:val="17"/>
          <w:szCs w:val="17"/>
          <w:color w:val="auto"/>
        </w:rPr>
        <w:t>For the years ended December 31, 2021 and December 31, 2020, the Company performed a quantitative impairment analysis for all reporting units. It was determined that the fair value of all reporting units exceeded their carrying values. No goodwill impairments were identified for the three years ended December 31, 2021, December 31, 2020 and December 31, 2019.</w:t>
      </w:r>
    </w:p>
    <w:p>
      <w:pPr>
        <w:spacing w:after="0" w:line="172" w:lineRule="exact"/>
        <w:rPr>
          <w:sz w:val="20"/>
          <w:szCs w:val="20"/>
          <w:color w:val="auto"/>
        </w:rPr>
      </w:pPr>
    </w:p>
    <w:p>
      <w:pPr>
        <w:ind w:left="580" w:hanging="579"/>
        <w:spacing w:after="0"/>
        <w:tabs>
          <w:tab w:leader="none" w:pos="580"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Intangible Assets</w:t>
      </w:r>
    </w:p>
    <w:p>
      <w:pPr>
        <w:spacing w:after="0" w:line="116" w:lineRule="exact"/>
        <w:rPr>
          <w:sz w:val="20"/>
          <w:szCs w:val="20"/>
          <w:color w:val="auto"/>
        </w:rPr>
      </w:pPr>
    </w:p>
    <w:p>
      <w:pPr>
        <w:ind w:right="820" w:firstLine="589"/>
        <w:spacing w:after="0" w:line="242" w:lineRule="auto"/>
        <w:rPr>
          <w:sz w:val="20"/>
          <w:szCs w:val="20"/>
          <w:color w:val="auto"/>
        </w:rPr>
      </w:pPr>
      <w:r>
        <w:rPr>
          <w:rFonts w:ascii="Arial" w:cs="Arial" w:eastAsia="Arial" w:hAnsi="Arial"/>
          <w:sz w:val="17"/>
          <w:szCs w:val="17"/>
          <w:color w:val="auto"/>
        </w:rPr>
        <w:t>The gross amount and accumulated amortization of acquired identifiable intangible assets included in “Intangible assets, net” on the consolidated balance sheets were as follows (in thousands except for years):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r>
      <w:tr>
        <w:trPr>
          <w:trHeight w:val="164"/>
        </w:trPr>
        <w:tc>
          <w:tcPr>
            <w:tcW w:w="3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5"/>
              </w:rPr>
              <w:t>December 31, 2021</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Average</w:t>
            </w:r>
          </w:p>
        </w:tc>
      </w:tr>
      <w:tr>
        <w:trPr>
          <w:trHeight w:val="146"/>
        </w:trPr>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100"/>
              <w:spacing w:after="0" w:line="146" w:lineRule="exact"/>
              <w:rPr>
                <w:sz w:val="20"/>
                <w:szCs w:val="20"/>
                <w:color w:val="auto"/>
              </w:rPr>
            </w:pPr>
            <w:r>
              <w:rPr>
                <w:rFonts w:ascii="Arial" w:cs="Arial" w:eastAsia="Arial" w:hAnsi="Arial"/>
                <w:sz w:val="14"/>
                <w:szCs w:val="14"/>
                <w:b w:val="1"/>
                <w:bCs w:val="1"/>
                <w:color w:val="auto"/>
                <w:w w:val="98"/>
              </w:rPr>
              <w:t>Gross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2"/>
                <w:szCs w:val="12"/>
                <w:color w:val="auto"/>
              </w:rPr>
            </w:pPr>
          </w:p>
        </w:tc>
        <w:tc>
          <w:tcPr>
            <w:tcW w:w="780" w:type="dxa"/>
            <w:vAlign w:val="bottom"/>
          </w:tcPr>
          <w:p>
            <w:pPr>
              <w:jc w:val="center"/>
              <w:ind w:right="61"/>
              <w:spacing w:after="0" w:line="146" w:lineRule="exact"/>
              <w:rPr>
                <w:sz w:val="20"/>
                <w:szCs w:val="20"/>
                <w:color w:val="auto"/>
              </w:rPr>
            </w:pPr>
            <w:r>
              <w:rPr>
                <w:rFonts w:ascii="Arial" w:cs="Arial" w:eastAsia="Arial" w:hAnsi="Arial"/>
                <w:sz w:val="14"/>
                <w:szCs w:val="14"/>
                <w:b w:val="1"/>
                <w:bCs w:val="1"/>
                <w:color w:val="auto"/>
                <w:w w:val="98"/>
              </w:rPr>
              <w:t>Gross</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59"/>
              <w:spacing w:after="0" w:line="146" w:lineRule="exact"/>
              <w:rPr>
                <w:sz w:val="20"/>
                <w:szCs w:val="20"/>
                <w:color w:val="auto"/>
              </w:rPr>
            </w:pPr>
            <w:r>
              <w:rPr>
                <w:rFonts w:ascii="Arial" w:cs="Arial" w:eastAsia="Arial" w:hAnsi="Arial"/>
                <w:sz w:val="14"/>
                <w:szCs w:val="14"/>
                <w:b w:val="1"/>
                <w:bCs w:val="1"/>
                <w:color w:val="auto"/>
                <w:w w:val="97"/>
              </w:rPr>
              <w:t>Net</w:t>
            </w:r>
          </w:p>
        </w:tc>
        <w:tc>
          <w:tcPr>
            <w:tcW w:w="1120" w:type="dxa"/>
            <w:vAlign w:val="bottom"/>
            <w:gridSpan w:val="3"/>
          </w:tcPr>
          <w:p>
            <w:pPr>
              <w:jc w:val="center"/>
              <w:spacing w:after="0" w:line="146" w:lineRule="exact"/>
              <w:rPr>
                <w:sz w:val="20"/>
                <w:szCs w:val="20"/>
                <w:color w:val="auto"/>
              </w:rPr>
            </w:pPr>
            <w:r>
              <w:rPr>
                <w:rFonts w:ascii="Arial" w:cs="Arial" w:eastAsia="Arial" w:hAnsi="Arial"/>
                <w:sz w:val="14"/>
                <w:szCs w:val="14"/>
                <w:b w:val="1"/>
                <w:bCs w:val="1"/>
                <w:color w:val="auto"/>
                <w:w w:val="98"/>
              </w:rPr>
              <w:t>Amortization</w:t>
            </w:r>
          </w:p>
        </w:tc>
      </w:tr>
      <w:tr>
        <w:trPr>
          <w:trHeight w:val="152"/>
        </w:trPr>
        <w:tc>
          <w:tcPr>
            <w:tcW w:w="3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100"/>
              <w:spacing w:after="0" w:line="152"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3"/>
                <w:szCs w:val="13"/>
                <w:color w:val="auto"/>
              </w:rPr>
            </w:pPr>
          </w:p>
        </w:tc>
        <w:tc>
          <w:tcPr>
            <w:tcW w:w="1100" w:type="dxa"/>
            <w:vAlign w:val="bottom"/>
            <w:gridSpan w:val="3"/>
          </w:tcPr>
          <w:p>
            <w:pPr>
              <w:jc w:val="right"/>
              <w:ind w:right="220"/>
              <w:spacing w:after="0" w:line="152" w:lineRule="exact"/>
              <w:rPr>
                <w:sz w:val="20"/>
                <w:szCs w:val="20"/>
                <w:color w:val="auto"/>
              </w:rPr>
            </w:pPr>
            <w:r>
              <w:rPr>
                <w:rFonts w:ascii="Arial" w:cs="Arial" w:eastAsia="Arial" w:hAnsi="Arial"/>
                <w:sz w:val="14"/>
                <w:szCs w:val="14"/>
                <w:b w:val="1"/>
                <w:bCs w:val="1"/>
                <w:color w:val="auto"/>
                <w:w w:val="97"/>
              </w:rPr>
              <w:t>Accumulated</w:t>
            </w:r>
          </w:p>
        </w:tc>
        <w:tc>
          <w:tcPr>
            <w:tcW w:w="140" w:type="dxa"/>
            <w:vAlign w:val="bottom"/>
          </w:tcPr>
          <w:p>
            <w:pPr>
              <w:spacing w:after="0"/>
              <w:rPr>
                <w:sz w:val="13"/>
                <w:szCs w:val="13"/>
                <w:color w:val="auto"/>
              </w:rPr>
            </w:pPr>
          </w:p>
        </w:tc>
        <w:tc>
          <w:tcPr>
            <w:tcW w:w="960" w:type="dxa"/>
            <w:vAlign w:val="bottom"/>
            <w:gridSpan w:val="2"/>
          </w:tcPr>
          <w:p>
            <w:pPr>
              <w:jc w:val="center"/>
              <w:ind w:right="320"/>
              <w:spacing w:after="0" w:line="152"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3"/>
                <w:szCs w:val="13"/>
                <w:color w:val="auto"/>
              </w:rPr>
            </w:pPr>
          </w:p>
        </w:tc>
        <w:tc>
          <w:tcPr>
            <w:tcW w:w="780" w:type="dxa"/>
            <w:vAlign w:val="bottom"/>
          </w:tcPr>
          <w:p>
            <w:pPr>
              <w:jc w:val="center"/>
              <w:ind w:right="61"/>
              <w:spacing w:after="0" w:line="152" w:lineRule="exact"/>
              <w:rPr>
                <w:sz w:val="20"/>
                <w:szCs w:val="20"/>
                <w:color w:val="auto"/>
              </w:rPr>
            </w:pPr>
            <w:r>
              <w:rPr>
                <w:rFonts w:ascii="Arial" w:cs="Arial" w:eastAsia="Arial" w:hAnsi="Arial"/>
                <w:sz w:val="14"/>
                <w:szCs w:val="14"/>
                <w:b w:val="1"/>
                <w:bCs w:val="1"/>
                <w:color w:val="auto"/>
                <w:w w:val="97"/>
              </w:rPr>
              <w:t>Carrying</w:t>
            </w:r>
          </w:p>
        </w:tc>
        <w:tc>
          <w:tcPr>
            <w:tcW w:w="1240" w:type="dxa"/>
            <w:vAlign w:val="bottom"/>
            <w:gridSpan w:val="3"/>
          </w:tcPr>
          <w:p>
            <w:pPr>
              <w:jc w:val="right"/>
              <w:ind w:right="200"/>
              <w:spacing w:after="0" w:line="152" w:lineRule="exact"/>
              <w:rPr>
                <w:sz w:val="20"/>
                <w:szCs w:val="20"/>
                <w:color w:val="auto"/>
              </w:rPr>
            </w:pPr>
            <w:r>
              <w:rPr>
                <w:rFonts w:ascii="Arial" w:cs="Arial" w:eastAsia="Arial" w:hAnsi="Arial"/>
                <w:sz w:val="14"/>
                <w:szCs w:val="14"/>
                <w:b w:val="1"/>
                <w:bCs w:val="1"/>
                <w:color w:val="auto"/>
              </w:rPr>
              <w:t>Accumulated</w:t>
            </w:r>
          </w:p>
        </w:tc>
        <w:tc>
          <w:tcPr>
            <w:tcW w:w="740" w:type="dxa"/>
            <w:vAlign w:val="bottom"/>
            <w:gridSpan w:val="2"/>
          </w:tcPr>
          <w:p>
            <w:pPr>
              <w:jc w:val="center"/>
              <w:spacing w:after="0" w:line="152"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3"/>
                <w:szCs w:val="13"/>
                <w:color w:val="auto"/>
              </w:rPr>
            </w:pPr>
          </w:p>
        </w:tc>
        <w:tc>
          <w:tcPr>
            <w:tcW w:w="940" w:type="dxa"/>
            <w:vAlign w:val="bottom"/>
            <w:gridSpan w:val="2"/>
          </w:tcPr>
          <w:p>
            <w:pPr>
              <w:jc w:val="center"/>
              <w:ind w:right="80"/>
              <w:spacing w:after="0" w:line="152" w:lineRule="exact"/>
              <w:rPr>
                <w:sz w:val="20"/>
                <w:szCs w:val="20"/>
                <w:color w:val="auto"/>
              </w:rPr>
            </w:pPr>
            <w:r>
              <w:rPr>
                <w:rFonts w:ascii="Arial" w:cs="Arial" w:eastAsia="Arial" w:hAnsi="Arial"/>
                <w:sz w:val="14"/>
                <w:szCs w:val="14"/>
                <w:b w:val="1"/>
                <w:bCs w:val="1"/>
                <w:color w:val="auto"/>
                <w:w w:val="96"/>
              </w:rPr>
              <w:t>Period</w:t>
            </w:r>
          </w:p>
        </w:tc>
      </w:tr>
      <w:tr>
        <w:trPr>
          <w:trHeight w:val="164"/>
        </w:trPr>
        <w:tc>
          <w:tcPr>
            <w:tcW w:w="38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Amortization</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6"/>
              </w:rPr>
              <w:t>(in years)</w:t>
            </w:r>
          </w:p>
        </w:tc>
        <w:tc>
          <w:tcPr>
            <w:tcW w:w="100" w:type="dxa"/>
            <w:vAlign w:val="bottom"/>
            <w:tcBorders>
              <w:bottom w:val="single" w:sz="8" w:color="CFF0FC"/>
            </w:tcBorders>
          </w:tcPr>
          <w:p>
            <w:pPr>
              <w:spacing w:after="0"/>
              <w:rPr>
                <w:sz w:val="14"/>
                <w:szCs w:val="14"/>
                <w:color w:val="auto"/>
              </w:rPr>
            </w:pPr>
          </w:p>
        </w:tc>
      </w:tr>
      <w:tr>
        <w:trPr>
          <w:trHeight w:val="196"/>
        </w:trPr>
        <w:tc>
          <w:tcPr>
            <w:tcW w:w="3860" w:type="dxa"/>
            <w:vAlign w:val="bottom"/>
            <w:shd w:val="clear" w:color="auto" w:fill="CFF0FC"/>
          </w:tcPr>
          <w:p>
            <w:pPr>
              <w:spacing w:after="0"/>
              <w:rPr>
                <w:sz w:val="20"/>
                <w:szCs w:val="20"/>
                <w:color w:val="auto"/>
              </w:rPr>
            </w:pPr>
            <w:r>
              <w:rPr>
                <w:rFonts w:ascii="Arial" w:cs="Arial" w:eastAsia="Arial" w:hAnsi="Arial"/>
                <w:sz w:val="17"/>
                <w:szCs w:val="17"/>
                <w:color w:val="auto"/>
              </w:rPr>
              <w:t>Backlog</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169,455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(126,637)</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42,818</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145,855</w:t>
            </w:r>
          </w:p>
        </w:tc>
        <w:tc>
          <w:tcPr>
            <w:tcW w:w="124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 (101,038)</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44,817</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7"/>
                <w:szCs w:val="17"/>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7"/>
                <w:szCs w:val="17"/>
                <w:color w:val="auto"/>
              </w:rPr>
              <w:t>Customer relationships</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301,829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(158,405)</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143,424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264,129</w:t>
            </w:r>
          </w:p>
        </w:tc>
        <w:tc>
          <w:tcPr>
            <w:tcW w:w="1240" w:type="dxa"/>
            <w:vAlign w:val="bottom"/>
            <w:gridSpan w:val="3"/>
          </w:tcPr>
          <w:p>
            <w:pPr>
              <w:jc w:val="right"/>
              <w:ind w:right="140"/>
              <w:spacing w:after="0"/>
              <w:rPr>
                <w:sz w:val="20"/>
                <w:szCs w:val="20"/>
                <w:color w:val="auto"/>
              </w:rPr>
            </w:pPr>
            <w:r>
              <w:rPr>
                <w:rFonts w:ascii="Arial" w:cs="Arial" w:eastAsia="Arial" w:hAnsi="Arial"/>
                <w:sz w:val="17"/>
                <w:szCs w:val="17"/>
                <w:color w:val="auto"/>
              </w:rPr>
              <w:t>(110,450)</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7"/>
              </w:rPr>
              <w:t>153,679</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7"/>
                <w:szCs w:val="17"/>
                <w:color w:val="auto"/>
              </w:rPr>
            </w:pPr>
          </w:p>
        </w:tc>
      </w:tr>
      <w:tr>
        <w:trPr>
          <w:trHeight w:val="203"/>
        </w:trPr>
        <w:tc>
          <w:tcPr>
            <w:tcW w:w="3860" w:type="dxa"/>
            <w:vAlign w:val="bottom"/>
            <w:shd w:val="clear" w:color="auto" w:fill="CFF0FC"/>
          </w:tcPr>
          <w:p>
            <w:pPr>
              <w:spacing w:after="0"/>
              <w:rPr>
                <w:sz w:val="20"/>
                <w:szCs w:val="20"/>
                <w:color w:val="auto"/>
              </w:rPr>
            </w:pPr>
            <w:r>
              <w:rPr>
                <w:rFonts w:ascii="Arial" w:cs="Arial" w:eastAsia="Arial" w:hAnsi="Arial"/>
                <w:sz w:val="17"/>
                <w:szCs w:val="17"/>
                <w:color w:val="auto"/>
              </w:rPr>
              <w:t>Leases</w:t>
            </w: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670</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(618)</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670</w:t>
            </w:r>
          </w:p>
        </w:tc>
        <w:tc>
          <w:tcPr>
            <w:tcW w:w="124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(599)</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FF0FC"/>
          </w:tcPr>
          <w:p>
            <w:pPr>
              <w:spacing w:after="0"/>
              <w:rPr>
                <w:sz w:val="17"/>
                <w:szCs w:val="17"/>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7"/>
                <w:szCs w:val="17"/>
                <w:color w:val="auto"/>
              </w:rPr>
              <w:t>Developed technology</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113,939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(96,765)</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17,174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112,039</w:t>
            </w:r>
          </w:p>
        </w:tc>
        <w:tc>
          <w:tcPr>
            <w:tcW w:w="1240" w:type="dxa"/>
            <w:vAlign w:val="bottom"/>
            <w:gridSpan w:val="3"/>
          </w:tcPr>
          <w:p>
            <w:pPr>
              <w:jc w:val="right"/>
              <w:ind w:right="140"/>
              <w:spacing w:after="0"/>
              <w:rPr>
                <w:sz w:val="20"/>
                <w:szCs w:val="20"/>
                <w:color w:val="auto"/>
              </w:rPr>
            </w:pPr>
            <w:r>
              <w:rPr>
                <w:rFonts w:ascii="Arial" w:cs="Arial" w:eastAsia="Arial" w:hAnsi="Arial"/>
                <w:sz w:val="17"/>
                <w:szCs w:val="17"/>
                <w:color w:val="auto"/>
              </w:rPr>
              <w:t>(68,968)</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43,071</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7"/>
                <w:szCs w:val="17"/>
                <w:color w:val="auto"/>
              </w:rPr>
            </w:pPr>
          </w:p>
        </w:tc>
      </w:tr>
      <w:tr>
        <w:trPr>
          <w:trHeight w:val="203"/>
        </w:trPr>
        <w:tc>
          <w:tcPr>
            <w:tcW w:w="3860" w:type="dxa"/>
            <w:vAlign w:val="bottom"/>
            <w:shd w:val="clear" w:color="auto" w:fill="CFF0FC"/>
          </w:tcPr>
          <w:p>
            <w:pPr>
              <w:spacing w:after="0"/>
              <w:rPr>
                <w:sz w:val="20"/>
                <w:szCs w:val="20"/>
                <w:color w:val="auto"/>
              </w:rPr>
            </w:pPr>
            <w:r>
              <w:rPr>
                <w:rFonts w:ascii="Arial" w:cs="Arial" w:eastAsia="Arial" w:hAnsi="Arial"/>
                <w:sz w:val="17"/>
                <w:szCs w:val="17"/>
                <w:color w:val="auto"/>
              </w:rPr>
              <w:t>Trade name</w:t>
            </w: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9,200</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(8,444)</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756</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8,200</w:t>
            </w:r>
          </w:p>
        </w:tc>
        <w:tc>
          <w:tcPr>
            <w:tcW w:w="124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(7,967)</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233</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7"/>
                <w:szCs w:val="17"/>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7"/>
                <w:szCs w:val="17"/>
                <w:color w:val="auto"/>
              </w:rPr>
              <w:t>Non-compete agreements</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5,250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(3,523)</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1,727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4,250</w:t>
            </w:r>
          </w:p>
        </w:tc>
        <w:tc>
          <w:tcPr>
            <w:tcW w:w="1240" w:type="dxa"/>
            <w:vAlign w:val="bottom"/>
            <w:gridSpan w:val="3"/>
          </w:tcPr>
          <w:p>
            <w:pPr>
              <w:jc w:val="right"/>
              <w:ind w:right="140"/>
              <w:spacing w:after="0"/>
              <w:rPr>
                <w:sz w:val="20"/>
                <w:szCs w:val="20"/>
                <w:color w:val="auto"/>
              </w:rPr>
            </w:pPr>
            <w:r>
              <w:rPr>
                <w:rFonts w:ascii="Arial" w:cs="Arial" w:eastAsia="Arial" w:hAnsi="Arial"/>
                <w:sz w:val="17"/>
                <w:szCs w:val="17"/>
                <w:color w:val="auto"/>
              </w:rPr>
              <w:t>(2,043)</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2,207</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r>
      <w:tr>
        <w:trPr>
          <w:trHeight w:val="203"/>
        </w:trPr>
        <w:tc>
          <w:tcPr>
            <w:tcW w:w="3860" w:type="dxa"/>
            <w:vAlign w:val="bottom"/>
            <w:shd w:val="clear" w:color="auto" w:fill="CFF0FC"/>
          </w:tcPr>
          <w:p>
            <w:pPr>
              <w:spacing w:after="0"/>
              <w:rPr>
                <w:sz w:val="20"/>
                <w:szCs w:val="20"/>
                <w:color w:val="auto"/>
              </w:rPr>
            </w:pPr>
            <w:r>
              <w:rPr>
                <w:rFonts w:ascii="Arial" w:cs="Arial" w:eastAsia="Arial" w:hAnsi="Arial"/>
                <w:sz w:val="17"/>
                <w:szCs w:val="17"/>
                <w:color w:val="auto"/>
              </w:rPr>
              <w:t>In process research and development</w:t>
            </w: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1,800</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1,800</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1,800</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1,800</w:t>
            </w: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ind w:left="600"/>
              <w:spacing w:after="0"/>
              <w:rPr>
                <w:sz w:val="20"/>
                <w:szCs w:val="20"/>
                <w:color w:val="auto"/>
              </w:rPr>
            </w:pPr>
            <w:r>
              <w:rPr>
                <w:rFonts w:ascii="Arial" w:cs="Arial" w:eastAsia="Arial" w:hAnsi="Arial"/>
                <w:sz w:val="17"/>
                <w:szCs w:val="17"/>
                <w:color w:val="auto"/>
              </w:rPr>
              <w:t>n/a</w:t>
            </w:r>
          </w:p>
        </w:tc>
      </w:tr>
      <w:tr>
        <w:trPr>
          <w:trHeight w:val="203"/>
        </w:trPr>
        <w:tc>
          <w:tcPr>
            <w:tcW w:w="3860" w:type="dxa"/>
            <w:vAlign w:val="bottom"/>
          </w:tcPr>
          <w:p>
            <w:pPr>
              <w:spacing w:after="0"/>
              <w:rPr>
                <w:sz w:val="20"/>
                <w:szCs w:val="20"/>
                <w:color w:val="auto"/>
              </w:rPr>
            </w:pPr>
            <w:r>
              <w:rPr>
                <w:rFonts w:ascii="Arial" w:cs="Arial" w:eastAsia="Arial" w:hAnsi="Arial"/>
                <w:sz w:val="17"/>
                <w:szCs w:val="17"/>
                <w:color w:val="auto"/>
              </w:rPr>
              <w:t>Other intangibles</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(205)</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275</w:t>
            </w:r>
          </w:p>
        </w:tc>
        <w:tc>
          <w:tcPr>
            <w:tcW w:w="1240" w:type="dxa"/>
            <w:vAlign w:val="bottom"/>
            <w:gridSpan w:val="3"/>
          </w:tcPr>
          <w:p>
            <w:pPr>
              <w:jc w:val="right"/>
              <w:ind w:right="140"/>
              <w:spacing w:after="0"/>
              <w:rPr>
                <w:sz w:val="20"/>
                <w:szCs w:val="20"/>
                <w:color w:val="auto"/>
              </w:rPr>
            </w:pPr>
            <w:r>
              <w:rPr>
                <w:rFonts w:ascii="Arial" w:cs="Arial" w:eastAsia="Arial" w:hAnsi="Arial"/>
                <w:sz w:val="17"/>
                <w:szCs w:val="17"/>
                <w:color w:val="auto"/>
              </w:rPr>
              <w:t>(195)</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r>
      <w:tr>
        <w:trPr>
          <w:trHeight w:val="20"/>
        </w:trPr>
        <w:tc>
          <w:tcPr>
            <w:tcW w:w="38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38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intangible assets</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602,418</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(394,597)</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207,821</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537,218</w:t>
            </w:r>
          </w:p>
        </w:tc>
        <w:tc>
          <w:tcPr>
            <w:tcW w:w="124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 (291,260)</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7"/>
              </w:rPr>
              <w:t>245,958</w:t>
            </w: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00" w:firstLine="423"/>
        <w:spacing w:after="0" w:line="242" w:lineRule="auto"/>
        <w:rPr>
          <w:sz w:val="20"/>
          <w:szCs w:val="20"/>
          <w:color w:val="auto"/>
        </w:rPr>
      </w:pPr>
      <w:r>
        <w:rPr>
          <w:rFonts w:ascii="Arial" w:cs="Arial" w:eastAsia="Arial" w:hAnsi="Arial"/>
          <w:sz w:val="17"/>
          <w:szCs w:val="17"/>
          <w:color w:val="auto"/>
        </w:rPr>
        <w:t>The aggregate amortization expense of intangible assets was $103.2 million, $87.8 million, and $88.3 million for the years ended December 31, 2021, December 31, 2020 and December 31, 2019,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40" w:type="dxa"/>
            <w:vAlign w:val="bottom"/>
          </w:tcPr>
          <w:p>
            <w:pPr>
              <w:ind w:left="600"/>
              <w:spacing w:after="0"/>
              <w:rPr>
                <w:sz w:val="20"/>
                <w:szCs w:val="20"/>
                <w:color w:val="auto"/>
              </w:rPr>
            </w:pPr>
            <w:r>
              <w:rPr>
                <w:rFonts w:ascii="Arial" w:cs="Arial" w:eastAsia="Arial" w:hAnsi="Arial"/>
                <w:sz w:val="17"/>
                <w:szCs w:val="17"/>
                <w:color w:val="auto"/>
              </w:rPr>
              <w:t>Estimated amortization expense in each of the next five years and beyond is as follows (in thousands):</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6"/>
        </w:trPr>
        <w:tc>
          <w:tcPr>
            <w:tcW w:w="8540" w:type="dxa"/>
            <w:vAlign w:val="bottom"/>
            <w:tcBorders>
              <w:bottom w:val="single" w:sz="8" w:color="CFF0FC"/>
            </w:tcBorders>
          </w:tcPr>
          <w:p>
            <w:pPr>
              <w:spacing w:after="0"/>
              <w:rPr>
                <w:sz w:val="16"/>
                <w:szCs w:val="16"/>
                <w:color w:val="auto"/>
              </w:rPr>
            </w:pPr>
          </w:p>
        </w:tc>
        <w:tc>
          <w:tcPr>
            <w:tcW w:w="30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Borders>
              <w:bottom w:val="single" w:sz="8" w:color="CFF0FC"/>
            </w:tcBorders>
          </w:tcPr>
          <w:p>
            <w:pPr>
              <w:spacing w:after="0"/>
              <w:rPr>
                <w:sz w:val="16"/>
                <w:szCs w:val="16"/>
                <w:color w:val="auto"/>
              </w:rPr>
            </w:pPr>
          </w:p>
        </w:tc>
      </w:tr>
      <w:tr>
        <w:trPr>
          <w:trHeight w:val="201"/>
        </w:trPr>
        <w:tc>
          <w:tcPr>
            <w:tcW w:w="8540" w:type="dxa"/>
            <w:vAlign w:val="bottom"/>
            <w:shd w:val="clear" w:color="auto" w:fill="CFF0FC"/>
          </w:tcPr>
          <w:p>
            <w:pPr>
              <w:spacing w:after="0"/>
              <w:rPr>
                <w:sz w:val="20"/>
                <w:szCs w:val="20"/>
                <w:color w:val="auto"/>
              </w:rPr>
            </w:pPr>
            <w:r>
              <w:rPr>
                <w:rFonts w:ascii="Arial" w:cs="Arial" w:eastAsia="Arial" w:hAnsi="Arial"/>
                <w:sz w:val="17"/>
                <w:szCs w:val="17"/>
                <w:color w:val="auto"/>
              </w:rPr>
              <w:t>2022</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63,163</w:t>
            </w:r>
          </w:p>
        </w:tc>
        <w:tc>
          <w:tcPr>
            <w:tcW w:w="100" w:type="dxa"/>
            <w:vAlign w:val="bottom"/>
            <w:shd w:val="clear" w:color="auto" w:fill="CFF0FC"/>
          </w:tcPr>
          <w:p>
            <w:pPr>
              <w:spacing w:after="0"/>
              <w:rPr>
                <w:sz w:val="17"/>
                <w:szCs w:val="17"/>
                <w:color w:val="auto"/>
              </w:rPr>
            </w:pPr>
          </w:p>
        </w:tc>
      </w:tr>
      <w:tr>
        <w:trPr>
          <w:trHeight w:val="203"/>
        </w:trPr>
        <w:tc>
          <w:tcPr>
            <w:tcW w:w="8540" w:type="dxa"/>
            <w:vAlign w:val="bottom"/>
          </w:tcPr>
          <w:p>
            <w:pPr>
              <w:spacing w:after="0"/>
              <w:rPr>
                <w:sz w:val="20"/>
                <w:szCs w:val="20"/>
                <w:color w:val="auto"/>
              </w:rPr>
            </w:pPr>
            <w:r>
              <w:rPr>
                <w:rFonts w:ascii="Arial" w:cs="Arial" w:eastAsia="Arial" w:hAnsi="Arial"/>
                <w:sz w:val="17"/>
                <w:szCs w:val="17"/>
                <w:color w:val="auto"/>
              </w:rPr>
              <w:t>2023</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49,286</w:t>
            </w:r>
          </w:p>
        </w:tc>
        <w:tc>
          <w:tcPr>
            <w:tcW w:w="100" w:type="dxa"/>
            <w:vAlign w:val="bottom"/>
          </w:tcPr>
          <w:p>
            <w:pPr>
              <w:spacing w:after="0"/>
              <w:rPr>
                <w:sz w:val="17"/>
                <w:szCs w:val="17"/>
                <w:color w:val="auto"/>
              </w:rPr>
            </w:pPr>
          </w:p>
        </w:tc>
      </w:tr>
      <w:tr>
        <w:trPr>
          <w:trHeight w:val="203"/>
        </w:trPr>
        <w:tc>
          <w:tcPr>
            <w:tcW w:w="8540" w:type="dxa"/>
            <w:vAlign w:val="bottom"/>
            <w:shd w:val="clear" w:color="auto" w:fill="CFF0FC"/>
          </w:tcPr>
          <w:p>
            <w:pPr>
              <w:spacing w:after="0"/>
              <w:rPr>
                <w:sz w:val="20"/>
                <w:szCs w:val="20"/>
                <w:color w:val="auto"/>
              </w:rPr>
            </w:pPr>
            <w:r>
              <w:rPr>
                <w:rFonts w:ascii="Arial" w:cs="Arial" w:eastAsia="Arial" w:hAnsi="Arial"/>
                <w:sz w:val="17"/>
                <w:szCs w:val="17"/>
                <w:color w:val="auto"/>
              </w:rPr>
              <w:t>2024</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18,799</w:t>
            </w:r>
          </w:p>
        </w:tc>
        <w:tc>
          <w:tcPr>
            <w:tcW w:w="100" w:type="dxa"/>
            <w:vAlign w:val="bottom"/>
            <w:shd w:val="clear" w:color="auto" w:fill="CFF0FC"/>
          </w:tcPr>
          <w:p>
            <w:pPr>
              <w:spacing w:after="0"/>
              <w:rPr>
                <w:sz w:val="17"/>
                <w:szCs w:val="17"/>
                <w:color w:val="auto"/>
              </w:rPr>
            </w:pPr>
          </w:p>
        </w:tc>
      </w:tr>
      <w:tr>
        <w:trPr>
          <w:trHeight w:val="203"/>
        </w:trPr>
        <w:tc>
          <w:tcPr>
            <w:tcW w:w="8540" w:type="dxa"/>
            <w:vAlign w:val="bottom"/>
          </w:tcPr>
          <w:p>
            <w:pPr>
              <w:spacing w:after="0"/>
              <w:rPr>
                <w:sz w:val="20"/>
                <w:szCs w:val="20"/>
                <w:color w:val="auto"/>
              </w:rPr>
            </w:pPr>
            <w:r>
              <w:rPr>
                <w:rFonts w:ascii="Arial" w:cs="Arial" w:eastAsia="Arial" w:hAnsi="Arial"/>
                <w:sz w:val="17"/>
                <w:szCs w:val="17"/>
                <w:color w:val="auto"/>
              </w:rPr>
              <w:t>2025</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12,151</w:t>
            </w:r>
          </w:p>
        </w:tc>
        <w:tc>
          <w:tcPr>
            <w:tcW w:w="100" w:type="dxa"/>
            <w:vAlign w:val="bottom"/>
          </w:tcPr>
          <w:p>
            <w:pPr>
              <w:spacing w:after="0"/>
              <w:rPr>
                <w:sz w:val="17"/>
                <w:szCs w:val="17"/>
                <w:color w:val="auto"/>
              </w:rPr>
            </w:pPr>
          </w:p>
        </w:tc>
      </w:tr>
      <w:tr>
        <w:trPr>
          <w:trHeight w:val="203"/>
        </w:trPr>
        <w:tc>
          <w:tcPr>
            <w:tcW w:w="8540" w:type="dxa"/>
            <w:vAlign w:val="bottom"/>
            <w:shd w:val="clear" w:color="auto" w:fill="CFF0FC"/>
          </w:tcPr>
          <w:p>
            <w:pPr>
              <w:spacing w:after="0"/>
              <w:rPr>
                <w:sz w:val="20"/>
                <w:szCs w:val="20"/>
                <w:color w:val="auto"/>
              </w:rPr>
            </w:pPr>
            <w:r>
              <w:rPr>
                <w:rFonts w:ascii="Arial" w:cs="Arial" w:eastAsia="Arial" w:hAnsi="Arial"/>
                <w:sz w:val="17"/>
                <w:szCs w:val="17"/>
                <w:color w:val="auto"/>
              </w:rPr>
              <w:t>2026</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9,636</w:t>
            </w:r>
          </w:p>
        </w:tc>
        <w:tc>
          <w:tcPr>
            <w:tcW w:w="100" w:type="dxa"/>
            <w:vAlign w:val="bottom"/>
            <w:shd w:val="clear" w:color="auto" w:fill="CFF0FC"/>
          </w:tcPr>
          <w:p>
            <w:pPr>
              <w:spacing w:after="0"/>
              <w:rPr>
                <w:sz w:val="17"/>
                <w:szCs w:val="17"/>
                <w:color w:val="auto"/>
              </w:rPr>
            </w:pPr>
          </w:p>
        </w:tc>
      </w:tr>
      <w:tr>
        <w:trPr>
          <w:trHeight w:val="203"/>
        </w:trPr>
        <w:tc>
          <w:tcPr>
            <w:tcW w:w="85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Thereafter</w:t>
            </w:r>
          </w:p>
        </w:tc>
        <w:tc>
          <w:tcPr>
            <w:tcW w:w="3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52,986</w:t>
            </w:r>
          </w:p>
        </w:tc>
        <w:tc>
          <w:tcPr>
            <w:tcW w:w="100" w:type="dxa"/>
            <w:vAlign w:val="bottom"/>
            <w:tcBorders>
              <w:bottom w:val="single" w:sz="8" w:color="CFF0FC"/>
            </w:tcBorders>
          </w:tcPr>
          <w:p>
            <w:pPr>
              <w:spacing w:after="0"/>
              <w:rPr>
                <w:sz w:val="17"/>
                <w:szCs w:val="17"/>
                <w:color w:val="auto"/>
              </w:rPr>
            </w:pPr>
          </w:p>
        </w:tc>
      </w:tr>
      <w:tr>
        <w:trPr>
          <w:trHeight w:val="196"/>
        </w:trPr>
        <w:tc>
          <w:tcPr>
            <w:tcW w:w="854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206,021</w:t>
            </w:r>
          </w:p>
        </w:tc>
        <w:tc>
          <w:tcPr>
            <w:tcW w:w="100" w:type="dxa"/>
            <w:vAlign w:val="bottom"/>
            <w:shd w:val="clear" w:color="auto" w:fill="CFF0FC"/>
          </w:tcPr>
          <w:p>
            <w:pPr>
              <w:spacing w:after="0"/>
              <w:rPr>
                <w:sz w:val="17"/>
                <w:szCs w:val="17"/>
                <w:color w:val="auto"/>
              </w:rPr>
            </w:pPr>
          </w:p>
        </w:tc>
      </w:tr>
      <w:tr>
        <w:trPr>
          <w:trHeight w:val="20"/>
        </w:trPr>
        <w:tc>
          <w:tcPr>
            <w:tcW w:w="85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335" w:lineRule="exact"/>
        <w:rPr>
          <w:sz w:val="20"/>
          <w:szCs w:val="20"/>
          <w:color w:val="auto"/>
        </w:rPr>
      </w:pPr>
    </w:p>
    <w:p>
      <w:pPr>
        <w:ind w:left="580" w:hanging="579"/>
        <w:spacing w:after="0"/>
        <w:tabs>
          <w:tab w:leader="none" w:pos="580"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Property and Equipment, Net</w:t>
      </w:r>
    </w:p>
    <w:p>
      <w:pPr>
        <w:spacing w:after="0" w:line="116"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color w:val="auto"/>
        </w:rPr>
        <w:t>Property and equipment consisted of the following at December 31, 2021 and December 31, 2020 (in thousands):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jc w:val="right"/>
              <w:ind w:right="421"/>
              <w:spacing w:after="0"/>
              <w:rPr>
                <w:sz w:val="20"/>
                <w:szCs w:val="20"/>
                <w:color w:val="auto"/>
              </w:rPr>
            </w:pPr>
            <w:r>
              <w:rPr>
                <w:rFonts w:ascii="Arial" w:cs="Arial" w:eastAsia="Arial" w:hAnsi="Arial"/>
                <w:sz w:val="14"/>
                <w:szCs w:val="14"/>
                <w:b w:val="1"/>
                <w:bCs w:val="1"/>
                <w:color w:val="auto"/>
              </w:rPr>
              <w:t>Useful life</w:t>
            </w:r>
          </w:p>
        </w:tc>
      </w:tr>
      <w:tr>
        <w:trPr>
          <w:trHeight w:val="164"/>
        </w:trPr>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 2021</w:t>
            </w:r>
          </w:p>
        </w:tc>
        <w:tc>
          <w:tcPr>
            <w:tcW w:w="120" w:type="dxa"/>
            <w:vAlign w:val="bottom"/>
          </w:tcPr>
          <w:p>
            <w:pPr>
              <w:spacing w:after="0"/>
              <w:rPr>
                <w:sz w:val="14"/>
                <w:szCs w:val="14"/>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December 31, 2020</w:t>
            </w:r>
          </w:p>
        </w:tc>
        <w:tc>
          <w:tcPr>
            <w:tcW w:w="1660" w:type="dxa"/>
            <w:vAlign w:val="bottom"/>
          </w:tcPr>
          <w:p>
            <w:pPr>
              <w:jc w:val="right"/>
              <w:ind w:right="521"/>
              <w:spacing w:after="0"/>
              <w:rPr>
                <w:sz w:val="20"/>
                <w:szCs w:val="20"/>
                <w:color w:val="auto"/>
              </w:rPr>
            </w:pPr>
            <w:r>
              <w:rPr>
                <w:rFonts w:ascii="Arial" w:cs="Arial" w:eastAsia="Arial" w:hAnsi="Arial"/>
                <w:sz w:val="14"/>
                <w:szCs w:val="14"/>
                <w:b w:val="1"/>
                <w:bCs w:val="1"/>
                <w:color w:val="auto"/>
              </w:rPr>
              <w:t>(years)</w:t>
            </w:r>
          </w:p>
        </w:tc>
      </w:tr>
      <w:tr>
        <w:trPr>
          <w:trHeight w:val="196"/>
        </w:trPr>
        <w:tc>
          <w:tcPr>
            <w:tcW w:w="6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Buildings and leasehold improvements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99,543</w:t>
            </w: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98,151</w:t>
            </w:r>
          </w:p>
        </w:tc>
        <w:tc>
          <w:tcPr>
            <w:tcW w:w="240" w:type="dxa"/>
            <w:vAlign w:val="bottom"/>
            <w:tcBorders>
              <w:top w:val="single" w:sz="8" w:color="CFF0FC"/>
            </w:tcBorders>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1-15</w:t>
            </w:r>
          </w:p>
        </w:tc>
      </w:tr>
      <w:tr>
        <w:trPr>
          <w:trHeight w:val="203"/>
        </w:trPr>
        <w:tc>
          <w:tcPr>
            <w:tcW w:w="6040" w:type="dxa"/>
            <w:vAlign w:val="bottom"/>
          </w:tcPr>
          <w:p>
            <w:pPr>
              <w:spacing w:after="0"/>
              <w:rPr>
                <w:sz w:val="20"/>
                <w:szCs w:val="20"/>
                <w:color w:val="auto"/>
              </w:rPr>
            </w:pPr>
            <w:r>
              <w:rPr>
                <w:rFonts w:ascii="Arial" w:cs="Arial" w:eastAsia="Arial" w:hAnsi="Arial"/>
                <w:sz w:val="17"/>
                <w:szCs w:val="17"/>
                <w:color w:val="auto"/>
              </w:rPr>
              <w:t>Furniture and equipment</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86,862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91,036</w:t>
            </w:r>
          </w:p>
        </w:tc>
        <w:tc>
          <w:tcPr>
            <w:tcW w:w="2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3-10</w:t>
            </w:r>
          </w:p>
        </w:tc>
      </w:tr>
      <w:tr>
        <w:trPr>
          <w:trHeight w:val="203"/>
        </w:trPr>
        <w:tc>
          <w:tcPr>
            <w:tcW w:w="6040" w:type="dxa"/>
            <w:vAlign w:val="bottom"/>
            <w:shd w:val="clear" w:color="auto" w:fill="CFF0FC"/>
          </w:tcPr>
          <w:p>
            <w:pPr>
              <w:spacing w:after="0"/>
              <w:rPr>
                <w:sz w:val="20"/>
                <w:szCs w:val="20"/>
                <w:color w:val="auto"/>
              </w:rPr>
            </w:pPr>
            <w:r>
              <w:rPr>
                <w:rFonts w:ascii="Arial" w:cs="Arial" w:eastAsia="Arial" w:hAnsi="Arial"/>
                <w:sz w:val="17"/>
                <w:szCs w:val="17"/>
                <w:color w:val="auto"/>
              </w:rPr>
              <w:t>Computer systems and equipment</w:t>
            </w: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157,633</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160,305</w:t>
            </w:r>
          </w:p>
        </w:tc>
        <w:tc>
          <w:tcPr>
            <w:tcW w:w="24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3-10</w:t>
            </w:r>
          </w:p>
        </w:tc>
      </w:tr>
      <w:tr>
        <w:trPr>
          <w:trHeight w:val="203"/>
        </w:trPr>
        <w:tc>
          <w:tcPr>
            <w:tcW w:w="6040" w:type="dxa"/>
            <w:vAlign w:val="bottom"/>
          </w:tcPr>
          <w:p>
            <w:pPr>
              <w:spacing w:after="0"/>
              <w:rPr>
                <w:sz w:val="20"/>
                <w:szCs w:val="20"/>
                <w:color w:val="auto"/>
              </w:rPr>
            </w:pPr>
            <w:r>
              <w:rPr>
                <w:rFonts w:ascii="Arial" w:cs="Arial" w:eastAsia="Arial" w:hAnsi="Arial"/>
                <w:sz w:val="17"/>
                <w:szCs w:val="17"/>
                <w:color w:val="auto"/>
              </w:rPr>
              <w:t>Construction equipment</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6,806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8,920</w:t>
            </w:r>
          </w:p>
        </w:tc>
        <w:tc>
          <w:tcPr>
            <w:tcW w:w="2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03"/>
        </w:trPr>
        <w:tc>
          <w:tcPr>
            <w:tcW w:w="6040" w:type="dxa"/>
            <w:vAlign w:val="bottom"/>
            <w:shd w:val="clear" w:color="auto" w:fill="CFF0FC"/>
          </w:tcPr>
          <w:p>
            <w:pPr>
              <w:spacing w:after="0"/>
              <w:rPr>
                <w:sz w:val="20"/>
                <w:szCs w:val="20"/>
                <w:color w:val="auto"/>
              </w:rPr>
            </w:pPr>
            <w:r>
              <w:rPr>
                <w:rFonts w:ascii="Arial" w:cs="Arial" w:eastAsia="Arial" w:hAnsi="Arial"/>
                <w:sz w:val="17"/>
                <w:szCs w:val="17"/>
                <w:color w:val="auto"/>
              </w:rPr>
              <w:t>Construction in progress</w:t>
            </w:r>
          </w:p>
        </w:tc>
        <w:tc>
          <w:tcPr>
            <w:tcW w:w="1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12,970</w:t>
            </w:r>
          </w:p>
        </w:tc>
        <w:tc>
          <w:tcPr>
            <w:tcW w:w="24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9,202</w:t>
            </w:r>
          </w:p>
        </w:tc>
        <w:tc>
          <w:tcPr>
            <w:tcW w:w="24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r>
      <w:tr>
        <w:trPr>
          <w:trHeight w:val="196"/>
        </w:trPr>
        <w:tc>
          <w:tcPr>
            <w:tcW w:w="6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363,814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367,614</w:t>
            </w: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3"/>
        </w:trPr>
        <w:tc>
          <w:tcPr>
            <w:tcW w:w="6040" w:type="dxa"/>
            <w:vAlign w:val="bottom"/>
            <w:shd w:val="clear" w:color="auto" w:fill="CFF0FC"/>
          </w:tcPr>
          <w:p>
            <w:pPr>
              <w:spacing w:after="0"/>
              <w:rPr>
                <w:sz w:val="20"/>
                <w:szCs w:val="20"/>
                <w:color w:val="auto"/>
              </w:rPr>
            </w:pPr>
            <w:r>
              <w:rPr>
                <w:rFonts w:ascii="Arial" w:cs="Arial" w:eastAsia="Arial" w:hAnsi="Arial"/>
                <w:sz w:val="17"/>
                <w:szCs w:val="17"/>
                <w:color w:val="auto"/>
              </w:rPr>
              <w:t>Accumulated depreciation</w:t>
            </w:r>
          </w:p>
        </w:tc>
        <w:tc>
          <w:tcPr>
            <w:tcW w:w="12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(259,618)</w:t>
            </w:r>
          </w:p>
        </w:tc>
        <w:tc>
          <w:tcPr>
            <w:tcW w:w="1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(246,587)</w:t>
            </w:r>
          </w:p>
        </w:tc>
        <w:tc>
          <w:tcPr>
            <w:tcW w:w="1660" w:type="dxa"/>
            <w:vAlign w:val="bottom"/>
            <w:shd w:val="clear" w:color="auto" w:fill="CFF0FC"/>
          </w:tcPr>
          <w:p>
            <w:pPr>
              <w:spacing w:after="0"/>
              <w:rPr>
                <w:sz w:val="17"/>
                <w:szCs w:val="17"/>
                <w:color w:val="auto"/>
              </w:rPr>
            </w:pPr>
          </w:p>
        </w:tc>
      </w:tr>
      <w:tr>
        <w:trPr>
          <w:trHeight w:val="196"/>
        </w:trPr>
        <w:tc>
          <w:tcPr>
            <w:tcW w:w="6040" w:type="dxa"/>
            <w:vAlign w:val="bottom"/>
          </w:tcPr>
          <w:p>
            <w:pPr>
              <w:ind w:left="240"/>
              <w:spacing w:after="0"/>
              <w:rPr>
                <w:sz w:val="20"/>
                <w:szCs w:val="20"/>
                <w:color w:val="auto"/>
              </w:rPr>
            </w:pPr>
            <w:r>
              <w:rPr>
                <w:rFonts w:ascii="Arial" w:cs="Arial" w:eastAsia="Arial" w:hAnsi="Arial"/>
                <w:sz w:val="17"/>
                <w:szCs w:val="17"/>
                <w:color w:val="auto"/>
              </w:rPr>
              <w:t>Property and equipment,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104,196</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121,027</w:t>
            </w: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
        </w:trPr>
        <w:tc>
          <w:tcPr>
            <w:tcW w:w="6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right="160" w:firstLine="589"/>
        <w:spacing w:after="0" w:line="242" w:lineRule="auto"/>
        <w:rPr>
          <w:sz w:val="20"/>
          <w:szCs w:val="20"/>
          <w:color w:val="auto"/>
        </w:rPr>
      </w:pPr>
      <w:r>
        <w:rPr>
          <w:rFonts w:ascii="Arial" w:cs="Arial" w:eastAsia="Arial" w:hAnsi="Arial"/>
          <w:sz w:val="17"/>
          <w:szCs w:val="17"/>
          <w:color w:val="auto"/>
        </w:rPr>
        <w:t>Depreciation expense of $38.6 million, $39.0 million, and $37.3 million was recorded for the years ended December 31, 2021, December 31, 2020 and December 31, 2019, respectively.</w:t>
      </w:r>
    </w:p>
    <w:p>
      <w:pPr>
        <w:spacing w:after="0" w:line="270" w:lineRule="exact"/>
        <w:rPr>
          <w:sz w:val="20"/>
          <w:szCs w:val="20"/>
          <w:color w:val="auto"/>
        </w:rPr>
      </w:pPr>
    </w:p>
    <w:p>
      <w:pPr>
        <w:ind w:left="580" w:hanging="579"/>
        <w:spacing w:after="0"/>
        <w:tabs>
          <w:tab w:leader="none" w:pos="580"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Sale-Leasebacks</w:t>
      </w:r>
    </w:p>
    <w:p>
      <w:pPr>
        <w:spacing w:after="0" w:line="116" w:lineRule="exact"/>
        <w:rPr>
          <w:sz w:val="20"/>
          <w:szCs w:val="20"/>
          <w:color w:val="auto"/>
        </w:rPr>
      </w:pPr>
    </w:p>
    <w:p>
      <w:pPr>
        <w:ind w:right="200" w:firstLine="589"/>
        <w:spacing w:after="0" w:line="236" w:lineRule="auto"/>
        <w:rPr>
          <w:sz w:val="20"/>
          <w:szCs w:val="20"/>
          <w:color w:val="auto"/>
        </w:rPr>
      </w:pPr>
      <w:r>
        <w:rPr>
          <w:rFonts w:ascii="Arial" w:cs="Arial" w:eastAsia="Arial" w:hAnsi="Arial"/>
          <w:sz w:val="17"/>
          <w:szCs w:val="17"/>
          <w:color w:val="auto"/>
        </w:rPr>
        <w:t>During fiscal 2011, the Company consummated two sale-leaseback transactions associated with the sale of two office buildings from which the Company recognized a total gain in the consolidated statements of income of $106.7 million and a total deferred gain of $107.8 million. The current and long-term portion of the deferred gain had been recorded in “Accrued expenses and other current liabilities” and “Deferred gain resulting from sale-leaseback transactions” on the consolidated balance sheet as of December 31, 2018, respectively, and was being recognized ratably over the minimum lease terms to which they relate, as an offset to rental expense in “Selling, general and administrative expenses” in the consolidated statements of income. Amortization of the deferred gain was $7.3 million for the year ended December 31, 2018.</w:t>
      </w:r>
    </w:p>
    <w:p>
      <w:pPr>
        <w:spacing w:after="0" w:line="89" w:lineRule="exact"/>
        <w:rPr>
          <w:sz w:val="20"/>
          <w:szCs w:val="20"/>
          <w:color w:val="auto"/>
        </w:rPr>
      </w:pPr>
    </w:p>
    <w:p>
      <w:pPr>
        <w:ind w:right="20" w:firstLine="589"/>
        <w:spacing w:after="0" w:line="238" w:lineRule="auto"/>
        <w:rPr>
          <w:sz w:val="20"/>
          <w:szCs w:val="20"/>
          <w:color w:val="auto"/>
        </w:rPr>
      </w:pPr>
      <w:r>
        <w:rPr>
          <w:rFonts w:ascii="Arial" w:cs="Arial" w:eastAsia="Arial" w:hAnsi="Arial"/>
          <w:sz w:val="17"/>
          <w:szCs w:val="17"/>
          <w:color w:val="auto"/>
        </w:rPr>
        <w:t xml:space="preserve">The deferred gain balance of $53.3 million as of December 31, 2018 was recognized as an adjustment to beginning accumulated deficit, net of a deferred tax asset adjustment of $0.7 million, during January 2019 in connection with the adoption of the new leasing standard. See “Note 5—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273" w:lineRule="exact"/>
        <w:rPr>
          <w:sz w:val="20"/>
          <w:szCs w:val="20"/>
          <w:color w:val="auto"/>
        </w:rPr>
      </w:pPr>
    </w:p>
    <w:p>
      <w:pPr>
        <w:ind w:left="580" w:hanging="579"/>
        <w:spacing w:after="0"/>
        <w:tabs>
          <w:tab w:leader="none" w:pos="580"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Accrued Expenses and Other Current Liabilities</w:t>
      </w:r>
    </w:p>
    <w:p>
      <w:pPr>
        <w:spacing w:after="0" w:line="116"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color w:val="auto"/>
        </w:rPr>
        <w:t>Accrued expenses and other current liabilities consisted of the following at December 31, 2021 and December 31, 2020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740" w:type="dxa"/>
            <w:vAlign w:val="bottom"/>
            <w:tcBorders>
              <w:bottom w:val="single" w:sz="8" w:color="CFF0FC"/>
            </w:tcBorders>
          </w:tcPr>
          <w:p>
            <w:pPr>
              <w:spacing w:after="0"/>
              <w:rPr>
                <w:sz w:val="14"/>
                <w:szCs w:val="14"/>
                <w:color w:val="auto"/>
              </w:rPr>
            </w:pPr>
          </w:p>
        </w:tc>
        <w:tc>
          <w:tcPr>
            <w:tcW w:w="300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196"/>
        </w:trPr>
        <w:tc>
          <w:tcPr>
            <w:tcW w:w="4740" w:type="dxa"/>
            <w:vAlign w:val="bottom"/>
            <w:shd w:val="clear" w:color="auto" w:fill="CFF0FC"/>
          </w:tcPr>
          <w:p>
            <w:pPr>
              <w:spacing w:after="0"/>
              <w:rPr>
                <w:sz w:val="20"/>
                <w:szCs w:val="20"/>
                <w:color w:val="auto"/>
              </w:rPr>
            </w:pPr>
            <w:r>
              <w:rPr>
                <w:rFonts w:ascii="Arial" w:cs="Arial" w:eastAsia="Arial" w:hAnsi="Arial"/>
                <w:sz w:val="17"/>
                <w:szCs w:val="17"/>
                <w:color w:val="auto"/>
              </w:rPr>
              <w:t>Salaries and wages</w:t>
            </w:r>
          </w:p>
        </w:tc>
        <w:tc>
          <w:tcPr>
            <w:tcW w:w="3920" w:type="dxa"/>
            <w:vAlign w:val="bottom"/>
            <w:gridSpan w:val="2"/>
            <w:shd w:val="clear" w:color="auto" w:fill="CFF0FC"/>
          </w:tcPr>
          <w:p>
            <w:pPr>
              <w:jc w:val="right"/>
              <w:ind w:right="772"/>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90,023</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72,498</w:t>
            </w:r>
          </w:p>
        </w:tc>
        <w:tc>
          <w:tcPr>
            <w:tcW w:w="100" w:type="dxa"/>
            <w:vAlign w:val="bottom"/>
            <w:shd w:val="clear" w:color="auto" w:fill="CFF0FC"/>
          </w:tcPr>
          <w:p>
            <w:pPr>
              <w:spacing w:after="0"/>
              <w:rPr>
                <w:sz w:val="17"/>
                <w:szCs w:val="17"/>
                <w:color w:val="auto"/>
              </w:rPr>
            </w:pPr>
          </w:p>
        </w:tc>
      </w:tr>
      <w:tr>
        <w:trPr>
          <w:trHeight w:val="203"/>
        </w:trPr>
        <w:tc>
          <w:tcPr>
            <w:tcW w:w="4740" w:type="dxa"/>
            <w:vAlign w:val="bottom"/>
          </w:tcPr>
          <w:p>
            <w:pPr>
              <w:spacing w:after="0"/>
              <w:rPr>
                <w:sz w:val="20"/>
                <w:szCs w:val="20"/>
                <w:color w:val="auto"/>
              </w:rPr>
            </w:pPr>
            <w:r>
              <w:rPr>
                <w:rFonts w:ascii="Arial" w:cs="Arial" w:eastAsia="Arial" w:hAnsi="Arial"/>
                <w:sz w:val="17"/>
                <w:szCs w:val="17"/>
                <w:color w:val="auto"/>
              </w:rPr>
              <w:t>Employee benefits</w:t>
            </w:r>
          </w:p>
        </w:tc>
        <w:tc>
          <w:tcPr>
            <w:tcW w:w="3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7"/>
              </w:rPr>
              <w:t>264,912</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293,768</w:t>
            </w:r>
          </w:p>
        </w:tc>
        <w:tc>
          <w:tcPr>
            <w:tcW w:w="100" w:type="dxa"/>
            <w:vAlign w:val="bottom"/>
          </w:tcPr>
          <w:p>
            <w:pPr>
              <w:spacing w:after="0"/>
              <w:rPr>
                <w:sz w:val="17"/>
                <w:szCs w:val="17"/>
                <w:color w:val="auto"/>
              </w:rPr>
            </w:pPr>
          </w:p>
        </w:tc>
      </w:tr>
      <w:tr>
        <w:trPr>
          <w:trHeight w:val="203"/>
        </w:trPr>
        <w:tc>
          <w:tcPr>
            <w:tcW w:w="4740" w:type="dxa"/>
            <w:vAlign w:val="bottom"/>
            <w:shd w:val="clear" w:color="auto" w:fill="CFF0FC"/>
          </w:tcPr>
          <w:p>
            <w:pPr>
              <w:spacing w:after="0"/>
              <w:rPr>
                <w:sz w:val="20"/>
                <w:szCs w:val="20"/>
                <w:color w:val="auto"/>
              </w:rPr>
            </w:pPr>
            <w:r>
              <w:rPr>
                <w:rFonts w:ascii="Arial" w:cs="Arial" w:eastAsia="Arial" w:hAnsi="Arial"/>
                <w:sz w:val="17"/>
                <w:szCs w:val="17"/>
                <w:color w:val="auto"/>
              </w:rPr>
              <w:t>Self-insurance liability</w:t>
            </w:r>
          </w:p>
        </w:tc>
        <w:tc>
          <w:tcPr>
            <w:tcW w:w="30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23,737</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32,447</w:t>
            </w:r>
          </w:p>
        </w:tc>
        <w:tc>
          <w:tcPr>
            <w:tcW w:w="100" w:type="dxa"/>
            <w:vAlign w:val="bottom"/>
            <w:shd w:val="clear" w:color="auto" w:fill="CFF0FC"/>
          </w:tcPr>
          <w:p>
            <w:pPr>
              <w:spacing w:after="0"/>
              <w:rPr>
                <w:sz w:val="17"/>
                <w:szCs w:val="17"/>
                <w:color w:val="auto"/>
              </w:rPr>
            </w:pPr>
          </w:p>
        </w:tc>
      </w:tr>
      <w:tr>
        <w:trPr>
          <w:trHeight w:val="203"/>
        </w:trPr>
        <w:tc>
          <w:tcPr>
            <w:tcW w:w="4740" w:type="dxa"/>
            <w:vAlign w:val="bottom"/>
          </w:tcPr>
          <w:p>
            <w:pPr>
              <w:spacing w:after="0"/>
              <w:rPr>
                <w:sz w:val="20"/>
                <w:szCs w:val="20"/>
                <w:color w:val="auto"/>
              </w:rPr>
            </w:pPr>
            <w:r>
              <w:rPr>
                <w:rFonts w:ascii="Arial" w:cs="Arial" w:eastAsia="Arial" w:hAnsi="Arial"/>
                <w:sz w:val="17"/>
                <w:szCs w:val="17"/>
                <w:color w:val="auto"/>
              </w:rPr>
              <w:t>Project cost accruals</w:t>
            </w:r>
          </w:p>
        </w:tc>
        <w:tc>
          <w:tcPr>
            <w:tcW w:w="3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7"/>
              </w:rPr>
              <w:t>127,970</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164,243</w:t>
            </w:r>
          </w:p>
        </w:tc>
        <w:tc>
          <w:tcPr>
            <w:tcW w:w="100" w:type="dxa"/>
            <w:vAlign w:val="bottom"/>
          </w:tcPr>
          <w:p>
            <w:pPr>
              <w:spacing w:after="0"/>
              <w:rPr>
                <w:sz w:val="17"/>
                <w:szCs w:val="17"/>
                <w:color w:val="auto"/>
              </w:rPr>
            </w:pPr>
          </w:p>
        </w:tc>
      </w:tr>
      <w:tr>
        <w:trPr>
          <w:trHeight w:val="203"/>
        </w:trPr>
        <w:tc>
          <w:tcPr>
            <w:tcW w:w="4740" w:type="dxa"/>
            <w:vAlign w:val="bottom"/>
            <w:shd w:val="clear" w:color="auto" w:fill="CFF0FC"/>
          </w:tcPr>
          <w:p>
            <w:pPr>
              <w:spacing w:after="0"/>
              <w:rPr>
                <w:sz w:val="20"/>
                <w:szCs w:val="20"/>
                <w:color w:val="auto"/>
              </w:rPr>
            </w:pPr>
            <w:r>
              <w:rPr>
                <w:rFonts w:ascii="Arial" w:cs="Arial" w:eastAsia="Arial" w:hAnsi="Arial"/>
                <w:sz w:val="17"/>
                <w:szCs w:val="17"/>
                <w:color w:val="auto"/>
              </w:rPr>
              <w:t>Other accrued expenses</w:t>
            </w:r>
          </w:p>
        </w:tc>
        <w:tc>
          <w:tcPr>
            <w:tcW w:w="3000" w:type="dxa"/>
            <w:vAlign w:val="bottom"/>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92,447</w:t>
            </w:r>
          </w:p>
        </w:tc>
        <w:tc>
          <w:tcPr>
            <w:tcW w:w="28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87,797</w:t>
            </w:r>
          </w:p>
        </w:tc>
        <w:tc>
          <w:tcPr>
            <w:tcW w:w="100" w:type="dxa"/>
            <w:vAlign w:val="bottom"/>
            <w:shd w:val="clear" w:color="auto" w:fill="CFF0FC"/>
          </w:tcPr>
          <w:p>
            <w:pPr>
              <w:spacing w:after="0"/>
              <w:rPr>
                <w:sz w:val="17"/>
                <w:szCs w:val="17"/>
                <w:color w:val="auto"/>
              </w:rPr>
            </w:pPr>
          </w:p>
        </w:tc>
      </w:tr>
      <w:tr>
        <w:trPr>
          <w:trHeight w:val="196"/>
        </w:trPr>
        <w:tc>
          <w:tcPr>
            <w:tcW w:w="4740" w:type="dxa"/>
            <w:vAlign w:val="bottom"/>
          </w:tcPr>
          <w:p>
            <w:pPr>
              <w:ind w:left="240"/>
              <w:spacing w:after="0"/>
              <w:rPr>
                <w:sz w:val="20"/>
                <w:szCs w:val="20"/>
                <w:color w:val="auto"/>
              </w:rPr>
            </w:pPr>
            <w:r>
              <w:rPr>
                <w:rFonts w:ascii="Arial" w:cs="Arial" w:eastAsia="Arial" w:hAnsi="Arial"/>
                <w:sz w:val="17"/>
                <w:szCs w:val="17"/>
                <w:color w:val="auto"/>
              </w:rPr>
              <w:t>Total accrued expenses and other current liabilities</w:t>
            </w:r>
          </w:p>
        </w:tc>
        <w:tc>
          <w:tcPr>
            <w:tcW w:w="3920" w:type="dxa"/>
            <w:vAlign w:val="bottom"/>
            <w:gridSpan w:val="2"/>
          </w:tcPr>
          <w:p>
            <w:pPr>
              <w:jc w:val="right"/>
              <w:ind w:right="772"/>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7"/>
              </w:rPr>
              <w:t>599,089</w:t>
            </w:r>
          </w:p>
        </w:tc>
        <w:tc>
          <w:tcPr>
            <w:tcW w:w="280" w:type="dxa"/>
            <w:vAlign w:val="bottom"/>
          </w:tcPr>
          <w:p>
            <w:pPr>
              <w:spacing w:after="0"/>
              <w:rPr>
                <w:sz w:val="17"/>
                <w:szCs w:val="17"/>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650,753</w:t>
            </w:r>
          </w:p>
        </w:tc>
        <w:tc>
          <w:tcPr>
            <w:tcW w:w="100" w:type="dxa"/>
            <w:vAlign w:val="bottom"/>
          </w:tcPr>
          <w:p>
            <w:pPr>
              <w:spacing w:after="0"/>
              <w:rPr>
                <w:sz w:val="17"/>
                <w:szCs w:val="17"/>
                <w:color w:val="auto"/>
              </w:rPr>
            </w:pPr>
          </w:p>
        </w:tc>
      </w:tr>
      <w:tr>
        <w:trPr>
          <w:trHeight w:val="20"/>
        </w:trPr>
        <w:tc>
          <w:tcPr>
            <w:tcW w:w="47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1"/>
        </w:trPr>
        <w:tc>
          <w:tcPr>
            <w:tcW w:w="4740" w:type="dxa"/>
            <w:vAlign w:val="bottom"/>
          </w:tcPr>
          <w:p>
            <w:pPr>
              <w:spacing w:after="0"/>
              <w:rPr>
                <w:sz w:val="24"/>
                <w:szCs w:val="24"/>
                <w:color w:val="auto"/>
              </w:rPr>
            </w:pPr>
          </w:p>
        </w:tc>
        <w:tc>
          <w:tcPr>
            <w:tcW w:w="3920" w:type="dxa"/>
            <w:vAlign w:val="bottom"/>
            <w:gridSpan w:val="2"/>
          </w:tcPr>
          <w:p>
            <w:pPr>
              <w:jc w:val="right"/>
              <w:ind w:right="2792"/>
              <w:spacing w:after="0"/>
              <w:rPr>
                <w:sz w:val="20"/>
                <w:szCs w:val="20"/>
                <w:color w:val="auto"/>
              </w:rPr>
            </w:pPr>
            <w:r>
              <w:rPr>
                <w:rFonts w:ascii="Arial" w:cs="Arial" w:eastAsia="Arial" w:hAnsi="Arial"/>
                <w:sz w:val="17"/>
                <w:szCs w:val="17"/>
                <w:color w:val="auto"/>
              </w:rPr>
              <w:t>F-37</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5"/>
        </w:trPr>
        <w:tc>
          <w:tcPr>
            <w:tcW w:w="4740" w:type="dxa"/>
            <w:vAlign w:val="bottom"/>
            <w:tcBorders>
              <w:bottom w:val="single" w:sz="8" w:color="9A9A9A"/>
            </w:tcBorders>
          </w:tcPr>
          <w:p>
            <w:pPr>
              <w:spacing w:after="0"/>
              <w:rPr>
                <w:sz w:val="8"/>
                <w:szCs w:val="8"/>
                <w:color w:val="auto"/>
              </w:rPr>
            </w:pPr>
          </w:p>
        </w:tc>
        <w:tc>
          <w:tcPr>
            <w:tcW w:w="30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7">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335" w:lineRule="exact"/>
        <w:rPr>
          <w:sz w:val="20"/>
          <w:szCs w:val="20"/>
          <w:color w:val="auto"/>
        </w:rPr>
      </w:pPr>
    </w:p>
    <w:p>
      <w:pPr>
        <w:ind w:left="580" w:hanging="579"/>
        <w:spacing w:after="0"/>
        <w:tabs>
          <w:tab w:leader="none" w:pos="580"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Debt and Credit Facilities</w:t>
      </w:r>
    </w:p>
    <w:p>
      <w:pPr>
        <w:spacing w:after="0" w:line="116"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color w:val="auto"/>
        </w:rPr>
        <w:t>Debt consisted of the following at December 31, 2021 and December 31,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4371975</wp:posOffset>
            </wp:positionH>
            <wp:positionV relativeFrom="paragraph">
              <wp:posOffset>142240</wp:posOffset>
            </wp:positionV>
            <wp:extent cx="27051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9">
                      <a:extLst>
                        <a:ext uri="{28A0092B-C50C-407E-A947-70E740481C1C}"/>
                      </a:extLst>
                    </a:blip>
                    <a:srcRect/>
                    <a:stretch>
                      <a:fillRect/>
                    </a:stretch>
                  </pic:blipFill>
                  <pic:spPr bwMode="auto">
                    <a:xfrm>
                      <a:off x="0" y="0"/>
                      <a:ext cx="2705100" cy="8255"/>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 2020</w:t>
            </w:r>
          </w:p>
        </w:tc>
      </w:tr>
      <w:tr>
        <w:trPr>
          <w:trHeight w:val="214"/>
        </w:trPr>
        <w:tc>
          <w:tcPr>
            <w:tcW w:w="4420" w:type="dxa"/>
            <w:vAlign w:val="bottom"/>
          </w:tcPr>
          <w:p>
            <w:pPr>
              <w:spacing w:after="0"/>
              <w:rPr>
                <w:sz w:val="20"/>
                <w:szCs w:val="20"/>
                <w:color w:val="auto"/>
              </w:rPr>
            </w:pPr>
            <w:r>
              <w:rPr>
                <w:rFonts w:ascii="Arial" w:cs="Arial" w:eastAsia="Arial" w:hAnsi="Arial"/>
                <w:sz w:val="17"/>
                <w:szCs w:val="17"/>
                <w:color w:val="auto"/>
              </w:rPr>
              <w:t>Short-Term:</w:t>
            </w:r>
          </w:p>
        </w:tc>
        <w:tc>
          <w:tcPr>
            <w:tcW w:w="2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5"/>
        </w:trPr>
        <w:tc>
          <w:tcPr>
            <w:tcW w:w="44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Senior notes</w:t>
            </w:r>
          </w:p>
        </w:tc>
        <w:tc>
          <w:tcPr>
            <w:tcW w:w="27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shd w:val="clear" w:color="auto" w:fill="CFF0FC"/>
          </w:tcPr>
          <w:p>
            <w:pPr>
              <w:spacing w:after="0"/>
              <w:rPr>
                <w:sz w:val="20"/>
                <w:szCs w:val="20"/>
                <w:color w:val="auto"/>
              </w:rPr>
            </w:pPr>
          </w:p>
        </w:tc>
      </w:tr>
      <w:tr>
        <w:trPr>
          <w:trHeight w:val="221"/>
        </w:trPr>
        <w:tc>
          <w:tcPr>
            <w:tcW w:w="44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Short-Term</w:t>
            </w:r>
          </w:p>
        </w:tc>
        <w:tc>
          <w:tcPr>
            <w:tcW w:w="24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tcBorders>
              <w:bottom w:val="single" w:sz="8" w:color="CFF0FC"/>
            </w:tcBorders>
          </w:tcPr>
          <w:p>
            <w:pPr>
              <w:spacing w:after="0"/>
              <w:rPr>
                <w:sz w:val="19"/>
                <w:szCs w:val="19"/>
                <w:color w:val="auto"/>
              </w:rPr>
            </w:pPr>
          </w:p>
        </w:tc>
      </w:tr>
      <w:tr>
        <w:trPr>
          <w:trHeight w:val="221"/>
        </w:trPr>
        <w:tc>
          <w:tcPr>
            <w:tcW w:w="4420" w:type="dxa"/>
            <w:vAlign w:val="bottom"/>
            <w:shd w:val="clear" w:color="auto" w:fill="CFF0FC"/>
          </w:tcPr>
          <w:p>
            <w:pPr>
              <w:spacing w:after="0"/>
              <w:rPr>
                <w:sz w:val="20"/>
                <w:szCs w:val="20"/>
                <w:color w:val="auto"/>
              </w:rPr>
            </w:pPr>
            <w:r>
              <w:rPr>
                <w:rFonts w:ascii="Arial" w:cs="Arial" w:eastAsia="Arial" w:hAnsi="Arial"/>
                <w:sz w:val="17"/>
                <w:szCs w:val="17"/>
                <w:color w:val="auto"/>
              </w:rPr>
              <w:t>Long-Term:</w:t>
            </w:r>
          </w:p>
        </w:tc>
        <w:tc>
          <w:tcPr>
            <w:tcW w:w="2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4420" w:type="dxa"/>
            <w:vAlign w:val="bottom"/>
          </w:tcPr>
          <w:p>
            <w:pPr>
              <w:ind w:left="120"/>
              <w:spacing w:after="0"/>
              <w:rPr>
                <w:sz w:val="20"/>
                <w:szCs w:val="20"/>
                <w:color w:val="auto"/>
              </w:rPr>
            </w:pPr>
            <w:r>
              <w:rPr>
                <w:rFonts w:ascii="Arial" w:cs="Arial" w:eastAsia="Arial" w:hAnsi="Arial"/>
                <w:sz w:val="17"/>
                <w:szCs w:val="17"/>
                <w:color w:val="auto"/>
              </w:rPr>
              <w:t>Senior notes</w:t>
            </w:r>
          </w:p>
        </w:tc>
        <w:tc>
          <w:tcPr>
            <w:tcW w:w="2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200,000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200,000</w:t>
            </w:r>
          </w:p>
        </w:tc>
        <w:tc>
          <w:tcPr>
            <w:tcW w:w="100" w:type="dxa"/>
            <w:vAlign w:val="bottom"/>
          </w:tcPr>
          <w:p>
            <w:pPr>
              <w:spacing w:after="0"/>
              <w:rPr>
                <w:sz w:val="17"/>
                <w:szCs w:val="17"/>
                <w:color w:val="auto"/>
              </w:rPr>
            </w:pPr>
          </w:p>
        </w:tc>
      </w:tr>
      <w:tr>
        <w:trPr>
          <w:trHeight w:val="203"/>
        </w:trPr>
        <w:tc>
          <w:tcPr>
            <w:tcW w:w="44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Convertible senior notes</w:t>
            </w:r>
          </w:p>
        </w:tc>
        <w:tc>
          <w:tcPr>
            <w:tcW w:w="2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400,000</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400,000</w:t>
            </w:r>
          </w:p>
        </w:tc>
        <w:tc>
          <w:tcPr>
            <w:tcW w:w="100" w:type="dxa"/>
            <w:vAlign w:val="bottom"/>
            <w:shd w:val="clear" w:color="auto" w:fill="CFF0FC"/>
          </w:tcPr>
          <w:p>
            <w:pPr>
              <w:spacing w:after="0"/>
              <w:rPr>
                <w:sz w:val="17"/>
                <w:szCs w:val="17"/>
                <w:color w:val="auto"/>
              </w:rPr>
            </w:pPr>
          </w:p>
        </w:tc>
      </w:tr>
      <w:tr>
        <w:trPr>
          <w:trHeight w:val="203"/>
        </w:trPr>
        <w:tc>
          <w:tcPr>
            <w:tcW w:w="4420" w:type="dxa"/>
            <w:vAlign w:val="bottom"/>
          </w:tcPr>
          <w:p>
            <w:pPr>
              <w:ind w:left="120"/>
              <w:spacing w:after="0"/>
              <w:rPr>
                <w:sz w:val="20"/>
                <w:szCs w:val="20"/>
                <w:color w:val="auto"/>
              </w:rPr>
            </w:pPr>
            <w:r>
              <w:rPr>
                <w:rFonts w:ascii="Arial" w:cs="Arial" w:eastAsia="Arial" w:hAnsi="Arial"/>
                <w:sz w:val="17"/>
                <w:szCs w:val="17"/>
                <w:color w:val="auto"/>
              </w:rPr>
              <w:t>Debt discount</w:t>
            </w:r>
          </w:p>
        </w:tc>
        <w:tc>
          <w:tcPr>
            <w:tcW w:w="2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7"/>
                <w:szCs w:val="17"/>
                <w:color w:val="auto"/>
              </w:rPr>
              <w:t>(51,138)</w:t>
            </w:r>
          </w:p>
        </w:tc>
      </w:tr>
      <w:tr>
        <w:trPr>
          <w:trHeight w:val="203"/>
        </w:trPr>
        <w:tc>
          <w:tcPr>
            <w:tcW w:w="44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Debt issuance costs</w:t>
            </w:r>
          </w:p>
        </w:tc>
        <w:tc>
          <w:tcPr>
            <w:tcW w:w="2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9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(8,078)</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(8,864)</w:t>
            </w:r>
          </w:p>
        </w:tc>
      </w:tr>
      <w:tr>
        <w:trPr>
          <w:trHeight w:val="196"/>
        </w:trPr>
        <w:tc>
          <w:tcPr>
            <w:tcW w:w="44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long-term</w:t>
            </w:r>
          </w:p>
        </w:tc>
        <w:tc>
          <w:tcPr>
            <w:tcW w:w="2460" w:type="dxa"/>
            <w:vAlign w:val="bottom"/>
            <w:tcBorders>
              <w:bottom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591,922</w:t>
            </w:r>
          </w:p>
        </w:tc>
        <w:tc>
          <w:tcPr>
            <w:tcW w:w="18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539,998</w:t>
            </w:r>
          </w:p>
        </w:tc>
        <w:tc>
          <w:tcPr>
            <w:tcW w:w="100" w:type="dxa"/>
            <w:vAlign w:val="bottom"/>
            <w:tcBorders>
              <w:bottom w:val="single" w:sz="8" w:color="CFF0FC"/>
            </w:tcBorders>
          </w:tcPr>
          <w:p>
            <w:pPr>
              <w:spacing w:after="0"/>
              <w:rPr>
                <w:sz w:val="17"/>
                <w:szCs w:val="17"/>
                <w:color w:val="auto"/>
              </w:rPr>
            </w:pPr>
          </w:p>
        </w:tc>
      </w:tr>
      <w:tr>
        <w:trPr>
          <w:trHeight w:val="221"/>
        </w:trPr>
        <w:tc>
          <w:tcPr>
            <w:tcW w:w="4420" w:type="dxa"/>
            <w:vAlign w:val="bottom"/>
            <w:shd w:val="clear" w:color="auto" w:fill="CFF0FC"/>
          </w:tcPr>
          <w:p>
            <w:pPr>
              <w:spacing w:after="0"/>
              <w:rPr>
                <w:sz w:val="20"/>
                <w:szCs w:val="20"/>
                <w:color w:val="auto"/>
              </w:rPr>
            </w:pPr>
            <w:r>
              <w:rPr>
                <w:rFonts w:ascii="Arial" w:cs="Arial" w:eastAsia="Arial" w:hAnsi="Arial"/>
                <w:sz w:val="17"/>
                <w:szCs w:val="17"/>
                <w:color w:val="auto"/>
              </w:rPr>
              <w:t>Total Debt</w:t>
            </w:r>
          </w:p>
        </w:tc>
        <w:tc>
          <w:tcPr>
            <w:tcW w:w="27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591,922</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589,998</w:t>
            </w:r>
          </w:p>
        </w:tc>
        <w:tc>
          <w:tcPr>
            <w:tcW w:w="100" w:type="dxa"/>
            <w:vAlign w:val="bottom"/>
            <w:shd w:val="clear" w:color="auto" w:fill="CFF0FC"/>
          </w:tcPr>
          <w:p>
            <w:pPr>
              <w:spacing w:after="0"/>
              <w:rPr>
                <w:sz w:val="19"/>
                <w:szCs w:val="19"/>
                <w:color w:val="auto"/>
              </w:rPr>
            </w:pPr>
          </w:p>
        </w:tc>
      </w:tr>
      <w:tr>
        <w:trPr>
          <w:trHeight w:val="20"/>
        </w:trPr>
        <w:tc>
          <w:tcPr>
            <w:tcW w:w="4420" w:type="dxa"/>
            <w:vAlign w:val="bottom"/>
            <w:tcBorders>
              <w:top w:val="single" w:sz="8" w:color="CFF0FC"/>
            </w:tcBorders>
          </w:tcPr>
          <w:p>
            <w:pPr>
              <w:spacing w:after="0" w:line="20" w:lineRule="exact"/>
              <w:rPr>
                <w:sz w:val="1"/>
                <w:szCs w:val="1"/>
                <w:color w:val="auto"/>
              </w:rPr>
            </w:pPr>
          </w:p>
        </w:tc>
        <w:tc>
          <w:tcPr>
            <w:tcW w:w="24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98"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Revolving Credit Facility</w:t>
      </w:r>
    </w:p>
    <w:p>
      <w:pPr>
        <w:spacing w:after="0" w:line="243" w:lineRule="exact"/>
        <w:rPr>
          <w:sz w:val="20"/>
          <w:szCs w:val="20"/>
          <w:color w:val="auto"/>
        </w:rPr>
      </w:pPr>
    </w:p>
    <w:p>
      <w:pPr>
        <w:ind w:right="180" w:firstLine="589"/>
        <w:spacing w:after="0" w:line="233" w:lineRule="auto"/>
        <w:rPr>
          <w:sz w:val="20"/>
          <w:szCs w:val="20"/>
          <w:color w:val="auto"/>
        </w:rPr>
      </w:pPr>
      <w:r>
        <w:rPr>
          <w:rFonts w:ascii="Arial" w:cs="Arial" w:eastAsia="Arial" w:hAnsi="Arial"/>
          <w:sz w:val="17"/>
          <w:szCs w:val="17"/>
          <w:color w:val="auto"/>
        </w:rPr>
        <w:t>In June 2021, the Company entered into a $650 million unsecured revolving credit facility (the “Credit Agreement”). The Company incurred $1.9 million of costs in connection with this Credit Agreement. The 2021 Credit Agreement replaced an existing Fifth Amended and Restated Credit Agreement dated as of November 15, 2017. Under the new agreement, the Company’s revolving credit facility was increased from $550 million to $650 million. The credit facility has a five-year maturity, which may be extended up to two times for periods determined by the Company and the applicable extending lenders, and permits the Company to borrow in U.S. dollars, certain specified foreign currencies, and each other currency that may be approved in accordance with the 2021 Facility. The borrowings under the Credit Agreement bear interest at either a eurocurrency rate plus a margin between 1.0% and 1.625% or a base rate (as defined in the Credit Agreement) plus a margin of between 0% and 0.625%. The</w:t>
      </w:r>
    </w:p>
    <w:p>
      <w:pPr>
        <w:spacing w:after="0" w:line="3"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rates on December 31, 2021 and December 31, 2020 were 1.36% and 1.87%, respectively. Borrowings under this Credit Agreement are guaranteed by certain Company operating subsidiaries. Letters of credit commitments outstanding under this agreement aggregated approximately $ 44.3 million and $44.9 million at December 31, 2021 and December 31, 2020, respectively, which reduced borrowing limits available to the Company. Interest expense related to the Credit Agreement was $0.7 million, $1.0 million and $6.3 million, for the years ended December 31, 2021, December 31, 2020 and December 31, 2019, respectively. There were no loan amounts outstanding under the Credit Agreement at December 31, 2021.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398"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Term Loan</w:t>
      </w:r>
    </w:p>
    <w:p>
      <w:pPr>
        <w:spacing w:after="0" w:line="218" w:lineRule="exact"/>
        <w:rPr>
          <w:sz w:val="20"/>
          <w:szCs w:val="20"/>
          <w:color w:val="auto"/>
        </w:rPr>
      </w:pPr>
    </w:p>
    <w:p>
      <w:pPr>
        <w:ind w:right="140" w:firstLine="589"/>
        <w:spacing w:after="0" w:line="237" w:lineRule="auto"/>
        <w:rPr>
          <w:sz w:val="20"/>
          <w:szCs w:val="20"/>
          <w:color w:val="auto"/>
        </w:rPr>
      </w:pPr>
      <w:r>
        <w:rPr>
          <w:rFonts w:ascii="Arial" w:cs="Arial" w:eastAsia="Arial" w:hAnsi="Arial"/>
          <w:sz w:val="17"/>
          <w:szCs w:val="17"/>
          <w:color w:val="auto"/>
        </w:rPr>
        <w:t>In January 2019, the Company borrowed $150.0 million under our Term Loan Agreement to partially finance the OGSystems acquisition. On May 10, 2019, the Company used proceeds from its May 8, 2019 IPO to repay the $150.0 million outstanding balance under the Term Loan and this loan is now closed. Interest expense related to the Term Loan was $2.3 million for the year ended December 31, 2019. There were no amounts outstanding in 2020 and 2021.</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Private Placement</w:t>
      </w:r>
    </w:p>
    <w:p>
      <w:pPr>
        <w:spacing w:after="0" w:line="218" w:lineRule="exact"/>
        <w:rPr>
          <w:sz w:val="20"/>
          <w:szCs w:val="20"/>
          <w:color w:val="auto"/>
        </w:rPr>
      </w:pPr>
    </w:p>
    <w:p>
      <w:pPr>
        <w:ind w:right="220" w:firstLine="589"/>
        <w:spacing w:after="0" w:line="242" w:lineRule="auto"/>
        <w:rPr>
          <w:sz w:val="20"/>
          <w:szCs w:val="20"/>
          <w:color w:val="auto"/>
        </w:rPr>
      </w:pPr>
      <w:r>
        <w:rPr>
          <w:rFonts w:ascii="Arial" w:cs="Arial" w:eastAsia="Arial" w:hAnsi="Arial"/>
          <w:sz w:val="17"/>
          <w:szCs w:val="17"/>
          <w:color w:val="auto"/>
        </w:rPr>
        <w:t>On July 1, 2014, the Company finalized a private placement whereby the Company raised an aggregate amount of $250.0 million in debt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Tranche</w:t>
            </w:r>
          </w:p>
        </w:tc>
        <w:tc>
          <w:tcPr>
            <w:tcW w:w="1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Debt Amount</w:t>
            </w:r>
          </w:p>
        </w:tc>
        <w:tc>
          <w:tcPr>
            <w:tcW w:w="260" w:type="dxa"/>
            <w:vAlign w:val="bottom"/>
            <w:tcBorders>
              <w:bottom w:val="single" w:sz="8" w:color="CFF0FC"/>
            </w:tcBorders>
          </w:tcPr>
          <w:p>
            <w:pPr>
              <w:spacing w:after="0"/>
              <w:rPr>
                <w:sz w:val="14"/>
                <w:szCs w:val="14"/>
                <w:color w:val="auto"/>
              </w:rPr>
            </w:pPr>
          </w:p>
        </w:tc>
        <w:tc>
          <w:tcPr>
            <w:tcW w:w="14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Maturity Date</w:t>
            </w:r>
          </w:p>
        </w:tc>
        <w:tc>
          <w:tcPr>
            <w:tcW w:w="16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Interest Rate</w:t>
            </w:r>
          </w:p>
        </w:tc>
        <w:tc>
          <w:tcPr>
            <w:tcW w:w="160" w:type="dxa"/>
            <w:vAlign w:val="bottom"/>
            <w:tcBorders>
              <w:bottom w:val="single" w:sz="8" w:color="CFF0FC"/>
            </w:tcBorders>
          </w:tcPr>
          <w:p>
            <w:pPr>
              <w:spacing w:after="0"/>
              <w:rPr>
                <w:sz w:val="14"/>
                <w:szCs w:val="14"/>
                <w:color w:val="auto"/>
              </w:rPr>
            </w:pPr>
          </w:p>
        </w:tc>
      </w:tr>
      <w:tr>
        <w:trPr>
          <w:trHeight w:val="196"/>
        </w:trPr>
        <w:tc>
          <w:tcPr>
            <w:tcW w:w="6460" w:type="dxa"/>
            <w:vAlign w:val="bottom"/>
            <w:shd w:val="clear" w:color="auto" w:fill="CFF0FC"/>
          </w:tcPr>
          <w:p>
            <w:pPr>
              <w:spacing w:after="0"/>
              <w:rPr>
                <w:sz w:val="20"/>
                <w:szCs w:val="20"/>
                <w:color w:val="auto"/>
              </w:rPr>
            </w:pPr>
            <w:r>
              <w:rPr>
                <w:rFonts w:ascii="Arial" w:cs="Arial" w:eastAsia="Arial" w:hAnsi="Arial"/>
                <w:sz w:val="17"/>
                <w:szCs w:val="17"/>
                <w:color w:val="auto"/>
              </w:rPr>
              <w:t>Senior Note, Series A</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50,000</w:t>
            </w:r>
          </w:p>
        </w:tc>
        <w:tc>
          <w:tcPr>
            <w:tcW w:w="26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ind w:left="400"/>
              <w:spacing w:after="0"/>
              <w:rPr>
                <w:sz w:val="20"/>
                <w:szCs w:val="20"/>
                <w:color w:val="auto"/>
              </w:rPr>
            </w:pPr>
            <w:r>
              <w:rPr>
                <w:rFonts w:ascii="Arial" w:cs="Arial" w:eastAsia="Arial" w:hAnsi="Arial"/>
                <w:sz w:val="17"/>
                <w:szCs w:val="17"/>
                <w:color w:val="auto"/>
              </w:rPr>
              <w:t>July 15, 2021</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4.44%</w:t>
            </w:r>
          </w:p>
        </w:tc>
      </w:tr>
      <w:tr>
        <w:trPr>
          <w:trHeight w:val="203"/>
        </w:trPr>
        <w:tc>
          <w:tcPr>
            <w:tcW w:w="6460" w:type="dxa"/>
            <w:vAlign w:val="bottom"/>
          </w:tcPr>
          <w:p>
            <w:pPr>
              <w:spacing w:after="0"/>
              <w:rPr>
                <w:sz w:val="20"/>
                <w:szCs w:val="20"/>
                <w:color w:val="auto"/>
              </w:rPr>
            </w:pPr>
            <w:r>
              <w:rPr>
                <w:rFonts w:ascii="Arial" w:cs="Arial" w:eastAsia="Arial" w:hAnsi="Arial"/>
                <w:sz w:val="17"/>
                <w:szCs w:val="17"/>
                <w:color w:val="auto"/>
              </w:rPr>
              <w:t>Senior Note, Series B</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100,000</w:t>
            </w:r>
          </w:p>
        </w:tc>
        <w:tc>
          <w:tcPr>
            <w:tcW w:w="260" w:type="dxa"/>
            <w:vAlign w:val="bottom"/>
          </w:tcPr>
          <w:p>
            <w:pPr>
              <w:spacing w:after="0"/>
              <w:rPr>
                <w:sz w:val="17"/>
                <w:szCs w:val="17"/>
                <w:color w:val="auto"/>
              </w:rPr>
            </w:pPr>
          </w:p>
        </w:tc>
        <w:tc>
          <w:tcPr>
            <w:tcW w:w="1580" w:type="dxa"/>
            <w:vAlign w:val="bottom"/>
            <w:gridSpan w:val="2"/>
          </w:tcPr>
          <w:p>
            <w:pPr>
              <w:ind w:left="400"/>
              <w:spacing w:after="0"/>
              <w:rPr>
                <w:sz w:val="20"/>
                <w:szCs w:val="20"/>
                <w:color w:val="auto"/>
              </w:rPr>
            </w:pPr>
            <w:r>
              <w:rPr>
                <w:rFonts w:ascii="Arial" w:cs="Arial" w:eastAsia="Arial" w:hAnsi="Arial"/>
                <w:sz w:val="17"/>
                <w:szCs w:val="17"/>
                <w:color w:val="auto"/>
              </w:rPr>
              <w:t>July 15, 2024</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4.98%</w:t>
            </w:r>
          </w:p>
        </w:tc>
      </w:tr>
      <w:tr>
        <w:trPr>
          <w:trHeight w:val="203"/>
        </w:trPr>
        <w:tc>
          <w:tcPr>
            <w:tcW w:w="6460" w:type="dxa"/>
            <w:vAlign w:val="bottom"/>
            <w:shd w:val="clear" w:color="auto" w:fill="CFF0FC"/>
          </w:tcPr>
          <w:p>
            <w:pPr>
              <w:spacing w:after="0"/>
              <w:rPr>
                <w:sz w:val="20"/>
                <w:szCs w:val="20"/>
                <w:color w:val="auto"/>
              </w:rPr>
            </w:pPr>
            <w:r>
              <w:rPr>
                <w:rFonts w:ascii="Arial" w:cs="Arial" w:eastAsia="Arial" w:hAnsi="Arial"/>
                <w:sz w:val="17"/>
                <w:szCs w:val="17"/>
                <w:color w:val="auto"/>
              </w:rPr>
              <w:t>Senior Note, Series C</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60,000</w:t>
            </w:r>
          </w:p>
        </w:tc>
        <w:tc>
          <w:tcPr>
            <w:tcW w:w="26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ind w:left="400"/>
              <w:spacing w:after="0"/>
              <w:rPr>
                <w:sz w:val="20"/>
                <w:szCs w:val="20"/>
                <w:color w:val="auto"/>
              </w:rPr>
            </w:pPr>
            <w:r>
              <w:rPr>
                <w:rFonts w:ascii="Arial" w:cs="Arial" w:eastAsia="Arial" w:hAnsi="Arial"/>
                <w:sz w:val="17"/>
                <w:szCs w:val="17"/>
                <w:color w:val="auto"/>
              </w:rPr>
              <w:t>July 15, 2026</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5.13%</w:t>
            </w:r>
          </w:p>
        </w:tc>
      </w:tr>
      <w:tr>
        <w:trPr>
          <w:trHeight w:val="215"/>
        </w:trPr>
        <w:tc>
          <w:tcPr>
            <w:tcW w:w="6460" w:type="dxa"/>
            <w:vAlign w:val="bottom"/>
          </w:tcPr>
          <w:p>
            <w:pPr>
              <w:spacing w:after="0"/>
              <w:rPr>
                <w:sz w:val="20"/>
                <w:szCs w:val="20"/>
                <w:color w:val="auto"/>
              </w:rPr>
            </w:pPr>
            <w:r>
              <w:rPr>
                <w:rFonts w:ascii="Arial" w:cs="Arial" w:eastAsia="Arial" w:hAnsi="Arial"/>
                <w:sz w:val="17"/>
                <w:szCs w:val="17"/>
                <w:color w:val="auto"/>
              </w:rPr>
              <w:t>Senior Note, Series 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40,000</w:t>
            </w:r>
          </w:p>
        </w:tc>
        <w:tc>
          <w:tcPr>
            <w:tcW w:w="260" w:type="dxa"/>
            <w:vAlign w:val="bottom"/>
          </w:tcPr>
          <w:p>
            <w:pPr>
              <w:spacing w:after="0"/>
              <w:rPr>
                <w:sz w:val="18"/>
                <w:szCs w:val="18"/>
                <w:color w:val="auto"/>
              </w:rPr>
            </w:pPr>
          </w:p>
        </w:tc>
        <w:tc>
          <w:tcPr>
            <w:tcW w:w="1580" w:type="dxa"/>
            <w:vAlign w:val="bottom"/>
            <w:gridSpan w:val="2"/>
          </w:tcPr>
          <w:p>
            <w:pPr>
              <w:ind w:left="400"/>
              <w:spacing w:after="0"/>
              <w:rPr>
                <w:sz w:val="20"/>
                <w:szCs w:val="20"/>
                <w:color w:val="auto"/>
              </w:rPr>
            </w:pPr>
            <w:r>
              <w:rPr>
                <w:rFonts w:ascii="Arial" w:cs="Arial" w:eastAsia="Arial" w:hAnsi="Arial"/>
                <w:sz w:val="17"/>
                <w:szCs w:val="17"/>
                <w:color w:val="auto"/>
              </w:rPr>
              <w:t>July 15, 2029</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5.38%</w:t>
            </w:r>
          </w:p>
        </w:tc>
      </w:tr>
    </w:tbl>
    <w:p>
      <w:pPr>
        <w:spacing w:after="0" w:line="200" w:lineRule="exact"/>
        <w:rPr>
          <w:sz w:val="20"/>
          <w:szCs w:val="20"/>
          <w:color w:val="auto"/>
        </w:rPr>
      </w:pPr>
    </w:p>
    <w:p>
      <w:pPr>
        <w:spacing w:after="0" w:line="218" w:lineRule="exact"/>
        <w:rPr>
          <w:sz w:val="20"/>
          <w:szCs w:val="20"/>
          <w:color w:val="auto"/>
        </w:rPr>
      </w:pPr>
    </w:p>
    <w:p>
      <w:pPr>
        <w:ind w:right="200" w:firstLine="589"/>
        <w:spacing w:after="0" w:line="235" w:lineRule="auto"/>
        <w:rPr>
          <w:sz w:val="20"/>
          <w:szCs w:val="20"/>
          <w:color w:val="auto"/>
        </w:rPr>
      </w:pPr>
      <w:r>
        <w:rPr>
          <w:rFonts w:ascii="Arial" w:cs="Arial" w:eastAsia="Arial" w:hAnsi="Arial"/>
          <w:sz w:val="17"/>
          <w:szCs w:val="17"/>
          <w:color w:val="auto"/>
        </w:rPr>
        <w:t>The Company incurred approximately $1.1 million of debt issuance costs in connection with the private placement. On August 10, 2018, the Company finalized an amended and restated intercreditor agreement related to this private placement to more closely align certain covenants and definitions with the terms under the 2017 amended and restated Credit Agreement and incurred approximately $0.5 million of additional issuance costs. These costs are presented as a direct deduction from the debt on the face of the balance sheet. Interest expense related to the Senior Notes was $11.6 million for the year ended December 31, 2021 and $12.4 million for the years ended December 31, 2020 and December 31, 2019. The amortization of debt issuance costs and interest expense is recorded in “Interest expense” on the consolidated statements of income. The Company paid the $50 million Series A tranche of the Senior Notes as scheduled in July 2021. The Company made interest payments related to the Senior Notes of approximately $12.4 million during the years ended December 31, 2021, December 31, 2020 and December 31, 2019. Interest payable of approximately $4.7 million and $5.5 million was recorded in “Accrued expenses and other current liabilities” on the consolidated balance sheets at December 31, 2021 and December 31, 2020, respectively, related to the Senior Notes.</w:t>
      </w:r>
    </w:p>
    <w:p>
      <w:pPr>
        <w:spacing w:after="0" w:line="203" w:lineRule="exact"/>
        <w:rPr>
          <w:sz w:val="20"/>
          <w:szCs w:val="20"/>
          <w:color w:val="auto"/>
        </w:rPr>
      </w:pPr>
    </w:p>
    <w:p>
      <w:pPr>
        <w:jc w:val="both"/>
        <w:ind w:right="400" w:firstLine="589"/>
        <w:spacing w:after="0" w:line="238" w:lineRule="auto"/>
        <w:rPr>
          <w:sz w:val="20"/>
          <w:szCs w:val="20"/>
          <w:color w:val="auto"/>
        </w:rPr>
      </w:pPr>
      <w:r>
        <w:rPr>
          <w:rFonts w:ascii="Arial" w:cs="Arial" w:eastAsia="Arial" w:hAnsi="Arial"/>
          <w:sz w:val="17"/>
          <w:szCs w:val="17"/>
          <w:color w:val="auto"/>
        </w:rPr>
        <w:t>Using a discounted cash flow technique that incorporates a market interest yield curve with adjustments for duration, optionality, and risk profile, the Company estimated the fair value (Level 2) of its senior notes at December 31, 2021 approximates $219.8 million. See “Note 19—</w:t>
      </w:r>
      <w:r>
        <w:rPr>
          <w:rFonts w:ascii="Arial" w:cs="Arial" w:eastAsia="Arial" w:hAnsi="Arial"/>
          <w:sz w:val="17"/>
          <w:szCs w:val="17"/>
          <w:i w:val="1"/>
          <w:iCs w:val="1"/>
          <w:color w:val="auto"/>
        </w:rPr>
        <w:t>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 of Financial Instruments</w:t>
      </w:r>
      <w:r>
        <w:rPr>
          <w:rFonts w:ascii="Arial" w:cs="Arial" w:eastAsia="Arial" w:hAnsi="Arial"/>
          <w:sz w:val="17"/>
          <w:szCs w:val="17"/>
          <w:color w:val="auto"/>
        </w:rPr>
        <w:t>” for the definition of level 2 of the fair value hierarchy below.</w:t>
      </w:r>
    </w:p>
    <w:p>
      <w:pPr>
        <w:spacing w:after="0" w:line="172"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Convertible Senior Notes</w:t>
      </w:r>
    </w:p>
    <w:p>
      <w:pPr>
        <w:spacing w:after="0" w:line="218" w:lineRule="exact"/>
        <w:rPr>
          <w:sz w:val="20"/>
          <w:szCs w:val="20"/>
          <w:color w:val="auto"/>
        </w:rPr>
      </w:pPr>
    </w:p>
    <w:p>
      <w:pPr>
        <w:ind w:right="60" w:firstLine="743"/>
        <w:spacing w:after="0" w:line="236" w:lineRule="auto"/>
        <w:rPr>
          <w:sz w:val="20"/>
          <w:szCs w:val="20"/>
          <w:color w:val="auto"/>
        </w:rPr>
      </w:pPr>
      <w:r>
        <w:rPr>
          <w:rFonts w:ascii="Arial" w:cs="Arial" w:eastAsia="Arial" w:hAnsi="Arial"/>
          <w:sz w:val="17"/>
          <w:szCs w:val="17"/>
          <w:color w:val="auto"/>
        </w:rPr>
        <w:t>In August 2020, the Company issued an aggregate $400.0 million of 0.25% Convertible Senior Notes due 2025, including the exercise of a $50.0 million initial purchasers’ option. The Company received proceeds from the issuance and sale of the Convertible Senior Notes of $389.7 million, net of $ 10.3 million of transaction fees and other third-party offering expenses. The Convertible Senior Notes accrue interest at a rate of 0.25% per annum, payable semi-annually on February 15 and August 15 of each year beginning on February 15, 2021, and will mature on August 15, 2025, unless earlier repurchased, redeemed or converted.</w:t>
      </w:r>
    </w:p>
    <w:p>
      <w:pPr>
        <w:spacing w:after="0" w:line="193" w:lineRule="exact"/>
        <w:rPr>
          <w:sz w:val="20"/>
          <w:szCs w:val="20"/>
          <w:color w:val="auto"/>
        </w:rPr>
      </w:pPr>
    </w:p>
    <w:p>
      <w:pPr>
        <w:ind w:right="20" w:firstLine="743"/>
        <w:spacing w:after="0" w:line="238" w:lineRule="auto"/>
        <w:rPr>
          <w:sz w:val="20"/>
          <w:szCs w:val="20"/>
          <w:color w:val="auto"/>
        </w:rPr>
      </w:pPr>
      <w:r>
        <w:rPr>
          <w:rFonts w:ascii="Arial" w:cs="Arial" w:eastAsia="Arial" w:hAnsi="Arial"/>
          <w:sz w:val="17"/>
          <w:szCs w:val="17"/>
          <w:color w:val="auto"/>
        </w:rPr>
        <w:t>The Convertible Senior Notes are the Company’s senior unsecured obligations and will rank senior in right of payment to any of the Company’s indebtedness that is expressly subordinated in right of payment to the Notes; equal in right of payment to any of the Company’s unsecured indebtedness that is not so subordinated; effectively junior in right of payment to any of the Company’s secured indebtedness,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jc w:val="center"/>
        <w:ind w:right="-19"/>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420"/>
        <w:spacing w:after="0" w:line="242" w:lineRule="auto"/>
        <w:rPr>
          <w:sz w:val="20"/>
          <w:szCs w:val="20"/>
          <w:color w:val="auto"/>
        </w:rPr>
      </w:pPr>
      <w:r>
        <w:rPr>
          <w:rFonts w:ascii="Arial" w:cs="Arial" w:eastAsia="Arial" w:hAnsi="Arial"/>
          <w:sz w:val="17"/>
          <w:szCs w:val="17"/>
          <w:color w:val="auto"/>
        </w:rPr>
        <w:t>to the extent of the value of the assets securing such indebtedness; and structurally junior to all indebtedness and other liabilities (including trade payables) of the Company’s subsidiaries</w:t>
      </w:r>
    </w:p>
    <w:p>
      <w:pPr>
        <w:spacing w:after="0" w:line="189" w:lineRule="exact"/>
        <w:rPr>
          <w:sz w:val="20"/>
          <w:szCs w:val="20"/>
          <w:color w:val="auto"/>
        </w:rPr>
      </w:pPr>
    </w:p>
    <w:p>
      <w:pPr>
        <w:ind w:right="140" w:firstLine="743"/>
        <w:spacing w:after="0" w:line="237" w:lineRule="auto"/>
        <w:rPr>
          <w:sz w:val="20"/>
          <w:szCs w:val="20"/>
          <w:color w:val="auto"/>
        </w:rPr>
      </w:pPr>
      <w:r>
        <w:rPr>
          <w:rFonts w:ascii="Arial" w:cs="Arial" w:eastAsia="Arial" w:hAnsi="Arial"/>
          <w:sz w:val="17"/>
          <w:szCs w:val="17"/>
          <w:color w:val="auto"/>
        </w:rPr>
        <w:t>Each $ 1,000 of principal of the Notes will initially be convertible into 22.2913 shares of our common stock, which is equivalent to an initial conversion price of $44.86 per share, subject to adjustment upon the occurrence of specified events. On or after March 15, 2025 until the close of business on the second scheduled trading day immediately preceding the maturity date of the Convertible Senior Notes, holders may convert all or a portion of their Convertible Senior Notes, regardless of the conditions below.</w:t>
      </w:r>
    </w:p>
    <w:p>
      <w:pPr>
        <w:spacing w:after="0" w:line="191" w:lineRule="exact"/>
        <w:rPr>
          <w:sz w:val="20"/>
          <w:szCs w:val="20"/>
          <w:color w:val="auto"/>
        </w:rPr>
      </w:pPr>
    </w:p>
    <w:p>
      <w:pPr>
        <w:ind w:right="160" w:firstLine="743"/>
        <w:spacing w:after="0" w:line="242" w:lineRule="auto"/>
        <w:rPr>
          <w:sz w:val="20"/>
          <w:szCs w:val="20"/>
          <w:color w:val="auto"/>
        </w:rPr>
      </w:pPr>
      <w:r>
        <w:rPr>
          <w:rFonts w:ascii="Arial" w:cs="Arial" w:eastAsia="Arial" w:hAnsi="Arial"/>
          <w:sz w:val="17"/>
          <w:szCs w:val="17"/>
          <w:color w:val="auto"/>
        </w:rPr>
        <w:t>Prior to the close of business on the business day immediately preceding March 15, 2025, the Notes will be convertible at the option of the holders thereof only under the following circumstances:</w:t>
      </w:r>
    </w:p>
    <w:p>
      <w:pPr>
        <w:spacing w:after="0" w:line="189" w:lineRule="exact"/>
        <w:rPr>
          <w:sz w:val="20"/>
          <w:szCs w:val="20"/>
          <w:color w:val="auto"/>
        </w:rPr>
      </w:pPr>
    </w:p>
    <w:p>
      <w:pPr>
        <w:ind w:left="1600" w:right="40" w:hanging="432"/>
        <w:spacing w:after="0" w:line="237" w:lineRule="auto"/>
        <w:tabs>
          <w:tab w:leader="none" w:pos="16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during any calendar quarter commencing after the calendar quarter ending on December 31, 2020,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91" w:lineRule="exact"/>
        <w:rPr>
          <w:rFonts w:ascii="Arial" w:cs="Arial" w:eastAsia="Arial" w:hAnsi="Arial"/>
          <w:sz w:val="17"/>
          <w:szCs w:val="17"/>
          <w:color w:val="auto"/>
        </w:rPr>
      </w:pPr>
    </w:p>
    <w:p>
      <w:pPr>
        <w:ind w:left="1600" w:right="40" w:hanging="432"/>
        <w:spacing w:after="0" w:line="238" w:lineRule="auto"/>
        <w:tabs>
          <w:tab w:leader="none" w:pos="16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in which, for each trading day of that period, the trading price per $1,000 principal amount of Convertible Senior Notes for such trading day was less than 98% of the product of the last reported sale price of the Company’s common stock and the conversion rate on each such trading day;</w:t>
      </w:r>
    </w:p>
    <w:p>
      <w:pPr>
        <w:spacing w:after="0" w:line="204" w:lineRule="exact"/>
        <w:rPr>
          <w:rFonts w:ascii="Arial" w:cs="Arial" w:eastAsia="Arial" w:hAnsi="Arial"/>
          <w:sz w:val="17"/>
          <w:szCs w:val="17"/>
          <w:color w:val="auto"/>
        </w:rPr>
      </w:pPr>
    </w:p>
    <w:p>
      <w:pPr>
        <w:ind w:left="1600" w:hanging="432"/>
        <w:spacing w:after="0"/>
        <w:tabs>
          <w:tab w:leader="none" w:pos="16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the Company calls such Convertible Senior Notes for redemption; or</w:t>
      </w:r>
    </w:p>
    <w:p>
      <w:pPr>
        <w:spacing w:after="0" w:line="210" w:lineRule="exact"/>
        <w:rPr>
          <w:rFonts w:ascii="Arial" w:cs="Arial" w:eastAsia="Arial" w:hAnsi="Arial"/>
          <w:sz w:val="17"/>
          <w:szCs w:val="17"/>
          <w:color w:val="auto"/>
        </w:rPr>
      </w:pPr>
    </w:p>
    <w:p>
      <w:pPr>
        <w:ind w:left="1600" w:hanging="432"/>
        <w:spacing w:after="0"/>
        <w:tabs>
          <w:tab w:leader="none" w:pos="16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upon the occurrence of specified corporate events described in the Indenture.</w:t>
      </w:r>
    </w:p>
    <w:p>
      <w:pPr>
        <w:spacing w:after="0" w:line="210" w:lineRule="exact"/>
        <w:rPr>
          <w:sz w:val="20"/>
          <w:szCs w:val="20"/>
          <w:color w:val="auto"/>
        </w:rPr>
      </w:pPr>
    </w:p>
    <w:p>
      <w:pPr>
        <w:ind w:right="140" w:firstLine="743"/>
        <w:spacing w:after="0" w:line="236" w:lineRule="auto"/>
        <w:rPr>
          <w:sz w:val="20"/>
          <w:szCs w:val="20"/>
          <w:color w:val="auto"/>
        </w:rPr>
      </w:pPr>
      <w:r>
        <w:rPr>
          <w:rFonts w:ascii="Arial" w:cs="Arial" w:eastAsia="Arial" w:hAnsi="Arial"/>
          <w:sz w:val="17"/>
          <w:szCs w:val="17"/>
          <w:color w:val="auto"/>
        </w:rPr>
        <w:t>The Company may redeem all or any portion of the Convertible Senior Notes for cash, at its option, on or after August 21, 2023 and before the 51</w:t>
      </w:r>
      <w:r>
        <w:rPr>
          <w:rFonts w:ascii="Arial" w:cs="Arial" w:eastAsia="Arial" w:hAnsi="Arial"/>
          <w:sz w:val="14"/>
          <w:szCs w:val="14"/>
          <w:color w:val="auto"/>
        </w:rPr>
        <w:t>st</w:t>
      </w:r>
      <w:r>
        <w:rPr>
          <w:rFonts w:ascii="Arial" w:cs="Arial" w:eastAsia="Arial" w:hAnsi="Arial"/>
          <w:sz w:val="17"/>
          <w:szCs w:val="17"/>
          <w:color w:val="auto"/>
        </w:rPr>
        <w:t xml:space="preserve"> scheduled trading day immediately before the maturity date at a redemption price equal to 100% of the principal amount of the Notes to be redeemed, plus accrued and unpaid interest, but only if the last reported sale price per share of the Company’s common stock exceeds 130% of the conversion price for a specified period of time. In addition, calling any Convertible Senior Note for redemption will constitute a Make-Whole Fundamental Change with respect to that Convertible Senior Note, in which case the conversion rate applicable to the conversion of that Convertible Senior Note will be increased in certain circumstances if it is converted after it is called for redemption.</w:t>
      </w:r>
    </w:p>
    <w:p>
      <w:pPr>
        <w:spacing w:after="0" w:line="191" w:lineRule="exact"/>
        <w:rPr>
          <w:sz w:val="20"/>
          <w:szCs w:val="20"/>
          <w:color w:val="auto"/>
        </w:rPr>
      </w:pPr>
    </w:p>
    <w:p>
      <w:pPr>
        <w:ind w:right="180" w:firstLine="743"/>
        <w:spacing w:after="0" w:line="237" w:lineRule="auto"/>
        <w:rPr>
          <w:sz w:val="20"/>
          <w:szCs w:val="20"/>
          <w:color w:val="auto"/>
        </w:rPr>
      </w:pPr>
      <w:r>
        <w:rPr>
          <w:rFonts w:ascii="Arial" w:cs="Arial" w:eastAsia="Arial" w:hAnsi="Arial"/>
          <w:sz w:val="17"/>
          <w:szCs w:val="17"/>
          <w:color w:val="auto"/>
        </w:rPr>
        <w:t>Upon the occurrence of a fundamental change prior to the maturity date of the Convertible Senior Notes, holders of the Convertible Senior Notes may require the Company to repurchase all or a portion of the Convertible Senior Notes for cash at a price equal to 100% of the principal amount of the Convertible Senior Notes to be repurchased, plus any accrued and unpaid interest to, but excluding, the fundamental change repurchase date.</w:t>
      </w:r>
    </w:p>
    <w:p>
      <w:pPr>
        <w:spacing w:after="0" w:line="191" w:lineRule="exact"/>
        <w:rPr>
          <w:sz w:val="20"/>
          <w:szCs w:val="20"/>
          <w:color w:val="auto"/>
        </w:rPr>
      </w:pPr>
    </w:p>
    <w:p>
      <w:pPr>
        <w:ind w:firstLine="743"/>
        <w:spacing w:after="0" w:line="237" w:lineRule="auto"/>
        <w:rPr>
          <w:sz w:val="20"/>
          <w:szCs w:val="20"/>
          <w:color w:val="auto"/>
        </w:rPr>
      </w:pPr>
      <w:r>
        <w:rPr>
          <w:rFonts w:ascii="Arial" w:cs="Arial" w:eastAsia="Arial" w:hAnsi="Arial"/>
          <w:sz w:val="17"/>
          <w:szCs w:val="17"/>
          <w:color w:val="auto"/>
        </w:rPr>
        <w:t>Upon conversion, the Company may settle the Convertible Senior Notes for cash, shares of the Company’s common stock, or a combination thereof, at the Company’s option. If the Company satisfies its conversion obligation solely in cash or through payment and delivery of a combination of cash and shares of the Company’s common stock, the amount of cash and shares of common stock due upon conversion will be based on a daily conversion value calculated on a proportionate basis for each trading day in a 50-trading day observation period.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firstLine="743"/>
        <w:spacing w:after="0" w:line="250" w:lineRule="auto"/>
        <w:rPr>
          <w:sz w:val="20"/>
          <w:szCs w:val="20"/>
          <w:color w:val="auto"/>
        </w:rPr>
      </w:pPr>
      <w:r>
        <w:rPr>
          <w:rFonts w:ascii="Arial" w:cs="Arial" w:eastAsia="Arial" w:hAnsi="Arial"/>
          <w:sz w:val="16"/>
          <w:szCs w:val="16"/>
          <w:color w:val="auto"/>
        </w:rPr>
        <w:t>Under existing GAAP at the time of issuance during 2020, convertible debt instruments that may be settled in cash on conversion were required to be separated into liability and equity components in a manner that reflects the issuer’s non-convertible debt borrowing rate. The carrying amount of the liability component was based on the fair value of a similar instrument that does not contain an equity conversion option. The carrying amount allocated to the equity component, which was recognized as a debt discount, represents the difference between the proceeds from the issuance of the notes and the fair value of the liability component of the notes. Based on this debt to equity ratio, debt issuance costs are then allocated to the liability and equity components in a similar manner. Accordingly, at issuance the Company allocated $336.1 million to the debt liability and $53.6 million to additional paid-in capital. The difference between the principal amount of the Convertible Senior Notes and the liability component, inclusive of issuance costs, represents the debt discount, which the Company amortized to interest expense over the term of the Convertible Senior Notes using an effective interest rate of 3.25%. The Company recognized interest expense of $3.0 million and $4.4 million for the years ended December 31, 2021 and December 31, 2020, respectively. As of December 31, 2021, the carrying value of the Notes was $400.0 million.</w:t>
      </w:r>
    </w:p>
    <w:p>
      <w:pPr>
        <w:spacing w:after="0" w:line="201" w:lineRule="exact"/>
        <w:rPr>
          <w:sz w:val="20"/>
          <w:szCs w:val="20"/>
          <w:color w:val="auto"/>
        </w:rPr>
      </w:pPr>
    </w:p>
    <w:p>
      <w:pPr>
        <w:ind w:right="40" w:firstLine="743"/>
        <w:spacing w:after="0" w:line="236" w:lineRule="auto"/>
        <w:rPr>
          <w:sz w:val="20"/>
          <w:szCs w:val="20"/>
          <w:color w:val="auto"/>
        </w:rPr>
      </w:pPr>
      <w:r>
        <w:rPr>
          <w:rFonts w:ascii="Arial" w:cs="Arial" w:eastAsia="Arial" w:hAnsi="Arial"/>
          <w:sz w:val="17"/>
          <w:szCs w:val="17"/>
          <w:color w:val="auto"/>
        </w:rPr>
        <w:t>In the first quarter of 2021, the Company early adopted ASU 2020-06. The Company used the modified retrospective method which resulted in a reduction in non-cash interest expense and reclassification of the equity component of the convertible senior notes of $55.0 million and equity component of the debt issuance costs of $1.4 million to liabilities on the consolidated balance sheet. The Company also adjusted the carrying amount of the convertible senior notes to what it would have been if the Company had applied ASU 2020-06 from the inception of the Notes and recorded the offset of the carrying amount adjustment of $3.7 million in retained earnings on January 1, 2021.</w:t>
      </w:r>
    </w:p>
    <w:p>
      <w:pPr>
        <w:spacing w:after="0" w:line="205" w:lineRule="exact"/>
        <w:rPr>
          <w:sz w:val="20"/>
          <w:szCs w:val="20"/>
          <w:color w:val="auto"/>
        </w:rPr>
      </w:pPr>
    </w:p>
    <w:p>
      <w:pPr>
        <w:ind w:right="240" w:firstLine="589"/>
        <w:spacing w:after="0" w:line="238" w:lineRule="auto"/>
        <w:rPr>
          <w:sz w:val="20"/>
          <w:szCs w:val="20"/>
          <w:color w:val="auto"/>
        </w:rPr>
      </w:pPr>
      <w:r>
        <w:rPr>
          <w:rFonts w:ascii="Arial" w:cs="Arial" w:eastAsia="Arial" w:hAnsi="Arial"/>
          <w:sz w:val="17"/>
          <w:szCs w:val="17"/>
          <w:color w:val="auto"/>
        </w:rPr>
        <w:t>The Credit Agreement and private placement includes various covenants, including restrictions on indebtedness, liens, acquisitions, investments or dispositions, payment of dividends and maintenance of certain financial ratios and conditions. The Company was in compliance with these covenants at December 31, 2021 and December 31, 2020.</w:t>
      </w:r>
    </w:p>
    <w:p>
      <w:pPr>
        <w:spacing w:after="0" w:line="192" w:lineRule="exact"/>
        <w:rPr>
          <w:sz w:val="20"/>
          <w:szCs w:val="20"/>
          <w:color w:val="auto"/>
        </w:rPr>
      </w:pPr>
    </w:p>
    <w:p>
      <w:pPr>
        <w:ind w:right="140" w:firstLine="589"/>
        <w:spacing w:after="0" w:line="238" w:lineRule="auto"/>
        <w:rPr>
          <w:sz w:val="20"/>
          <w:szCs w:val="20"/>
          <w:color w:val="auto"/>
        </w:rPr>
      </w:pPr>
      <w:r>
        <w:rPr>
          <w:rFonts w:ascii="Arial" w:cs="Arial" w:eastAsia="Arial" w:hAnsi="Arial"/>
          <w:sz w:val="17"/>
          <w:szCs w:val="17"/>
          <w:color w:val="auto"/>
        </w:rPr>
        <w:t>The Company also has in place several secondary bank credit lines for issuing letters of credit, principally for foreign contracts, to support performance and completion guarantees. Letters of credit commitments outstanding under these bank lines aggregated approximately $223.0 million and $193.1 million at December 31, 2021 and December 31, 2020,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Note Hedge and Warrant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Transactions</w:t>
      </w:r>
    </w:p>
    <w:p>
      <w:pPr>
        <w:spacing w:after="0" w:line="218" w:lineRule="exact"/>
        <w:rPr>
          <w:sz w:val="20"/>
          <w:szCs w:val="20"/>
          <w:color w:val="auto"/>
        </w:rPr>
      </w:pPr>
    </w:p>
    <w:p>
      <w:pPr>
        <w:ind w:right="300" w:firstLine="743"/>
        <w:spacing w:after="0" w:line="236" w:lineRule="auto"/>
        <w:rPr>
          <w:sz w:val="20"/>
          <w:szCs w:val="20"/>
          <w:color w:val="auto"/>
        </w:rPr>
      </w:pPr>
      <w:r>
        <w:rPr>
          <w:rFonts w:ascii="Arial" w:cs="Arial" w:eastAsia="Arial" w:hAnsi="Arial"/>
          <w:sz w:val="17"/>
          <w:szCs w:val="17"/>
          <w:color w:val="auto"/>
        </w:rPr>
        <w:t>In connection with the sale of the Convertible Senior Notes, the Company purchased a bond hedge designed to mitigate the potential dilution from the conversion of the Convertible Senior Notes. Under the five-year term of the bond hedge, upon a conversion of the bonds, the Company will receive the number of shares of common stock equal to the remaining common stock deliverable upon conversion of the Convertible Senior Notes if the conversion value exceeds the principal amount of the Notes. The aggregate number of shares that the Company could be obligated to issue upon conversion of the Convertible Senior Notes is approximately 8.9 million shares. The cost of the convertible note hedge transactions was $55.0 million.</w:t>
      </w:r>
    </w:p>
    <w:p>
      <w:pPr>
        <w:spacing w:after="0" w:line="191" w:lineRule="exact"/>
        <w:rPr>
          <w:sz w:val="20"/>
          <w:szCs w:val="20"/>
          <w:color w:val="auto"/>
        </w:rPr>
      </w:pPr>
    </w:p>
    <w:p>
      <w:pPr>
        <w:ind w:firstLine="743"/>
        <w:spacing w:after="0" w:line="237" w:lineRule="auto"/>
        <w:rPr>
          <w:sz w:val="20"/>
          <w:szCs w:val="20"/>
          <w:color w:val="auto"/>
        </w:rPr>
      </w:pPr>
      <w:r>
        <w:rPr>
          <w:rFonts w:ascii="Arial" w:cs="Arial" w:eastAsia="Arial" w:hAnsi="Arial"/>
          <w:sz w:val="17"/>
          <w:szCs w:val="17"/>
          <w:color w:val="auto"/>
        </w:rPr>
        <w:t>The cost of the convertible note hedge was partially offset by the Company’s sale of warrants to acquire approximately 8.9 million shares of the Company’s common stock. The warrants were initially exercisable at a price of at least $66.46 per share and are subject to customary adjustments upon the occurrence of certain events, such as the payment of dividends. The Company received $13.8 million in cash proceeds from the sales of these warrants.</w:t>
      </w:r>
    </w:p>
    <w:p>
      <w:pPr>
        <w:spacing w:after="0" w:line="191" w:lineRule="exact"/>
        <w:rPr>
          <w:sz w:val="20"/>
          <w:szCs w:val="20"/>
          <w:color w:val="auto"/>
        </w:rPr>
      </w:pPr>
    </w:p>
    <w:p>
      <w:pPr>
        <w:ind w:right="20" w:firstLine="743"/>
        <w:spacing w:after="0" w:line="242" w:lineRule="auto"/>
        <w:rPr>
          <w:sz w:val="20"/>
          <w:szCs w:val="20"/>
          <w:color w:val="auto"/>
        </w:rPr>
      </w:pPr>
      <w:r>
        <w:rPr>
          <w:rFonts w:ascii="Arial" w:cs="Arial" w:eastAsia="Arial" w:hAnsi="Arial"/>
          <w:sz w:val="17"/>
          <w:szCs w:val="17"/>
          <w:color w:val="auto"/>
        </w:rPr>
        <w:t>The bond hedge and warrant transactions effectively increased the conversion price associated with the Convertible Senior Notes during the term of these transactions from 35%, or $44.86, to 100%, 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$66.46, at their issuance, thereby reducing the dilutive economic effect to shareholders upon actual conversion.</w:t>
      </w:r>
    </w:p>
    <w:p>
      <w:pPr>
        <w:spacing w:after="0" w:line="198" w:lineRule="exact"/>
        <w:rPr>
          <w:sz w:val="20"/>
          <w:szCs w:val="20"/>
          <w:color w:val="auto"/>
        </w:rPr>
      </w:pPr>
    </w:p>
    <w:p>
      <w:pPr>
        <w:ind w:right="360" w:firstLine="743"/>
        <w:spacing w:after="0" w:line="238" w:lineRule="auto"/>
        <w:rPr>
          <w:sz w:val="20"/>
          <w:szCs w:val="20"/>
          <w:color w:val="auto"/>
        </w:rPr>
      </w:pPr>
      <w:r>
        <w:rPr>
          <w:rFonts w:ascii="Arial" w:cs="Arial" w:eastAsia="Arial" w:hAnsi="Arial"/>
          <w:sz w:val="17"/>
          <w:szCs w:val="17"/>
          <w:color w:val="auto"/>
        </w:rPr>
        <w:t>The bond hedges and warrants are indexed to, and potentially settled in, shares of the Company’s common stock. The net cost of $41.2 million for the purchase of the bond hedges and sale of the warrants was recorded as a reduction to additional paid-in capital in the consolidated balance sheets.</w:t>
      </w:r>
    </w:p>
    <w:p>
      <w:pPr>
        <w:spacing w:after="0" w:line="192" w:lineRule="exact"/>
        <w:rPr>
          <w:sz w:val="20"/>
          <w:szCs w:val="20"/>
          <w:color w:val="auto"/>
        </w:rPr>
      </w:pPr>
    </w:p>
    <w:p>
      <w:pPr>
        <w:ind w:right="220" w:firstLine="589"/>
        <w:spacing w:after="0" w:line="252" w:lineRule="auto"/>
        <w:rPr>
          <w:sz w:val="20"/>
          <w:szCs w:val="20"/>
          <w:color w:val="auto"/>
        </w:rPr>
      </w:pPr>
      <w:r>
        <w:rPr>
          <w:rFonts w:ascii="Arial" w:cs="Arial" w:eastAsia="Arial" w:hAnsi="Arial"/>
          <w:sz w:val="16"/>
          <w:szCs w:val="16"/>
          <w:color w:val="auto"/>
        </w:rPr>
        <w:t>At issuance, the Company recorded a deferred tax liability of $16.2 million related to the Convertible Senior Notes debt discount and the capitalized debt issuance costs. The Company also recorded a deferred tax asset of $16.5 million related to the convertible note hedge transactions and the tax basis of the capitalized debt issuance costs through additional paid-in capital. The deferred tax liability and deferred tax asset were included net in “Deferred tax assets” on the consolidated balance sheets. Upon adoption of ASU2020-06, the Company reversed the deferred tax liability of $13.9 million that the Company had recorded at issuance related to the Convertible Senior Note debt discount and recorded an additional deferred tax liability of $0.4 million related to the capitalized debt issuance costs. In addition, the Company recorded a $0.9 million adjustment to the deferred tax asset through retained earnings related to the tax effect of book accretion recorded in 2020 and reversed upon adoption.</w:t>
      </w:r>
    </w:p>
    <w:p>
      <w:pPr>
        <w:spacing w:after="0" w:line="263" w:lineRule="exact"/>
        <w:rPr>
          <w:sz w:val="20"/>
          <w:szCs w:val="20"/>
          <w:color w:val="auto"/>
        </w:rPr>
      </w:pPr>
    </w:p>
    <w:p>
      <w:pPr>
        <w:ind w:left="580" w:hanging="579"/>
        <w:spacing w:after="0"/>
        <w:tabs>
          <w:tab w:leader="none" w:pos="580"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Other Long-term Liabilities</w:t>
      </w:r>
    </w:p>
    <w:p>
      <w:pPr>
        <w:spacing w:after="0" w:line="116"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color w:val="auto"/>
        </w:rPr>
        <w:t>Other long-term liabilities consisted of the following at December 31, 2021 and December 31, 2020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160" w:type="dxa"/>
            <w:vAlign w:val="bottom"/>
            <w:tcBorders>
              <w:bottom w:val="single" w:sz="8" w:color="CFF0FC"/>
            </w:tcBorders>
          </w:tcPr>
          <w:p>
            <w:pPr>
              <w:spacing w:after="0"/>
              <w:rPr>
                <w:sz w:val="14"/>
                <w:szCs w:val="14"/>
                <w:color w:val="auto"/>
              </w:rPr>
            </w:pPr>
          </w:p>
        </w:tc>
        <w:tc>
          <w:tcPr>
            <w:tcW w:w="258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196"/>
        </w:trPr>
        <w:tc>
          <w:tcPr>
            <w:tcW w:w="5160" w:type="dxa"/>
            <w:vAlign w:val="bottom"/>
            <w:shd w:val="clear" w:color="auto" w:fill="CFF0FC"/>
          </w:tcPr>
          <w:p>
            <w:pPr>
              <w:spacing w:after="0"/>
              <w:rPr>
                <w:sz w:val="20"/>
                <w:szCs w:val="20"/>
                <w:color w:val="auto"/>
              </w:rPr>
            </w:pPr>
            <w:r>
              <w:rPr>
                <w:rFonts w:ascii="Arial" w:cs="Arial" w:eastAsia="Arial" w:hAnsi="Arial"/>
                <w:sz w:val="17"/>
                <w:szCs w:val="17"/>
                <w:color w:val="auto"/>
              </w:rPr>
              <w:t>Self-insurance liability</w:t>
            </w:r>
          </w:p>
        </w:tc>
        <w:tc>
          <w:tcPr>
            <w:tcW w:w="3560" w:type="dxa"/>
            <w:vAlign w:val="bottom"/>
            <w:gridSpan w:val="2"/>
            <w:shd w:val="clear" w:color="auto" w:fill="CFF0FC"/>
          </w:tcPr>
          <w:p>
            <w:pPr>
              <w:jc w:val="right"/>
              <w:ind w:right="832"/>
              <w:spacing w:after="0"/>
              <w:rPr>
                <w:sz w:val="20"/>
                <w:szCs w:val="20"/>
                <w:color w:val="auto"/>
              </w:rPr>
            </w:pPr>
            <w:r>
              <w:rPr>
                <w:rFonts w:ascii="Arial" w:cs="Arial" w:eastAsia="Arial" w:hAnsi="Arial"/>
                <w:sz w:val="17"/>
                <w:szCs w:val="17"/>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72,424</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92,778</w:t>
            </w: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7"/>
                <w:szCs w:val="17"/>
                <w:color w:val="auto"/>
              </w:rPr>
              <w:t>Reserve for uncertain tax positions</w:t>
            </w:r>
          </w:p>
        </w:tc>
        <w:tc>
          <w:tcPr>
            <w:tcW w:w="2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19,318</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16,951</w:t>
            </w:r>
          </w:p>
        </w:tc>
        <w:tc>
          <w:tcPr>
            <w:tcW w:w="100" w:type="dxa"/>
            <w:vAlign w:val="bottom"/>
          </w:tcPr>
          <w:p>
            <w:pPr>
              <w:spacing w:after="0"/>
              <w:rPr>
                <w:sz w:val="17"/>
                <w:szCs w:val="17"/>
                <w:color w:val="auto"/>
              </w:rPr>
            </w:pPr>
          </w:p>
        </w:tc>
      </w:tr>
      <w:tr>
        <w:trPr>
          <w:trHeight w:val="203"/>
        </w:trPr>
        <w:tc>
          <w:tcPr>
            <w:tcW w:w="5160" w:type="dxa"/>
            <w:vAlign w:val="bottom"/>
            <w:shd w:val="clear" w:color="auto" w:fill="CFF0FC"/>
          </w:tcPr>
          <w:p>
            <w:pPr>
              <w:spacing w:after="0"/>
              <w:rPr>
                <w:sz w:val="20"/>
                <w:szCs w:val="20"/>
                <w:color w:val="auto"/>
              </w:rPr>
            </w:pPr>
            <w:r>
              <w:rPr>
                <w:rFonts w:ascii="Arial" w:cs="Arial" w:eastAsia="Arial" w:hAnsi="Arial"/>
                <w:sz w:val="17"/>
                <w:szCs w:val="17"/>
                <w:color w:val="auto"/>
              </w:rPr>
              <w:t>Finance lease obligations</w:t>
            </w:r>
          </w:p>
        </w:tc>
        <w:tc>
          <w:tcPr>
            <w:tcW w:w="25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2,422</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1,733</w:t>
            </w: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long-term liabilities</w:t>
            </w:r>
          </w:p>
        </w:tc>
        <w:tc>
          <w:tcPr>
            <w:tcW w:w="258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668</w:t>
            </w:r>
          </w:p>
        </w:tc>
        <w:tc>
          <w:tcPr>
            <w:tcW w:w="2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20,838</w:t>
            </w:r>
          </w:p>
        </w:tc>
        <w:tc>
          <w:tcPr>
            <w:tcW w:w="100" w:type="dxa"/>
            <w:vAlign w:val="bottom"/>
            <w:tcBorders>
              <w:bottom w:val="single" w:sz="8" w:color="CFF0FC"/>
            </w:tcBorders>
          </w:tcPr>
          <w:p>
            <w:pPr>
              <w:spacing w:after="0"/>
              <w:rPr>
                <w:sz w:val="17"/>
                <w:szCs w:val="17"/>
                <w:color w:val="auto"/>
              </w:rPr>
            </w:pPr>
          </w:p>
        </w:tc>
      </w:tr>
      <w:tr>
        <w:trPr>
          <w:trHeight w:val="196"/>
        </w:trPr>
        <w:tc>
          <w:tcPr>
            <w:tcW w:w="51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other long-term liabilities</w:t>
            </w:r>
          </w:p>
        </w:tc>
        <w:tc>
          <w:tcPr>
            <w:tcW w:w="3560" w:type="dxa"/>
            <w:vAlign w:val="bottom"/>
            <w:gridSpan w:val="2"/>
            <w:shd w:val="clear" w:color="auto" w:fill="CFF0FC"/>
          </w:tcPr>
          <w:p>
            <w:pPr>
              <w:jc w:val="right"/>
              <w:ind w:right="832"/>
              <w:spacing w:after="0"/>
              <w:rPr>
                <w:sz w:val="20"/>
                <w:szCs w:val="20"/>
                <w:color w:val="auto"/>
              </w:rPr>
            </w:pPr>
            <w:r>
              <w:rPr>
                <w:rFonts w:ascii="Arial" w:cs="Arial" w:eastAsia="Arial" w:hAnsi="Arial"/>
                <w:sz w:val="17"/>
                <w:szCs w:val="17"/>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94,832</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132,300</w:t>
            </w:r>
          </w:p>
        </w:tc>
        <w:tc>
          <w:tcPr>
            <w:tcW w:w="100" w:type="dxa"/>
            <w:vAlign w:val="bottom"/>
            <w:shd w:val="clear" w:color="auto" w:fill="CFF0FC"/>
          </w:tcPr>
          <w:p>
            <w:pPr>
              <w:spacing w:after="0"/>
              <w:rPr>
                <w:sz w:val="17"/>
                <w:szCs w:val="17"/>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25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9" w:lineRule="exact"/>
        <w:rPr>
          <w:sz w:val="20"/>
          <w:szCs w:val="20"/>
          <w:color w:val="auto"/>
        </w:rPr>
      </w:pPr>
    </w:p>
    <w:p>
      <w:pPr>
        <w:jc w:val="both"/>
        <w:ind w:right="20" w:firstLine="589"/>
        <w:spacing w:after="0" w:line="264" w:lineRule="auto"/>
        <w:rPr>
          <w:sz w:val="20"/>
          <w:szCs w:val="20"/>
          <w:color w:val="auto"/>
        </w:rPr>
      </w:pPr>
      <w:r>
        <w:rPr>
          <w:rFonts w:ascii="Arial" w:cs="Arial" w:eastAsia="Arial" w:hAnsi="Arial"/>
          <w:sz w:val="17"/>
          <w:szCs w:val="17"/>
          <w:color w:val="auto"/>
        </w:rPr>
        <w:t>Refer to “Note 14—</w:t>
      </w:r>
      <w:r>
        <w:rPr>
          <w:rFonts w:ascii="Arial" w:cs="Arial" w:eastAsia="Arial" w:hAnsi="Arial"/>
          <w:sz w:val="17"/>
          <w:szCs w:val="17"/>
          <w:i w:val="1"/>
          <w:iCs w:val="1"/>
          <w:color w:val="auto"/>
        </w:rPr>
        <w:t>Income Taxes</w:t>
      </w:r>
      <w:r>
        <w:rPr>
          <w:rFonts w:ascii="Arial" w:cs="Arial" w:eastAsia="Arial" w:hAnsi="Arial"/>
          <w:sz w:val="17"/>
          <w:szCs w:val="17"/>
          <w:color w:val="auto"/>
        </w:rPr>
        <w:t>” for further discussion of the Company’s reconciliation of the beginning and ending balances of uncertain tax positions.</w:t>
      </w:r>
    </w:p>
    <w:p>
      <w:pPr>
        <w:spacing w:after="0" w:line="253" w:lineRule="exact"/>
        <w:rPr>
          <w:sz w:val="20"/>
          <w:szCs w:val="20"/>
          <w:color w:val="auto"/>
        </w:rPr>
      </w:pPr>
    </w:p>
    <w:p>
      <w:pPr>
        <w:ind w:left="580" w:hanging="579"/>
        <w:spacing w:after="0"/>
        <w:tabs>
          <w:tab w:leader="none" w:pos="580"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16" w:lineRule="exact"/>
        <w:rPr>
          <w:sz w:val="20"/>
          <w:szCs w:val="20"/>
          <w:color w:val="auto"/>
        </w:rPr>
      </w:pPr>
    </w:p>
    <w:p>
      <w:pPr>
        <w:ind w:right="180" w:firstLine="785"/>
        <w:spacing w:after="0" w:line="259" w:lineRule="auto"/>
        <w:rPr>
          <w:sz w:val="20"/>
          <w:szCs w:val="20"/>
          <w:color w:val="auto"/>
        </w:rPr>
      </w:pPr>
      <w:r>
        <w:rPr>
          <w:rFonts w:ascii="Arial" w:cs="Arial" w:eastAsia="Arial" w:hAnsi="Arial"/>
          <w:sz w:val="16"/>
          <w:szCs w:val="16"/>
          <w:color w:val="auto"/>
        </w:rPr>
        <w:t>Historically, the Company had elected to be taxed under the provisions of Subchapter “S” of the Internal Revenue Code for federal tax purposes. As a result, income was not subject to U.S. federal income taxes or state income taxes in those states where the “S” Corporation status is recognized. Therefore, previously, no provision or liability for federal or state income tax had been provided in the consolidated financial statements</w:t>
      </w:r>
    </w:p>
    <w:p>
      <w:pPr>
        <w:jc w:val="both"/>
        <w:ind w:right="260"/>
        <w:spacing w:after="0" w:line="245" w:lineRule="auto"/>
        <w:rPr>
          <w:sz w:val="20"/>
          <w:szCs w:val="20"/>
          <w:color w:val="auto"/>
        </w:rPr>
      </w:pPr>
      <w:r>
        <w:rPr>
          <w:rFonts w:ascii="Arial" w:cs="Arial" w:eastAsia="Arial" w:hAnsi="Arial"/>
          <w:sz w:val="17"/>
          <w:szCs w:val="17"/>
          <w:color w:val="auto"/>
        </w:rPr>
        <w:t>except for those states where the “S” Corporation status was not recognized, or where states imposed a tax on “S” Corporations. The provision for income tax in the historical periods prior to the IPO consists of these state taxes and taxes from certain foreign jurisdictions where the Company is subject to tax.</w:t>
      </w:r>
    </w:p>
    <w:p>
      <w:pPr>
        <w:spacing w:after="0" w:line="187" w:lineRule="exact"/>
        <w:rPr>
          <w:sz w:val="20"/>
          <w:szCs w:val="20"/>
          <w:color w:val="auto"/>
        </w:rPr>
      </w:pPr>
    </w:p>
    <w:p>
      <w:pPr>
        <w:ind w:firstLine="589"/>
        <w:spacing w:after="0" w:line="235" w:lineRule="auto"/>
        <w:rPr>
          <w:sz w:val="20"/>
          <w:szCs w:val="20"/>
          <w:color w:val="auto"/>
        </w:rPr>
      </w:pPr>
      <w:r>
        <w:rPr>
          <w:rFonts w:ascii="Arial" w:cs="Arial" w:eastAsia="Arial" w:hAnsi="Arial"/>
          <w:sz w:val="17"/>
          <w:szCs w:val="17"/>
          <w:color w:val="auto"/>
        </w:rPr>
        <w:t>In connection with the Company’s IPO on May 8, 2019, the “S” Corporation status was terminated, and the Company is now treated as a “C” Corporation under the Internal Revenue Code. The termination of the “S” Corporation status was treated as a change in tax status under Accounting Standards Codification 740, Income Taxes. These rules require that the deferred tax effects of a change in tax status to be recorded to income from continuing operations on the date the “S” Corporation status terminates. The termination of the “S” Corporation election has had a material impact on the Company’s results of operations, financial condition, and cash flows as reflected in the December 31, 2021, December 31, 2020 and December 31, 2019 consolidated financial statements. Income tax expense was impacted in 2019 primarily due to a tax benefit recorded for the revaluation of our deferred tax assets and liabilities as a result of our conversion from “S” Corporation to a “C” Corporation. The effective tax rate has increased,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and net income has decreased as compared to the Company’s “S” Corporation tax years, since the Company is now subject to both U.S. federal and state corporate income taxes on its earnings.</w:t>
      </w:r>
    </w:p>
    <w:p>
      <w:pPr>
        <w:spacing w:after="0" w:line="186" w:lineRule="exact"/>
        <w:rPr>
          <w:sz w:val="20"/>
          <w:szCs w:val="20"/>
          <w:color w:val="auto"/>
        </w:rPr>
      </w:pPr>
    </w:p>
    <w:p>
      <w:pPr>
        <w:ind w:right="20" w:firstLine="589"/>
        <w:spacing w:after="0" w:line="224" w:lineRule="auto"/>
        <w:rPr>
          <w:sz w:val="20"/>
          <w:szCs w:val="20"/>
          <w:color w:val="auto"/>
        </w:rPr>
      </w:pPr>
      <w:r>
        <w:rPr>
          <w:rFonts w:ascii="Arial" w:cs="Arial" w:eastAsia="Arial" w:hAnsi="Arial"/>
          <w:sz w:val="19"/>
          <w:szCs w:val="19"/>
          <w:color w:val="auto"/>
        </w:rPr>
        <w:t>Treasury and the Internal Revenue Service on December 28, 2021 released final regulations that significantly restrict the ability to credit certain foreign taxes. While the 2021 Final Regulations are effective on March 7, 2022, certain provisions are applicable to periods beginning before that date. The final regulations provide additional guidance on a wide range of topics, including the definition of a foreign income tax, the disallowance of a credit or deduction for certain foreign income taxes, the allocation and apportionment of foreign income taxes, when foreign income taxes accrue, and related rules under the Internal Revenue Code. The final regulations generally follow the proposed regulations, published on November 12, 2020, but include notable changes. Among other things, the final regulations overhaul the requirements which a foreign tax must satisfy to be claimed as a credit. The most significant change is that a foreign tax must satisfy a new "attribution requirement" for the tax to be creditable under Internal Revenue Code Sections 901 or 903. Under the attribution requirement, foreign taxes are not generally creditable unless the foreign tax law requires a sufficient nexus between the foreign country and the taxpayer’s activities or investments. The Company believes these regulations may restrict the amount of future foreign tax credits the Company is eligible to claim on its US Federal income tax return and as such, may have an impact on the Company’s future effective tax rate.</w:t>
      </w:r>
    </w:p>
    <w:p>
      <w:pPr>
        <w:spacing w:after="0" w:line="10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presents the components of our income from continuing operations before income taxes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180" w:type="dxa"/>
            <w:vAlign w:val="bottom"/>
            <w:tcBorders>
              <w:bottom w:val="single" w:sz="8" w:color="CFF0FC"/>
            </w:tcBorders>
          </w:tcPr>
          <w:p>
            <w:pPr>
              <w:spacing w:after="0"/>
              <w:rPr>
                <w:sz w:val="14"/>
                <w:szCs w:val="14"/>
                <w:color w:val="auto"/>
              </w:rPr>
            </w:pPr>
          </w:p>
        </w:tc>
        <w:tc>
          <w:tcPr>
            <w:tcW w:w="24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196"/>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United States earnings</w:t>
            </w:r>
          </w:p>
        </w:tc>
        <w:tc>
          <w:tcPr>
            <w:tcW w:w="27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24,687</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64,810</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6,762</w:t>
            </w:r>
          </w:p>
        </w:tc>
        <w:tc>
          <w:tcPr>
            <w:tcW w:w="100" w:type="dxa"/>
            <w:vAlign w:val="bottom"/>
            <w:shd w:val="clear" w:color="auto" w:fill="CFF0FC"/>
          </w:tcPr>
          <w:p>
            <w:pPr>
              <w:spacing w:after="0"/>
              <w:rPr>
                <w:sz w:val="17"/>
                <w:szCs w:val="17"/>
                <w:color w:val="auto"/>
              </w:rPr>
            </w:pPr>
          </w:p>
        </w:tc>
      </w:tr>
      <w:tr>
        <w:trPr>
          <w:trHeight w:val="203"/>
        </w:trPr>
        <w:tc>
          <w:tcPr>
            <w:tcW w:w="41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Foreign earnings</w:t>
            </w:r>
          </w:p>
        </w:tc>
        <w:tc>
          <w:tcPr>
            <w:tcW w:w="24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87,901</w:t>
            </w:r>
          </w:p>
        </w:tc>
        <w:tc>
          <w:tcPr>
            <w:tcW w:w="24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96,603</w:t>
            </w:r>
          </w:p>
        </w:tc>
        <w:tc>
          <w:tcPr>
            <w:tcW w:w="2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60,480</w:t>
            </w:r>
          </w:p>
        </w:tc>
        <w:tc>
          <w:tcPr>
            <w:tcW w:w="100" w:type="dxa"/>
            <w:vAlign w:val="bottom"/>
            <w:tcBorders>
              <w:bottom w:val="single" w:sz="8" w:color="CFF0FC"/>
            </w:tcBorders>
          </w:tcPr>
          <w:p>
            <w:pPr>
              <w:spacing w:after="0"/>
              <w:rPr>
                <w:sz w:val="17"/>
                <w:szCs w:val="17"/>
                <w:color w:val="auto"/>
              </w:rPr>
            </w:pPr>
          </w:p>
        </w:tc>
      </w:tr>
      <w:tr>
        <w:trPr>
          <w:trHeight w:val="196"/>
        </w:trPr>
        <w:tc>
          <w:tcPr>
            <w:tcW w:w="4180" w:type="dxa"/>
            <w:vAlign w:val="bottom"/>
            <w:shd w:val="clear" w:color="auto" w:fill="CFF0FC"/>
          </w:tcPr>
          <w:p>
            <w:pPr>
              <w:spacing w:after="0"/>
              <w:rPr>
                <w:sz w:val="17"/>
                <w:szCs w:val="17"/>
                <w:color w:val="auto"/>
              </w:rPr>
            </w:pPr>
          </w:p>
        </w:tc>
        <w:tc>
          <w:tcPr>
            <w:tcW w:w="27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112,588</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161,413</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67,242</w:t>
            </w:r>
          </w:p>
        </w:tc>
        <w:tc>
          <w:tcPr>
            <w:tcW w:w="100" w:type="dxa"/>
            <w:vAlign w:val="bottom"/>
            <w:shd w:val="clear" w:color="auto" w:fill="CFF0FC"/>
          </w:tcPr>
          <w:p>
            <w:pPr>
              <w:spacing w:after="0"/>
              <w:rPr>
                <w:sz w:val="17"/>
                <w:szCs w:val="17"/>
                <w:color w:val="auto"/>
              </w:rPr>
            </w:pPr>
          </w:p>
        </w:tc>
      </w:tr>
      <w:tr>
        <w:trPr>
          <w:trHeight w:val="20"/>
        </w:trPr>
        <w:tc>
          <w:tcPr>
            <w:tcW w:w="4180" w:type="dxa"/>
            <w:vAlign w:val="bottom"/>
            <w:tcBorders>
              <w:top w:val="single" w:sz="8" w:color="CFF0FC"/>
            </w:tcBorders>
          </w:tcPr>
          <w:p>
            <w:pPr>
              <w:spacing w:after="0" w:line="20" w:lineRule="exact"/>
              <w:rPr>
                <w:sz w:val="1"/>
                <w:szCs w:val="1"/>
                <w:color w:val="auto"/>
              </w:rPr>
            </w:pPr>
          </w:p>
        </w:tc>
        <w:tc>
          <w:tcPr>
            <w:tcW w:w="24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7" w:lineRule="exact"/>
        <w:rPr>
          <w:sz w:val="20"/>
          <w:szCs w:val="20"/>
          <w:color w:val="auto"/>
        </w:rPr>
      </w:pPr>
    </w:p>
    <w:p>
      <w:pPr>
        <w:ind w:right="260" w:firstLine="589"/>
        <w:spacing w:after="0" w:line="242" w:lineRule="auto"/>
        <w:rPr>
          <w:sz w:val="20"/>
          <w:szCs w:val="20"/>
          <w:color w:val="auto"/>
        </w:rPr>
      </w:pPr>
      <w:r>
        <w:rPr>
          <w:rFonts w:ascii="Arial" w:cs="Arial" w:eastAsia="Arial" w:hAnsi="Arial"/>
          <w:sz w:val="17"/>
          <w:szCs w:val="17"/>
          <w:color w:val="auto"/>
        </w:rPr>
        <w:t>The income tax expense (benefit) attributable to income from continuing operations for the years ended December 31, 2021, December 31, 2020 and December 31, 2019 consists of the following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180" w:type="dxa"/>
            <w:vAlign w:val="bottom"/>
            <w:tcBorders>
              <w:bottom w:val="single" w:sz="8" w:color="CFF0FC"/>
            </w:tcBorders>
          </w:tcPr>
          <w:p>
            <w:pPr>
              <w:spacing w:after="0"/>
              <w:rPr>
                <w:sz w:val="14"/>
                <w:szCs w:val="14"/>
                <w:color w:val="auto"/>
              </w:rPr>
            </w:pPr>
          </w:p>
        </w:tc>
        <w:tc>
          <w:tcPr>
            <w:tcW w:w="24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196"/>
        </w:trPr>
        <w:tc>
          <w:tcPr>
            <w:tcW w:w="41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Current</w:t>
            </w:r>
          </w:p>
        </w:tc>
        <w:tc>
          <w:tcPr>
            <w:tcW w:w="2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180" w:type="dxa"/>
            <w:vAlign w:val="bottom"/>
          </w:tcPr>
          <w:p>
            <w:pPr>
              <w:spacing w:after="0"/>
              <w:rPr>
                <w:sz w:val="20"/>
                <w:szCs w:val="20"/>
                <w:color w:val="auto"/>
              </w:rPr>
            </w:pPr>
            <w:r>
              <w:rPr>
                <w:rFonts w:ascii="Arial" w:cs="Arial" w:eastAsia="Arial" w:hAnsi="Arial"/>
                <w:sz w:val="17"/>
                <w:szCs w:val="17"/>
                <w:color w:val="auto"/>
              </w:rPr>
              <w:t>Federal</w:t>
            </w:r>
          </w:p>
        </w:tc>
        <w:tc>
          <w:tcPr>
            <w:tcW w:w="2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653</w:t>
            </w:r>
          </w:p>
        </w:tc>
        <w:tc>
          <w:tcPr>
            <w:tcW w:w="16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15,663</w:t>
            </w:r>
          </w:p>
        </w:tc>
        <w:tc>
          <w:tcPr>
            <w:tcW w:w="260" w:type="dxa"/>
            <w:vAlign w:val="bottom"/>
          </w:tcPr>
          <w:p>
            <w:pPr>
              <w:spacing w:after="0"/>
              <w:rPr>
                <w:sz w:val="17"/>
                <w:szCs w:val="17"/>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22,865</w:t>
            </w:r>
          </w:p>
        </w:tc>
        <w:tc>
          <w:tcPr>
            <w:tcW w:w="100" w:type="dxa"/>
            <w:vAlign w:val="bottom"/>
          </w:tcPr>
          <w:p>
            <w:pPr>
              <w:spacing w:after="0"/>
              <w:rPr>
                <w:sz w:val="17"/>
                <w:szCs w:val="17"/>
                <w:color w:val="auto"/>
              </w:rPr>
            </w:pPr>
          </w:p>
        </w:tc>
      </w:tr>
      <w:tr>
        <w:trPr>
          <w:trHeight w:val="203"/>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State</w:t>
            </w:r>
          </w:p>
        </w:tc>
        <w:tc>
          <w:tcPr>
            <w:tcW w:w="2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6,830</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9,024</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10,428</w:t>
            </w:r>
          </w:p>
        </w:tc>
        <w:tc>
          <w:tcPr>
            <w:tcW w:w="100" w:type="dxa"/>
            <w:vAlign w:val="bottom"/>
            <w:shd w:val="clear" w:color="auto" w:fill="CFF0FC"/>
          </w:tcPr>
          <w:p>
            <w:pPr>
              <w:spacing w:after="0"/>
              <w:rPr>
                <w:sz w:val="17"/>
                <w:szCs w:val="17"/>
                <w:color w:val="auto"/>
              </w:rPr>
            </w:pPr>
          </w:p>
        </w:tc>
      </w:tr>
      <w:tr>
        <w:trPr>
          <w:trHeight w:val="203"/>
        </w:trPr>
        <w:tc>
          <w:tcPr>
            <w:tcW w:w="41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Foreign</w:t>
            </w:r>
          </w:p>
        </w:tc>
        <w:tc>
          <w:tcPr>
            <w:tcW w:w="24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19,621</w:t>
            </w:r>
          </w:p>
        </w:tc>
        <w:tc>
          <w:tcPr>
            <w:tcW w:w="1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16,534</w:t>
            </w:r>
          </w:p>
        </w:tc>
        <w:tc>
          <w:tcPr>
            <w:tcW w:w="2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20,159</w:t>
            </w:r>
          </w:p>
        </w:tc>
        <w:tc>
          <w:tcPr>
            <w:tcW w:w="100" w:type="dxa"/>
            <w:vAlign w:val="bottom"/>
            <w:tcBorders>
              <w:bottom w:val="single" w:sz="8" w:color="CFF0FC"/>
            </w:tcBorders>
          </w:tcPr>
          <w:p>
            <w:pPr>
              <w:spacing w:after="0"/>
              <w:rPr>
                <w:sz w:val="17"/>
                <w:szCs w:val="17"/>
                <w:color w:val="auto"/>
              </w:rPr>
            </w:pPr>
          </w:p>
        </w:tc>
      </w:tr>
      <w:tr>
        <w:trPr>
          <w:trHeight w:val="196"/>
        </w:trPr>
        <w:tc>
          <w:tcPr>
            <w:tcW w:w="41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current income tax expense</w:t>
            </w:r>
          </w:p>
        </w:tc>
        <w:tc>
          <w:tcPr>
            <w:tcW w:w="248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27,104</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41,221</w:t>
            </w:r>
          </w:p>
        </w:tc>
        <w:tc>
          <w:tcPr>
            <w:tcW w:w="2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53,452</w:t>
            </w:r>
          </w:p>
        </w:tc>
        <w:tc>
          <w:tcPr>
            <w:tcW w:w="100" w:type="dxa"/>
            <w:vAlign w:val="bottom"/>
            <w:shd w:val="clear" w:color="auto" w:fill="CFF0FC"/>
          </w:tcPr>
          <w:p>
            <w:pPr>
              <w:spacing w:after="0"/>
              <w:rPr>
                <w:sz w:val="17"/>
                <w:szCs w:val="17"/>
                <w:color w:val="auto"/>
              </w:rPr>
            </w:pPr>
          </w:p>
        </w:tc>
      </w:tr>
      <w:tr>
        <w:trPr>
          <w:trHeight w:val="196"/>
        </w:trPr>
        <w:tc>
          <w:tcPr>
            <w:tcW w:w="4180" w:type="dxa"/>
            <w:vAlign w:val="bottom"/>
          </w:tcPr>
          <w:p>
            <w:pPr>
              <w:spacing w:after="0"/>
              <w:rPr>
                <w:sz w:val="20"/>
                <w:szCs w:val="20"/>
                <w:color w:val="auto"/>
              </w:rPr>
            </w:pPr>
            <w:r>
              <w:rPr>
                <w:rFonts w:ascii="Arial" w:cs="Arial" w:eastAsia="Arial" w:hAnsi="Arial"/>
                <w:sz w:val="17"/>
                <w:szCs w:val="17"/>
                <w:b w:val="1"/>
                <w:bCs w:val="1"/>
                <w:color w:val="auto"/>
              </w:rPr>
              <w:t>Deferred</w:t>
            </w:r>
          </w:p>
        </w:tc>
        <w:tc>
          <w:tcPr>
            <w:tcW w:w="2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Federal</w:t>
            </w:r>
          </w:p>
        </w:tc>
        <w:tc>
          <w:tcPr>
            <w:tcW w:w="2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1,624</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(186)</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(97,299)</w:t>
            </w:r>
          </w:p>
        </w:tc>
      </w:tr>
      <w:tr>
        <w:trPr>
          <w:trHeight w:val="203"/>
        </w:trPr>
        <w:tc>
          <w:tcPr>
            <w:tcW w:w="4180" w:type="dxa"/>
            <w:vAlign w:val="bottom"/>
          </w:tcPr>
          <w:p>
            <w:pPr>
              <w:spacing w:after="0"/>
              <w:rPr>
                <w:sz w:val="20"/>
                <w:szCs w:val="20"/>
                <w:color w:val="auto"/>
              </w:rPr>
            </w:pPr>
            <w:r>
              <w:rPr>
                <w:rFonts w:ascii="Arial" w:cs="Arial" w:eastAsia="Arial" w:hAnsi="Arial"/>
                <w:sz w:val="17"/>
                <w:szCs w:val="17"/>
                <w:color w:val="auto"/>
              </w:rPr>
              <w:t>State</w:t>
            </w:r>
          </w:p>
        </w:tc>
        <w:tc>
          <w:tcPr>
            <w:tcW w:w="2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(1,263)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(1,785)</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(27,432)</w:t>
            </w:r>
          </w:p>
        </w:tc>
      </w:tr>
      <w:tr>
        <w:trPr>
          <w:trHeight w:val="203"/>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Foreign</w:t>
            </w:r>
          </w:p>
        </w:tc>
        <w:tc>
          <w:tcPr>
            <w:tcW w:w="2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(3,829)</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3,242</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1,393</w:t>
            </w:r>
          </w:p>
        </w:tc>
        <w:tc>
          <w:tcPr>
            <w:tcW w:w="100" w:type="dxa"/>
            <w:vAlign w:val="bottom"/>
            <w:shd w:val="clear" w:color="auto" w:fill="CFF0FC"/>
          </w:tcPr>
          <w:p>
            <w:pPr>
              <w:spacing w:after="0"/>
              <w:rPr>
                <w:sz w:val="17"/>
                <w:szCs w:val="17"/>
                <w:color w:val="auto"/>
              </w:rPr>
            </w:pPr>
          </w:p>
        </w:tc>
      </w:tr>
      <w:tr>
        <w:trPr>
          <w:trHeight w:val="20"/>
        </w:trPr>
        <w:tc>
          <w:tcPr>
            <w:tcW w:w="4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180" w:type="dxa"/>
            <w:vAlign w:val="bottom"/>
          </w:tcPr>
          <w:p>
            <w:pPr>
              <w:ind w:left="240"/>
              <w:spacing w:after="0"/>
              <w:rPr>
                <w:sz w:val="20"/>
                <w:szCs w:val="20"/>
                <w:color w:val="auto"/>
              </w:rPr>
            </w:pPr>
            <w:r>
              <w:rPr>
                <w:rFonts w:ascii="Arial" w:cs="Arial" w:eastAsia="Arial" w:hAnsi="Arial"/>
                <w:sz w:val="17"/>
                <w:szCs w:val="17"/>
                <w:color w:val="auto"/>
              </w:rPr>
              <w:t>Total deferred tax expense (benefit)</w:t>
            </w:r>
          </w:p>
        </w:tc>
        <w:tc>
          <w:tcPr>
            <w:tcW w:w="2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(3,468)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1,271</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(123,338)</w:t>
            </w:r>
          </w:p>
        </w:tc>
      </w:tr>
      <w:tr>
        <w:trPr>
          <w:trHeight w:val="20"/>
        </w:trPr>
        <w:tc>
          <w:tcPr>
            <w:tcW w:w="4180" w:type="dxa"/>
            <w:vAlign w:val="bottom"/>
            <w:shd w:val="clear" w:color="auto" w:fill="CFF0FC"/>
          </w:tcPr>
          <w:p>
            <w:pPr>
              <w:spacing w:after="0" w:line="20" w:lineRule="exact"/>
              <w:rPr>
                <w:sz w:val="1"/>
                <w:szCs w:val="1"/>
                <w:color w:val="auto"/>
              </w:rPr>
            </w:pPr>
          </w:p>
        </w:tc>
        <w:tc>
          <w:tcPr>
            <w:tcW w:w="24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1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income tax expense (benefit)</w:t>
            </w:r>
          </w:p>
        </w:tc>
        <w:tc>
          <w:tcPr>
            <w:tcW w:w="27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23,636</w:t>
            </w:r>
          </w:p>
        </w:tc>
        <w:tc>
          <w:tcPr>
            <w:tcW w:w="16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42,492</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(69,886)</w:t>
            </w:r>
          </w:p>
        </w:tc>
      </w:tr>
      <w:tr>
        <w:trPr>
          <w:trHeight w:val="20"/>
        </w:trPr>
        <w:tc>
          <w:tcPr>
            <w:tcW w:w="4180" w:type="dxa"/>
            <w:vAlign w:val="bottom"/>
            <w:tcBorders>
              <w:top w:val="single" w:sz="8" w:color="CFF0FC"/>
            </w:tcBorders>
          </w:tcPr>
          <w:p>
            <w:pPr>
              <w:spacing w:after="0" w:line="20" w:lineRule="exact"/>
              <w:rPr>
                <w:sz w:val="1"/>
                <w:szCs w:val="1"/>
                <w:color w:val="auto"/>
              </w:rPr>
            </w:pPr>
          </w:p>
        </w:tc>
        <w:tc>
          <w:tcPr>
            <w:tcW w:w="24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611"/>
        </w:trPr>
        <w:tc>
          <w:tcPr>
            <w:tcW w:w="4180" w:type="dxa"/>
            <w:vAlign w:val="bottom"/>
          </w:tcPr>
          <w:p>
            <w:pPr>
              <w:spacing w:after="0"/>
              <w:rPr>
                <w:sz w:val="24"/>
                <w:szCs w:val="24"/>
                <w:color w:val="auto"/>
              </w:rPr>
            </w:pPr>
          </w:p>
        </w:tc>
        <w:tc>
          <w:tcPr>
            <w:tcW w:w="2780" w:type="dxa"/>
            <w:vAlign w:val="bottom"/>
            <w:gridSpan w:val="2"/>
          </w:tcPr>
          <w:p>
            <w:pPr>
              <w:jc w:val="right"/>
              <w:ind w:right="1160"/>
              <w:spacing w:after="0"/>
              <w:rPr>
                <w:sz w:val="20"/>
                <w:szCs w:val="20"/>
                <w:color w:val="auto"/>
              </w:rPr>
            </w:pPr>
            <w:r>
              <w:rPr>
                <w:rFonts w:ascii="Arial" w:cs="Arial" w:eastAsia="Arial" w:hAnsi="Arial"/>
                <w:sz w:val="17"/>
                <w:szCs w:val="17"/>
                <w:color w:val="auto"/>
              </w:rPr>
              <w:t>F-43</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5"/>
        </w:trPr>
        <w:tc>
          <w:tcPr>
            <w:tcW w:w="4180" w:type="dxa"/>
            <w:vAlign w:val="bottom"/>
            <w:tcBorders>
              <w:bottom w:val="single" w:sz="8" w:color="9A9A9A"/>
            </w:tcBorders>
          </w:tcPr>
          <w:p>
            <w:pPr>
              <w:spacing w:after="0"/>
              <w:rPr>
                <w:sz w:val="8"/>
                <w:szCs w:val="8"/>
                <w:color w:val="auto"/>
              </w:rPr>
            </w:pPr>
          </w:p>
        </w:tc>
        <w:tc>
          <w:tcPr>
            <w:tcW w:w="24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1">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16" w:lineRule="exact"/>
        <w:rPr>
          <w:sz w:val="20"/>
          <w:szCs w:val="20"/>
          <w:color w:val="auto"/>
        </w:rPr>
      </w:pPr>
    </w:p>
    <w:p>
      <w:pPr>
        <w:ind w:right="200" w:firstLine="589"/>
        <w:spacing w:after="0" w:line="242" w:lineRule="auto"/>
        <w:rPr>
          <w:sz w:val="20"/>
          <w:szCs w:val="20"/>
          <w:color w:val="auto"/>
        </w:rPr>
      </w:pPr>
      <w:r>
        <w:rPr>
          <w:rFonts w:ascii="Arial" w:cs="Arial" w:eastAsia="Arial" w:hAnsi="Arial"/>
          <w:sz w:val="17"/>
          <w:szCs w:val="17"/>
          <w:color w:val="auto"/>
        </w:rPr>
        <w:t>Income tax expense (benefit) was different from the amount computed by applying the United States federal statutory rate to pre-tax income from continuing operations as a result of the following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6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r>
      <w:tr>
        <w:trPr>
          <w:trHeight w:val="196"/>
        </w:trPr>
        <w:tc>
          <w:tcPr>
            <w:tcW w:w="4600" w:type="dxa"/>
            <w:vAlign w:val="bottom"/>
            <w:shd w:val="clear" w:color="auto" w:fill="CFF0FC"/>
          </w:tcPr>
          <w:p>
            <w:pPr>
              <w:spacing w:after="0"/>
              <w:rPr>
                <w:sz w:val="20"/>
                <w:szCs w:val="20"/>
                <w:color w:val="auto"/>
              </w:rPr>
            </w:pPr>
            <w:r>
              <w:rPr>
                <w:rFonts w:ascii="Arial" w:cs="Arial" w:eastAsia="Arial" w:hAnsi="Arial"/>
                <w:sz w:val="17"/>
                <w:szCs w:val="17"/>
                <w:color w:val="auto"/>
              </w:rPr>
              <w:t>Income before income tax expense (benefit)</w:t>
            </w: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112,588</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161,413</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67,242</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600" w:type="dxa"/>
            <w:vAlign w:val="bottom"/>
          </w:tcPr>
          <w:p>
            <w:pPr>
              <w:spacing w:after="0"/>
              <w:rPr>
                <w:sz w:val="20"/>
                <w:szCs w:val="20"/>
                <w:color w:val="auto"/>
              </w:rPr>
            </w:pPr>
            <w:r>
              <w:rPr>
                <w:rFonts w:ascii="Arial" w:cs="Arial" w:eastAsia="Arial" w:hAnsi="Arial"/>
                <w:sz w:val="17"/>
                <w:szCs w:val="17"/>
                <w:color w:val="auto"/>
              </w:rPr>
              <w:t>Tax at federal statutory tax rate</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23,644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21.0%</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33,897</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21.0%</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14,121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21.0%</w:t>
            </w:r>
          </w:p>
        </w:tc>
      </w:tr>
      <w:tr>
        <w:trPr>
          <w:trHeight w:val="203"/>
        </w:trPr>
        <w:tc>
          <w:tcPr>
            <w:tcW w:w="4600" w:type="dxa"/>
            <w:vAlign w:val="bottom"/>
            <w:shd w:val="clear" w:color="auto" w:fill="CFF0FC"/>
          </w:tcPr>
          <w:p>
            <w:pPr>
              <w:spacing w:after="0"/>
              <w:rPr>
                <w:sz w:val="20"/>
                <w:szCs w:val="20"/>
                <w:color w:val="auto"/>
              </w:rPr>
            </w:pPr>
            <w:r>
              <w:rPr>
                <w:rFonts w:ascii="Arial" w:cs="Arial" w:eastAsia="Arial" w:hAnsi="Arial"/>
                <w:sz w:val="17"/>
                <w:szCs w:val="17"/>
                <w:color w:val="auto"/>
              </w:rPr>
              <w:t>S- corporation exclusion</w:t>
            </w:r>
          </w:p>
        </w:tc>
        <w:tc>
          <w:tcPr>
            <w:tcW w:w="160" w:type="dxa"/>
            <w:vAlign w:val="bottom"/>
            <w:shd w:val="clear" w:color="auto" w:fill="CFF0FC"/>
          </w:tcPr>
          <w:p>
            <w:pPr>
              <w:spacing w:after="0"/>
              <w:rPr>
                <w:sz w:val="17"/>
                <w:szCs w:val="17"/>
                <w:color w:val="auto"/>
              </w:rPr>
            </w:pPr>
          </w:p>
        </w:tc>
        <w:tc>
          <w:tcPr>
            <w:tcW w:w="1200" w:type="dxa"/>
            <w:vAlign w:val="bottom"/>
            <w:gridSpan w:val="3"/>
            <w:shd w:val="clear" w:color="auto" w:fill="CFF0FC"/>
          </w:tcPr>
          <w:p>
            <w:pPr>
              <w:jc w:val="right"/>
              <w:ind w:right="500"/>
              <w:spacing w:after="0"/>
              <w:rPr>
                <w:sz w:val="20"/>
                <w:szCs w:val="20"/>
                <w:color w:val="auto"/>
              </w:rPr>
            </w:pPr>
            <w:r>
              <w:rPr>
                <w:rFonts w:ascii="Arial" w:cs="Arial" w:eastAsia="Arial" w:hAnsi="Arial"/>
                <w:sz w:val="17"/>
                <w:szCs w:val="17"/>
                <w:color w:val="auto"/>
              </w:rPr>
              <w:t>—</w:t>
            </w:r>
          </w:p>
        </w:tc>
        <w:tc>
          <w:tcPr>
            <w:tcW w:w="8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0.0%</w:t>
            </w:r>
          </w:p>
        </w:tc>
        <w:tc>
          <w:tcPr>
            <w:tcW w:w="180" w:type="dxa"/>
            <w:vAlign w:val="bottom"/>
            <w:shd w:val="clear" w:color="auto" w:fill="CFF0FC"/>
          </w:tcPr>
          <w:p>
            <w:pPr>
              <w:spacing w:after="0"/>
              <w:rPr>
                <w:sz w:val="17"/>
                <w:szCs w:val="17"/>
                <w:color w:val="auto"/>
              </w:rPr>
            </w:pPr>
          </w:p>
        </w:tc>
        <w:tc>
          <w:tcPr>
            <w:tcW w:w="1200" w:type="dxa"/>
            <w:vAlign w:val="bottom"/>
            <w:gridSpan w:val="3"/>
            <w:shd w:val="clear" w:color="auto" w:fill="CFF0FC"/>
          </w:tcPr>
          <w:p>
            <w:pPr>
              <w:jc w:val="right"/>
              <w:ind w:right="50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0.0%</w:t>
            </w: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(4,875)</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(7.0)%</w:t>
            </w:r>
          </w:p>
        </w:tc>
      </w:tr>
      <w:tr>
        <w:trPr>
          <w:trHeight w:val="203"/>
        </w:trPr>
        <w:tc>
          <w:tcPr>
            <w:tcW w:w="4600" w:type="dxa"/>
            <w:vAlign w:val="bottom"/>
          </w:tcPr>
          <w:p>
            <w:pPr>
              <w:spacing w:after="0"/>
              <w:rPr>
                <w:sz w:val="20"/>
                <w:szCs w:val="20"/>
                <w:color w:val="auto"/>
              </w:rPr>
            </w:pPr>
            <w:r>
              <w:rPr>
                <w:rFonts w:ascii="Arial" w:cs="Arial" w:eastAsia="Arial" w:hAnsi="Arial"/>
                <w:sz w:val="17"/>
                <w:szCs w:val="17"/>
                <w:color w:val="auto"/>
              </w:rPr>
              <w:t>State taxes, net of federal tax benefit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4,192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3.7%</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4,838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3.0%</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3,223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5.0%</w:t>
            </w:r>
          </w:p>
        </w:tc>
      </w:tr>
      <w:tr>
        <w:trPr>
          <w:trHeight w:val="203"/>
        </w:trPr>
        <w:tc>
          <w:tcPr>
            <w:tcW w:w="4600" w:type="dxa"/>
            <w:vAlign w:val="bottom"/>
            <w:shd w:val="clear" w:color="auto" w:fill="CFF0FC"/>
          </w:tcPr>
          <w:p>
            <w:pPr>
              <w:spacing w:after="0"/>
              <w:rPr>
                <w:sz w:val="20"/>
                <w:szCs w:val="20"/>
                <w:color w:val="auto"/>
              </w:rPr>
            </w:pPr>
            <w:r>
              <w:rPr>
                <w:rFonts w:ascii="Arial" w:cs="Arial" w:eastAsia="Arial" w:hAnsi="Arial"/>
                <w:sz w:val="17"/>
                <w:szCs w:val="17"/>
                <w:color w:val="auto"/>
              </w:rPr>
              <w:t>Change in tax status</w:t>
            </w:r>
          </w:p>
        </w:tc>
        <w:tc>
          <w:tcPr>
            <w:tcW w:w="160" w:type="dxa"/>
            <w:vAlign w:val="bottom"/>
            <w:shd w:val="clear" w:color="auto" w:fill="CFF0FC"/>
          </w:tcPr>
          <w:p>
            <w:pPr>
              <w:spacing w:after="0"/>
              <w:rPr>
                <w:sz w:val="17"/>
                <w:szCs w:val="17"/>
                <w:color w:val="auto"/>
              </w:rPr>
            </w:pPr>
          </w:p>
        </w:tc>
        <w:tc>
          <w:tcPr>
            <w:tcW w:w="1200" w:type="dxa"/>
            <w:vAlign w:val="bottom"/>
            <w:gridSpan w:val="3"/>
            <w:shd w:val="clear" w:color="auto" w:fill="CFF0FC"/>
          </w:tcPr>
          <w:p>
            <w:pPr>
              <w:jc w:val="right"/>
              <w:ind w:right="500"/>
              <w:spacing w:after="0"/>
              <w:rPr>
                <w:sz w:val="20"/>
                <w:szCs w:val="20"/>
                <w:color w:val="auto"/>
              </w:rPr>
            </w:pPr>
            <w:r>
              <w:rPr>
                <w:rFonts w:ascii="Arial" w:cs="Arial" w:eastAsia="Arial" w:hAnsi="Arial"/>
                <w:sz w:val="17"/>
                <w:szCs w:val="17"/>
                <w:color w:val="auto"/>
              </w:rPr>
              <w:t>—</w:t>
            </w:r>
          </w:p>
        </w:tc>
        <w:tc>
          <w:tcPr>
            <w:tcW w:w="8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0.0%</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3,897</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2.4%</w:t>
            </w: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(93,878)</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(140.0)%</w:t>
            </w:r>
          </w:p>
        </w:tc>
      </w:tr>
      <w:tr>
        <w:trPr>
          <w:trHeight w:val="203"/>
        </w:trPr>
        <w:tc>
          <w:tcPr>
            <w:tcW w:w="4600" w:type="dxa"/>
            <w:vAlign w:val="bottom"/>
          </w:tcPr>
          <w:p>
            <w:pPr>
              <w:spacing w:after="0"/>
              <w:rPr>
                <w:sz w:val="20"/>
                <w:szCs w:val="20"/>
                <w:color w:val="auto"/>
              </w:rPr>
            </w:pPr>
            <w:r>
              <w:rPr>
                <w:rFonts w:ascii="Arial" w:cs="Arial" w:eastAsia="Arial" w:hAnsi="Arial"/>
                <w:sz w:val="17"/>
                <w:szCs w:val="17"/>
                <w:color w:val="auto"/>
              </w:rPr>
              <w:t>Change in valuation allowance</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3,865</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3.4%</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6,850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4.2%</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4,502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7.0%</w:t>
            </w:r>
          </w:p>
        </w:tc>
      </w:tr>
      <w:tr>
        <w:trPr>
          <w:trHeight w:val="203"/>
        </w:trPr>
        <w:tc>
          <w:tcPr>
            <w:tcW w:w="4600" w:type="dxa"/>
            <w:vAlign w:val="bottom"/>
            <w:shd w:val="clear" w:color="auto" w:fill="CFF0FC"/>
          </w:tcPr>
          <w:p>
            <w:pPr>
              <w:spacing w:after="0"/>
              <w:rPr>
                <w:sz w:val="20"/>
                <w:szCs w:val="20"/>
                <w:color w:val="auto"/>
              </w:rPr>
            </w:pPr>
            <w:r>
              <w:rPr>
                <w:rFonts w:ascii="Arial" w:cs="Arial" w:eastAsia="Arial" w:hAnsi="Arial"/>
                <w:sz w:val="17"/>
                <w:szCs w:val="17"/>
                <w:color w:val="auto"/>
              </w:rPr>
              <w:t>Change in uncertain tax positions</w:t>
            </w: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(80)</w:t>
            </w:r>
          </w:p>
        </w:tc>
        <w:tc>
          <w:tcPr>
            <w:tcW w:w="280" w:type="dxa"/>
            <w:vAlign w:val="bottom"/>
            <w:shd w:val="clear" w:color="auto" w:fill="CFF0FC"/>
          </w:tcPr>
          <w:p>
            <w:pPr>
              <w:spacing w:after="0"/>
              <w:rPr>
                <w:sz w:val="17"/>
                <w:szCs w:val="17"/>
                <w:color w:val="auto"/>
              </w:rPr>
            </w:pPr>
          </w:p>
        </w:tc>
        <w:tc>
          <w:tcPr>
            <w:tcW w:w="8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-0.1%</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883</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0.6%</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4,118</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6.0%</w:t>
            </w:r>
          </w:p>
        </w:tc>
      </w:tr>
      <w:tr>
        <w:trPr>
          <w:trHeight w:val="203"/>
        </w:trPr>
        <w:tc>
          <w:tcPr>
            <w:tcW w:w="4600" w:type="dxa"/>
            <w:vAlign w:val="bottom"/>
          </w:tcPr>
          <w:p>
            <w:pPr>
              <w:spacing w:after="0"/>
              <w:rPr>
                <w:sz w:val="20"/>
                <w:szCs w:val="20"/>
                <w:color w:val="auto"/>
              </w:rPr>
            </w:pPr>
            <w:r>
              <w:rPr>
                <w:rFonts w:ascii="Arial" w:cs="Arial" w:eastAsia="Arial" w:hAnsi="Arial"/>
                <w:sz w:val="17"/>
                <w:szCs w:val="17"/>
                <w:color w:val="auto"/>
              </w:rPr>
              <w:t>Foreign tax rate differential</w:t>
            </w:r>
          </w:p>
        </w:tc>
        <w:tc>
          <w:tcPr>
            <w:tcW w:w="16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(388)</w:t>
            </w:r>
          </w:p>
        </w:tc>
        <w:tc>
          <w:tcPr>
            <w:tcW w:w="2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-0.3%</w:t>
            </w:r>
          </w:p>
        </w:tc>
        <w:tc>
          <w:tcPr>
            <w:tcW w:w="1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(128)</w:t>
            </w:r>
          </w:p>
        </w:tc>
        <w:tc>
          <w:tcPr>
            <w:tcW w:w="2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-0.1%</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4,886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7.0%</w:t>
            </w:r>
          </w:p>
        </w:tc>
      </w:tr>
      <w:tr>
        <w:trPr>
          <w:trHeight w:val="203"/>
        </w:trPr>
        <w:tc>
          <w:tcPr>
            <w:tcW w:w="4600" w:type="dxa"/>
            <w:vAlign w:val="bottom"/>
            <w:shd w:val="clear" w:color="auto" w:fill="CFF0FC"/>
          </w:tcPr>
          <w:p>
            <w:pPr>
              <w:spacing w:after="0"/>
              <w:rPr>
                <w:sz w:val="20"/>
                <w:szCs w:val="20"/>
                <w:color w:val="auto"/>
              </w:rPr>
            </w:pPr>
            <w:r>
              <w:rPr>
                <w:rFonts w:ascii="Arial" w:cs="Arial" w:eastAsia="Arial" w:hAnsi="Arial"/>
                <w:sz w:val="17"/>
                <w:szCs w:val="17"/>
                <w:color w:val="auto"/>
              </w:rPr>
              <w:t>Foreign tax credits</w:t>
            </w: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(5,151)</w:t>
            </w:r>
          </w:p>
        </w:tc>
        <w:tc>
          <w:tcPr>
            <w:tcW w:w="280" w:type="dxa"/>
            <w:vAlign w:val="bottom"/>
            <w:shd w:val="clear" w:color="auto" w:fill="CFF0FC"/>
          </w:tcPr>
          <w:p>
            <w:pPr>
              <w:spacing w:after="0"/>
              <w:rPr>
                <w:sz w:val="17"/>
                <w:szCs w:val="17"/>
                <w:color w:val="auto"/>
              </w:rPr>
            </w:pPr>
          </w:p>
        </w:tc>
        <w:tc>
          <w:tcPr>
            <w:tcW w:w="8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-4.6%</w:t>
            </w: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(47)</w:t>
            </w:r>
          </w:p>
        </w:tc>
        <w:tc>
          <w:tcPr>
            <w:tcW w:w="2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0.0%</w:t>
            </w: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(1,313)</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(2.0)%</w:t>
            </w:r>
          </w:p>
        </w:tc>
      </w:tr>
      <w:tr>
        <w:trPr>
          <w:trHeight w:val="203"/>
        </w:trPr>
        <w:tc>
          <w:tcPr>
            <w:tcW w:w="4600" w:type="dxa"/>
            <w:vAlign w:val="bottom"/>
          </w:tcPr>
          <w:p>
            <w:pPr>
              <w:spacing w:after="0"/>
              <w:rPr>
                <w:sz w:val="20"/>
                <w:szCs w:val="20"/>
                <w:color w:val="auto"/>
              </w:rPr>
            </w:pPr>
            <w:r>
              <w:rPr>
                <w:rFonts w:ascii="Arial" w:cs="Arial" w:eastAsia="Arial" w:hAnsi="Arial"/>
                <w:sz w:val="17"/>
                <w:szCs w:val="17"/>
                <w:color w:val="auto"/>
              </w:rPr>
              <w:t>Transaction costs</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540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0.5%</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0.0%</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1,052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1.0%</w:t>
            </w:r>
          </w:p>
        </w:tc>
      </w:tr>
      <w:tr>
        <w:trPr>
          <w:trHeight w:val="203"/>
        </w:trPr>
        <w:tc>
          <w:tcPr>
            <w:tcW w:w="4600" w:type="dxa"/>
            <w:vAlign w:val="bottom"/>
            <w:shd w:val="clear" w:color="auto" w:fill="CFF0FC"/>
          </w:tcPr>
          <w:p>
            <w:pPr>
              <w:spacing w:after="0"/>
              <w:rPr>
                <w:sz w:val="20"/>
                <w:szCs w:val="20"/>
                <w:color w:val="auto"/>
              </w:rPr>
            </w:pPr>
            <w:r>
              <w:rPr>
                <w:rFonts w:ascii="Arial" w:cs="Arial" w:eastAsia="Arial" w:hAnsi="Arial"/>
                <w:sz w:val="17"/>
                <w:szCs w:val="17"/>
                <w:color w:val="auto"/>
              </w:rPr>
              <w:t>Noncontrolling interests</w:t>
            </w: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(5,225)</w:t>
            </w:r>
          </w:p>
        </w:tc>
        <w:tc>
          <w:tcPr>
            <w:tcW w:w="280" w:type="dxa"/>
            <w:vAlign w:val="bottom"/>
            <w:shd w:val="clear" w:color="auto" w:fill="CFF0FC"/>
          </w:tcPr>
          <w:p>
            <w:pPr>
              <w:spacing w:after="0"/>
              <w:rPr>
                <w:sz w:val="17"/>
                <w:szCs w:val="17"/>
                <w:color w:val="auto"/>
              </w:rPr>
            </w:pPr>
          </w:p>
        </w:tc>
        <w:tc>
          <w:tcPr>
            <w:tcW w:w="8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-4.6%</w:t>
            </w: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(4,280)</w:t>
            </w:r>
          </w:p>
        </w:tc>
        <w:tc>
          <w:tcPr>
            <w:tcW w:w="2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-2.6%</w:t>
            </w: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(2,282)</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(3.0)%</w:t>
            </w:r>
          </w:p>
        </w:tc>
      </w:tr>
      <w:tr>
        <w:trPr>
          <w:trHeight w:val="203"/>
        </w:trPr>
        <w:tc>
          <w:tcPr>
            <w:tcW w:w="4600" w:type="dxa"/>
            <w:vAlign w:val="bottom"/>
          </w:tcPr>
          <w:p>
            <w:pPr>
              <w:spacing w:after="0"/>
              <w:rPr>
                <w:sz w:val="20"/>
                <w:szCs w:val="20"/>
                <w:color w:val="auto"/>
              </w:rPr>
            </w:pPr>
            <w:r>
              <w:rPr>
                <w:rFonts w:ascii="Arial" w:cs="Arial" w:eastAsia="Arial" w:hAnsi="Arial"/>
                <w:sz w:val="17"/>
                <w:szCs w:val="17"/>
                <w:color w:val="auto"/>
              </w:rPr>
              <w:t>Federal research credits</w:t>
            </w:r>
          </w:p>
        </w:tc>
        <w:tc>
          <w:tcPr>
            <w:tcW w:w="16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(2,538)</w:t>
            </w:r>
          </w:p>
        </w:tc>
        <w:tc>
          <w:tcPr>
            <w:tcW w:w="2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-2.2%</w:t>
            </w:r>
          </w:p>
        </w:tc>
        <w:tc>
          <w:tcPr>
            <w:tcW w:w="1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(2,206)</w:t>
            </w:r>
          </w:p>
        </w:tc>
        <w:tc>
          <w:tcPr>
            <w:tcW w:w="2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-1.4%</w:t>
            </w:r>
          </w:p>
        </w:tc>
        <w:tc>
          <w:tcPr>
            <w:tcW w:w="200" w:type="dxa"/>
            <w:vAlign w:val="bottom"/>
          </w:tcPr>
          <w:p>
            <w:pPr>
              <w:spacing w:after="0"/>
              <w:rPr>
                <w:sz w:val="17"/>
                <w:szCs w:val="17"/>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203"/>
        </w:trPr>
        <w:tc>
          <w:tcPr>
            <w:tcW w:w="4600" w:type="dxa"/>
            <w:vAlign w:val="bottom"/>
            <w:shd w:val="clear" w:color="auto" w:fill="CFF0FC"/>
          </w:tcPr>
          <w:p>
            <w:pPr>
              <w:spacing w:after="0"/>
              <w:rPr>
                <w:sz w:val="20"/>
                <w:szCs w:val="20"/>
                <w:color w:val="auto"/>
              </w:rPr>
            </w:pPr>
            <w:r>
              <w:rPr>
                <w:rFonts w:ascii="Arial" w:cs="Arial" w:eastAsia="Arial" w:hAnsi="Arial"/>
                <w:sz w:val="17"/>
                <w:szCs w:val="17"/>
                <w:color w:val="auto"/>
              </w:rPr>
              <w:t>Executive compensation</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2,352</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2.1%</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0.0%</w:t>
            </w:r>
          </w:p>
        </w:tc>
        <w:tc>
          <w:tcPr>
            <w:tcW w:w="20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4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r>
      <w:tr>
        <w:trPr>
          <w:trHeight w:val="203"/>
        </w:trPr>
        <w:tc>
          <w:tcPr>
            <w:tcW w:w="4600" w:type="dxa"/>
            <w:vAlign w:val="bottom"/>
          </w:tcPr>
          <w:p>
            <w:pPr>
              <w:spacing w:after="0"/>
              <w:rPr>
                <w:sz w:val="20"/>
                <w:szCs w:val="20"/>
                <w:color w:val="auto"/>
              </w:rPr>
            </w:pPr>
            <w:r>
              <w:rPr>
                <w:rFonts w:ascii="Arial" w:cs="Arial" w:eastAsia="Arial" w:hAnsi="Arial"/>
                <w:sz w:val="17"/>
                <w:szCs w:val="17"/>
                <w:color w:val="auto"/>
              </w:rPr>
              <w:t>Other, net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2,425</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2.1%</w:t>
            </w:r>
          </w:p>
        </w:tc>
        <w:tc>
          <w:tcPr>
            <w:tcW w:w="1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(1,353)</w:t>
            </w:r>
          </w:p>
        </w:tc>
        <w:tc>
          <w:tcPr>
            <w:tcW w:w="2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-0.9%</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560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1.1%</w:t>
            </w:r>
          </w:p>
        </w:tc>
      </w:tr>
      <w:tr>
        <w:trPr>
          <w:trHeight w:val="20"/>
        </w:trPr>
        <w:tc>
          <w:tcPr>
            <w:tcW w:w="46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96"/>
        </w:trPr>
        <w:tc>
          <w:tcPr>
            <w:tcW w:w="46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income tax expense (benefit)</w:t>
            </w: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23,636</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21.0%</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42,492</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26.3%</w:t>
            </w: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(69,886)</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(103.9)%</w:t>
            </w:r>
          </w:p>
        </w:tc>
      </w:tr>
      <w:tr>
        <w:trPr>
          <w:trHeight w:val="20"/>
        </w:trPr>
        <w:tc>
          <w:tcPr>
            <w:tcW w:w="46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r>
    </w:tbl>
    <w:p>
      <w:pPr>
        <w:spacing w:after="0" w:line="227" w:lineRule="exact"/>
        <w:rPr>
          <w:sz w:val="20"/>
          <w:szCs w:val="20"/>
          <w:color w:val="auto"/>
        </w:rPr>
      </w:pPr>
    </w:p>
    <w:p>
      <w:pPr>
        <w:ind w:right="140" w:firstLine="865"/>
        <w:spacing w:after="0" w:line="237" w:lineRule="auto"/>
        <w:rPr>
          <w:sz w:val="20"/>
          <w:szCs w:val="20"/>
          <w:color w:val="auto"/>
        </w:rPr>
      </w:pPr>
      <w:r>
        <w:rPr>
          <w:rFonts w:ascii="Arial" w:cs="Arial" w:eastAsia="Arial" w:hAnsi="Arial"/>
          <w:sz w:val="17"/>
          <w:szCs w:val="17"/>
          <w:color w:val="auto"/>
        </w:rPr>
        <w:t>The effective tax rate in 2021 decreased to 21.0% from 26.3% in 2020. The change in the effective tax rate was due primarily to an increase in untaxed income attributable to noncontrolling interests, release of a valuation allowance on foreign tax credits utilized on the 2020 federal return, a change in jurisdictional earnings, and a release of uncertain tax positions, partially offset by a write down of a foreign tax receivable and an increase in executive compensation subject to IRC Section 162(m) limitations.</w:t>
      </w:r>
    </w:p>
    <w:p>
      <w:pPr>
        <w:spacing w:after="0" w:line="229" w:lineRule="exact"/>
        <w:rPr>
          <w:sz w:val="20"/>
          <w:szCs w:val="20"/>
          <w:color w:val="auto"/>
        </w:rPr>
      </w:pPr>
    </w:p>
    <w:p>
      <w:pPr>
        <w:ind w:right="80" w:firstLine="865"/>
        <w:spacing w:after="0" w:line="238" w:lineRule="auto"/>
        <w:rPr>
          <w:sz w:val="20"/>
          <w:szCs w:val="20"/>
          <w:color w:val="auto"/>
        </w:rPr>
      </w:pPr>
      <w:r>
        <w:rPr>
          <w:rFonts w:ascii="Arial" w:cs="Arial" w:eastAsia="Arial" w:hAnsi="Arial"/>
          <w:sz w:val="17"/>
          <w:szCs w:val="17"/>
          <w:color w:val="auto"/>
        </w:rPr>
        <w:t>The effective rate in 2020 increased to 26.3% from (104%) in 2019. The change in the effective rate was due primarily to the nonrecurring tax benefit items included in 2019 for the remeasurement of its U.S. deferred tax assets and liabilities due to the change in tax status from an S Corporation to a C Corporation.</w:t>
      </w:r>
    </w:p>
    <w:p>
      <w:pPr>
        <w:spacing w:after="0" w:line="204" w:lineRule="exact"/>
        <w:rPr>
          <w:sz w:val="20"/>
          <w:szCs w:val="20"/>
          <w:color w:val="auto"/>
        </w:rPr>
      </w:pPr>
    </w:p>
    <w:p>
      <w:pPr>
        <w:ind w:right="40" w:firstLine="735"/>
        <w:spacing w:after="0" w:line="237" w:lineRule="auto"/>
        <w:rPr>
          <w:sz w:val="20"/>
          <w:szCs w:val="20"/>
          <w:color w:val="auto"/>
        </w:rPr>
      </w:pPr>
      <w:r>
        <w:rPr>
          <w:rFonts w:ascii="Arial" w:cs="Arial" w:eastAsia="Arial" w:hAnsi="Arial"/>
          <w:sz w:val="17"/>
          <w:szCs w:val="17"/>
          <w:color w:val="auto"/>
        </w:rPr>
        <w:t>The effective tax rate for the year ended December 31, 2021 differs from the federal statutory tax rate primarily due to state income taxes, a recorded valuation allowance on foreign tax credit carryovers, and a write down of a foreign tax receivable and an increase in executive compensation subject to IRC Section 162(m) limitations, partially offset by benefits related to untaxed income attributable to noncontrolling interests, release of uncertain tax positions, and federal research tax credits.</w:t>
      </w:r>
    </w:p>
    <w:p>
      <w:pPr>
        <w:spacing w:after="0" w:line="191" w:lineRule="exact"/>
        <w:rPr>
          <w:sz w:val="20"/>
          <w:szCs w:val="20"/>
          <w:color w:val="auto"/>
        </w:rPr>
      </w:pPr>
    </w:p>
    <w:p>
      <w:pPr>
        <w:ind w:right="40" w:firstLine="735"/>
        <w:spacing w:after="0" w:line="238" w:lineRule="auto"/>
        <w:rPr>
          <w:sz w:val="20"/>
          <w:szCs w:val="20"/>
          <w:color w:val="auto"/>
        </w:rPr>
      </w:pPr>
      <w:r>
        <w:rPr>
          <w:rFonts w:ascii="Arial" w:cs="Arial" w:eastAsia="Arial" w:hAnsi="Arial"/>
          <w:sz w:val="17"/>
          <w:szCs w:val="17"/>
          <w:color w:val="auto"/>
        </w:rPr>
        <w:t>The effective tax rate for the year ended December 31, 2020 differs from the federal statutory tax rate primarily due to state income taxes and a recorded allowance on foreign tax credit carryovers, partially offset by benefits related to untaxed income attributable to noncontrolling interests, and federal research tax credits.</w:t>
      </w:r>
    </w:p>
    <w:p>
      <w:pPr>
        <w:spacing w:after="0" w:line="293" w:lineRule="exact"/>
        <w:rPr>
          <w:sz w:val="20"/>
          <w:szCs w:val="20"/>
          <w:color w:val="auto"/>
        </w:rPr>
      </w:pPr>
    </w:p>
    <w:p>
      <w:pPr>
        <w:ind w:firstLine="865"/>
        <w:spacing w:after="0" w:line="242" w:lineRule="auto"/>
        <w:rPr>
          <w:sz w:val="20"/>
          <w:szCs w:val="20"/>
          <w:color w:val="auto"/>
        </w:rPr>
      </w:pPr>
      <w:r>
        <w:rPr>
          <w:rFonts w:ascii="Arial" w:cs="Arial" w:eastAsia="Arial" w:hAnsi="Arial"/>
          <w:sz w:val="17"/>
          <w:szCs w:val="17"/>
          <w:color w:val="auto"/>
        </w:rPr>
        <w:t>The components of deferred tax assets and liabilities consists of the following at December 31, 2021 and December 31, 2020 (in thousands):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280" w:type="dxa"/>
            <w:vAlign w:val="bottom"/>
          </w:tcPr>
          <w:p>
            <w:pPr>
              <w:spacing w:after="0"/>
              <w:rPr>
                <w:sz w:val="14"/>
                <w:szCs w:val="14"/>
                <w:color w:val="auto"/>
              </w:rPr>
            </w:pPr>
          </w:p>
        </w:tc>
        <w:tc>
          <w:tcPr>
            <w:tcW w:w="3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Deferred tax assets</w:t>
            </w:r>
          </w:p>
        </w:tc>
        <w:tc>
          <w:tcPr>
            <w:tcW w:w="246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7"/>
                <w:szCs w:val="17"/>
                <w:color w:val="auto"/>
              </w:rPr>
              <w:t>Project and non-project reserves</w:t>
            </w:r>
          </w:p>
        </w:tc>
        <w:tc>
          <w:tcPr>
            <w:tcW w:w="3380" w:type="dxa"/>
            <w:vAlign w:val="bottom"/>
            <w:gridSpan w:val="2"/>
          </w:tcPr>
          <w:p>
            <w:pPr>
              <w:jc w:val="right"/>
              <w:ind w:right="84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24,668</w:t>
            </w:r>
          </w:p>
        </w:tc>
        <w:tc>
          <w:tcPr>
            <w:tcW w:w="280" w:type="dxa"/>
            <w:vAlign w:val="bottom"/>
          </w:tcPr>
          <w:p>
            <w:pPr>
              <w:spacing w:after="0"/>
              <w:rPr>
                <w:sz w:val="17"/>
                <w:szCs w:val="17"/>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33,824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FF0FC"/>
          </w:tcPr>
          <w:p>
            <w:pPr>
              <w:spacing w:after="0"/>
              <w:rPr>
                <w:sz w:val="20"/>
                <w:szCs w:val="20"/>
                <w:color w:val="auto"/>
              </w:rPr>
            </w:pPr>
            <w:r>
              <w:rPr>
                <w:rFonts w:ascii="Arial" w:cs="Arial" w:eastAsia="Arial" w:hAnsi="Arial"/>
                <w:sz w:val="17"/>
                <w:szCs w:val="17"/>
                <w:color w:val="auto"/>
              </w:rPr>
              <w:t>Employee compensation and benefits</w:t>
            </w:r>
          </w:p>
        </w:tc>
        <w:tc>
          <w:tcPr>
            <w:tcW w:w="24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60,397</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61,260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7"/>
                <w:szCs w:val="17"/>
                <w:color w:val="auto"/>
              </w:rPr>
              <w:t>Revenue and cost recognition</w:t>
            </w:r>
          </w:p>
        </w:tc>
        <w:tc>
          <w:tcPr>
            <w:tcW w:w="2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28,930</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25,312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FF0FC"/>
          </w:tcPr>
          <w:p>
            <w:pPr>
              <w:spacing w:after="0"/>
              <w:rPr>
                <w:sz w:val="20"/>
                <w:szCs w:val="20"/>
                <w:color w:val="auto"/>
              </w:rPr>
            </w:pPr>
            <w:r>
              <w:rPr>
                <w:rFonts w:ascii="Arial" w:cs="Arial" w:eastAsia="Arial" w:hAnsi="Arial"/>
                <w:sz w:val="17"/>
                <w:szCs w:val="17"/>
                <w:color w:val="auto"/>
              </w:rPr>
              <w:t>Insurance accruals</w:t>
            </w:r>
          </w:p>
        </w:tc>
        <w:tc>
          <w:tcPr>
            <w:tcW w:w="24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16,661</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7"/>
                <w:szCs w:val="17"/>
                <w:color w:val="auto"/>
              </w:rPr>
              <w:t>Net operating losses</w:t>
            </w:r>
          </w:p>
        </w:tc>
        <w:tc>
          <w:tcPr>
            <w:tcW w:w="2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11,589</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9,674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FF0FC"/>
          </w:tcPr>
          <w:p>
            <w:pPr>
              <w:spacing w:after="0"/>
              <w:rPr>
                <w:sz w:val="20"/>
                <w:szCs w:val="20"/>
                <w:color w:val="auto"/>
              </w:rPr>
            </w:pPr>
            <w:r>
              <w:rPr>
                <w:rFonts w:ascii="Arial" w:cs="Arial" w:eastAsia="Arial" w:hAnsi="Arial"/>
                <w:sz w:val="17"/>
                <w:szCs w:val="17"/>
                <w:color w:val="auto"/>
              </w:rPr>
              <w:t>Lease liabilities</w:t>
            </w:r>
          </w:p>
        </w:tc>
        <w:tc>
          <w:tcPr>
            <w:tcW w:w="24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54,926</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62,994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7"/>
                <w:szCs w:val="17"/>
                <w:color w:val="auto"/>
              </w:rPr>
              <w:t>Tax credit carryforwards</w:t>
            </w:r>
          </w:p>
        </w:tc>
        <w:tc>
          <w:tcPr>
            <w:tcW w:w="2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21,818</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15,566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24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3,323</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3,296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7"/>
                <w:szCs w:val="17"/>
                <w:color w:val="auto"/>
              </w:rPr>
              <w:t>Valuation allowance</w:t>
            </w:r>
          </w:p>
        </w:tc>
        <w:tc>
          <w:tcPr>
            <w:tcW w:w="2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(27,348)</w:t>
            </w:r>
          </w:p>
        </w:tc>
        <w:tc>
          <w:tcPr>
            <w:tcW w:w="3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(23,878)</w:t>
            </w:r>
          </w:p>
        </w:tc>
        <w:tc>
          <w:tcPr>
            <w:tcW w:w="0" w:type="dxa"/>
            <w:vAlign w:val="bottom"/>
          </w:tcPr>
          <w:p>
            <w:pPr>
              <w:spacing w:after="0"/>
              <w:rPr>
                <w:sz w:val="1"/>
                <w:szCs w:val="1"/>
                <w:color w:val="auto"/>
              </w:rPr>
            </w:pPr>
          </w:p>
        </w:tc>
      </w:tr>
      <w:tr>
        <w:trPr>
          <w:trHeight w:val="196"/>
        </w:trPr>
        <w:tc>
          <w:tcPr>
            <w:tcW w:w="52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Total deferred tax assets</w:t>
            </w:r>
          </w:p>
        </w:tc>
        <w:tc>
          <w:tcPr>
            <w:tcW w:w="2460" w:type="dxa"/>
            <w:vAlign w:val="bottom"/>
            <w:tcBorders>
              <w:top w:val="single" w:sz="8" w:color="CFF0FC"/>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7"/>
              </w:rPr>
              <w:t>194,964</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205,772</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7"/>
                <w:szCs w:val="17"/>
                <w:b w:val="1"/>
                <w:bCs w:val="1"/>
                <w:color w:val="auto"/>
              </w:rPr>
              <w:t>Deferred tax liabilities</w:t>
            </w:r>
          </w:p>
        </w:tc>
        <w:tc>
          <w:tcPr>
            <w:tcW w:w="24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280" w:type="dxa"/>
            <w:vAlign w:val="bottom"/>
            <w:vMerge w:val="continue"/>
          </w:tcPr>
          <w:p>
            <w:pPr>
              <w:spacing w:after="0"/>
              <w:rPr>
                <w:sz w:val="15"/>
                <w:szCs w:val="15"/>
                <w:color w:val="auto"/>
              </w:rPr>
            </w:pPr>
          </w:p>
        </w:tc>
        <w:tc>
          <w:tcPr>
            <w:tcW w:w="2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FF0FC"/>
          </w:tcPr>
          <w:p>
            <w:pPr>
              <w:spacing w:after="0"/>
              <w:rPr>
                <w:sz w:val="20"/>
                <w:szCs w:val="20"/>
                <w:color w:val="auto"/>
              </w:rPr>
            </w:pPr>
            <w:r>
              <w:rPr>
                <w:rFonts w:ascii="Arial" w:cs="Arial" w:eastAsia="Arial" w:hAnsi="Arial"/>
                <w:sz w:val="17"/>
                <w:szCs w:val="17"/>
                <w:color w:val="auto"/>
              </w:rPr>
              <w:t>Intangible assets</w:t>
            </w:r>
          </w:p>
        </w:tc>
        <w:tc>
          <w:tcPr>
            <w:tcW w:w="24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(16,542)</w:t>
            </w: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(15,620)</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7"/>
                <w:szCs w:val="17"/>
                <w:color w:val="auto"/>
              </w:rPr>
              <w:t>Right of use assets</w:t>
            </w:r>
          </w:p>
        </w:tc>
        <w:tc>
          <w:tcPr>
            <w:tcW w:w="2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(48,993)</w:t>
            </w:r>
          </w:p>
        </w:tc>
        <w:tc>
          <w:tcPr>
            <w:tcW w:w="3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(56,099)</w:t>
            </w:r>
          </w:p>
        </w:tc>
        <w:tc>
          <w:tcPr>
            <w:tcW w:w="0" w:type="dxa"/>
            <w:vAlign w:val="bottom"/>
          </w:tcPr>
          <w:p>
            <w:pPr>
              <w:spacing w:after="0"/>
              <w:rPr>
                <w:sz w:val="1"/>
                <w:szCs w:val="1"/>
                <w:color w:val="auto"/>
              </w:rPr>
            </w:pPr>
          </w:p>
        </w:tc>
      </w:tr>
      <w:tr>
        <w:trPr>
          <w:trHeight w:val="203"/>
        </w:trPr>
        <w:tc>
          <w:tcPr>
            <w:tcW w:w="528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24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(6,436)</w:t>
            </w: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(16,138)</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tcPr>
          <w:p>
            <w:pPr>
              <w:ind w:left="240"/>
              <w:spacing w:after="0"/>
              <w:rPr>
                <w:sz w:val="20"/>
                <w:szCs w:val="20"/>
                <w:color w:val="auto"/>
              </w:rPr>
            </w:pPr>
            <w:r>
              <w:rPr>
                <w:rFonts w:ascii="Arial" w:cs="Arial" w:eastAsia="Arial" w:hAnsi="Arial"/>
                <w:sz w:val="17"/>
                <w:szCs w:val="17"/>
                <w:color w:val="auto"/>
              </w:rPr>
              <w:t>Total deferred tax liabilities</w:t>
            </w:r>
          </w:p>
        </w:tc>
        <w:tc>
          <w:tcPr>
            <w:tcW w:w="2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(71,971)</w:t>
            </w:r>
          </w:p>
        </w:tc>
        <w:tc>
          <w:tcPr>
            <w:tcW w:w="3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(87,857)</w:t>
            </w:r>
          </w:p>
        </w:tc>
        <w:tc>
          <w:tcPr>
            <w:tcW w:w="0" w:type="dxa"/>
            <w:vAlign w:val="bottom"/>
          </w:tcPr>
          <w:p>
            <w:pPr>
              <w:spacing w:after="0"/>
              <w:rPr>
                <w:sz w:val="1"/>
                <w:szCs w:val="1"/>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24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Net deferred tax asset</w:t>
            </w:r>
          </w:p>
        </w:tc>
        <w:tc>
          <w:tcPr>
            <w:tcW w:w="3380" w:type="dxa"/>
            <w:vAlign w:val="bottom"/>
            <w:gridSpan w:val="2"/>
            <w:shd w:val="clear" w:color="auto" w:fill="CFF0FC"/>
          </w:tcPr>
          <w:p>
            <w:pPr>
              <w:jc w:val="right"/>
              <w:ind w:right="8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7"/>
              </w:rPr>
              <w:t>122,993</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117,915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tcPr>
          <w:p>
            <w:pPr>
              <w:spacing w:after="0" w:line="20" w:lineRule="exact"/>
              <w:rPr>
                <w:sz w:val="1"/>
                <w:szCs w:val="1"/>
                <w:color w:val="auto"/>
              </w:rPr>
            </w:pPr>
          </w:p>
        </w:tc>
        <w:tc>
          <w:tcPr>
            <w:tcW w:w="24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right="20" w:firstLine="589"/>
        <w:spacing w:after="0" w:line="236" w:lineRule="auto"/>
        <w:rPr>
          <w:sz w:val="20"/>
          <w:szCs w:val="20"/>
          <w:color w:val="auto"/>
        </w:rPr>
      </w:pPr>
      <w:r>
        <w:rPr>
          <w:rFonts w:ascii="Arial" w:cs="Arial" w:eastAsia="Arial" w:hAnsi="Arial"/>
          <w:sz w:val="17"/>
          <w:szCs w:val="17"/>
          <w:color w:val="auto"/>
        </w:rPr>
        <w:t>The Company assesses the realizability of its deferred tax assets each reporting period through an analysis of potential sources of taxable income, including prior year taxable income available to absorb a carryback of tax losses, reversals of existing taxable temporary differences, tax planning strategies, and forecasts of taxable income. The Company considers all negative and positive evidence, including the weight of the evidence, to determine if a valuation allowance against deferred tax assets is required. A valuation allowance is recorded against deferred tax assets to reflect the amount of deferred tax assets that is determined to be more-likely-than-not to be realized.</w:t>
      </w:r>
    </w:p>
    <w:p>
      <w:pPr>
        <w:spacing w:after="0" w:line="91" w:lineRule="exact"/>
        <w:rPr>
          <w:sz w:val="20"/>
          <w:szCs w:val="20"/>
          <w:color w:val="auto"/>
        </w:rPr>
      </w:pPr>
    </w:p>
    <w:p>
      <w:pPr>
        <w:ind w:right="60" w:firstLine="589"/>
        <w:spacing w:after="0" w:line="242" w:lineRule="auto"/>
        <w:rPr>
          <w:sz w:val="20"/>
          <w:szCs w:val="20"/>
          <w:color w:val="auto"/>
        </w:rPr>
      </w:pPr>
      <w:r>
        <w:rPr>
          <w:rFonts w:ascii="Arial" w:cs="Arial" w:eastAsia="Arial" w:hAnsi="Arial"/>
          <w:sz w:val="17"/>
          <w:szCs w:val="17"/>
          <w:color w:val="auto"/>
        </w:rPr>
        <w:t>The Company is not asserting that any of the earnings of the foreign subsidiaries will be permanently reinvested. Therefore, the Company has recorded a deferred tax liability for the undistributed earnings net of applicable foreign tax credits.</w:t>
      </w:r>
    </w:p>
    <w:p>
      <w:pPr>
        <w:spacing w:after="0" w:line="8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 of December 31, 2021, and December 31, 2020, the Company’s valuation allowance against deferred tax assets was $27.3 million and</w:t>
      </w:r>
    </w:p>
    <w:p>
      <w:pPr>
        <w:spacing w:after="0" w:line="233" w:lineRule="auto"/>
        <w:rPr>
          <w:sz w:val="20"/>
          <w:szCs w:val="20"/>
          <w:color w:val="auto"/>
        </w:rPr>
      </w:pPr>
      <w:r>
        <w:rPr>
          <w:rFonts w:ascii="Arial" w:cs="Arial" w:eastAsia="Arial" w:hAnsi="Arial"/>
          <w:sz w:val="17"/>
          <w:szCs w:val="17"/>
          <w:color w:val="auto"/>
        </w:rPr>
        <w:t>$23.9 million, respectively. The Company has recorded a valuation allowance against certain tax attributes that the Company has determined are not</w:t>
      </w:r>
    </w:p>
    <w:p>
      <w:pPr>
        <w:spacing w:after="0" w:line="233" w:lineRule="auto"/>
        <w:rPr>
          <w:sz w:val="20"/>
          <w:szCs w:val="20"/>
          <w:color w:val="auto"/>
        </w:rPr>
      </w:pPr>
      <w:r>
        <w:rPr>
          <w:rFonts w:ascii="Arial" w:cs="Arial" w:eastAsia="Arial" w:hAnsi="Arial"/>
          <w:sz w:val="17"/>
          <w:szCs w:val="17"/>
          <w:color w:val="auto"/>
        </w:rPr>
        <w:t>more-likely-than-not to be realized, including certain foreign net operating loss carryforwards, foreign tax credit carryforwards, and capital loss</w:t>
      </w:r>
    </w:p>
    <w:p>
      <w:pPr>
        <w:spacing w:after="0" w:line="234" w:lineRule="auto"/>
        <w:rPr>
          <w:sz w:val="20"/>
          <w:szCs w:val="20"/>
          <w:color w:val="auto"/>
        </w:rPr>
      </w:pPr>
      <w:r>
        <w:rPr>
          <w:rFonts w:ascii="Arial" w:cs="Arial" w:eastAsia="Arial" w:hAnsi="Arial"/>
          <w:sz w:val="17"/>
          <w:szCs w:val="17"/>
          <w:color w:val="auto"/>
        </w:rPr>
        <w:t>carryforwards. From December 31, 2020 to December 31, 2021, the Company’s valuation allowance increased by $3.4 million. Of this increase, $4.1</w:t>
      </w:r>
    </w:p>
    <w:p>
      <w:pPr>
        <w:spacing w:after="0" w:line="233" w:lineRule="auto"/>
        <w:rPr>
          <w:sz w:val="20"/>
          <w:szCs w:val="20"/>
          <w:color w:val="auto"/>
        </w:rPr>
      </w:pPr>
      <w:r>
        <w:rPr>
          <w:rFonts w:ascii="Arial" w:cs="Arial" w:eastAsia="Arial" w:hAnsi="Arial"/>
          <w:sz w:val="17"/>
          <w:szCs w:val="17"/>
          <w:color w:val="auto"/>
        </w:rPr>
        <w:t>million relates to deferred tax assets recorded for foreign tax credit carryforwards offset in part by a decrease in valuation allowance related to net</w:t>
      </w:r>
    </w:p>
    <w:p>
      <w:pPr>
        <w:spacing w:after="0" w:line="234" w:lineRule="auto"/>
        <w:rPr>
          <w:sz w:val="20"/>
          <w:szCs w:val="20"/>
          <w:color w:val="auto"/>
        </w:rPr>
      </w:pPr>
      <w:r>
        <w:rPr>
          <w:rFonts w:ascii="Arial" w:cs="Arial" w:eastAsia="Arial" w:hAnsi="Arial"/>
          <w:sz w:val="17"/>
          <w:szCs w:val="17"/>
          <w:color w:val="auto"/>
        </w:rPr>
        <w:t>operating loss carryforwards. The valuation allowance is recorded because the Company does not expect to have sufficient foreign source income to</w:t>
      </w:r>
    </w:p>
    <w:p>
      <w:pPr>
        <w:spacing w:after="0"/>
        <w:rPr>
          <w:sz w:val="20"/>
          <w:szCs w:val="20"/>
          <w:color w:val="auto"/>
        </w:rPr>
      </w:pPr>
      <w:r>
        <w:rPr>
          <w:rFonts w:ascii="Arial" w:cs="Arial" w:eastAsia="Arial" w:hAnsi="Arial"/>
          <w:sz w:val="17"/>
          <w:szCs w:val="17"/>
          <w:color w:val="auto"/>
        </w:rPr>
        <w:t>support the foreign tax credit carryforwards before they expire.</w:t>
      </w:r>
    </w:p>
    <w:p>
      <w:pPr>
        <w:spacing w:after="0" w:line="223" w:lineRule="exact"/>
        <w:rPr>
          <w:sz w:val="20"/>
          <w:szCs w:val="20"/>
          <w:color w:val="auto"/>
        </w:rPr>
      </w:pPr>
    </w:p>
    <w:p>
      <w:pPr>
        <w:ind w:firstLine="865"/>
        <w:spacing w:after="0" w:line="237" w:lineRule="auto"/>
        <w:rPr>
          <w:sz w:val="20"/>
          <w:szCs w:val="20"/>
          <w:color w:val="auto"/>
        </w:rPr>
      </w:pPr>
      <w:r>
        <w:rPr>
          <w:rFonts w:ascii="Arial" w:cs="Arial" w:eastAsia="Arial" w:hAnsi="Arial"/>
          <w:sz w:val="17"/>
          <w:szCs w:val="17"/>
          <w:color w:val="auto"/>
        </w:rPr>
        <w:t>As of December 31, 2021, the Company has NOLs of $1.7 million, $42.9 million, and $38.9 million for U.S. Federal, U.S. states and foreign jurisdictions, respectively. The utilization of the U.S. federal and U.S. state NOLs are subject to certain annual limitations. Of these amounts, $0.4 million, $32.6 million and $ 24.0 million in U.S. Federal, U.S. states and foreign jurisdictions, respectively, do not expire. The remaining amounts of NOLs in U.S. states and in foreign jurisdictions will expire if not used between 2022 and 2042.</w:t>
      </w:r>
    </w:p>
    <w:p>
      <w:pPr>
        <w:spacing w:after="0" w:line="318" w:lineRule="exact"/>
        <w:rPr>
          <w:sz w:val="20"/>
          <w:szCs w:val="20"/>
          <w:color w:val="auto"/>
        </w:rPr>
      </w:pPr>
    </w:p>
    <w:p>
      <w:pPr>
        <w:ind w:right="220" w:firstLine="589"/>
        <w:spacing w:after="0" w:line="272" w:lineRule="auto"/>
        <w:rPr>
          <w:sz w:val="20"/>
          <w:szCs w:val="20"/>
          <w:color w:val="auto"/>
        </w:rPr>
      </w:pPr>
      <w:r>
        <w:rPr>
          <w:rFonts w:ascii="Arial" w:cs="Arial" w:eastAsia="Arial" w:hAnsi="Arial"/>
          <w:sz w:val="16"/>
          <w:szCs w:val="16"/>
          <w:color w:val="auto"/>
        </w:rPr>
        <w:t>As of December 31, 2021, the Company has foreign tax credit carryforwards of $19.6 million. The Company has provided a valuation allowance of $19.6 million as the Company considers that these credits will not be realized. These foreign tax credits start expiring in the year 2029.</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 reconciliation of the beginning and ending balances of unrecognized tax benefits is as follows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720" w:type="dxa"/>
            <w:vAlign w:val="bottom"/>
            <w:tcBorders>
              <w:bottom w:val="single" w:sz="8" w:color="CFF0FC"/>
            </w:tcBorders>
          </w:tcPr>
          <w:p>
            <w:pPr>
              <w:spacing w:after="0"/>
              <w:rPr>
                <w:sz w:val="14"/>
                <w:szCs w:val="14"/>
                <w:color w:val="auto"/>
              </w:rPr>
            </w:pPr>
          </w:p>
        </w:tc>
        <w:tc>
          <w:tcPr>
            <w:tcW w:w="19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Beginning of year</w:t>
            </w:r>
          </w:p>
        </w:tc>
        <w:tc>
          <w:tcPr>
            <w:tcW w:w="22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16,395</w:t>
            </w:r>
          </w:p>
        </w:tc>
        <w:tc>
          <w:tcPr>
            <w:tcW w:w="16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15,526</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rPr>
                <w:sz w:val="20"/>
                <w:szCs w:val="20"/>
                <w:color w:val="auto"/>
              </w:rPr>
            </w:pPr>
            <w:r>
              <w:rPr>
                <w:rFonts w:ascii="Arial" w:cs="Arial" w:eastAsia="Arial" w:hAnsi="Arial"/>
                <w:sz w:val="17"/>
                <w:szCs w:val="17"/>
                <w:color w:val="auto"/>
              </w:rPr>
              <w:t>Increases—current year tax positions</w:t>
            </w: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6,203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950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7,531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spacing w:after="0"/>
              <w:rPr>
                <w:sz w:val="20"/>
                <w:szCs w:val="20"/>
                <w:color w:val="auto"/>
              </w:rPr>
            </w:pPr>
            <w:r>
              <w:rPr>
                <w:rFonts w:ascii="Arial" w:cs="Arial" w:eastAsia="Arial" w:hAnsi="Arial"/>
                <w:sz w:val="17"/>
                <w:szCs w:val="17"/>
                <w:color w:val="auto"/>
              </w:rPr>
              <w:t>Increases—prior year tax positions</w:t>
            </w:r>
          </w:p>
        </w:tc>
        <w:tc>
          <w:tcPr>
            <w:tcW w:w="19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1,512</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1,951</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rPr>
                <w:sz w:val="20"/>
                <w:szCs w:val="20"/>
                <w:color w:val="auto"/>
              </w:rPr>
            </w:pPr>
            <w:r>
              <w:rPr>
                <w:rFonts w:ascii="Arial" w:cs="Arial" w:eastAsia="Arial" w:hAnsi="Arial"/>
                <w:sz w:val="17"/>
                <w:szCs w:val="17"/>
                <w:color w:val="auto"/>
              </w:rPr>
              <w:t>Decreases—prior year tax positions</w:t>
            </w: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(2,929)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(1,366)</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(991)</w:t>
            </w: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spacing w:after="0"/>
              <w:rPr>
                <w:sz w:val="20"/>
                <w:szCs w:val="20"/>
                <w:color w:val="auto"/>
              </w:rPr>
            </w:pPr>
            <w:r>
              <w:rPr>
                <w:rFonts w:ascii="Arial" w:cs="Arial" w:eastAsia="Arial" w:hAnsi="Arial"/>
                <w:sz w:val="17"/>
                <w:szCs w:val="17"/>
                <w:color w:val="auto"/>
              </w:rPr>
              <w:t>Settlements</w:t>
            </w:r>
          </w:p>
        </w:tc>
        <w:tc>
          <w:tcPr>
            <w:tcW w:w="19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(666)</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03"/>
        </w:trPr>
        <w:tc>
          <w:tcPr>
            <w:tcW w:w="4720" w:type="dxa"/>
            <w:vAlign w:val="bottom"/>
          </w:tcPr>
          <w:p>
            <w:pPr>
              <w:spacing w:after="0"/>
              <w:rPr>
                <w:sz w:val="20"/>
                <w:szCs w:val="20"/>
                <w:color w:val="auto"/>
              </w:rPr>
            </w:pPr>
            <w:r>
              <w:rPr>
                <w:rFonts w:ascii="Arial" w:cs="Arial" w:eastAsia="Arial" w:hAnsi="Arial"/>
                <w:sz w:val="17"/>
                <w:szCs w:val="17"/>
                <w:color w:val="auto"/>
              </w:rPr>
              <w:t>Lapse of statute of limitations</w:t>
            </w: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0"/>
        </w:trPr>
        <w:tc>
          <w:tcPr>
            <w:tcW w:w="4720" w:type="dxa"/>
            <w:vAlign w:val="bottom"/>
            <w:vMerge w:val="restart"/>
            <w:shd w:val="clear" w:color="auto" w:fill="CFF0FC"/>
          </w:tcPr>
          <w:p>
            <w:pPr>
              <w:spacing w:after="0"/>
              <w:rPr>
                <w:sz w:val="20"/>
                <w:szCs w:val="20"/>
                <w:color w:val="auto"/>
              </w:rPr>
            </w:pPr>
            <w:r>
              <w:rPr>
                <w:rFonts w:ascii="Arial" w:cs="Arial" w:eastAsia="Arial" w:hAnsi="Arial"/>
                <w:sz w:val="17"/>
                <w:szCs w:val="17"/>
                <w:b w:val="1"/>
                <w:bCs w:val="1"/>
                <w:color w:val="auto"/>
              </w:rPr>
              <w:t>End of year</w:t>
            </w:r>
          </w:p>
        </w:tc>
        <w:tc>
          <w:tcPr>
            <w:tcW w:w="19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vMerge w:val="continue"/>
            <w:shd w:val="clear" w:color="auto" w:fill="CFF0FC"/>
          </w:tcPr>
          <w:p>
            <w:pPr>
              <w:spacing w:after="0"/>
              <w:rPr>
                <w:sz w:val="17"/>
                <w:szCs w:val="17"/>
                <w:color w:val="auto"/>
              </w:rPr>
            </w:pPr>
          </w:p>
        </w:tc>
        <w:tc>
          <w:tcPr>
            <w:tcW w:w="22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21,181</w:t>
            </w:r>
          </w:p>
        </w:tc>
        <w:tc>
          <w:tcPr>
            <w:tcW w:w="16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16,395</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FF0FC"/>
            </w:tcBorders>
          </w:tcPr>
          <w:p>
            <w:pPr>
              <w:spacing w:after="0" w:line="20" w:lineRule="exact"/>
              <w:rPr>
                <w:sz w:val="1"/>
                <w:szCs w:val="1"/>
                <w:color w:val="auto"/>
              </w:rPr>
            </w:pPr>
          </w:p>
        </w:tc>
        <w:tc>
          <w:tcPr>
            <w:tcW w:w="19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right="460" w:firstLine="589"/>
        <w:spacing w:after="0" w:line="242" w:lineRule="auto"/>
        <w:rPr>
          <w:sz w:val="20"/>
          <w:szCs w:val="20"/>
          <w:color w:val="auto"/>
        </w:rPr>
      </w:pPr>
      <w:r>
        <w:rPr>
          <w:rFonts w:ascii="Arial" w:cs="Arial" w:eastAsia="Arial" w:hAnsi="Arial"/>
          <w:sz w:val="17"/>
          <w:szCs w:val="17"/>
          <w:color w:val="auto"/>
        </w:rPr>
        <w:t>At December 31, 2021, and December 31, 2020, there are $19.5 million and $15.8 million of unrecognized tax benefits that if recognized would affect the Company’s effective tax rate.</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Company recognizes interest and penalties related to unrecognized tax benefits as part of its income tax expense. During the years</w:t>
      </w:r>
    </w:p>
    <w:p>
      <w:pPr>
        <w:spacing w:after="0" w:line="233" w:lineRule="auto"/>
        <w:rPr>
          <w:sz w:val="20"/>
          <w:szCs w:val="20"/>
          <w:color w:val="auto"/>
        </w:rPr>
      </w:pPr>
      <w:r>
        <w:rPr>
          <w:rFonts w:ascii="Arial" w:cs="Arial" w:eastAsia="Arial" w:hAnsi="Arial"/>
          <w:sz w:val="17"/>
          <w:szCs w:val="17"/>
          <w:color w:val="auto"/>
        </w:rPr>
        <w:t>ended December 31, 2021, December 31, 2020, and December 31, 2019, the Company recognized approximately $(0.9) million, $1.1 million, and</w:t>
      </w:r>
    </w:p>
    <w:p>
      <w:pPr>
        <w:spacing w:after="0"/>
        <w:rPr>
          <w:sz w:val="20"/>
          <w:szCs w:val="20"/>
          <w:color w:val="auto"/>
        </w:rPr>
      </w:pPr>
      <w:r>
        <w:rPr>
          <w:rFonts w:ascii="Arial" w:cs="Arial" w:eastAsia="Arial" w:hAnsi="Arial"/>
          <w:sz w:val="17"/>
          <w:szCs w:val="17"/>
          <w:color w:val="auto"/>
        </w:rPr>
        <w:t>$1.3 million in interest and penalties, respectively, in the consolidated statements of income. The total amount of interest and penalties accrued in the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consolidated balance sheets was $3.5 million, $4.4 million, and $3.4 million at December 31, 2021, December 31, 2020, and December 31, 2019,</w:t>
      </w:r>
    </w:p>
    <w:p>
      <w:pPr>
        <w:spacing w:after="0"/>
        <w:rPr>
          <w:sz w:val="20"/>
          <w:szCs w:val="20"/>
          <w:color w:val="auto"/>
        </w:rPr>
      </w:pPr>
      <w:r>
        <w:rPr>
          <w:rFonts w:ascii="Arial" w:cs="Arial" w:eastAsia="Arial" w:hAnsi="Arial"/>
          <w:sz w:val="17"/>
          <w:szCs w:val="17"/>
          <w:color w:val="auto"/>
        </w:rPr>
        <w:t>respectively.</w:t>
      </w:r>
    </w:p>
    <w:p>
      <w:pPr>
        <w:spacing w:after="0" w:line="198" w:lineRule="exact"/>
        <w:rPr>
          <w:sz w:val="20"/>
          <w:szCs w:val="20"/>
          <w:color w:val="auto"/>
        </w:rPr>
      </w:pPr>
    </w:p>
    <w:p>
      <w:pPr>
        <w:ind w:firstLine="865"/>
        <w:spacing w:after="0" w:line="236" w:lineRule="auto"/>
        <w:rPr>
          <w:sz w:val="20"/>
          <w:szCs w:val="20"/>
          <w:color w:val="auto"/>
        </w:rPr>
      </w:pPr>
      <w:r>
        <w:rPr>
          <w:rFonts w:ascii="Arial" w:cs="Arial" w:eastAsia="Arial" w:hAnsi="Arial"/>
          <w:sz w:val="17"/>
          <w:szCs w:val="17"/>
          <w:color w:val="auto"/>
        </w:rPr>
        <w:t>The Company conducts business globally and, as a result, the Company or one or more of its subsidiaries file income tax returns in the U.S. federal jurisdiction, various U.S. states, and foreign jurisdictions. The Company is subject to examination by tax authorities in several jurisdictions, including major jurisdictions such as Canada, Mexico, Qatar, Saudi Arabia and the United States. As of December 31, 2021, the Company’s U.S. federal income tax returns for tax years 2018 and forward remain subject to examination. U.S. states and foreign income tax returns remain subject to examination based on varying local statutes of limitations.</w:t>
      </w:r>
    </w:p>
    <w:p>
      <w:pPr>
        <w:spacing w:after="0" w:line="205" w:lineRule="exact"/>
        <w:rPr>
          <w:sz w:val="20"/>
          <w:szCs w:val="20"/>
          <w:color w:val="auto"/>
        </w:rPr>
      </w:pPr>
    </w:p>
    <w:p>
      <w:pPr>
        <w:ind w:right="660" w:firstLine="589"/>
        <w:spacing w:after="0" w:line="242" w:lineRule="auto"/>
        <w:rPr>
          <w:sz w:val="20"/>
          <w:szCs w:val="20"/>
          <w:color w:val="auto"/>
        </w:rPr>
      </w:pPr>
      <w:r>
        <w:rPr>
          <w:rFonts w:ascii="Arial" w:cs="Arial" w:eastAsia="Arial" w:hAnsi="Arial"/>
          <w:sz w:val="17"/>
          <w:szCs w:val="17"/>
          <w:color w:val="auto"/>
        </w:rPr>
        <w:t>The Company estimates that, within 12 months, it may decrease its uncertain tax positions by approximately $1.9 million as a result of concluding various tax audits and closing tax years.</w:t>
      </w:r>
    </w:p>
    <w:p>
      <w:pPr>
        <w:spacing w:after="0" w:line="189" w:lineRule="exact"/>
        <w:rPr>
          <w:sz w:val="20"/>
          <w:szCs w:val="20"/>
          <w:color w:val="auto"/>
        </w:rPr>
      </w:pPr>
    </w:p>
    <w:p>
      <w:pPr>
        <w:jc w:val="both"/>
        <w:ind w:right="20" w:firstLine="589"/>
        <w:spacing w:after="0" w:line="237" w:lineRule="auto"/>
        <w:rPr>
          <w:sz w:val="20"/>
          <w:szCs w:val="20"/>
          <w:color w:val="auto"/>
        </w:rPr>
      </w:pPr>
      <w:r>
        <w:rPr>
          <w:rFonts w:ascii="Arial" w:cs="Arial" w:eastAsia="Arial" w:hAnsi="Arial"/>
          <w:sz w:val="17"/>
          <w:szCs w:val="17"/>
          <w:color w:val="auto"/>
        </w:rPr>
        <w:t>Although the Company believes its reserves for its tax positions are reasonable, the final outcome of tax audits could be significantly different, both favorably and unfavorably. It is reasonably possible that these audits may conclude in the next 12 months and that the unrecognized tax benefits the Company has recorded in relation to these tax years may change compared to the liabilities recorded for these periods. However, it is not currently possible to estimate the amount, if any, of such change.</w:t>
      </w:r>
    </w:p>
    <w:p>
      <w:pPr>
        <w:spacing w:after="0" w:line="273" w:lineRule="exact"/>
        <w:rPr>
          <w:sz w:val="20"/>
          <w:szCs w:val="20"/>
          <w:color w:val="auto"/>
        </w:rPr>
      </w:pPr>
    </w:p>
    <w:p>
      <w:pPr>
        <w:ind w:left="580" w:hanging="579"/>
        <w:spacing w:after="0"/>
        <w:tabs>
          <w:tab w:leader="none" w:pos="580"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Contingencies</w:t>
      </w:r>
    </w:p>
    <w:p>
      <w:pPr>
        <w:spacing w:after="0" w:line="141" w:lineRule="exact"/>
        <w:rPr>
          <w:sz w:val="20"/>
          <w:szCs w:val="20"/>
          <w:color w:val="auto"/>
        </w:rPr>
      </w:pPr>
    </w:p>
    <w:p>
      <w:pPr>
        <w:ind w:firstLine="739"/>
        <w:spacing w:after="0" w:line="237" w:lineRule="auto"/>
        <w:rPr>
          <w:sz w:val="20"/>
          <w:szCs w:val="20"/>
          <w:color w:val="auto"/>
        </w:rPr>
      </w:pPr>
      <w:r>
        <w:rPr>
          <w:rFonts w:ascii="Arial" w:cs="Arial" w:eastAsia="Arial" w:hAnsi="Arial"/>
          <w:sz w:val="17"/>
          <w:szCs w:val="17"/>
          <w:color w:val="auto"/>
        </w:rPr>
        <w:t>The Company is subject to certain lawsuits, claims and assessments that arise in the ordinary course of business. Additionally, the Company has been named as a defendant in lawsuits alleging personal injuries as a result of contact with asbestos products at various project sites. Management believes that any significant costs relating to these claims will be reimbursed by applicable insurance and, although there can be no assurance that these matters will be resolved favorably, management believes that the ultimate resolution of any of these claims will not have a material adverse effect on our consolidated financial position, results of operations, or cash flows. A liability is recorded when it is both probable that a loss has been incurred and the amount of loss or range of loss can be reasonably estimated. When using a range of loss estimate, the Company records the liability using the low end of the range unless some amount within the range of loss appears at that time to be a better estimate than any other amount in the range. The Company records a corresponding receivable for costs covered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0" w:name="page141"/>
    <w:bookmarkEnd w:id="140"/>
    <w:p>
      <w:pPr>
        <w:jc w:val="center"/>
        <w:ind w:right="-39"/>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jc w:val="center"/>
        <w:ind w:right="-39"/>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317"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under its insurance policies. Management judgment is required to determine the outcome and the estimated amount of a loss related to such matters. Management believes that there are no claims or assessments outstanding which would materially affect the consolidated results of operations or the Company’s financial position.</w:t>
      </w:r>
    </w:p>
    <w:p>
      <w:pPr>
        <w:spacing w:after="0" w:line="204" w:lineRule="exact"/>
        <w:rPr>
          <w:sz w:val="20"/>
          <w:szCs w:val="20"/>
          <w:color w:val="auto"/>
        </w:rPr>
      </w:pPr>
    </w:p>
    <w:p>
      <w:pPr>
        <w:ind w:right="100" w:firstLine="735"/>
        <w:spacing w:after="0" w:line="235" w:lineRule="auto"/>
        <w:rPr>
          <w:sz w:val="20"/>
          <w:szCs w:val="20"/>
          <w:color w:val="auto"/>
        </w:rPr>
      </w:pPr>
      <w:r>
        <w:rPr>
          <w:rFonts w:ascii="Arial" w:cs="Arial" w:eastAsia="Arial" w:hAnsi="Arial"/>
          <w:sz w:val="17"/>
          <w:szCs w:val="17"/>
          <w:color w:val="auto"/>
        </w:rPr>
        <w:t>In September 2015, a former Parsons employee filed an action in the United States District Court for the Northern District of Alabama against us as a qui tam relator on behalf of the United States (the “Relator”) alleging violation of the False Claims Act. The United States government did not intervene in this matter as it is allowed to do so under the statute. The Company filed a motion to dismiss the lawsuit on the grounds that the Relator did not meet the applicable statute of limitations. The District Court granted the motion to dismiss. The Relator’s attorney appealed the decision to the United States Court of Appeals of the Eleventh Circuit, which ultimately ruled in favor of the Relator, and the Company petitioned the United States Supreme Court to review the decision. The Supreme Court reviewed the decision and accepted the position of the Relator. The case was thus remanded to the United States District Court for the Northern District of Alabama. The defendants, including Parsons, will file appropriate pleadings opposing the allegations. At this time, the Company is unable to determine the probability of the outcome of the litigation or determine a potential range of loss, if any.</w:t>
      </w:r>
    </w:p>
    <w:p>
      <w:pPr>
        <w:spacing w:after="0" w:line="192" w:lineRule="exact"/>
        <w:rPr>
          <w:sz w:val="20"/>
          <w:szCs w:val="20"/>
          <w:color w:val="auto"/>
        </w:rPr>
      </w:pPr>
    </w:p>
    <w:p>
      <w:pPr>
        <w:ind w:right="40" w:firstLine="735"/>
        <w:spacing w:after="0" w:line="235" w:lineRule="auto"/>
        <w:rPr>
          <w:sz w:val="20"/>
          <w:szCs w:val="20"/>
          <w:color w:val="auto"/>
        </w:rPr>
      </w:pPr>
      <w:r>
        <w:rPr>
          <w:rFonts w:ascii="Arial" w:cs="Arial" w:eastAsia="Arial" w:hAnsi="Arial"/>
          <w:sz w:val="17"/>
          <w:szCs w:val="17"/>
          <w:color w:val="auto"/>
        </w:rPr>
        <w:t>Federal government contracts are subject to audits, which are performed for the most part by the Defense Contract Audit Agency (“DCAA”). Audits by the DCAA and other agencies consist of reviews of our overhead rates, operating systems and cost proposals to ensure that we account for such costs in accordance with the Cost Accounting Standards (“CAS”). If the DCAA determines we have not accounted for such costs in accordance with the CAS, the DCAA may disallow these costs. The disallowance of such costs may result in a reduction of revenue and additional liability for the Company. Historically, the Company has not experienced any material disallowed costs as a result of government audits. However, the Company can provide no assurance that the DCAA or other government audits will not result in material disallowances for incurred costs in the future. All audits of costs incurred on work performed through 2013 have been closed, and years thereafter remain open.</w:t>
      </w:r>
    </w:p>
    <w:p>
      <w:pPr>
        <w:spacing w:after="0" w:line="194" w:lineRule="exact"/>
        <w:rPr>
          <w:sz w:val="20"/>
          <w:szCs w:val="20"/>
          <w:color w:val="auto"/>
        </w:rPr>
      </w:pPr>
    </w:p>
    <w:p>
      <w:pPr>
        <w:ind w:firstLine="735"/>
        <w:spacing w:after="0" w:line="242" w:lineRule="auto"/>
        <w:rPr>
          <w:sz w:val="20"/>
          <w:szCs w:val="20"/>
          <w:color w:val="auto"/>
        </w:rPr>
      </w:pPr>
      <w:r>
        <w:rPr>
          <w:rFonts w:ascii="Arial" w:cs="Arial" w:eastAsia="Arial" w:hAnsi="Arial"/>
          <w:sz w:val="17"/>
          <w:szCs w:val="17"/>
          <w:color w:val="auto"/>
        </w:rPr>
        <w:t>Although there can be no assurance that these matters will be resolved favorably, management believes that their ultimate resolution will not have a material adverse impact on the Company’s consolidated financial position, results of operations, or cash flows.</w:t>
      </w:r>
    </w:p>
    <w:p>
      <w:pPr>
        <w:spacing w:after="0" w:line="270" w:lineRule="exact"/>
        <w:rPr>
          <w:sz w:val="20"/>
          <w:szCs w:val="20"/>
          <w:color w:val="auto"/>
        </w:rPr>
      </w:pPr>
    </w:p>
    <w:p>
      <w:pPr>
        <w:ind w:left="580" w:hanging="579"/>
        <w:spacing w:after="0"/>
        <w:tabs>
          <w:tab w:leader="none" w:pos="580"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color w:val="auto"/>
        </w:rPr>
        <w:t>Retirement and Other Benefit Plans</w:t>
      </w:r>
    </w:p>
    <w:p>
      <w:pPr>
        <w:spacing w:after="0" w:line="116" w:lineRule="exact"/>
        <w:rPr>
          <w:sz w:val="20"/>
          <w:szCs w:val="20"/>
          <w:color w:val="auto"/>
        </w:rPr>
      </w:pPr>
    </w:p>
    <w:p>
      <w:pPr>
        <w:ind w:right="80" w:firstLine="589"/>
        <w:spacing w:after="0" w:line="236" w:lineRule="auto"/>
        <w:rPr>
          <w:sz w:val="20"/>
          <w:szCs w:val="20"/>
          <w:color w:val="auto"/>
        </w:rPr>
      </w:pPr>
      <w:r>
        <w:rPr>
          <w:rFonts w:ascii="Arial" w:cs="Arial" w:eastAsia="Arial" w:hAnsi="Arial"/>
          <w:sz w:val="17"/>
          <w:szCs w:val="17"/>
          <w:color w:val="auto"/>
        </w:rPr>
        <w:t>The Company’s principal retirement benefit plan is the ESOP, a stock bonus plan, established in 1975 to cover eligible employees of the Company and certain affiliated companies. Contributions of treasury stock to ESOP are made annually in amounts determined by the Company’s board of directors and are held in trust for the sole benefit of the participants. Shares allocated to a participant’s account are fully vested after three years of credited service, or in the event(s) of reaching age 65, death or disability while an active employee of the Company. As of December 31, 2021, the total shares of the Company’s common stock outstanding were 103,659,731, of which 70,328,237 were held by the ESOP. As of December 31, 2020, the total shares of the Company’s common stock outstanding were 102,360,662, of which 76,641,312 were held by the ESOP.</w:t>
      </w:r>
    </w:p>
    <w:p>
      <w:pPr>
        <w:spacing w:after="0" w:line="191" w:lineRule="exact"/>
        <w:rPr>
          <w:sz w:val="20"/>
          <w:szCs w:val="20"/>
          <w:color w:val="auto"/>
        </w:rPr>
      </w:pPr>
    </w:p>
    <w:p>
      <w:pPr>
        <w:ind w:right="60" w:firstLine="735"/>
        <w:spacing w:after="0" w:line="236" w:lineRule="auto"/>
        <w:rPr>
          <w:sz w:val="20"/>
          <w:szCs w:val="20"/>
          <w:color w:val="auto"/>
        </w:rPr>
      </w:pPr>
      <w:r>
        <w:rPr>
          <w:rFonts w:ascii="Arial" w:cs="Arial" w:eastAsia="Arial" w:hAnsi="Arial"/>
          <w:sz w:val="17"/>
          <w:szCs w:val="17"/>
          <w:color w:val="auto"/>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Distributions from the ESOP of participants’ interests are made in the Company’s common stock based on quoted prices of a share of the Company’s common stock on the NYSE. A participant will be able to sell such shares of common stock in the market, subject to any requirements of the federal securities laws.</w:t>
      </w:r>
    </w:p>
    <w:p>
      <w:pPr>
        <w:spacing w:after="0" w:line="193" w:lineRule="exact"/>
        <w:rPr>
          <w:sz w:val="20"/>
          <w:szCs w:val="20"/>
          <w:color w:val="auto"/>
        </w:rPr>
      </w:pPr>
    </w:p>
    <w:p>
      <w:pPr>
        <w:ind w:right="240" w:firstLine="589"/>
        <w:spacing w:after="0" w:line="242" w:lineRule="auto"/>
        <w:rPr>
          <w:sz w:val="20"/>
          <w:szCs w:val="20"/>
          <w:color w:val="auto"/>
        </w:rPr>
      </w:pPr>
      <w:r>
        <w:rPr>
          <w:rFonts w:ascii="Arial" w:cs="Arial" w:eastAsia="Arial" w:hAnsi="Arial"/>
          <w:sz w:val="17"/>
          <w:szCs w:val="17"/>
          <w:color w:val="auto"/>
        </w:rPr>
        <w:t>Total ESOP contribution expense was approximately $54.9 million, $55.3 million and $55.5 million for the years ended December 31, 2021, December 31, 2020 and December 31, 2019,</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jc w:val="center"/>
        <w:ind w:right="-19"/>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respectively, and is recorded in “Direct costs of contracts” and “Selling, general and administrative expense” in the consolidated statements of income.</w:t>
      </w:r>
    </w:p>
    <w:p>
      <w:pPr>
        <w:spacing w:after="0" w:line="234" w:lineRule="exact"/>
        <w:rPr>
          <w:sz w:val="20"/>
          <w:szCs w:val="20"/>
          <w:color w:val="auto"/>
        </w:rPr>
      </w:pPr>
    </w:p>
    <w:p>
      <w:pPr>
        <w:ind w:right="120" w:firstLine="786"/>
        <w:spacing w:after="0" w:line="237" w:lineRule="auto"/>
        <w:rPr>
          <w:sz w:val="20"/>
          <w:szCs w:val="20"/>
          <w:color w:val="auto"/>
        </w:rPr>
      </w:pPr>
      <w:r>
        <w:rPr>
          <w:rFonts w:ascii="Arial" w:cs="Arial" w:eastAsia="Arial" w:hAnsi="Arial"/>
          <w:sz w:val="17"/>
          <w:szCs w:val="17"/>
          <w:color w:val="auto"/>
        </w:rPr>
        <w:t>On April 3, 2019, the board of directors of the Company declared a cash dividend to the Company’s sole existing shareholder at that time, the ESOP, in the amount of $2.00 per share, or $52.1 million in the aggregate (the “IPO Dividend”). The IPO Dividend was paid on May 10, 2019. On April 15, 2019, the board of directors of the Company declared the Stock Dividend in a ratio of two shares of common stock for every one share of common stock then held by the Company’s shareholder. The record date of the Stock Dividend was May 7, 2019, the day immediately prior to the consummation of the Company’s IPO on May 8, 2019, and the payment date of the Stock Dividend was May 8, 2019. Purchasers of the Company’s common stock in the Company’s public offering were not entitled to receive any portion of the Stock Dividend. During the years ended December 31, 2021 and December 31, 2020, the Company did not declare any dividends.</w:t>
      </w:r>
    </w:p>
    <w:p>
      <w:pPr>
        <w:spacing w:after="0" w:line="195" w:lineRule="exact"/>
        <w:rPr>
          <w:sz w:val="20"/>
          <w:szCs w:val="20"/>
          <w:color w:val="auto"/>
        </w:rPr>
      </w:pPr>
    </w:p>
    <w:p>
      <w:pPr>
        <w:ind w:right="80" w:firstLine="589"/>
        <w:spacing w:after="0" w:line="238" w:lineRule="auto"/>
        <w:rPr>
          <w:sz w:val="20"/>
          <w:szCs w:val="20"/>
          <w:color w:val="auto"/>
        </w:rPr>
      </w:pPr>
      <w:r>
        <w:rPr>
          <w:rFonts w:ascii="Arial" w:cs="Arial" w:eastAsia="Arial" w:hAnsi="Arial"/>
          <w:sz w:val="17"/>
          <w:szCs w:val="17"/>
          <w:color w:val="auto"/>
        </w:rPr>
        <w:t>The Company also maintains a defined contribution plan (the “401(k) Plan”). Substantially all domestic employees are entitled to participate in the 401(k) Plan, subject to certain minimum requirements. The Company’s contributions to the 401(k) Plan for the years ended December 31, 2021, December 31, 2020 and December 31, 2019 amounted to $25.5 million, $24.4 million, and $25.2 million, respectively.</w:t>
      </w:r>
    </w:p>
    <w:p>
      <w:pPr>
        <w:spacing w:after="0" w:line="204" w:lineRule="exact"/>
        <w:rPr>
          <w:sz w:val="20"/>
          <w:szCs w:val="20"/>
          <w:color w:val="auto"/>
        </w:rPr>
      </w:pPr>
    </w:p>
    <w:p>
      <w:pPr>
        <w:ind w:firstLine="589"/>
        <w:spacing w:after="0" w:line="237" w:lineRule="auto"/>
        <w:rPr>
          <w:sz w:val="20"/>
          <w:szCs w:val="20"/>
          <w:color w:val="auto"/>
        </w:rPr>
      </w:pPr>
      <w:r>
        <w:rPr>
          <w:rFonts w:ascii="Arial" w:cs="Arial" w:eastAsia="Arial" w:hAnsi="Arial"/>
          <w:sz w:val="17"/>
          <w:szCs w:val="17"/>
          <w:color w:val="auto"/>
        </w:rPr>
        <w:t>As part of an acquisition in 2014, the Company acquired a defined contribution pension plan, a defined benefit pension plan, and supplemental retirement plan. For the defined contribution pension plan, the Company contributes a base amount plus an additional amount based upon a predetermined formula. At December 31, 2021 and December 31, 2020, the defined benefit pension plan was in a net asset position of $2.6 million and $2.0 million, respectively, which is recorded in “Other noncurrent assets” on the consolidated balance sheets.</w:t>
      </w:r>
    </w:p>
    <w:p>
      <w:pPr>
        <w:spacing w:after="0" w:line="273" w:lineRule="exact"/>
        <w:rPr>
          <w:sz w:val="20"/>
          <w:szCs w:val="20"/>
          <w:color w:val="auto"/>
        </w:rPr>
      </w:pPr>
    </w:p>
    <w:p>
      <w:pPr>
        <w:ind w:left="580" w:hanging="579"/>
        <w:spacing w:after="0"/>
        <w:tabs>
          <w:tab w:leader="none" w:pos="580"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Investments in and Advances to Joint Ventures</w:t>
      </w:r>
    </w:p>
    <w:p>
      <w:pPr>
        <w:spacing w:after="0" w:line="116" w:lineRule="exact"/>
        <w:rPr>
          <w:sz w:val="20"/>
          <w:szCs w:val="20"/>
          <w:color w:val="auto"/>
        </w:rPr>
      </w:pPr>
    </w:p>
    <w:p>
      <w:pPr>
        <w:ind w:right="340" w:firstLine="589"/>
        <w:spacing w:after="0" w:line="242" w:lineRule="auto"/>
        <w:rPr>
          <w:sz w:val="20"/>
          <w:szCs w:val="20"/>
          <w:color w:val="auto"/>
        </w:rPr>
      </w:pPr>
      <w:r>
        <w:rPr>
          <w:rFonts w:ascii="Arial" w:cs="Arial" w:eastAsia="Arial" w:hAnsi="Arial"/>
          <w:sz w:val="17"/>
          <w:szCs w:val="17"/>
          <w:color w:val="auto"/>
        </w:rPr>
        <w:t>The Company participates in joint ventures to bid, negotiate and complete specific projects. The Company is required to consolidate these joint ventures if it holds the majority voting interest or if the Company meets the criteria under the consolidation model, as described below.</w:t>
      </w:r>
    </w:p>
    <w:p>
      <w:pPr>
        <w:spacing w:after="0" w:line="189" w:lineRule="exact"/>
        <w:rPr>
          <w:sz w:val="20"/>
          <w:szCs w:val="20"/>
          <w:color w:val="auto"/>
        </w:rPr>
      </w:pPr>
    </w:p>
    <w:p>
      <w:pPr>
        <w:ind w:right="200" w:firstLine="589"/>
        <w:spacing w:after="0" w:line="237" w:lineRule="auto"/>
        <w:rPr>
          <w:sz w:val="20"/>
          <w:szCs w:val="20"/>
          <w:color w:val="auto"/>
        </w:rPr>
      </w:pPr>
      <w:r>
        <w:rPr>
          <w:rFonts w:ascii="Arial" w:cs="Arial" w:eastAsia="Arial" w:hAnsi="Arial"/>
          <w:sz w:val="17"/>
          <w:szCs w:val="17"/>
          <w:color w:val="auto"/>
        </w:rPr>
        <w:t>The Company performs an analysis to determine whether its variable interests give the Company a controlling financial interest in a VIE for which the Company is the primary beneficiary and should, therefore, be consolidated. Such analysis requires the Company to assess whether it has the power to direct the activities of the VIE and the obligation to absorb losses or the right to receive benefits that could potentially be significant to the VIE.</w:t>
      </w:r>
    </w:p>
    <w:p>
      <w:pPr>
        <w:spacing w:after="0" w:line="191" w:lineRule="exact"/>
        <w:rPr>
          <w:sz w:val="20"/>
          <w:szCs w:val="20"/>
          <w:color w:val="auto"/>
        </w:rPr>
      </w:pPr>
    </w:p>
    <w:p>
      <w:pPr>
        <w:ind w:right="120" w:firstLine="589"/>
        <w:spacing w:after="0" w:line="248" w:lineRule="auto"/>
        <w:rPr>
          <w:sz w:val="20"/>
          <w:szCs w:val="20"/>
          <w:color w:val="auto"/>
        </w:rPr>
      </w:pPr>
      <w:r>
        <w:rPr>
          <w:rFonts w:ascii="Arial" w:cs="Arial" w:eastAsia="Arial" w:hAnsi="Arial"/>
          <w:sz w:val="16"/>
          <w:szCs w:val="16"/>
          <w:color w:val="auto"/>
        </w:rPr>
        <w:t>The Company analyzed all of its joint ventures and classified them into two groups: (1) joint ventures that must be consolidated because they are either not VIEs and the Company holds the majority voting interest, or because they are VIEs and the Company is the primary beneficiary; and</w:t>
      </w:r>
    </w:p>
    <w:p>
      <w:pPr>
        <w:ind w:right="160" w:firstLine="1"/>
        <w:spacing w:after="0" w:line="242" w:lineRule="auto"/>
        <w:tabs>
          <w:tab w:leader="none" w:pos="253" w:val="left"/>
        </w:tabs>
        <w:numPr>
          <w:ilvl w:val="0"/>
          <w:numId w:val="73"/>
        </w:numPr>
        <w:rPr>
          <w:rFonts w:ascii="Arial" w:cs="Arial" w:eastAsia="Arial" w:hAnsi="Arial"/>
          <w:sz w:val="17"/>
          <w:szCs w:val="17"/>
          <w:color w:val="auto"/>
        </w:rPr>
      </w:pPr>
      <w:r>
        <w:rPr>
          <w:rFonts w:ascii="Arial" w:cs="Arial" w:eastAsia="Arial" w:hAnsi="Arial"/>
          <w:sz w:val="17"/>
          <w:szCs w:val="17"/>
          <w:color w:val="auto"/>
        </w:rPr>
        <w:t>joint ventures that do not need to be consolidated because they are either not VIEs and the Company holds a minority voting interest, or because they are VIEs and the Company is not the primary beneficiary.</w:t>
      </w:r>
    </w:p>
    <w:p>
      <w:pPr>
        <w:spacing w:after="0" w:line="189" w:lineRule="exact"/>
        <w:rPr>
          <w:sz w:val="20"/>
          <w:szCs w:val="20"/>
          <w:color w:val="auto"/>
        </w:rPr>
      </w:pPr>
    </w:p>
    <w:p>
      <w:pPr>
        <w:ind w:right="780" w:firstLine="589"/>
        <w:spacing w:after="0" w:line="242" w:lineRule="auto"/>
        <w:rPr>
          <w:sz w:val="20"/>
          <w:szCs w:val="20"/>
          <w:color w:val="auto"/>
        </w:rPr>
      </w:pPr>
      <w:r>
        <w:rPr>
          <w:rFonts w:ascii="Arial" w:cs="Arial" w:eastAsia="Arial" w:hAnsi="Arial"/>
          <w:sz w:val="17"/>
          <w:szCs w:val="17"/>
          <w:color w:val="auto"/>
        </w:rPr>
        <w:t>Many of the Company’s joint venture agreements provide for capital calls to fund operations, as necessary; however, such funding is infrequent and is not anticipated to be material.</w:t>
      </w:r>
    </w:p>
    <w:p>
      <w:pPr>
        <w:spacing w:after="0" w:line="171" w:lineRule="exact"/>
        <w:rPr>
          <w:sz w:val="20"/>
          <w:szCs w:val="20"/>
          <w:color w:val="auto"/>
        </w:rPr>
      </w:pPr>
    </w:p>
    <w:p>
      <w:pPr>
        <w:ind w:right="200" w:firstLine="589"/>
        <w:spacing w:after="0" w:line="264" w:lineRule="auto"/>
        <w:rPr>
          <w:sz w:val="20"/>
          <w:szCs w:val="20"/>
          <w:color w:val="auto"/>
        </w:rPr>
      </w:pPr>
      <w:r>
        <w:rPr>
          <w:rFonts w:ascii="Arial" w:cs="Arial" w:eastAsia="Arial" w:hAnsi="Arial"/>
          <w:sz w:val="17"/>
          <w:szCs w:val="17"/>
          <w:color w:val="auto"/>
        </w:rPr>
        <w:t>Letters of credit outstanding described in ‘Note 12—</w:t>
      </w:r>
      <w:r>
        <w:rPr>
          <w:rFonts w:ascii="Arial" w:cs="Arial" w:eastAsia="Arial" w:hAnsi="Arial"/>
          <w:sz w:val="17"/>
          <w:szCs w:val="17"/>
          <w:i w:val="1"/>
          <w:iCs w:val="1"/>
          <w:color w:val="auto"/>
        </w:rPr>
        <w:t>Debt and Credit Facilities</w:t>
      </w:r>
      <w:r>
        <w:rPr>
          <w:rFonts w:ascii="Arial" w:cs="Arial" w:eastAsia="Arial" w:hAnsi="Arial"/>
          <w:sz w:val="17"/>
          <w:szCs w:val="17"/>
          <w:color w:val="auto"/>
        </w:rPr>
        <w:t>” that relate to project ventures are approximately $50.3 million and $59.3 million at December 31, 2021 and December 31, 2020, respectively.</w:t>
      </w:r>
    </w:p>
    <w:p>
      <w:pPr>
        <w:spacing w:after="0" w:line="171" w:lineRule="exact"/>
        <w:rPr>
          <w:sz w:val="20"/>
          <w:szCs w:val="20"/>
          <w:color w:val="auto"/>
        </w:rPr>
      </w:pPr>
    </w:p>
    <w:p>
      <w:pPr>
        <w:ind w:right="120" w:firstLine="589"/>
        <w:spacing w:after="0" w:line="242" w:lineRule="auto"/>
        <w:rPr>
          <w:sz w:val="20"/>
          <w:szCs w:val="20"/>
          <w:color w:val="auto"/>
        </w:rPr>
      </w:pPr>
      <w:r>
        <w:rPr>
          <w:rFonts w:ascii="Arial" w:cs="Arial" w:eastAsia="Arial" w:hAnsi="Arial"/>
          <w:sz w:val="17"/>
          <w:szCs w:val="17"/>
          <w:color w:val="auto"/>
        </w:rPr>
        <w:t>In the table below, aggregated financial information relating to the Company’s joint ventures is provided because their nature, risk and reward characteristics are similar. None of the Company’s current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joint ventures that meet the characteristics of a VIE are individually significant to the consolidated financial statements.</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Consolidated Joint Ventures</w:t>
      </w:r>
    </w:p>
    <w:p>
      <w:pPr>
        <w:spacing w:after="0" w:line="116" w:lineRule="exact"/>
        <w:rPr>
          <w:sz w:val="20"/>
          <w:szCs w:val="20"/>
          <w:color w:val="auto"/>
        </w:rPr>
      </w:pPr>
    </w:p>
    <w:p>
      <w:pPr>
        <w:ind w:right="20" w:firstLine="589"/>
        <w:spacing w:after="0" w:line="242" w:lineRule="auto"/>
        <w:rPr>
          <w:sz w:val="20"/>
          <w:szCs w:val="20"/>
          <w:color w:val="auto"/>
        </w:rPr>
      </w:pPr>
      <w:r>
        <w:rPr>
          <w:rFonts w:ascii="Arial" w:cs="Arial" w:eastAsia="Arial" w:hAnsi="Arial"/>
          <w:sz w:val="17"/>
          <w:szCs w:val="17"/>
          <w:color w:val="auto"/>
        </w:rPr>
        <w:t>The following represents financial information for consolidated joint ventures included in the consolidated financial statements as of and for the years ended December 31, 2021, December 31, 2020 and December 31, 2019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740" w:type="dxa"/>
            <w:vAlign w:val="bottom"/>
            <w:tcBorders>
              <w:bottom w:val="single" w:sz="8" w:color="CFF0FC"/>
            </w:tcBorders>
          </w:tcPr>
          <w:p>
            <w:pPr>
              <w:spacing w:after="0"/>
              <w:rPr>
                <w:sz w:val="14"/>
                <w:szCs w:val="14"/>
                <w:color w:val="auto"/>
              </w:rPr>
            </w:pPr>
          </w:p>
        </w:tc>
        <w:tc>
          <w:tcPr>
            <w:tcW w:w="1040" w:type="dxa"/>
            <w:vAlign w:val="bottom"/>
            <w:tcBorders>
              <w:bottom w:val="single" w:sz="8" w:color="CFF0FC"/>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78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75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196"/>
        </w:trPr>
        <w:tc>
          <w:tcPr>
            <w:tcW w:w="4740" w:type="dxa"/>
            <w:vAlign w:val="bottom"/>
            <w:shd w:val="clear" w:color="auto" w:fill="CFF0FC"/>
          </w:tcPr>
          <w:p>
            <w:pPr>
              <w:spacing w:after="0"/>
              <w:rPr>
                <w:sz w:val="20"/>
                <w:szCs w:val="20"/>
                <w:color w:val="auto"/>
              </w:rPr>
            </w:pPr>
            <w:r>
              <w:rPr>
                <w:rFonts w:ascii="Arial" w:cs="Arial" w:eastAsia="Arial" w:hAnsi="Arial"/>
                <w:sz w:val="17"/>
                <w:szCs w:val="17"/>
                <w:color w:val="auto"/>
              </w:rPr>
              <w:t>Current assets</w:t>
            </w:r>
          </w:p>
        </w:tc>
        <w:tc>
          <w:tcPr>
            <w:tcW w:w="10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246,342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292,407</w:t>
            </w:r>
          </w:p>
        </w:tc>
        <w:tc>
          <w:tcPr>
            <w:tcW w:w="100" w:type="dxa"/>
            <w:vAlign w:val="bottom"/>
            <w:shd w:val="clear" w:color="auto" w:fill="CFF0FC"/>
          </w:tcPr>
          <w:p>
            <w:pPr>
              <w:spacing w:after="0"/>
              <w:rPr>
                <w:sz w:val="17"/>
                <w:szCs w:val="17"/>
                <w:color w:val="auto"/>
              </w:rPr>
            </w:pPr>
          </w:p>
        </w:tc>
      </w:tr>
      <w:tr>
        <w:trPr>
          <w:trHeight w:val="203"/>
        </w:trPr>
        <w:tc>
          <w:tcPr>
            <w:tcW w:w="47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Noncurrent assets</w:t>
            </w:r>
          </w:p>
        </w:tc>
        <w:tc>
          <w:tcPr>
            <w:tcW w:w="1040" w:type="dxa"/>
            <w:vAlign w:val="bottom"/>
            <w:tcBorders>
              <w:bottom w:val="single" w:sz="8" w:color="CFF0FC"/>
            </w:tcBorders>
          </w:tcPr>
          <w:p>
            <w:pPr>
              <w:spacing w:after="0"/>
              <w:rPr>
                <w:sz w:val="17"/>
                <w:szCs w:val="17"/>
                <w:color w:val="auto"/>
              </w:rPr>
            </w:pPr>
          </w:p>
        </w:tc>
        <w:tc>
          <w:tcPr>
            <w:tcW w:w="38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2,180</w:t>
            </w:r>
          </w:p>
        </w:tc>
        <w:tc>
          <w:tcPr>
            <w:tcW w:w="2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2,990</w:t>
            </w:r>
          </w:p>
        </w:tc>
        <w:tc>
          <w:tcPr>
            <w:tcW w:w="100" w:type="dxa"/>
            <w:vAlign w:val="bottom"/>
            <w:tcBorders>
              <w:bottom w:val="single" w:sz="8" w:color="CFF0FC"/>
            </w:tcBorders>
          </w:tcPr>
          <w:p>
            <w:pPr>
              <w:spacing w:after="0"/>
              <w:rPr>
                <w:sz w:val="17"/>
                <w:szCs w:val="17"/>
                <w:color w:val="auto"/>
              </w:rPr>
            </w:pPr>
          </w:p>
        </w:tc>
      </w:tr>
      <w:tr>
        <w:trPr>
          <w:trHeight w:val="196"/>
        </w:trPr>
        <w:tc>
          <w:tcPr>
            <w:tcW w:w="4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assets</w:t>
            </w:r>
          </w:p>
        </w:tc>
        <w:tc>
          <w:tcPr>
            <w:tcW w:w="10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248,522</w:t>
            </w:r>
          </w:p>
        </w:tc>
        <w:tc>
          <w:tcPr>
            <w:tcW w:w="28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295,397</w:t>
            </w:r>
          </w:p>
        </w:tc>
        <w:tc>
          <w:tcPr>
            <w:tcW w:w="100" w:type="dxa"/>
            <w:vAlign w:val="bottom"/>
            <w:shd w:val="clear" w:color="auto" w:fill="CFF0FC"/>
          </w:tcPr>
          <w:p>
            <w:pPr>
              <w:spacing w:after="0"/>
              <w:rPr>
                <w:sz w:val="17"/>
                <w:szCs w:val="17"/>
                <w:color w:val="auto"/>
              </w:rPr>
            </w:pPr>
          </w:p>
        </w:tc>
      </w:tr>
      <w:tr>
        <w:trPr>
          <w:trHeight w:val="196"/>
        </w:trPr>
        <w:tc>
          <w:tcPr>
            <w:tcW w:w="47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Current liabilities</w:t>
            </w:r>
          </w:p>
        </w:tc>
        <w:tc>
          <w:tcPr>
            <w:tcW w:w="1040" w:type="dxa"/>
            <w:vAlign w:val="bottom"/>
            <w:tcBorders>
              <w:bottom w:val="single" w:sz="8" w:color="CFF0FC"/>
            </w:tcBorders>
          </w:tcPr>
          <w:p>
            <w:pPr>
              <w:spacing w:after="0"/>
              <w:rPr>
                <w:sz w:val="17"/>
                <w:szCs w:val="17"/>
                <w:color w:val="auto"/>
              </w:rPr>
            </w:pPr>
          </w:p>
        </w:tc>
        <w:tc>
          <w:tcPr>
            <w:tcW w:w="38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175,637</w:t>
            </w:r>
          </w:p>
        </w:tc>
        <w:tc>
          <w:tcPr>
            <w:tcW w:w="2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201,270</w:t>
            </w:r>
          </w:p>
        </w:tc>
        <w:tc>
          <w:tcPr>
            <w:tcW w:w="100" w:type="dxa"/>
            <w:vAlign w:val="bottom"/>
            <w:tcBorders>
              <w:bottom w:val="single" w:sz="8" w:color="CFF0FC"/>
            </w:tcBorders>
          </w:tcPr>
          <w:p>
            <w:pPr>
              <w:spacing w:after="0"/>
              <w:rPr>
                <w:sz w:val="17"/>
                <w:szCs w:val="17"/>
                <w:color w:val="auto"/>
              </w:rPr>
            </w:pPr>
          </w:p>
        </w:tc>
      </w:tr>
      <w:tr>
        <w:trPr>
          <w:trHeight w:val="196"/>
        </w:trPr>
        <w:tc>
          <w:tcPr>
            <w:tcW w:w="4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liabilities</w:t>
            </w:r>
          </w:p>
        </w:tc>
        <w:tc>
          <w:tcPr>
            <w:tcW w:w="10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175,637</w:t>
            </w:r>
          </w:p>
        </w:tc>
        <w:tc>
          <w:tcPr>
            <w:tcW w:w="28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201,270</w:t>
            </w:r>
          </w:p>
        </w:tc>
        <w:tc>
          <w:tcPr>
            <w:tcW w:w="100" w:type="dxa"/>
            <w:vAlign w:val="bottom"/>
            <w:shd w:val="clear" w:color="auto" w:fill="CFF0FC"/>
          </w:tcPr>
          <w:p>
            <w:pPr>
              <w:spacing w:after="0"/>
              <w:rPr>
                <w:sz w:val="17"/>
                <w:szCs w:val="17"/>
                <w:color w:val="auto"/>
              </w:rPr>
            </w:pPr>
          </w:p>
        </w:tc>
      </w:tr>
      <w:tr>
        <w:trPr>
          <w:trHeight w:val="196"/>
        </w:trPr>
        <w:tc>
          <w:tcPr>
            <w:tcW w:w="4740" w:type="dxa"/>
            <w:vAlign w:val="bottom"/>
          </w:tcPr>
          <w:p>
            <w:pPr>
              <w:ind w:left="240"/>
              <w:spacing w:after="0"/>
              <w:rPr>
                <w:sz w:val="20"/>
                <w:szCs w:val="20"/>
                <w:color w:val="auto"/>
              </w:rPr>
            </w:pPr>
            <w:r>
              <w:rPr>
                <w:rFonts w:ascii="Arial" w:cs="Arial" w:eastAsia="Arial" w:hAnsi="Arial"/>
                <w:sz w:val="17"/>
                <w:szCs w:val="17"/>
                <w:color w:val="auto"/>
              </w:rPr>
              <w:t>Total joint venture equity</w:t>
            </w: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72,885</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94,127</w:t>
            </w:r>
          </w:p>
        </w:tc>
        <w:tc>
          <w:tcPr>
            <w:tcW w:w="100" w:type="dxa"/>
            <w:vAlign w:val="bottom"/>
          </w:tcPr>
          <w:p>
            <w:pPr>
              <w:spacing w:after="0"/>
              <w:rPr>
                <w:sz w:val="17"/>
                <w:szCs w:val="17"/>
                <w:color w:val="auto"/>
              </w:rPr>
            </w:pPr>
          </w:p>
        </w:tc>
      </w:tr>
      <w:tr>
        <w:trPr>
          <w:trHeight w:val="20"/>
        </w:trPr>
        <w:tc>
          <w:tcPr>
            <w:tcW w:w="4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9"/>
        </w:trPr>
        <w:tc>
          <w:tcPr>
            <w:tcW w:w="4740" w:type="dxa"/>
            <w:vAlign w:val="bottom"/>
            <w:tcBorders>
              <w:bottom w:val="single" w:sz="8" w:color="CFF0FC"/>
            </w:tcBorders>
          </w:tcPr>
          <w:p>
            <w:pPr>
              <w:spacing w:after="0"/>
              <w:rPr>
                <w:sz w:val="24"/>
                <w:szCs w:val="24"/>
                <w:color w:val="auto"/>
              </w:rPr>
            </w:pPr>
          </w:p>
        </w:tc>
        <w:tc>
          <w:tcPr>
            <w:tcW w:w="1040" w:type="dxa"/>
            <w:vAlign w:val="bottom"/>
            <w:tcBorders>
              <w:bottom w:val="single" w:sz="8" w:color="CFF0FC"/>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24"/>
                <w:szCs w:val="24"/>
                <w:color w:val="auto"/>
              </w:rPr>
            </w:pPr>
          </w:p>
        </w:tc>
      </w:tr>
      <w:tr>
        <w:trPr>
          <w:trHeight w:val="196"/>
        </w:trPr>
        <w:tc>
          <w:tcPr>
            <w:tcW w:w="474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1420" w:type="dxa"/>
            <w:vAlign w:val="bottom"/>
            <w:gridSpan w:val="2"/>
            <w:shd w:val="clear" w:color="auto" w:fill="CFF0FC"/>
          </w:tcPr>
          <w:p>
            <w:pPr>
              <w:jc w:val="right"/>
              <w:ind w:right="196"/>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402,078</w:t>
            </w:r>
          </w:p>
        </w:tc>
        <w:tc>
          <w:tcPr>
            <w:tcW w:w="760" w:type="dxa"/>
            <w:vAlign w:val="bottom"/>
            <w:gridSpan w:val="2"/>
            <w:shd w:val="clear" w:color="auto" w:fill="CFF0FC"/>
          </w:tcPr>
          <w:p>
            <w:pPr>
              <w:jc w:val="right"/>
              <w:ind w:right="336"/>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450,530</w:t>
            </w:r>
          </w:p>
        </w:tc>
        <w:tc>
          <w:tcPr>
            <w:tcW w:w="540" w:type="dxa"/>
            <w:vAlign w:val="bottom"/>
            <w:gridSpan w:val="2"/>
            <w:shd w:val="clear" w:color="auto" w:fill="CFF0FC"/>
          </w:tcPr>
          <w:p>
            <w:pPr>
              <w:jc w:val="right"/>
              <w:ind w:right="96"/>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473,486</w:t>
            </w:r>
          </w:p>
        </w:tc>
        <w:tc>
          <w:tcPr>
            <w:tcW w:w="100" w:type="dxa"/>
            <w:vAlign w:val="bottom"/>
            <w:shd w:val="clear" w:color="auto" w:fill="CFF0FC"/>
          </w:tcPr>
          <w:p>
            <w:pPr>
              <w:spacing w:after="0"/>
              <w:rPr>
                <w:sz w:val="17"/>
                <w:szCs w:val="17"/>
                <w:color w:val="auto"/>
              </w:rPr>
            </w:pPr>
          </w:p>
        </w:tc>
      </w:tr>
      <w:tr>
        <w:trPr>
          <w:trHeight w:val="203"/>
        </w:trPr>
        <w:tc>
          <w:tcPr>
            <w:tcW w:w="47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Costs</w:t>
            </w:r>
          </w:p>
        </w:tc>
        <w:tc>
          <w:tcPr>
            <w:tcW w:w="104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351,670</w:t>
            </w:r>
          </w:p>
        </w:tc>
        <w:tc>
          <w:tcPr>
            <w:tcW w:w="240" w:type="dxa"/>
            <w:vAlign w:val="bottom"/>
            <w:tcBorders>
              <w:bottom w:val="single" w:sz="8" w:color="CFF0FC"/>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408,319</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435,947</w:t>
            </w:r>
          </w:p>
        </w:tc>
        <w:tc>
          <w:tcPr>
            <w:tcW w:w="100" w:type="dxa"/>
            <w:vAlign w:val="bottom"/>
            <w:tcBorders>
              <w:bottom w:val="single" w:sz="8" w:color="CFF0FC"/>
            </w:tcBorders>
          </w:tcPr>
          <w:p>
            <w:pPr>
              <w:spacing w:after="0"/>
              <w:rPr>
                <w:sz w:val="17"/>
                <w:szCs w:val="17"/>
                <w:color w:val="auto"/>
              </w:rPr>
            </w:pPr>
          </w:p>
        </w:tc>
      </w:tr>
      <w:tr>
        <w:trPr>
          <w:trHeight w:val="196"/>
        </w:trPr>
        <w:tc>
          <w:tcPr>
            <w:tcW w:w="47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Net income</w:t>
            </w:r>
          </w:p>
        </w:tc>
        <w:tc>
          <w:tcPr>
            <w:tcW w:w="10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ind w:right="19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50,408</w:t>
            </w:r>
          </w:p>
        </w:tc>
        <w:tc>
          <w:tcPr>
            <w:tcW w:w="24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ind w:right="33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7"/>
                <w:szCs w:val="17"/>
                <w:color w:val="auto"/>
              </w:rPr>
              <w:t>42,211</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96"/>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37,539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4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3"/>
        </w:trPr>
        <w:tc>
          <w:tcPr>
            <w:tcW w:w="4740" w:type="dxa"/>
            <w:vAlign w:val="bottom"/>
          </w:tcPr>
          <w:p>
            <w:pPr>
              <w:spacing w:after="0" w:line="193" w:lineRule="exact"/>
              <w:rPr>
                <w:sz w:val="20"/>
                <w:szCs w:val="20"/>
                <w:color w:val="auto"/>
              </w:rPr>
            </w:pPr>
            <w:r>
              <w:rPr>
                <w:rFonts w:ascii="Arial" w:cs="Arial" w:eastAsia="Arial" w:hAnsi="Arial"/>
                <w:sz w:val="17"/>
                <w:szCs w:val="17"/>
                <w:color w:val="auto"/>
              </w:rPr>
              <w:t>Net income attributable to noncontrolling interests</w:t>
            </w:r>
          </w:p>
        </w:tc>
        <w:tc>
          <w:tcPr>
            <w:tcW w:w="1420" w:type="dxa"/>
            <w:vAlign w:val="bottom"/>
            <w:gridSpan w:val="2"/>
          </w:tcPr>
          <w:p>
            <w:pPr>
              <w:jc w:val="right"/>
              <w:ind w:right="196"/>
              <w:spacing w:after="0" w:line="193" w:lineRule="exact"/>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0"/>
              <w:spacing w:after="0" w:line="193" w:lineRule="exact"/>
              <w:rPr>
                <w:sz w:val="20"/>
                <w:szCs w:val="20"/>
                <w:color w:val="auto"/>
              </w:rPr>
            </w:pPr>
            <w:r>
              <w:rPr>
                <w:rFonts w:ascii="Arial" w:cs="Arial" w:eastAsia="Arial" w:hAnsi="Arial"/>
                <w:sz w:val="17"/>
                <w:szCs w:val="17"/>
                <w:color w:val="auto"/>
              </w:rPr>
              <w:t>24,880</w:t>
            </w:r>
          </w:p>
        </w:tc>
        <w:tc>
          <w:tcPr>
            <w:tcW w:w="760" w:type="dxa"/>
            <w:vAlign w:val="bottom"/>
            <w:gridSpan w:val="2"/>
          </w:tcPr>
          <w:p>
            <w:pPr>
              <w:jc w:val="right"/>
              <w:ind w:right="336"/>
              <w:spacing w:after="0" w:line="193" w:lineRule="exact"/>
              <w:rPr>
                <w:sz w:val="20"/>
                <w:szCs w:val="20"/>
                <w:color w:val="auto"/>
              </w:rPr>
            </w:pPr>
            <w:r>
              <w:rPr>
                <w:rFonts w:ascii="Arial" w:cs="Arial" w:eastAsia="Arial" w:hAnsi="Arial"/>
                <w:sz w:val="17"/>
                <w:szCs w:val="17"/>
                <w:color w:val="auto"/>
              </w:rPr>
              <w:t>$</w:t>
            </w:r>
          </w:p>
        </w:tc>
        <w:tc>
          <w:tcPr>
            <w:tcW w:w="1100" w:type="dxa"/>
            <w:vAlign w:val="bottom"/>
            <w:gridSpan w:val="3"/>
          </w:tcPr>
          <w:p>
            <w:pPr>
              <w:jc w:val="right"/>
              <w:spacing w:after="0" w:line="193" w:lineRule="exact"/>
              <w:rPr>
                <w:sz w:val="20"/>
                <w:szCs w:val="20"/>
                <w:color w:val="auto"/>
              </w:rPr>
            </w:pPr>
            <w:r>
              <w:rPr>
                <w:rFonts w:ascii="Arial" w:cs="Arial" w:eastAsia="Arial" w:hAnsi="Arial"/>
                <w:sz w:val="17"/>
                <w:szCs w:val="17"/>
                <w:color w:val="auto"/>
              </w:rPr>
              <w:t>20,380</w:t>
            </w:r>
          </w:p>
        </w:tc>
        <w:tc>
          <w:tcPr>
            <w:tcW w:w="540" w:type="dxa"/>
            <w:vAlign w:val="bottom"/>
            <w:gridSpan w:val="2"/>
          </w:tcPr>
          <w:p>
            <w:pPr>
              <w:jc w:val="right"/>
              <w:ind w:right="96"/>
              <w:spacing w:after="0" w:line="193" w:lineRule="exact"/>
              <w:rPr>
                <w:sz w:val="20"/>
                <w:szCs w:val="20"/>
                <w:color w:val="auto"/>
              </w:rPr>
            </w:pPr>
            <w:r>
              <w:rPr>
                <w:rFonts w:ascii="Arial" w:cs="Arial" w:eastAsia="Arial" w:hAnsi="Arial"/>
                <w:sz w:val="17"/>
                <w:szCs w:val="17"/>
                <w:color w:val="auto"/>
              </w:rPr>
              <w:t>$</w:t>
            </w:r>
          </w:p>
        </w:tc>
        <w:tc>
          <w:tcPr>
            <w:tcW w:w="1340" w:type="dxa"/>
            <w:vAlign w:val="bottom"/>
          </w:tcPr>
          <w:p>
            <w:pPr>
              <w:jc w:val="right"/>
              <w:spacing w:after="0" w:line="193" w:lineRule="exact"/>
              <w:rPr>
                <w:sz w:val="20"/>
                <w:szCs w:val="20"/>
                <w:color w:val="auto"/>
              </w:rPr>
            </w:pPr>
            <w:r>
              <w:rPr>
                <w:rFonts w:ascii="Arial" w:cs="Arial" w:eastAsia="Arial" w:hAnsi="Arial"/>
                <w:sz w:val="17"/>
                <w:szCs w:val="17"/>
                <w:color w:val="auto"/>
              </w:rPr>
              <w:t>16,594</w:t>
            </w:r>
          </w:p>
        </w:tc>
        <w:tc>
          <w:tcPr>
            <w:tcW w:w="100" w:type="dxa"/>
            <w:vAlign w:val="bottom"/>
          </w:tcPr>
          <w:p>
            <w:pPr>
              <w:spacing w:after="0"/>
              <w:rPr>
                <w:sz w:val="16"/>
                <w:szCs w:val="16"/>
                <w:color w:val="auto"/>
              </w:rPr>
            </w:pPr>
          </w:p>
        </w:tc>
      </w:tr>
    </w:tbl>
    <w:p>
      <w:pPr>
        <w:spacing w:after="0" w:line="215" w:lineRule="exact"/>
        <w:rPr>
          <w:sz w:val="20"/>
          <w:szCs w:val="20"/>
          <w:color w:val="auto"/>
        </w:rPr>
      </w:pPr>
    </w:p>
    <w:p>
      <w:pPr>
        <w:jc w:val="both"/>
        <w:ind w:right="100" w:firstLine="589"/>
        <w:spacing w:after="0" w:line="242" w:lineRule="auto"/>
        <w:rPr>
          <w:sz w:val="20"/>
          <w:szCs w:val="20"/>
          <w:color w:val="auto"/>
        </w:rPr>
      </w:pPr>
      <w:r>
        <w:rPr>
          <w:rFonts w:ascii="Arial" w:cs="Arial" w:eastAsia="Arial" w:hAnsi="Arial"/>
          <w:sz w:val="17"/>
          <w:szCs w:val="17"/>
          <w:color w:val="auto"/>
        </w:rPr>
        <w:t>The assets of the consolidated joint ventures are restricted for use only by the particular joint venture and are not available for the Company’s general operations.</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Unconsolidated Joint Ventures</w:t>
      </w:r>
    </w:p>
    <w:p>
      <w:pPr>
        <w:spacing w:after="0" w:line="116" w:lineRule="exact"/>
        <w:rPr>
          <w:sz w:val="20"/>
          <w:szCs w:val="20"/>
          <w:color w:val="auto"/>
        </w:rPr>
      </w:pPr>
    </w:p>
    <w:p>
      <w:pPr>
        <w:ind w:firstLine="589"/>
        <w:spacing w:after="0" w:line="237" w:lineRule="auto"/>
        <w:rPr>
          <w:sz w:val="20"/>
          <w:szCs w:val="20"/>
          <w:color w:val="auto"/>
        </w:rPr>
      </w:pPr>
      <w:r>
        <w:rPr>
          <w:rFonts w:ascii="Arial" w:cs="Arial" w:eastAsia="Arial" w:hAnsi="Arial"/>
          <w:sz w:val="17"/>
          <w:szCs w:val="17"/>
          <w:color w:val="auto"/>
        </w:rPr>
        <w:t>The Company accounts for its unconsolidated joint ventures using the equity method of accounting. Under this method, the Company recognizes its proportionate share of the net earnings of these joint ventures as “Equity in earnings (loss) of unconsolidated joint ventures” in the consolidated statements of income. The Company’s maximum exposure to loss as a result of its investments in unconsolidated VIEs is typically limited to the aggregate of the carrying value of the investment and future funding commitments.</w:t>
      </w:r>
    </w:p>
    <w:p>
      <w:pPr>
        <w:spacing w:after="0" w:line="191" w:lineRule="exact"/>
        <w:rPr>
          <w:sz w:val="20"/>
          <w:szCs w:val="20"/>
          <w:color w:val="auto"/>
        </w:rPr>
      </w:pPr>
    </w:p>
    <w:p>
      <w:pPr>
        <w:ind w:right="340" w:firstLine="589"/>
        <w:spacing w:after="0" w:line="242" w:lineRule="auto"/>
        <w:rPr>
          <w:sz w:val="20"/>
          <w:szCs w:val="20"/>
          <w:color w:val="auto"/>
        </w:rPr>
      </w:pPr>
      <w:r>
        <w:rPr>
          <w:rFonts w:ascii="Arial" w:cs="Arial" w:eastAsia="Arial" w:hAnsi="Arial"/>
          <w:sz w:val="17"/>
          <w:szCs w:val="17"/>
          <w:color w:val="auto"/>
        </w:rPr>
        <w:t>The following represents the financial information of the Company’s unconsolidated joint ventures as presented in their unaudited financial statements as of and for the years ended December 31, 2021 and December 31, 2020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6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75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4680" w:type="dxa"/>
            <w:vAlign w:val="bottom"/>
          </w:tcPr>
          <w:p>
            <w:pPr>
              <w:spacing w:after="0"/>
              <w:rPr>
                <w:sz w:val="20"/>
                <w:szCs w:val="20"/>
                <w:color w:val="auto"/>
              </w:rPr>
            </w:pPr>
            <w:r>
              <w:rPr>
                <w:rFonts w:ascii="Arial" w:cs="Arial" w:eastAsia="Arial" w:hAnsi="Arial"/>
                <w:sz w:val="17"/>
                <w:szCs w:val="17"/>
                <w:color w:val="auto"/>
              </w:rPr>
              <w:t>Current assets</w:t>
            </w:r>
          </w:p>
        </w:tc>
        <w:tc>
          <w:tcPr>
            <w:tcW w:w="3420" w:type="dxa"/>
            <w:vAlign w:val="bottom"/>
            <w:gridSpan w:val="2"/>
          </w:tcPr>
          <w:p>
            <w:pPr>
              <w:jc w:val="right"/>
              <w:ind w:right="992"/>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1,620,735</w:t>
            </w:r>
          </w:p>
        </w:tc>
        <w:tc>
          <w:tcPr>
            <w:tcW w:w="7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774,646</w:t>
            </w:r>
          </w:p>
        </w:tc>
        <w:tc>
          <w:tcPr>
            <w:tcW w:w="100" w:type="dxa"/>
            <w:vAlign w:val="bottom"/>
          </w:tcPr>
          <w:p>
            <w:pPr>
              <w:spacing w:after="0"/>
              <w:rPr>
                <w:sz w:val="17"/>
                <w:szCs w:val="17"/>
                <w:color w:val="auto"/>
              </w:rPr>
            </w:pPr>
          </w:p>
        </w:tc>
      </w:tr>
      <w:tr>
        <w:trPr>
          <w:trHeight w:val="203"/>
        </w:trPr>
        <w:tc>
          <w:tcPr>
            <w:tcW w:w="4680" w:type="dxa"/>
            <w:vAlign w:val="bottom"/>
            <w:shd w:val="clear" w:color="auto" w:fill="CFF0FC"/>
          </w:tcPr>
          <w:p>
            <w:pPr>
              <w:spacing w:after="0"/>
              <w:rPr>
                <w:sz w:val="20"/>
                <w:szCs w:val="20"/>
                <w:color w:val="auto"/>
              </w:rPr>
            </w:pPr>
            <w:r>
              <w:rPr>
                <w:rFonts w:ascii="Arial" w:cs="Arial" w:eastAsia="Arial" w:hAnsi="Arial"/>
                <w:sz w:val="17"/>
                <w:szCs w:val="17"/>
                <w:color w:val="auto"/>
              </w:rPr>
              <w:t>Noncurrent assets</w:t>
            </w:r>
          </w:p>
        </w:tc>
        <w:tc>
          <w:tcPr>
            <w:tcW w:w="2260" w:type="dxa"/>
            <w:vAlign w:val="bottom"/>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531,261</w:t>
            </w:r>
          </w:p>
        </w:tc>
        <w:tc>
          <w:tcPr>
            <w:tcW w:w="280" w:type="dxa"/>
            <w:vAlign w:val="bottom"/>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585,802</w:t>
            </w:r>
          </w:p>
        </w:tc>
        <w:tc>
          <w:tcPr>
            <w:tcW w:w="100" w:type="dxa"/>
            <w:vAlign w:val="bottom"/>
            <w:shd w:val="clear" w:color="auto" w:fill="CFF0FC"/>
          </w:tcPr>
          <w:p>
            <w:pPr>
              <w:spacing w:after="0"/>
              <w:rPr>
                <w:sz w:val="17"/>
                <w:szCs w:val="17"/>
                <w:color w:val="auto"/>
              </w:rPr>
            </w:pPr>
          </w:p>
        </w:tc>
      </w:tr>
      <w:tr>
        <w:trPr>
          <w:trHeight w:val="196"/>
        </w:trPr>
        <w:tc>
          <w:tcPr>
            <w:tcW w:w="468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Total assets</w:t>
            </w:r>
          </w:p>
        </w:tc>
        <w:tc>
          <w:tcPr>
            <w:tcW w:w="2260" w:type="dxa"/>
            <w:vAlign w:val="bottom"/>
            <w:tcBorders>
              <w:bottom w:val="single" w:sz="8" w:color="CFF0FC"/>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2,151,996</w:t>
            </w:r>
          </w:p>
        </w:tc>
        <w:tc>
          <w:tcPr>
            <w:tcW w:w="28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1,360,448</w:t>
            </w:r>
          </w:p>
        </w:tc>
        <w:tc>
          <w:tcPr>
            <w:tcW w:w="100" w:type="dxa"/>
            <w:vAlign w:val="bottom"/>
            <w:tcBorders>
              <w:bottom w:val="single" w:sz="8" w:color="CFF0FC"/>
            </w:tcBorders>
          </w:tcPr>
          <w:p>
            <w:pPr>
              <w:spacing w:after="0"/>
              <w:rPr>
                <w:sz w:val="17"/>
                <w:szCs w:val="17"/>
                <w:color w:val="auto"/>
              </w:rPr>
            </w:pPr>
          </w:p>
        </w:tc>
      </w:tr>
      <w:tr>
        <w:trPr>
          <w:trHeight w:val="196"/>
        </w:trPr>
        <w:tc>
          <w:tcPr>
            <w:tcW w:w="4680" w:type="dxa"/>
            <w:vAlign w:val="bottom"/>
            <w:shd w:val="clear" w:color="auto" w:fill="CFF0FC"/>
          </w:tcPr>
          <w:p>
            <w:pPr>
              <w:spacing w:after="0"/>
              <w:rPr>
                <w:sz w:val="20"/>
                <w:szCs w:val="20"/>
                <w:color w:val="auto"/>
              </w:rPr>
            </w:pPr>
            <w:r>
              <w:rPr>
                <w:rFonts w:ascii="Arial" w:cs="Arial" w:eastAsia="Arial" w:hAnsi="Arial"/>
                <w:sz w:val="17"/>
                <w:szCs w:val="17"/>
                <w:color w:val="auto"/>
              </w:rPr>
              <w:t>Current liabilities</w:t>
            </w:r>
          </w:p>
        </w:tc>
        <w:tc>
          <w:tcPr>
            <w:tcW w:w="2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1,088,985</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703,287</w:t>
            </w:r>
          </w:p>
        </w:tc>
        <w:tc>
          <w:tcPr>
            <w:tcW w:w="100" w:type="dxa"/>
            <w:vAlign w:val="bottom"/>
            <w:shd w:val="clear" w:color="auto" w:fill="CFF0FC"/>
          </w:tcPr>
          <w:p>
            <w:pPr>
              <w:spacing w:after="0"/>
              <w:rPr>
                <w:sz w:val="17"/>
                <w:szCs w:val="17"/>
                <w:color w:val="auto"/>
              </w:rPr>
            </w:pPr>
          </w:p>
        </w:tc>
      </w:tr>
      <w:tr>
        <w:trPr>
          <w:trHeight w:val="203"/>
        </w:trPr>
        <w:tc>
          <w:tcPr>
            <w:tcW w:w="46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Noncurrent liabilities</w:t>
            </w:r>
          </w:p>
        </w:tc>
        <w:tc>
          <w:tcPr>
            <w:tcW w:w="2260" w:type="dxa"/>
            <w:vAlign w:val="bottom"/>
            <w:tcBorders>
              <w:bottom w:val="single" w:sz="8" w:color="CFF0FC"/>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669,911</w:t>
            </w:r>
          </w:p>
        </w:tc>
        <w:tc>
          <w:tcPr>
            <w:tcW w:w="28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517,697</w:t>
            </w:r>
          </w:p>
        </w:tc>
        <w:tc>
          <w:tcPr>
            <w:tcW w:w="100" w:type="dxa"/>
            <w:vAlign w:val="bottom"/>
            <w:tcBorders>
              <w:bottom w:val="single" w:sz="8" w:color="CFF0FC"/>
            </w:tcBorders>
          </w:tcPr>
          <w:p>
            <w:pPr>
              <w:spacing w:after="0"/>
              <w:rPr>
                <w:sz w:val="17"/>
                <w:szCs w:val="17"/>
                <w:color w:val="auto"/>
              </w:rPr>
            </w:pPr>
          </w:p>
        </w:tc>
      </w:tr>
      <w:tr>
        <w:trPr>
          <w:trHeight w:val="196"/>
        </w:trPr>
        <w:tc>
          <w:tcPr>
            <w:tcW w:w="46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liabilities</w:t>
            </w:r>
          </w:p>
        </w:tc>
        <w:tc>
          <w:tcPr>
            <w:tcW w:w="2260" w:type="dxa"/>
            <w:vAlign w:val="bottom"/>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1,758,896</w:t>
            </w:r>
          </w:p>
        </w:tc>
        <w:tc>
          <w:tcPr>
            <w:tcW w:w="280" w:type="dxa"/>
            <w:vAlign w:val="bottom"/>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1,220,984</w:t>
            </w:r>
          </w:p>
        </w:tc>
        <w:tc>
          <w:tcPr>
            <w:tcW w:w="100" w:type="dxa"/>
            <w:vAlign w:val="bottom"/>
            <w:shd w:val="clear" w:color="auto" w:fill="CFF0FC"/>
          </w:tcPr>
          <w:p>
            <w:pPr>
              <w:spacing w:after="0"/>
              <w:rPr>
                <w:sz w:val="17"/>
                <w:szCs w:val="17"/>
                <w:color w:val="auto"/>
              </w:rPr>
            </w:pPr>
          </w:p>
        </w:tc>
      </w:tr>
      <w:tr>
        <w:trPr>
          <w:trHeight w:val="236"/>
        </w:trPr>
        <w:tc>
          <w:tcPr>
            <w:tcW w:w="4680" w:type="dxa"/>
            <w:vAlign w:val="bottom"/>
          </w:tcPr>
          <w:p>
            <w:pPr>
              <w:ind w:left="240"/>
              <w:spacing w:after="0"/>
              <w:rPr>
                <w:sz w:val="20"/>
                <w:szCs w:val="20"/>
                <w:color w:val="auto"/>
              </w:rPr>
            </w:pPr>
            <w:r>
              <w:rPr>
                <w:rFonts w:ascii="Arial" w:cs="Arial" w:eastAsia="Arial" w:hAnsi="Arial"/>
                <w:sz w:val="17"/>
                <w:szCs w:val="17"/>
                <w:color w:val="auto"/>
              </w:rPr>
              <w:t>Total joint venture equity</w:t>
            </w:r>
          </w:p>
        </w:tc>
        <w:tc>
          <w:tcPr>
            <w:tcW w:w="3420" w:type="dxa"/>
            <w:vAlign w:val="bottom"/>
            <w:gridSpan w:val="2"/>
          </w:tcPr>
          <w:p>
            <w:pPr>
              <w:jc w:val="right"/>
              <w:ind w:right="992"/>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393,100</w:t>
            </w:r>
          </w:p>
        </w:tc>
        <w:tc>
          <w:tcPr>
            <w:tcW w:w="7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139,464</w:t>
            </w:r>
          </w:p>
        </w:tc>
        <w:tc>
          <w:tcPr>
            <w:tcW w:w="100" w:type="dxa"/>
            <w:vAlign w:val="bottom"/>
          </w:tcPr>
          <w:p>
            <w:pPr>
              <w:spacing w:after="0"/>
              <w:rPr>
                <w:sz w:val="20"/>
                <w:szCs w:val="20"/>
                <w:color w:val="auto"/>
              </w:rPr>
            </w:pPr>
          </w:p>
        </w:tc>
      </w:tr>
      <w:tr>
        <w:trPr>
          <w:trHeight w:val="180"/>
        </w:trPr>
        <w:tc>
          <w:tcPr>
            <w:tcW w:w="468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7"/>
                <w:szCs w:val="17"/>
                <w:color w:val="auto"/>
              </w:rPr>
              <w:t>Investments in and advances to unconsolidated joint</w:t>
            </w:r>
          </w:p>
        </w:tc>
        <w:tc>
          <w:tcPr>
            <w:tcW w:w="2260" w:type="dxa"/>
            <w:vAlign w:val="bottom"/>
            <w:tcBorders>
              <w:top w:val="single" w:sz="8" w:color="CFF0FC"/>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280" w:type="dxa"/>
            <w:vAlign w:val="bottom"/>
            <w:tcBorders>
              <w:top w:val="single" w:sz="8" w:color="CFF0FC"/>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15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r>
      <w:tr>
        <w:trPr>
          <w:trHeight w:val="191"/>
        </w:trPr>
        <w:tc>
          <w:tcPr>
            <w:tcW w:w="4680" w:type="dxa"/>
            <w:vAlign w:val="bottom"/>
            <w:shd w:val="clear" w:color="auto" w:fill="CFF0FC"/>
          </w:tcPr>
          <w:p>
            <w:pPr>
              <w:ind w:left="140"/>
              <w:spacing w:after="0" w:line="191" w:lineRule="exact"/>
              <w:rPr>
                <w:sz w:val="20"/>
                <w:szCs w:val="20"/>
                <w:color w:val="auto"/>
              </w:rPr>
            </w:pPr>
            <w:r>
              <w:rPr>
                <w:rFonts w:ascii="Arial" w:cs="Arial" w:eastAsia="Arial" w:hAnsi="Arial"/>
                <w:sz w:val="17"/>
                <w:szCs w:val="17"/>
                <w:color w:val="auto"/>
              </w:rPr>
              <w:t>ventures</w:t>
            </w:r>
          </w:p>
        </w:tc>
        <w:tc>
          <w:tcPr>
            <w:tcW w:w="3420" w:type="dxa"/>
            <w:vAlign w:val="bottom"/>
            <w:gridSpan w:val="2"/>
            <w:shd w:val="clear" w:color="auto" w:fill="CFF0FC"/>
          </w:tcPr>
          <w:p>
            <w:pPr>
              <w:jc w:val="right"/>
              <w:ind w:right="992"/>
              <w:spacing w:after="0" w:line="191" w:lineRule="exact"/>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line="191" w:lineRule="exact"/>
              <w:rPr>
                <w:sz w:val="20"/>
                <w:szCs w:val="20"/>
                <w:color w:val="auto"/>
              </w:rPr>
            </w:pPr>
            <w:r>
              <w:rPr>
                <w:rFonts w:ascii="Arial" w:cs="Arial" w:eastAsia="Arial" w:hAnsi="Arial"/>
                <w:sz w:val="17"/>
                <w:szCs w:val="17"/>
                <w:color w:val="auto"/>
              </w:rPr>
              <w:t>110,688</w:t>
            </w:r>
          </w:p>
        </w:tc>
        <w:tc>
          <w:tcPr>
            <w:tcW w:w="740" w:type="dxa"/>
            <w:vAlign w:val="bottom"/>
            <w:gridSpan w:val="2"/>
            <w:shd w:val="clear" w:color="auto" w:fill="CFF0FC"/>
          </w:tcPr>
          <w:p>
            <w:pPr>
              <w:jc w:val="right"/>
              <w:ind w:right="360"/>
              <w:spacing w:after="0" w:line="191" w:lineRule="exact"/>
              <w:rPr>
                <w:sz w:val="20"/>
                <w:szCs w:val="20"/>
                <w:color w:val="auto"/>
              </w:rPr>
            </w:pPr>
            <w:r>
              <w:rPr>
                <w:rFonts w:ascii="Arial" w:cs="Arial" w:eastAsia="Arial" w:hAnsi="Arial"/>
                <w:sz w:val="17"/>
                <w:szCs w:val="17"/>
                <w:color w:val="auto"/>
              </w:rPr>
              <w:t>$</w:t>
            </w:r>
          </w:p>
        </w:tc>
        <w:tc>
          <w:tcPr>
            <w:tcW w:w="1520" w:type="dxa"/>
            <w:vAlign w:val="bottom"/>
            <w:shd w:val="clear" w:color="auto" w:fill="CFF0FC"/>
          </w:tcPr>
          <w:p>
            <w:pPr>
              <w:jc w:val="right"/>
              <w:spacing w:after="0" w:line="191" w:lineRule="exact"/>
              <w:rPr>
                <w:sz w:val="20"/>
                <w:szCs w:val="20"/>
                <w:color w:val="auto"/>
              </w:rPr>
            </w:pPr>
            <w:r>
              <w:rPr>
                <w:rFonts w:ascii="Arial" w:cs="Arial" w:eastAsia="Arial" w:hAnsi="Arial"/>
                <w:sz w:val="17"/>
                <w:szCs w:val="17"/>
                <w:color w:val="auto"/>
              </w:rPr>
              <w:t>68,975</w:t>
            </w:r>
          </w:p>
        </w:tc>
        <w:tc>
          <w:tcPr>
            <w:tcW w:w="100" w:type="dxa"/>
            <w:vAlign w:val="bottom"/>
            <w:shd w:val="clear" w:color="auto" w:fill="CFF0FC"/>
          </w:tcPr>
          <w:p>
            <w:pPr>
              <w:spacing w:after="0"/>
              <w:rPr>
                <w:sz w:val="16"/>
                <w:szCs w:val="16"/>
                <w:color w:val="auto"/>
              </w:rPr>
            </w:pPr>
          </w:p>
        </w:tc>
      </w:tr>
      <w:tr>
        <w:trPr>
          <w:trHeight w:val="633"/>
        </w:trPr>
        <w:tc>
          <w:tcPr>
            <w:tcW w:w="4680" w:type="dxa"/>
            <w:vAlign w:val="bottom"/>
          </w:tcPr>
          <w:p>
            <w:pPr>
              <w:spacing w:after="0"/>
              <w:rPr>
                <w:sz w:val="24"/>
                <w:szCs w:val="24"/>
                <w:color w:val="auto"/>
              </w:rPr>
            </w:pPr>
          </w:p>
        </w:tc>
        <w:tc>
          <w:tcPr>
            <w:tcW w:w="3420" w:type="dxa"/>
            <w:vAlign w:val="bottom"/>
            <w:gridSpan w:val="2"/>
          </w:tcPr>
          <w:p>
            <w:pPr>
              <w:jc w:val="right"/>
              <w:ind w:right="2232"/>
              <w:spacing w:after="0"/>
              <w:rPr>
                <w:sz w:val="20"/>
                <w:szCs w:val="20"/>
                <w:color w:val="auto"/>
              </w:rPr>
            </w:pPr>
            <w:r>
              <w:rPr>
                <w:rFonts w:ascii="Arial" w:cs="Arial" w:eastAsia="Arial" w:hAnsi="Arial"/>
                <w:sz w:val="17"/>
                <w:szCs w:val="17"/>
                <w:color w:val="auto"/>
              </w:rPr>
              <w:t>F-49</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5"/>
        </w:trPr>
        <w:tc>
          <w:tcPr>
            <w:tcW w:w="468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4">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96"/>
        </w:trPr>
        <w:tc>
          <w:tcPr>
            <w:tcW w:w="4780" w:type="dxa"/>
            <w:vAlign w:val="bottom"/>
          </w:tcPr>
          <w:p>
            <w:pPr>
              <w:spacing w:after="0"/>
              <w:rPr>
                <w:sz w:val="20"/>
                <w:szCs w:val="20"/>
                <w:color w:val="auto"/>
              </w:rPr>
            </w:pPr>
            <w:r>
              <w:rPr>
                <w:rFonts w:ascii="Arial" w:cs="Arial" w:eastAsia="Arial" w:hAnsi="Arial"/>
                <w:sz w:val="17"/>
                <w:szCs w:val="17"/>
                <w:color w:val="auto"/>
              </w:rPr>
              <w:t>Revenue</w:t>
            </w:r>
          </w:p>
        </w:tc>
        <w:tc>
          <w:tcPr>
            <w:tcW w:w="1380" w:type="dxa"/>
            <w:vAlign w:val="bottom"/>
            <w:gridSpan w:val="2"/>
          </w:tcPr>
          <w:p>
            <w:pPr>
              <w:jc w:val="right"/>
              <w:ind w:right="196"/>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2,709,305</w:t>
            </w:r>
          </w:p>
        </w:tc>
        <w:tc>
          <w:tcPr>
            <w:tcW w:w="620" w:type="dxa"/>
            <w:vAlign w:val="bottom"/>
            <w:gridSpan w:val="2"/>
          </w:tcPr>
          <w:p>
            <w:pPr>
              <w:jc w:val="right"/>
              <w:ind w:right="196"/>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1,830,802</w:t>
            </w:r>
          </w:p>
        </w:tc>
        <w:tc>
          <w:tcPr>
            <w:tcW w:w="640" w:type="dxa"/>
            <w:vAlign w:val="bottom"/>
            <w:gridSpan w:val="2"/>
          </w:tcPr>
          <w:p>
            <w:pPr>
              <w:jc w:val="right"/>
              <w:ind w:right="196"/>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2,081,341</w:t>
            </w:r>
          </w:p>
        </w:tc>
        <w:tc>
          <w:tcPr>
            <w:tcW w:w="100" w:type="dxa"/>
            <w:vAlign w:val="bottom"/>
          </w:tcPr>
          <w:p>
            <w:pPr>
              <w:spacing w:after="0"/>
              <w:rPr>
                <w:sz w:val="17"/>
                <w:szCs w:val="17"/>
                <w:color w:val="auto"/>
              </w:rPr>
            </w:pPr>
          </w:p>
        </w:tc>
      </w:tr>
      <w:tr>
        <w:trPr>
          <w:trHeight w:val="203"/>
        </w:trPr>
        <w:tc>
          <w:tcPr>
            <w:tcW w:w="4780" w:type="dxa"/>
            <w:vAlign w:val="bottom"/>
            <w:shd w:val="clear" w:color="auto" w:fill="CFF0FC"/>
          </w:tcPr>
          <w:p>
            <w:pPr>
              <w:spacing w:after="0"/>
              <w:rPr>
                <w:sz w:val="20"/>
                <w:szCs w:val="20"/>
                <w:color w:val="auto"/>
              </w:rPr>
            </w:pPr>
            <w:r>
              <w:rPr>
                <w:rFonts w:ascii="Arial" w:cs="Arial" w:eastAsia="Arial" w:hAnsi="Arial"/>
                <w:sz w:val="17"/>
                <w:szCs w:val="17"/>
                <w:color w:val="auto"/>
              </w:rPr>
              <w:t>Costs</w:t>
            </w:r>
          </w:p>
        </w:tc>
        <w:tc>
          <w:tcPr>
            <w:tcW w:w="100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2,536,403</w:t>
            </w:r>
          </w:p>
        </w:tc>
        <w:tc>
          <w:tcPr>
            <w:tcW w:w="24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1,709,933</w:t>
            </w:r>
          </w:p>
        </w:tc>
        <w:tc>
          <w:tcPr>
            <w:tcW w:w="26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1,903,582</w:t>
            </w:r>
          </w:p>
        </w:tc>
        <w:tc>
          <w:tcPr>
            <w:tcW w:w="100" w:type="dxa"/>
            <w:vAlign w:val="bottom"/>
            <w:shd w:val="clear" w:color="auto" w:fill="CFF0FC"/>
          </w:tcPr>
          <w:p>
            <w:pPr>
              <w:spacing w:after="0"/>
              <w:rPr>
                <w:sz w:val="17"/>
                <w:szCs w:val="17"/>
                <w:color w:val="auto"/>
              </w:rPr>
            </w:pPr>
          </w:p>
        </w:tc>
      </w:tr>
      <w:tr>
        <w:trPr>
          <w:trHeight w:val="236"/>
        </w:trPr>
        <w:tc>
          <w:tcPr>
            <w:tcW w:w="478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Net income</w:t>
            </w:r>
          </w:p>
        </w:tc>
        <w:tc>
          <w:tcPr>
            <w:tcW w:w="100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172,902</w:t>
            </w:r>
          </w:p>
        </w:tc>
        <w:tc>
          <w:tcPr>
            <w:tcW w:w="24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120,869</w:t>
            </w:r>
          </w:p>
        </w:tc>
        <w:tc>
          <w:tcPr>
            <w:tcW w:w="26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177,759</w:t>
            </w:r>
          </w:p>
        </w:tc>
        <w:tc>
          <w:tcPr>
            <w:tcW w:w="100" w:type="dxa"/>
            <w:vAlign w:val="bottom"/>
            <w:tcBorders>
              <w:bottom w:val="single" w:sz="8" w:color="CFF0FC"/>
            </w:tcBorders>
          </w:tcPr>
          <w:p>
            <w:pPr>
              <w:spacing w:after="0"/>
              <w:rPr>
                <w:sz w:val="20"/>
                <w:szCs w:val="20"/>
                <w:color w:val="auto"/>
              </w:rPr>
            </w:pPr>
          </w:p>
        </w:tc>
      </w:tr>
      <w:tr>
        <w:trPr>
          <w:trHeight w:val="181"/>
        </w:trPr>
        <w:tc>
          <w:tcPr>
            <w:tcW w:w="4780" w:type="dxa"/>
            <w:vAlign w:val="bottom"/>
            <w:shd w:val="clear" w:color="auto" w:fill="CFF0FC"/>
          </w:tcPr>
          <w:p>
            <w:pPr>
              <w:spacing w:after="0" w:line="181" w:lineRule="exact"/>
              <w:rPr>
                <w:sz w:val="20"/>
                <w:szCs w:val="20"/>
                <w:color w:val="auto"/>
              </w:rPr>
            </w:pPr>
            <w:r>
              <w:rPr>
                <w:rFonts w:ascii="Arial" w:cs="Arial" w:eastAsia="Arial" w:hAnsi="Arial"/>
                <w:sz w:val="17"/>
                <w:szCs w:val="17"/>
                <w:color w:val="auto"/>
              </w:rPr>
              <w:t>Equity in earnings of unconsolidated joint ventures</w:t>
            </w:r>
          </w:p>
        </w:tc>
        <w:tc>
          <w:tcPr>
            <w:tcW w:w="1380" w:type="dxa"/>
            <w:vAlign w:val="bottom"/>
            <w:gridSpan w:val="2"/>
            <w:shd w:val="clear" w:color="auto" w:fill="CFF0FC"/>
          </w:tcPr>
          <w:p>
            <w:pPr>
              <w:jc w:val="right"/>
              <w:ind w:right="196"/>
              <w:spacing w:after="0" w:line="181" w:lineRule="exact"/>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line="181" w:lineRule="exact"/>
              <w:rPr>
                <w:sz w:val="20"/>
                <w:szCs w:val="20"/>
                <w:color w:val="auto"/>
              </w:rPr>
            </w:pPr>
            <w:r>
              <w:rPr>
                <w:rFonts w:ascii="Arial" w:cs="Arial" w:eastAsia="Arial" w:hAnsi="Arial"/>
                <w:sz w:val="17"/>
                <w:szCs w:val="17"/>
                <w:color w:val="auto"/>
              </w:rPr>
              <w:t>36,862</w:t>
            </w:r>
          </w:p>
        </w:tc>
        <w:tc>
          <w:tcPr>
            <w:tcW w:w="620" w:type="dxa"/>
            <w:vAlign w:val="bottom"/>
            <w:gridSpan w:val="2"/>
            <w:shd w:val="clear" w:color="auto" w:fill="CFF0FC"/>
          </w:tcPr>
          <w:p>
            <w:pPr>
              <w:jc w:val="right"/>
              <w:ind w:right="196"/>
              <w:spacing w:after="0" w:line="181" w:lineRule="exact"/>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line="181" w:lineRule="exact"/>
              <w:rPr>
                <w:sz w:val="20"/>
                <w:szCs w:val="20"/>
                <w:color w:val="auto"/>
              </w:rPr>
            </w:pPr>
            <w:r>
              <w:rPr>
                <w:rFonts w:ascii="Arial" w:cs="Arial" w:eastAsia="Arial" w:hAnsi="Arial"/>
                <w:sz w:val="17"/>
                <w:szCs w:val="17"/>
                <w:color w:val="auto"/>
              </w:rPr>
              <w:t>30,059</w:t>
            </w:r>
          </w:p>
        </w:tc>
        <w:tc>
          <w:tcPr>
            <w:tcW w:w="640" w:type="dxa"/>
            <w:vAlign w:val="bottom"/>
            <w:gridSpan w:val="2"/>
            <w:shd w:val="clear" w:color="auto" w:fill="CFF0FC"/>
          </w:tcPr>
          <w:p>
            <w:pPr>
              <w:jc w:val="right"/>
              <w:ind w:right="196"/>
              <w:spacing w:after="0" w:line="181" w:lineRule="exact"/>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line="181" w:lineRule="exact"/>
              <w:rPr>
                <w:sz w:val="20"/>
                <w:szCs w:val="20"/>
                <w:color w:val="auto"/>
              </w:rPr>
            </w:pPr>
            <w:r>
              <w:rPr>
                <w:rFonts w:ascii="Arial" w:cs="Arial" w:eastAsia="Arial" w:hAnsi="Arial"/>
                <w:sz w:val="17"/>
                <w:szCs w:val="17"/>
                <w:color w:val="auto"/>
              </w:rPr>
              <w:t>41,721</w:t>
            </w:r>
          </w:p>
        </w:tc>
        <w:tc>
          <w:tcPr>
            <w:tcW w:w="100" w:type="dxa"/>
            <w:vAlign w:val="bottom"/>
            <w:shd w:val="clear" w:color="auto" w:fill="CFF0FC"/>
          </w:tcPr>
          <w:p>
            <w:pPr>
              <w:spacing w:after="0"/>
              <w:rPr>
                <w:sz w:val="15"/>
                <w:szCs w:val="15"/>
                <w:color w:val="auto"/>
              </w:rPr>
            </w:pPr>
          </w:p>
        </w:tc>
      </w:tr>
    </w:tbl>
    <w:p>
      <w:pPr>
        <w:spacing w:after="0" w:line="227" w:lineRule="exact"/>
        <w:rPr>
          <w:sz w:val="20"/>
          <w:szCs w:val="20"/>
          <w:color w:val="auto"/>
        </w:rPr>
      </w:pPr>
    </w:p>
    <w:p>
      <w:pPr>
        <w:jc w:val="both"/>
        <w:ind w:right="180" w:firstLine="589"/>
        <w:spacing w:after="0" w:line="238" w:lineRule="auto"/>
        <w:rPr>
          <w:sz w:val="20"/>
          <w:szCs w:val="20"/>
          <w:color w:val="auto"/>
        </w:rPr>
      </w:pPr>
      <w:r>
        <w:rPr>
          <w:rFonts w:ascii="Arial" w:cs="Arial" w:eastAsia="Arial" w:hAnsi="Arial"/>
          <w:sz w:val="17"/>
          <w:szCs w:val="17"/>
          <w:color w:val="auto"/>
        </w:rPr>
        <w:t>The Company had net contributions to its unconsolidated joint ventures for the year ended December 31, 2021 of $ 13.2 million and received net distributions from its unconsolidated joint ventures of $30.5 million and $38.9 million for the years ended December 31, 2020 and December 31, 2019, respectively.</w:t>
      </w:r>
    </w:p>
    <w:p>
      <w:pPr>
        <w:spacing w:after="0" w:line="217" w:lineRule="exact"/>
        <w:rPr>
          <w:sz w:val="20"/>
          <w:szCs w:val="20"/>
          <w:color w:val="auto"/>
        </w:rPr>
      </w:pPr>
    </w:p>
    <w:p>
      <w:pPr>
        <w:ind w:right="80" w:firstLine="589"/>
        <w:spacing w:after="0" w:line="243" w:lineRule="auto"/>
        <w:rPr>
          <w:sz w:val="20"/>
          <w:szCs w:val="20"/>
          <w:color w:val="auto"/>
        </w:rPr>
      </w:pPr>
      <w:r>
        <w:rPr>
          <w:rFonts w:ascii="Arial" w:cs="Arial" w:eastAsia="Arial" w:hAnsi="Arial"/>
          <w:sz w:val="17"/>
          <w:szCs w:val="17"/>
          <w:color w:val="auto"/>
        </w:rPr>
        <w:t>For the years ended December 31, 2021 and December 31, 2020, the Company recorded a $15.6 million and $15.5 million write-down, respectively, on an unconsolidated joint venture in the Critical Infrastructure segment as a result of changes in estimates made by the managing partner. For the year ended December 31, 2021, this write-down decreased operating and net income by $15.6 million and $11.6 million, respectively, and decreased diluted earnings per share by $0.10. For the year ended December 31, 2020, this write-down decreased operating and net income by $15.5 million and $11.5 million, respectively, and decreased diluted earnings per share by $0.11.</w:t>
      </w:r>
    </w:p>
    <w:p>
      <w:pPr>
        <w:spacing w:after="0" w:line="271" w:lineRule="exact"/>
        <w:rPr>
          <w:sz w:val="20"/>
          <w:szCs w:val="20"/>
          <w:color w:val="auto"/>
        </w:rPr>
      </w:pPr>
    </w:p>
    <w:p>
      <w:pPr>
        <w:ind w:left="580" w:hanging="579"/>
        <w:spacing w:after="0"/>
        <w:tabs>
          <w:tab w:leader="none" w:pos="58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w:t>
      </w:r>
    </w:p>
    <w:p>
      <w:pPr>
        <w:spacing w:after="0" w:line="116" w:lineRule="exact"/>
        <w:rPr>
          <w:sz w:val="20"/>
          <w:szCs w:val="20"/>
          <w:color w:val="auto"/>
        </w:rPr>
      </w:pPr>
    </w:p>
    <w:p>
      <w:pPr>
        <w:ind w:right="20" w:firstLine="589"/>
        <w:spacing w:after="0" w:line="241" w:lineRule="auto"/>
        <w:rPr>
          <w:sz w:val="20"/>
          <w:szCs w:val="20"/>
          <w:color w:val="auto"/>
        </w:rPr>
      </w:pPr>
      <w:r>
        <w:rPr>
          <w:rFonts w:ascii="Arial" w:cs="Arial" w:eastAsia="Arial" w:hAnsi="Arial"/>
          <w:sz w:val="17"/>
          <w:szCs w:val="17"/>
          <w:color w:val="auto"/>
        </w:rPr>
        <w:t>The Company often provides services to unconsolidated joint ventures and revenues include amounts related to recovering overhead costs for these services. For the years ended December 31, 2021, December 31, 2020 and December 31, 2019, revenues included $ 204.7 million, $172.2 million, and $157.3 million, respectively, related to services the Company provided to unconsolidated joint ventures. For the years ended December 31, 2021, December 31, 2020 and December 31, 2019, the Company incurred approximately $155.5 million, $133.8 million and $119.1 million, respectively, of reimbursable costs. Amounts included in the consolidated balance sheets related to services the Company provided to unconsolidated joint ventures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460" w:type="dxa"/>
            <w:vAlign w:val="bottom"/>
            <w:tcBorders>
              <w:bottom w:val="single" w:sz="8" w:color="CFF0FC"/>
            </w:tcBorders>
          </w:tcPr>
          <w:p>
            <w:pPr>
              <w:spacing w:after="0"/>
              <w:rPr>
                <w:sz w:val="14"/>
                <w:szCs w:val="14"/>
                <w:color w:val="auto"/>
              </w:rPr>
            </w:pPr>
          </w:p>
        </w:tc>
        <w:tc>
          <w:tcPr>
            <w:tcW w:w="296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196"/>
        </w:trPr>
        <w:tc>
          <w:tcPr>
            <w:tcW w:w="4460" w:type="dxa"/>
            <w:vAlign w:val="bottom"/>
            <w:shd w:val="clear" w:color="auto" w:fill="CFF0FC"/>
          </w:tcPr>
          <w:p>
            <w:pPr>
              <w:spacing w:after="0"/>
              <w:rPr>
                <w:sz w:val="20"/>
                <w:szCs w:val="20"/>
                <w:color w:val="auto"/>
              </w:rPr>
            </w:pPr>
            <w:r>
              <w:rPr>
                <w:rFonts w:ascii="Arial" w:cs="Arial" w:eastAsia="Arial" w:hAnsi="Arial"/>
                <w:sz w:val="17"/>
                <w:szCs w:val="17"/>
                <w:color w:val="auto"/>
              </w:rPr>
              <w:t>Accounts receivable</w:t>
            </w:r>
          </w:p>
        </w:tc>
        <w:tc>
          <w:tcPr>
            <w:tcW w:w="4060" w:type="dxa"/>
            <w:vAlign w:val="bottom"/>
            <w:gridSpan w:val="2"/>
            <w:shd w:val="clear" w:color="auto" w:fill="CFF0FC"/>
          </w:tcPr>
          <w:p>
            <w:pPr>
              <w:jc w:val="right"/>
              <w:ind w:right="932"/>
              <w:spacing w:after="0"/>
              <w:rPr>
                <w:sz w:val="20"/>
                <w:szCs w:val="20"/>
                <w:color w:val="auto"/>
              </w:rPr>
            </w:pPr>
            <w:r>
              <w:rPr>
                <w:rFonts w:ascii="Arial" w:cs="Arial" w:eastAsia="Arial" w:hAnsi="Arial"/>
                <w:sz w:val="17"/>
                <w:szCs w:val="17"/>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30,246</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6"/>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37,544</w:t>
            </w:r>
          </w:p>
        </w:tc>
        <w:tc>
          <w:tcPr>
            <w:tcW w:w="100" w:type="dxa"/>
            <w:vAlign w:val="bottom"/>
            <w:shd w:val="clear" w:color="auto" w:fill="CFF0FC"/>
          </w:tcPr>
          <w:p>
            <w:pPr>
              <w:spacing w:after="0"/>
              <w:rPr>
                <w:sz w:val="17"/>
                <w:szCs w:val="17"/>
                <w:color w:val="auto"/>
              </w:rPr>
            </w:pPr>
          </w:p>
        </w:tc>
      </w:tr>
      <w:tr>
        <w:trPr>
          <w:trHeight w:val="203"/>
        </w:trPr>
        <w:tc>
          <w:tcPr>
            <w:tcW w:w="4460" w:type="dxa"/>
            <w:vAlign w:val="bottom"/>
          </w:tcPr>
          <w:p>
            <w:pPr>
              <w:spacing w:after="0"/>
              <w:rPr>
                <w:sz w:val="20"/>
                <w:szCs w:val="20"/>
                <w:color w:val="auto"/>
              </w:rPr>
            </w:pPr>
            <w:r>
              <w:rPr>
                <w:rFonts w:ascii="Arial" w:cs="Arial" w:eastAsia="Arial" w:hAnsi="Arial"/>
                <w:sz w:val="17"/>
                <w:szCs w:val="17"/>
                <w:color w:val="auto"/>
              </w:rPr>
              <w:t>Contract assets</w:t>
            </w:r>
          </w:p>
        </w:tc>
        <w:tc>
          <w:tcPr>
            <w:tcW w:w="2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16,069</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8,889</w:t>
            </w:r>
          </w:p>
        </w:tc>
        <w:tc>
          <w:tcPr>
            <w:tcW w:w="100" w:type="dxa"/>
            <w:vAlign w:val="bottom"/>
          </w:tcPr>
          <w:p>
            <w:pPr>
              <w:spacing w:after="0"/>
              <w:rPr>
                <w:sz w:val="17"/>
                <w:szCs w:val="17"/>
                <w:color w:val="auto"/>
              </w:rPr>
            </w:pPr>
          </w:p>
        </w:tc>
      </w:tr>
      <w:tr>
        <w:trPr>
          <w:trHeight w:val="203"/>
        </w:trPr>
        <w:tc>
          <w:tcPr>
            <w:tcW w:w="4460" w:type="dxa"/>
            <w:vAlign w:val="bottom"/>
            <w:shd w:val="clear" w:color="auto" w:fill="CFF0FC"/>
          </w:tcPr>
          <w:p>
            <w:pPr>
              <w:spacing w:after="0"/>
              <w:rPr>
                <w:sz w:val="20"/>
                <w:szCs w:val="20"/>
                <w:color w:val="auto"/>
              </w:rPr>
            </w:pPr>
            <w:r>
              <w:rPr>
                <w:rFonts w:ascii="Arial" w:cs="Arial" w:eastAsia="Arial" w:hAnsi="Arial"/>
                <w:sz w:val="17"/>
                <w:szCs w:val="17"/>
                <w:color w:val="auto"/>
              </w:rPr>
              <w:t>Contract liabilities</w:t>
            </w:r>
          </w:p>
        </w:tc>
        <w:tc>
          <w:tcPr>
            <w:tcW w:w="29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10,605</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5,720</w:t>
            </w:r>
          </w:p>
        </w:tc>
        <w:tc>
          <w:tcPr>
            <w:tcW w:w="100" w:type="dxa"/>
            <w:vAlign w:val="bottom"/>
            <w:shd w:val="clear" w:color="auto" w:fill="CFF0FC"/>
          </w:tcPr>
          <w:p>
            <w:pPr>
              <w:spacing w:after="0"/>
              <w:rPr>
                <w:sz w:val="17"/>
                <w:szCs w:val="17"/>
                <w:color w:val="auto"/>
              </w:rPr>
            </w:pPr>
          </w:p>
        </w:tc>
      </w:tr>
    </w:tbl>
    <w:p>
      <w:pPr>
        <w:spacing w:after="0" w:line="347" w:lineRule="exact"/>
        <w:rPr>
          <w:sz w:val="20"/>
          <w:szCs w:val="20"/>
          <w:color w:val="auto"/>
        </w:rPr>
      </w:pPr>
    </w:p>
    <w:p>
      <w:pPr>
        <w:ind w:left="580" w:hanging="579"/>
        <w:spacing w:after="0"/>
        <w:tabs>
          <w:tab w:leader="none" w:pos="580"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of Financial Instruments</w:t>
      </w:r>
    </w:p>
    <w:p>
      <w:pPr>
        <w:spacing w:after="0" w:line="116" w:lineRule="exact"/>
        <w:rPr>
          <w:sz w:val="20"/>
          <w:szCs w:val="20"/>
          <w:color w:val="auto"/>
        </w:rPr>
      </w:pPr>
    </w:p>
    <w:p>
      <w:pPr>
        <w:ind w:right="80" w:firstLine="589"/>
        <w:spacing w:after="0" w:line="237" w:lineRule="auto"/>
        <w:rPr>
          <w:sz w:val="20"/>
          <w:szCs w:val="20"/>
          <w:color w:val="auto"/>
        </w:rPr>
      </w:pPr>
      <w:r>
        <w:rPr>
          <w:rFonts w:ascii="Arial" w:cs="Arial" w:eastAsia="Arial" w:hAnsi="Arial"/>
          <w:sz w:val="17"/>
          <w:szCs w:val="17"/>
          <w:color w:val="auto"/>
        </w:rPr>
        <w:t>The authoritative guidance on fair value measurement defines fair value as the price that would be received to sell an asset or paid to transfer a liability in an orderly transaction between market participants at the measurement date (referred to as an “exit price”). At December 31, 2021 and December 31, 2020, the Company’s financial instruments include cash, cash equivalents, accounts receivable, accounts payable, and other liabilities. The fair values of these financial instruments approximate their carrying values due to their short-term maturities.</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Investments measured at fair value are based on one or more of the following three valuation techniques:</w:t>
      </w:r>
    </w:p>
    <w:p>
      <w:pPr>
        <w:spacing w:after="0" w:line="78" w:lineRule="exact"/>
        <w:rPr>
          <w:sz w:val="20"/>
          <w:szCs w:val="20"/>
          <w:color w:val="auto"/>
        </w:rPr>
      </w:pPr>
    </w:p>
    <w:p>
      <w:pPr>
        <w:ind w:left="1160" w:right="80" w:hanging="575"/>
        <w:spacing w:after="0" w:line="264" w:lineRule="auto"/>
        <w:tabs>
          <w:tab w:leader="none" w:pos="116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Market approach</w:t>
      </w:r>
      <w:r>
        <w:rPr>
          <w:rFonts w:ascii="Arial" w:cs="Arial" w:eastAsia="Arial" w:hAnsi="Arial"/>
          <w:sz w:val="17"/>
          <w:szCs w:val="17"/>
          <w:color w:val="auto"/>
        </w:rPr>
        <w:t>—Prices and other relevant information generated by market transactions involving identical or comparable assets or</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w:t>
      </w:r>
    </w:p>
    <w:p>
      <w:pPr>
        <w:spacing w:after="0" w:line="51" w:lineRule="exact"/>
        <w:rPr>
          <w:rFonts w:ascii="Arial" w:cs="Arial" w:eastAsia="Arial" w:hAnsi="Arial"/>
          <w:sz w:val="17"/>
          <w:szCs w:val="17"/>
          <w:color w:val="auto"/>
        </w:rPr>
      </w:pPr>
    </w:p>
    <w:p>
      <w:pPr>
        <w:ind w:left="1160" w:hanging="575"/>
        <w:spacing w:after="0"/>
        <w:tabs>
          <w:tab w:leader="none" w:pos="116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Cost approach</w:t>
      </w:r>
      <w:r>
        <w:rPr>
          <w:rFonts w:ascii="Arial" w:cs="Arial" w:eastAsia="Arial" w:hAnsi="Arial"/>
          <w:sz w:val="17"/>
          <w:szCs w:val="17"/>
          <w:color w:val="auto"/>
        </w:rPr>
        <w:t>—Amount that would be required to replace the service capacity of an asset (i.e., replacement cost); and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99" w:lineRule="exact"/>
        <w:rPr>
          <w:sz w:val="20"/>
          <w:szCs w:val="20"/>
          <w:color w:val="auto"/>
        </w:rPr>
      </w:pPr>
    </w:p>
    <w:p>
      <w:pPr>
        <w:ind w:left="1160" w:right="60" w:hanging="575"/>
        <w:spacing w:after="0" w:line="264" w:lineRule="auto"/>
        <w:tabs>
          <w:tab w:leader="none" w:pos="1160"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Income approach</w:t>
      </w:r>
      <w:r>
        <w:rPr>
          <w:rFonts w:ascii="Arial" w:cs="Arial" w:eastAsia="Arial" w:hAnsi="Arial"/>
          <w:sz w:val="17"/>
          <w:szCs w:val="17"/>
          <w:color w:val="auto"/>
        </w:rPr>
        <w:t>—Techniques to convert future amounts to a single present amount based on market expectations (including present</w:t>
      </w:r>
      <w:r>
        <w:rPr>
          <w:rFonts w:ascii="Arial" w:cs="Arial" w:eastAsia="Arial" w:hAnsi="Arial"/>
          <w:sz w:val="17"/>
          <w:szCs w:val="17"/>
          <w:i w:val="1"/>
          <w:iCs w:val="1"/>
          <w:color w:val="auto"/>
        </w:rPr>
        <w:t xml:space="preserve"> </w:t>
      </w:r>
      <w:r>
        <w:rPr>
          <w:rFonts w:ascii="Arial" w:cs="Arial" w:eastAsia="Arial" w:hAnsi="Arial"/>
          <w:sz w:val="17"/>
          <w:szCs w:val="17"/>
          <w:color w:val="auto"/>
        </w:rPr>
        <w:t>value techniques, option-pricing models and lattice models).</w:t>
      </w:r>
    </w:p>
    <w:p>
      <w:pPr>
        <w:spacing w:after="0" w:line="171" w:lineRule="exact"/>
        <w:rPr>
          <w:sz w:val="20"/>
          <w:szCs w:val="20"/>
          <w:color w:val="auto"/>
        </w:rPr>
      </w:pPr>
    </w:p>
    <w:p>
      <w:pPr>
        <w:ind w:right="20" w:firstLine="589"/>
        <w:spacing w:after="0" w:line="238" w:lineRule="auto"/>
        <w:rPr>
          <w:sz w:val="20"/>
          <w:szCs w:val="20"/>
          <w:color w:val="auto"/>
        </w:rPr>
      </w:pPr>
      <w:r>
        <w:rPr>
          <w:rFonts w:ascii="Arial" w:cs="Arial" w:eastAsia="Arial" w:hAnsi="Arial"/>
          <w:sz w:val="17"/>
          <w:szCs w:val="17"/>
          <w:color w:val="auto"/>
        </w:rPr>
        <w:t>In addition, the guidance establishes a fair value hierarchy that prioritizes the inputs to valuation techniques used to measure fair value. The hierarchy gives the highest priority to unadjusted quoted market prices in active markets for identical assets and liabilities (Level 1 measurements) and the lowest priority to unobservable inputs (Level 3 measurements). The three levels of the fair value hierarchy are:</w:t>
      </w:r>
    </w:p>
    <w:p>
      <w:pPr>
        <w:spacing w:after="0" w:line="103" w:lineRule="exact"/>
        <w:rPr>
          <w:sz w:val="20"/>
          <w:szCs w:val="20"/>
          <w:color w:val="auto"/>
        </w:rPr>
      </w:pPr>
    </w:p>
    <w:p>
      <w:pPr>
        <w:ind w:left="600"/>
        <w:spacing w:after="0"/>
        <w:tabs>
          <w:tab w:leader="none" w:pos="1620" w:val="left"/>
        </w:tabs>
        <w:rPr>
          <w:sz w:val="20"/>
          <w:szCs w:val="20"/>
          <w:color w:val="auto"/>
        </w:rPr>
      </w:pPr>
      <w:r>
        <w:rPr>
          <w:rFonts w:ascii="Arial" w:cs="Arial" w:eastAsia="Arial" w:hAnsi="Arial"/>
          <w:sz w:val="17"/>
          <w:szCs w:val="17"/>
          <w:color w:val="auto"/>
        </w:rPr>
        <w:t>Level 1</w:t>
      </w:r>
      <w:r>
        <w:rPr>
          <w:sz w:val="20"/>
          <w:szCs w:val="20"/>
          <w:color w:val="auto"/>
        </w:rPr>
        <w:tab/>
      </w:r>
      <w:r>
        <w:rPr>
          <w:rFonts w:ascii="Arial" w:cs="Arial" w:eastAsia="Arial" w:hAnsi="Arial"/>
          <w:sz w:val="16"/>
          <w:szCs w:val="16"/>
          <w:color w:val="auto"/>
        </w:rPr>
        <w:t>Unadjusted quoted prices in active markets that are accessible at the measurement date for identical assets and liabilities;</w:t>
      </w:r>
    </w:p>
    <w:p>
      <w:pPr>
        <w:spacing w:after="0" w:line="109" w:lineRule="exact"/>
        <w:rPr>
          <w:sz w:val="20"/>
          <w:szCs w:val="20"/>
          <w:color w:val="auto"/>
        </w:rPr>
      </w:pPr>
    </w:p>
    <w:p>
      <w:pPr>
        <w:ind w:left="1640" w:right="120" w:hanging="1051"/>
        <w:spacing w:after="0" w:line="242" w:lineRule="auto"/>
        <w:tabs>
          <w:tab w:leader="none" w:pos="1620" w:val="left"/>
        </w:tabs>
        <w:rPr>
          <w:sz w:val="20"/>
          <w:szCs w:val="20"/>
          <w:color w:val="auto"/>
        </w:rPr>
      </w:pPr>
      <w:r>
        <w:rPr>
          <w:rFonts w:ascii="Arial" w:cs="Arial" w:eastAsia="Arial" w:hAnsi="Arial"/>
          <w:sz w:val="17"/>
          <w:szCs w:val="17"/>
          <w:color w:val="auto"/>
        </w:rPr>
        <w:t>Level 2</w:t>
      </w:r>
      <w:r>
        <w:rPr>
          <w:sz w:val="20"/>
          <w:szCs w:val="20"/>
          <w:color w:val="auto"/>
        </w:rPr>
        <w:tab/>
      </w:r>
      <w:r>
        <w:rPr>
          <w:rFonts w:ascii="Arial" w:cs="Arial" w:eastAsia="Arial" w:hAnsi="Arial"/>
          <w:sz w:val="17"/>
          <w:szCs w:val="17"/>
          <w:color w:val="auto"/>
        </w:rPr>
        <w:t>Pricing inputs that include quoted prices for similar assets and liabilities in active markets and inputs that are observable for the asset or liability, either directly or indirectly, for substantially the full term of the derivative instrument; and</w:t>
      </w:r>
    </w:p>
    <w:p>
      <w:pPr>
        <w:spacing w:after="0" w:line="100" w:lineRule="exact"/>
        <w:rPr>
          <w:sz w:val="20"/>
          <w:szCs w:val="20"/>
          <w:color w:val="auto"/>
        </w:rPr>
      </w:pPr>
    </w:p>
    <w:p>
      <w:pPr>
        <w:ind w:left="600"/>
        <w:spacing w:after="0"/>
        <w:tabs>
          <w:tab w:leader="none" w:pos="1620" w:val="left"/>
        </w:tabs>
        <w:rPr>
          <w:sz w:val="20"/>
          <w:szCs w:val="20"/>
          <w:color w:val="auto"/>
        </w:rPr>
      </w:pPr>
      <w:r>
        <w:rPr>
          <w:rFonts w:ascii="Arial" w:cs="Arial" w:eastAsia="Arial" w:hAnsi="Arial"/>
          <w:sz w:val="17"/>
          <w:szCs w:val="17"/>
          <w:color w:val="auto"/>
        </w:rPr>
        <w:t>Level 3</w:t>
      </w:r>
      <w:r>
        <w:rPr>
          <w:sz w:val="20"/>
          <w:szCs w:val="20"/>
          <w:color w:val="auto"/>
        </w:rPr>
        <w:tab/>
      </w:r>
      <w:r>
        <w:rPr>
          <w:rFonts w:ascii="Arial" w:cs="Arial" w:eastAsia="Arial" w:hAnsi="Arial"/>
          <w:sz w:val="16"/>
          <w:szCs w:val="16"/>
          <w:color w:val="auto"/>
        </w:rPr>
        <w:t>Prices or valuations that require inputs that are both significant to the fair value measurements and unobservable.</w:t>
      </w:r>
    </w:p>
    <w:p>
      <w:pPr>
        <w:spacing w:after="0" w:line="198" w:lineRule="exact"/>
        <w:rPr>
          <w:sz w:val="20"/>
          <w:szCs w:val="20"/>
          <w:color w:val="auto"/>
        </w:rPr>
      </w:pPr>
    </w:p>
    <w:p>
      <w:pPr>
        <w:ind w:right="80" w:firstLine="589"/>
        <w:spacing w:after="0" w:line="237" w:lineRule="auto"/>
        <w:rPr>
          <w:sz w:val="20"/>
          <w:szCs w:val="20"/>
          <w:color w:val="auto"/>
        </w:rPr>
      </w:pPr>
      <w:r>
        <w:rPr>
          <w:rFonts w:ascii="Arial" w:cs="Arial" w:eastAsia="Arial" w:hAnsi="Arial"/>
          <w:sz w:val="17"/>
          <w:szCs w:val="17"/>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73" w:lineRule="exact"/>
        <w:rPr>
          <w:sz w:val="20"/>
          <w:szCs w:val="20"/>
          <w:color w:val="auto"/>
        </w:rPr>
      </w:pPr>
    </w:p>
    <w:p>
      <w:pPr>
        <w:ind w:right="180" w:firstLine="589"/>
        <w:spacing w:after="0" w:line="264" w:lineRule="auto"/>
        <w:rPr>
          <w:sz w:val="20"/>
          <w:szCs w:val="20"/>
          <w:color w:val="auto"/>
        </w:rPr>
      </w:pPr>
      <w:r>
        <w:rPr>
          <w:rFonts w:ascii="Arial" w:cs="Arial" w:eastAsia="Arial" w:hAnsi="Arial"/>
          <w:sz w:val="17"/>
          <w:szCs w:val="17"/>
          <w:color w:val="auto"/>
        </w:rPr>
        <w:t>The following table sets forth assets associated with the pension plan in “Note 16—</w:t>
      </w:r>
      <w:r>
        <w:rPr>
          <w:rFonts w:ascii="Arial" w:cs="Arial" w:eastAsia="Arial" w:hAnsi="Arial"/>
          <w:sz w:val="17"/>
          <w:szCs w:val="17"/>
          <w:i w:val="1"/>
          <w:iCs w:val="1"/>
          <w:color w:val="auto"/>
        </w:rPr>
        <w:t>Retirement and Other Benefits Plans</w:t>
      </w:r>
      <w:r>
        <w:rPr>
          <w:rFonts w:ascii="Arial" w:cs="Arial" w:eastAsia="Arial" w:hAnsi="Arial"/>
          <w:sz w:val="17"/>
          <w:szCs w:val="17"/>
          <w:color w:val="auto"/>
        </w:rPr>
        <w:t>” that are accounted for at fair value by Level within the fair value hierarchy.</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Fair value as of December 31, 2021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940" w:type="dxa"/>
            <w:vAlign w:val="bottom"/>
            <w:tcBorders>
              <w:bottom w:val="single" w:sz="8" w:color="CFF0FC"/>
            </w:tcBorders>
          </w:tcPr>
          <w:p>
            <w:pPr>
              <w:spacing w:after="0"/>
              <w:rPr>
                <w:sz w:val="14"/>
                <w:szCs w:val="14"/>
                <w:color w:val="auto"/>
              </w:rPr>
            </w:pPr>
          </w:p>
        </w:tc>
        <w:tc>
          <w:tcPr>
            <w:tcW w:w="90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Level 1</w:t>
            </w: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FF0FC"/>
            </w:tcBorders>
            <w:gridSpan w:val="2"/>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40" w:type="dxa"/>
            <w:vAlign w:val="bottom"/>
            <w:shd w:val="clear" w:color="auto" w:fill="CFF0FC"/>
          </w:tcPr>
          <w:p>
            <w:pPr>
              <w:spacing w:after="0"/>
              <w:rPr>
                <w:sz w:val="20"/>
                <w:szCs w:val="20"/>
                <w:color w:val="auto"/>
              </w:rPr>
            </w:pPr>
            <w:r>
              <w:rPr>
                <w:rFonts w:ascii="Arial" w:cs="Arial" w:eastAsia="Arial" w:hAnsi="Arial"/>
                <w:sz w:val="17"/>
                <w:szCs w:val="17"/>
                <w:color w:val="auto"/>
              </w:rPr>
              <w:t>Mutual funds</w:t>
            </w:r>
          </w:p>
        </w:tc>
        <w:tc>
          <w:tcPr>
            <w:tcW w:w="1120" w:type="dxa"/>
            <w:vAlign w:val="bottom"/>
            <w:gridSpan w:val="3"/>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2,951</w:t>
            </w:r>
          </w:p>
        </w:tc>
        <w:tc>
          <w:tcPr>
            <w:tcW w:w="20" w:type="dxa"/>
            <w:vAlign w:val="bottom"/>
            <w:shd w:val="clear" w:color="auto" w:fill="CFF0FC"/>
          </w:tcPr>
          <w:p>
            <w:pPr>
              <w:spacing w:after="0"/>
              <w:rPr>
                <w:sz w:val="17"/>
                <w:szCs w:val="17"/>
                <w:color w:val="auto"/>
              </w:rPr>
            </w:pPr>
          </w:p>
        </w:tc>
        <w:tc>
          <w:tcPr>
            <w:tcW w:w="440" w:type="dxa"/>
            <w:vAlign w:val="bottom"/>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gridSpan w:val="3"/>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FF0FC"/>
          </w:tcPr>
          <w:p>
            <w:pPr>
              <w:ind w:left="740"/>
              <w:spacing w:after="0"/>
              <w:rPr>
                <w:sz w:val="20"/>
                <w:szCs w:val="20"/>
                <w:color w:val="auto"/>
              </w:rPr>
            </w:pPr>
            <w:r>
              <w:rPr>
                <w:rFonts w:ascii="Arial" w:cs="Arial" w:eastAsia="Arial" w:hAnsi="Arial"/>
                <w:sz w:val="17"/>
                <w:szCs w:val="17"/>
                <w:color w:val="auto"/>
              </w:rPr>
              <w:t>—</w:t>
            </w:r>
          </w:p>
        </w:tc>
        <w:tc>
          <w:tcPr>
            <w:tcW w:w="480" w:type="dxa"/>
            <w:vAlign w:val="bottom"/>
            <w:gridSpan w:val="3"/>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2,951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Arial" w:cs="Arial" w:eastAsia="Arial" w:hAnsi="Arial"/>
                <w:sz w:val="17"/>
                <w:szCs w:val="17"/>
                <w:color w:val="auto"/>
              </w:rPr>
              <w:t>Fixed income</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9,813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ind w:left="7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9,813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900" w:type="dxa"/>
            <w:vAlign w:val="bottom"/>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489</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3,440</w:t>
            </w:r>
          </w:p>
        </w:tc>
        <w:tc>
          <w:tcPr>
            <w:tcW w:w="20" w:type="dxa"/>
            <w:vAlign w:val="bottom"/>
          </w:tcPr>
          <w:p>
            <w:pPr>
              <w:spacing w:after="0"/>
              <w:rPr>
                <w:sz w:val="17"/>
                <w:szCs w:val="17"/>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9,813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940" w:type="dxa"/>
            <w:vAlign w:val="bottom"/>
          </w:tcPr>
          <w:p>
            <w:pPr>
              <w:ind w:left="740"/>
              <w:spacing w:after="0"/>
              <w:rPr>
                <w:sz w:val="20"/>
                <w:szCs w:val="20"/>
                <w:color w:val="auto"/>
              </w:rPr>
            </w:pPr>
            <w:r>
              <w:rPr>
                <w:rFonts w:ascii="Arial" w:cs="Arial" w:eastAsia="Arial" w:hAnsi="Arial"/>
                <w:sz w:val="17"/>
                <w:szCs w:val="17"/>
                <w:color w:val="auto"/>
              </w:rPr>
              <w:t>—</w:t>
            </w:r>
          </w:p>
        </w:tc>
        <w:tc>
          <w:tcPr>
            <w:tcW w:w="4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13,253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ind w:left="600"/>
              <w:spacing w:after="0"/>
              <w:rPr>
                <w:sz w:val="20"/>
                <w:szCs w:val="20"/>
                <w:color w:val="auto"/>
              </w:rPr>
            </w:pPr>
            <w:r>
              <w:rPr>
                <w:rFonts w:ascii="Arial" w:cs="Arial" w:eastAsia="Arial" w:hAnsi="Arial"/>
                <w:sz w:val="17"/>
                <w:szCs w:val="17"/>
                <w:color w:val="auto"/>
              </w:rPr>
              <w:t>Fair value as of December 31, 2020 (in thousands):</w:t>
            </w:r>
          </w:p>
        </w:tc>
        <w:tc>
          <w:tcPr>
            <w:tcW w:w="9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9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940" w:type="dxa"/>
            <w:vAlign w:val="bottom"/>
            <w:tcBorders>
              <w:bottom w:val="single" w:sz="8" w:color="CFF0FC"/>
            </w:tcBorders>
          </w:tcPr>
          <w:p>
            <w:pPr>
              <w:spacing w:after="0"/>
              <w:rPr>
                <w:sz w:val="24"/>
                <w:szCs w:val="24"/>
                <w:color w:val="auto"/>
              </w:rPr>
            </w:pPr>
          </w:p>
        </w:tc>
        <w:tc>
          <w:tcPr>
            <w:tcW w:w="90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940" w:type="dxa"/>
            <w:vAlign w:val="bottom"/>
            <w:shd w:val="clear" w:color="auto" w:fill="CFF0FC"/>
          </w:tcPr>
          <w:p>
            <w:pPr>
              <w:spacing w:after="0"/>
              <w:rPr>
                <w:sz w:val="20"/>
                <w:szCs w:val="20"/>
                <w:color w:val="auto"/>
              </w:rPr>
            </w:pPr>
            <w:r>
              <w:rPr>
                <w:rFonts w:ascii="Arial" w:cs="Arial" w:eastAsia="Arial" w:hAnsi="Arial"/>
                <w:sz w:val="17"/>
                <w:szCs w:val="17"/>
                <w:color w:val="auto"/>
              </w:rPr>
              <w:t>Mutual funds</w:t>
            </w:r>
          </w:p>
        </w:tc>
        <w:tc>
          <w:tcPr>
            <w:tcW w:w="112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2,847</w:t>
            </w:r>
          </w:p>
        </w:tc>
        <w:tc>
          <w:tcPr>
            <w:tcW w:w="440" w:type="dxa"/>
            <w:vAlign w:val="bottom"/>
            <w:gridSpan w:val="3"/>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160" w:type="dxa"/>
            <w:vAlign w:val="bottom"/>
            <w:gridSpan w:val="3"/>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FF0FC"/>
          </w:tcPr>
          <w:p>
            <w:pPr>
              <w:ind w:left="76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2,847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Arial" w:cs="Arial" w:eastAsia="Arial" w:hAnsi="Arial"/>
                <w:sz w:val="17"/>
                <w:szCs w:val="17"/>
                <w:color w:val="auto"/>
              </w:rPr>
              <w:t>Fixed income</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10,615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ind w:left="76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10,615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9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571</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ind w:left="76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3,418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10,615</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14,033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1"/>
        </w:trPr>
        <w:tc>
          <w:tcPr>
            <w:tcW w:w="4940" w:type="dxa"/>
            <w:vAlign w:val="bottom"/>
          </w:tcPr>
          <w:p>
            <w:pPr>
              <w:spacing w:after="0"/>
              <w:rPr>
                <w:sz w:val="24"/>
                <w:szCs w:val="24"/>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7"/>
                <w:szCs w:val="17"/>
                <w:color w:val="auto"/>
              </w:rPr>
              <w:t>F-51</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9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8">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9">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198" w:lineRule="exact"/>
        <w:rPr>
          <w:sz w:val="20"/>
          <w:szCs w:val="20"/>
          <w:color w:val="auto"/>
        </w:rPr>
      </w:pPr>
    </w:p>
    <w:p>
      <w:pPr>
        <w:ind w:right="20" w:firstLine="589"/>
        <w:spacing w:after="0" w:line="241" w:lineRule="auto"/>
        <w:rPr>
          <w:sz w:val="20"/>
          <w:szCs w:val="20"/>
          <w:color w:val="auto"/>
        </w:rPr>
      </w:pPr>
      <w:r>
        <w:rPr>
          <w:rFonts w:ascii="Arial" w:cs="Arial" w:eastAsia="Arial" w:hAnsi="Arial"/>
          <w:sz w:val="17"/>
          <w:szCs w:val="17"/>
          <w:color w:val="auto"/>
        </w:rPr>
        <w:t>As described in “Note 16—</w:t>
      </w:r>
      <w:r>
        <w:rPr>
          <w:rFonts w:ascii="Arial" w:cs="Arial" w:eastAsia="Arial" w:hAnsi="Arial"/>
          <w:sz w:val="17"/>
          <w:szCs w:val="17"/>
          <w:i w:val="1"/>
          <w:iCs w:val="1"/>
          <w:color w:val="auto"/>
        </w:rPr>
        <w:t>Retirement and Other Benefits Plans</w:t>
      </w:r>
      <w:r>
        <w:rPr>
          <w:rFonts w:ascii="Arial" w:cs="Arial" w:eastAsia="Arial" w:hAnsi="Arial"/>
          <w:sz w:val="17"/>
          <w:szCs w:val="17"/>
          <w:color w:val="auto"/>
        </w:rPr>
        <w:t>”, the Company acquired a defined contribution pension plan, a defined benefit pension plan, and supplemental retirement plans. At December 31, 2021 and December 31, 2020, the Company measured the mutual funds held within the defined benefit pension plan at fair value using unadjusted quoted prices in active markets that are accessible for identical assets. The Company measured the fixed income securities using market bid and ask prices. The inputs that are significant to the valuation of fixed income securities are generally observable, and therefore have been classified as Level 2.</w:t>
      </w:r>
    </w:p>
    <w:p>
      <w:pPr>
        <w:spacing w:after="0" w:line="203" w:lineRule="exact"/>
        <w:rPr>
          <w:sz w:val="20"/>
          <w:szCs w:val="20"/>
          <w:color w:val="auto"/>
        </w:rPr>
      </w:pPr>
    </w:p>
    <w:p>
      <w:pPr>
        <w:ind w:right="140" w:firstLine="589"/>
        <w:spacing w:after="0" w:line="237" w:lineRule="auto"/>
        <w:rPr>
          <w:sz w:val="20"/>
          <w:szCs w:val="20"/>
          <w:color w:val="auto"/>
        </w:rPr>
      </w:pPr>
      <w:r>
        <w:rPr>
          <w:rFonts w:ascii="Arial" w:cs="Arial" w:eastAsia="Arial" w:hAnsi="Arial"/>
          <w:sz w:val="17"/>
          <w:szCs w:val="17"/>
          <w:color w:val="auto"/>
        </w:rPr>
        <w:t>With respect to equity-based compensation, we estimate the fair value of cash settled awards based on the 60-trading day weighted average closing price of the Company’s common stock on the NYSE at the end of each reporting period and on the vesting date. For restricted stock units containing service conditions or service and performance conditions, fair value is based on the closing stock price of a share of the Company’s common stock on the NYSE on the grant date.</w:t>
      </w:r>
    </w:p>
    <w:p>
      <w:pPr>
        <w:spacing w:after="0" w:line="83" w:lineRule="exact"/>
        <w:rPr>
          <w:sz w:val="20"/>
          <w:szCs w:val="20"/>
          <w:color w:val="auto"/>
        </w:rPr>
      </w:pPr>
    </w:p>
    <w:p>
      <w:pPr>
        <w:ind w:left="580" w:hanging="579"/>
        <w:spacing w:after="0"/>
        <w:tabs>
          <w:tab w:leader="none" w:pos="580"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116" w:lineRule="exact"/>
        <w:rPr>
          <w:sz w:val="20"/>
          <w:szCs w:val="20"/>
          <w:color w:val="auto"/>
        </w:rPr>
      </w:pPr>
    </w:p>
    <w:p>
      <w:pPr>
        <w:ind w:right="60" w:firstLine="833"/>
        <w:spacing w:after="0" w:line="236" w:lineRule="auto"/>
        <w:rPr>
          <w:sz w:val="20"/>
          <w:szCs w:val="20"/>
          <w:color w:val="auto"/>
        </w:rPr>
      </w:pPr>
      <w:r>
        <w:rPr>
          <w:rFonts w:ascii="Arial" w:cs="Arial" w:eastAsia="Arial" w:hAnsi="Arial"/>
          <w:sz w:val="17"/>
          <w:szCs w:val="17"/>
          <w:color w:val="auto"/>
        </w:rPr>
        <w:t>The tables below reconcile the denominator and numerator used to compute basic earnings per share (“EPS”) to the denominator and numerator used to compute diluted EPS for the years ended December 31, 2021, December 31, 2020 and December 31, 2019. Basic EPS is computed using the weighted average number of shares outstanding during the period and income available to shareholders. Diluted EPS is computed similar to basic EPS, except the income available to shareholders is adjusted to add back interest expense, after tax, related to the Convertible Senior Note, and the weighted average number of shares outstanding is adjusted to reflect the dilutive effects of equity-based awards and shares underlying the Convertible Senior Note.</w:t>
      </w:r>
    </w:p>
    <w:p>
      <w:pPr>
        <w:spacing w:after="0" w:line="178" w:lineRule="exact"/>
        <w:rPr>
          <w:sz w:val="20"/>
          <w:szCs w:val="20"/>
          <w:color w:val="auto"/>
        </w:rPr>
      </w:pPr>
    </w:p>
    <w:p>
      <w:pPr>
        <w:ind w:firstLine="516"/>
        <w:spacing w:after="0" w:line="236" w:lineRule="auto"/>
        <w:rPr>
          <w:sz w:val="20"/>
          <w:szCs w:val="20"/>
          <w:color w:val="auto"/>
        </w:rPr>
      </w:pPr>
      <w:r>
        <w:rPr>
          <w:rFonts w:ascii="Arial" w:cs="Arial" w:eastAsia="Arial" w:hAnsi="Arial"/>
          <w:sz w:val="17"/>
          <w:szCs w:val="17"/>
          <w:color w:val="auto"/>
        </w:rPr>
        <w:t>Convertible Senior Note dilution impact is calculated using the if-converted method which was required upon adoption of ASU 2020-06. As a result, the Company elected to adopt the if-converted method during the third quarter of 2020. In connection with the offerings of our note, the Company entered into a convertible note hedge and warrants (see Note 12 Debt and Credit Facilities); however, the convertible note hedge is not considered when calculating dilutive shares given its impact is anti-dilutive. The impact of the bond hedge would offset the dilutive impact of the shares underlying the Convertible Senior Note. The warrants have a strike price above our average share price during the period and are out of the money and not included in the tables below.</w:t>
      </w:r>
    </w:p>
    <w:p>
      <w:pPr>
        <w:spacing w:after="0" w:line="89" w:lineRule="exact"/>
        <w:rPr>
          <w:sz w:val="20"/>
          <w:szCs w:val="20"/>
          <w:color w:val="auto"/>
        </w:rPr>
      </w:pPr>
    </w:p>
    <w:p>
      <w:pPr>
        <w:ind w:right="180" w:firstLine="833"/>
        <w:spacing w:after="0" w:line="256" w:lineRule="auto"/>
        <w:rPr>
          <w:sz w:val="20"/>
          <w:szCs w:val="20"/>
          <w:color w:val="auto"/>
        </w:rPr>
      </w:pPr>
      <w:r>
        <w:rPr>
          <w:rFonts w:ascii="Arial" w:cs="Arial" w:eastAsia="Arial" w:hAnsi="Arial"/>
          <w:sz w:val="16"/>
          <w:szCs w:val="16"/>
          <w:color w:val="auto"/>
        </w:rPr>
        <w:t>Dilutive potential common shares include, when circumstances require, shares the Company could be obligated to issue from its Convertible Senior Notes and warrants (see Note 12 for further discussion) and stock-based awards. Shares to be provided to the Company from its bond hedge purchased concurrently with the issuance of Convertible Senior Notes are anti-dilutive and are not included in its diluted shares. Anti-dilutive stock-based awards excluded from the calculation of earnings per share for the years ended December 31, 2021, December 31, 2020,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2019 were 11,986, 5,327, and 0, respectively. In addition, the convertible senior notes were anti-dilutive and excluded for 2020.</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weighted average number of shares used to compute basic and diluted EPS were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820" w:type="dxa"/>
            <w:vAlign w:val="bottom"/>
            <w:tcBorders>
              <w:bottom w:val="single" w:sz="8" w:color="CFF0FC"/>
            </w:tcBorders>
          </w:tcPr>
          <w:p>
            <w:pPr>
              <w:spacing w:after="0"/>
              <w:rPr>
                <w:sz w:val="14"/>
                <w:szCs w:val="14"/>
                <w:color w:val="auto"/>
              </w:rPr>
            </w:pPr>
          </w:p>
        </w:tc>
        <w:tc>
          <w:tcPr>
            <w:tcW w:w="186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08"/>
        </w:trPr>
        <w:tc>
          <w:tcPr>
            <w:tcW w:w="4820" w:type="dxa"/>
            <w:vAlign w:val="bottom"/>
            <w:shd w:val="clear" w:color="auto" w:fill="CFF0FC"/>
          </w:tcPr>
          <w:p>
            <w:pPr>
              <w:spacing w:after="0"/>
              <w:rPr>
                <w:sz w:val="20"/>
                <w:szCs w:val="20"/>
                <w:color w:val="auto"/>
              </w:rPr>
            </w:pPr>
            <w:r>
              <w:rPr>
                <w:rFonts w:ascii="Arial" w:cs="Arial" w:eastAsia="Arial" w:hAnsi="Arial"/>
                <w:sz w:val="17"/>
                <w:szCs w:val="17"/>
                <w:color w:val="auto"/>
              </w:rPr>
              <w:t>Basic weighted average number of shares outstanding</w:t>
            </w:r>
          </w:p>
        </w:tc>
        <w:tc>
          <w:tcPr>
            <w:tcW w:w="3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102,544</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100,848</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92,419</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7"/>
                <w:szCs w:val="17"/>
                <w:color w:val="auto"/>
              </w:rPr>
              <w:t>Stock-based awards</w:t>
            </w:r>
          </w:p>
        </w:tc>
        <w:tc>
          <w:tcPr>
            <w:tcW w:w="3180" w:type="dxa"/>
            <w:vAlign w:val="bottom"/>
            <w:gridSpan w:val="2"/>
          </w:tcPr>
          <w:p>
            <w:pPr>
              <w:jc w:val="right"/>
              <w:spacing w:after="0"/>
              <w:rPr>
                <w:sz w:val="20"/>
                <w:szCs w:val="20"/>
                <w:color w:val="auto"/>
              </w:rPr>
            </w:pPr>
            <w:r>
              <w:rPr>
                <w:rFonts w:ascii="Arial" w:cs="Arial" w:eastAsia="Arial" w:hAnsi="Arial"/>
                <w:sz w:val="17"/>
                <w:szCs w:val="17"/>
                <w:color w:val="auto"/>
              </w:rPr>
              <w:t>666</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357</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334</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spacing w:after="0"/>
              <w:rPr>
                <w:sz w:val="20"/>
                <w:szCs w:val="20"/>
                <w:color w:val="auto"/>
              </w:rPr>
            </w:pPr>
            <w:r>
              <w:rPr>
                <w:rFonts w:ascii="Arial" w:cs="Arial" w:eastAsia="Arial" w:hAnsi="Arial"/>
                <w:sz w:val="17"/>
                <w:szCs w:val="17"/>
                <w:color w:val="auto"/>
              </w:rPr>
              <w:t>Convertible senior notes</w:t>
            </w:r>
          </w:p>
        </w:tc>
        <w:tc>
          <w:tcPr>
            <w:tcW w:w="1860" w:type="dxa"/>
            <w:vAlign w:val="bottom"/>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8,917</w:t>
            </w:r>
          </w:p>
        </w:tc>
        <w:tc>
          <w:tcPr>
            <w:tcW w:w="260" w:type="dxa"/>
            <w:vAlign w:val="bottom"/>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r>
      <w:tr>
        <w:trPr>
          <w:trHeight w:val="208"/>
        </w:trPr>
        <w:tc>
          <w:tcPr>
            <w:tcW w:w="4820" w:type="dxa"/>
            <w:vAlign w:val="bottom"/>
          </w:tcPr>
          <w:p>
            <w:pPr>
              <w:spacing w:after="0"/>
              <w:rPr>
                <w:sz w:val="20"/>
                <w:szCs w:val="20"/>
                <w:color w:val="auto"/>
              </w:rPr>
            </w:pPr>
            <w:r>
              <w:rPr>
                <w:rFonts w:ascii="Arial" w:cs="Arial" w:eastAsia="Arial" w:hAnsi="Arial"/>
                <w:sz w:val="17"/>
                <w:szCs w:val="17"/>
                <w:color w:val="auto"/>
              </w:rPr>
              <w:t>Diluted weighted average number of shares outstanding</w:t>
            </w:r>
          </w:p>
        </w:tc>
        <w:tc>
          <w:tcPr>
            <w:tcW w:w="3180" w:type="dxa"/>
            <w:vAlign w:val="bottom"/>
            <w:gridSpan w:val="2"/>
          </w:tcPr>
          <w:p>
            <w:pPr>
              <w:jc w:val="right"/>
              <w:spacing w:after="0"/>
              <w:rPr>
                <w:sz w:val="20"/>
                <w:szCs w:val="20"/>
                <w:color w:val="auto"/>
              </w:rPr>
            </w:pPr>
            <w:r>
              <w:rPr>
                <w:rFonts w:ascii="Arial" w:cs="Arial" w:eastAsia="Arial" w:hAnsi="Arial"/>
                <w:sz w:val="17"/>
                <w:szCs w:val="17"/>
                <w:color w:val="auto"/>
              </w:rPr>
              <w:t>112,127</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101,205</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92,753</w:t>
            </w:r>
          </w:p>
        </w:tc>
        <w:tc>
          <w:tcPr>
            <w:tcW w:w="100" w:type="dxa"/>
            <w:vAlign w:val="bottom"/>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3"/>
        </w:trPr>
        <w:tc>
          <w:tcPr>
            <w:tcW w:w="4820" w:type="dxa"/>
            <w:vAlign w:val="bottom"/>
          </w:tcPr>
          <w:p>
            <w:pPr>
              <w:spacing w:after="0"/>
              <w:rPr>
                <w:sz w:val="24"/>
                <w:szCs w:val="24"/>
                <w:color w:val="auto"/>
              </w:rPr>
            </w:pPr>
          </w:p>
        </w:tc>
        <w:tc>
          <w:tcPr>
            <w:tcW w:w="3440" w:type="dxa"/>
            <w:vAlign w:val="bottom"/>
            <w:gridSpan w:val="3"/>
          </w:tcPr>
          <w:p>
            <w:pPr>
              <w:ind w:left="640"/>
              <w:spacing w:after="0"/>
              <w:rPr>
                <w:sz w:val="20"/>
                <w:szCs w:val="20"/>
                <w:color w:val="auto"/>
              </w:rPr>
            </w:pPr>
            <w:r>
              <w:rPr>
                <w:rFonts w:ascii="Arial" w:cs="Arial" w:eastAsia="Arial" w:hAnsi="Arial"/>
                <w:sz w:val="17"/>
                <w:szCs w:val="17"/>
                <w:color w:val="auto"/>
              </w:rPr>
              <w:t>F-52</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5"/>
        </w:trPr>
        <w:tc>
          <w:tcPr>
            <w:tcW w:w="482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2">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net income available to shareholders to compute basic and diluted EPS were (in thousands):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68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196"/>
        </w:trPr>
        <w:tc>
          <w:tcPr>
            <w:tcW w:w="6680" w:type="dxa"/>
            <w:vAlign w:val="bottom"/>
            <w:shd w:val="clear" w:color="auto" w:fill="CFF0FC"/>
          </w:tcPr>
          <w:p>
            <w:pPr>
              <w:spacing w:after="0"/>
              <w:rPr>
                <w:sz w:val="20"/>
                <w:szCs w:val="20"/>
                <w:color w:val="auto"/>
              </w:rPr>
            </w:pPr>
            <w:r>
              <w:rPr>
                <w:rFonts w:ascii="Arial" w:cs="Arial" w:eastAsia="Arial" w:hAnsi="Arial"/>
                <w:sz w:val="17"/>
                <w:szCs w:val="17"/>
                <w:color w:val="auto"/>
              </w:rPr>
              <w:t>Net income attributable to Parsons Corporation</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64,072</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98,541</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120,534</w:t>
            </w:r>
          </w:p>
        </w:tc>
        <w:tc>
          <w:tcPr>
            <w:tcW w:w="100" w:type="dxa"/>
            <w:vAlign w:val="bottom"/>
            <w:shd w:val="clear" w:color="auto" w:fill="CFF0FC"/>
          </w:tcPr>
          <w:p>
            <w:pPr>
              <w:spacing w:after="0"/>
              <w:rPr>
                <w:sz w:val="17"/>
                <w:szCs w:val="17"/>
                <w:color w:val="auto"/>
              </w:rPr>
            </w:pPr>
          </w:p>
        </w:tc>
      </w:tr>
      <w:tr>
        <w:trPr>
          <w:trHeight w:val="203"/>
        </w:trPr>
        <w:tc>
          <w:tcPr>
            <w:tcW w:w="66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Convertible senior notes if-converted method interest adjustment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2,130</w:t>
            </w:r>
          </w:p>
        </w:tc>
        <w:tc>
          <w:tcPr>
            <w:tcW w:w="260" w:type="dxa"/>
            <w:vAlign w:val="bottom"/>
            <w:tcBorders>
              <w:bottom w:val="single" w:sz="8" w:color="CFF0FC"/>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7"/>
                <w:szCs w:val="17"/>
                <w:color w:val="auto"/>
              </w:rPr>
            </w:pPr>
          </w:p>
        </w:tc>
      </w:tr>
      <w:tr>
        <w:trPr>
          <w:trHeight w:val="196"/>
        </w:trPr>
        <w:tc>
          <w:tcPr>
            <w:tcW w:w="6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Diluted net income attributable to Parsons Corporation</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66,202</w:t>
            </w:r>
          </w:p>
        </w:tc>
        <w:tc>
          <w:tcPr>
            <w:tcW w:w="26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98,541</w:t>
            </w:r>
          </w:p>
        </w:tc>
        <w:tc>
          <w:tcPr>
            <w:tcW w:w="24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120,534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66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Repurchases</w:t>
      </w:r>
    </w:p>
    <w:p>
      <w:pPr>
        <w:spacing w:after="0" w:line="243" w:lineRule="exact"/>
        <w:rPr>
          <w:sz w:val="20"/>
          <w:szCs w:val="20"/>
          <w:color w:val="auto"/>
        </w:rPr>
      </w:pPr>
    </w:p>
    <w:p>
      <w:pPr>
        <w:ind w:right="100" w:firstLine="865"/>
        <w:spacing w:after="0" w:line="237" w:lineRule="auto"/>
        <w:rPr>
          <w:sz w:val="20"/>
          <w:szCs w:val="20"/>
          <w:color w:val="auto"/>
        </w:rPr>
      </w:pPr>
      <w:r>
        <w:rPr>
          <w:rFonts w:ascii="Arial" w:cs="Arial" w:eastAsia="Arial" w:hAnsi="Arial"/>
          <w:sz w:val="17"/>
          <w:szCs w:val="17"/>
          <w:color w:val="auto"/>
        </w:rPr>
        <w:t>In August 2021, the Company’s Board of Directors authorized a stock repurchase program to repurchase up to $100.0 million of shares of Common Stock. Repurchases under this stock repurchase program commenced on August 12, 2021. Any and all shares of Common Stock purchased by the Company pursuant to the program shall be retired upon their acquisition and shall not become treasury shares but instead shall resume the status of authorized but unissued shares of Common Stock. The table below presents information on this repurchase program:</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660" w:type="dxa"/>
            <w:vAlign w:val="bottom"/>
            <w:tcBorders>
              <w:bottom w:val="single" w:sz="8" w:color="CFF0FC"/>
            </w:tcBorders>
          </w:tcPr>
          <w:p>
            <w:pPr>
              <w:spacing w:after="0"/>
              <w:rPr>
                <w:sz w:val="14"/>
                <w:szCs w:val="14"/>
                <w:color w:val="auto"/>
              </w:rPr>
            </w:pPr>
          </w:p>
        </w:tc>
        <w:tc>
          <w:tcPr>
            <w:tcW w:w="350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7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r>
      <w:tr>
        <w:trPr>
          <w:trHeight w:val="196"/>
        </w:trPr>
        <w:tc>
          <w:tcPr>
            <w:tcW w:w="5660" w:type="dxa"/>
            <w:vAlign w:val="bottom"/>
            <w:shd w:val="clear" w:color="auto" w:fill="CFF0FC"/>
          </w:tcPr>
          <w:p>
            <w:pPr>
              <w:spacing w:after="0"/>
              <w:rPr>
                <w:sz w:val="20"/>
                <w:szCs w:val="20"/>
                <w:color w:val="auto"/>
              </w:rPr>
            </w:pPr>
            <w:r>
              <w:rPr>
                <w:rFonts w:ascii="Arial" w:cs="Arial" w:eastAsia="Arial" w:hAnsi="Arial"/>
                <w:sz w:val="17"/>
                <w:szCs w:val="17"/>
                <w:color w:val="auto"/>
              </w:rPr>
              <w:t>Total shares repurchased</w:t>
            </w:r>
          </w:p>
        </w:tc>
        <w:tc>
          <w:tcPr>
            <w:tcW w:w="35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618,533</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spacing w:after="0"/>
              <w:rPr>
                <w:sz w:val="20"/>
                <w:szCs w:val="20"/>
                <w:color w:val="auto"/>
              </w:rPr>
            </w:pPr>
            <w:r>
              <w:rPr>
                <w:rFonts w:ascii="Arial" w:cs="Arial" w:eastAsia="Arial" w:hAnsi="Arial"/>
                <w:sz w:val="17"/>
                <w:szCs w:val="17"/>
                <w:color w:val="auto"/>
              </w:rPr>
              <w:t>Total shares retired</w:t>
            </w:r>
          </w:p>
        </w:tc>
        <w:tc>
          <w:tcPr>
            <w:tcW w:w="3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618,533</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spacing w:after="0"/>
              <w:rPr>
                <w:sz w:val="20"/>
                <w:szCs w:val="20"/>
                <w:color w:val="auto"/>
              </w:rPr>
            </w:pPr>
            <w:r>
              <w:rPr>
                <w:rFonts w:ascii="Arial" w:cs="Arial" w:eastAsia="Arial" w:hAnsi="Arial"/>
                <w:sz w:val="17"/>
                <w:szCs w:val="17"/>
                <w:color w:val="auto"/>
              </w:rPr>
              <w:t>Average price paid per share</w:t>
            </w:r>
          </w:p>
        </w:tc>
        <w:tc>
          <w:tcPr>
            <w:tcW w:w="396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35.08</w:t>
            </w:r>
          </w:p>
        </w:tc>
        <w:tc>
          <w:tcPr>
            <w:tcW w:w="100" w:type="dxa"/>
            <w:vAlign w:val="bottom"/>
            <w:shd w:val="clear" w:color="auto" w:fill="CFF0FC"/>
          </w:tcPr>
          <w:p>
            <w:pPr>
              <w:spacing w:after="0"/>
              <w:rPr>
                <w:sz w:val="17"/>
                <w:szCs w:val="17"/>
                <w:color w:val="auto"/>
              </w:rPr>
            </w:pPr>
          </w:p>
        </w:tc>
      </w:tr>
    </w:tbl>
    <w:p>
      <w:pPr>
        <w:spacing w:after="0" w:line="227"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As of December 31, 2021, the Company has $78.3 million remaining under the stock repurchase program.</w:t>
      </w:r>
    </w:p>
    <w:p>
      <w:pPr>
        <w:spacing w:after="0" w:line="89" w:lineRule="exact"/>
        <w:rPr>
          <w:sz w:val="20"/>
          <w:szCs w:val="20"/>
          <w:color w:val="auto"/>
        </w:rPr>
      </w:pPr>
    </w:p>
    <w:p>
      <w:pPr>
        <w:ind w:left="580" w:hanging="579"/>
        <w:spacing w:after="0"/>
        <w:tabs>
          <w:tab w:leader="none" w:pos="580"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Segments Information</w:t>
      </w:r>
    </w:p>
    <w:p>
      <w:pPr>
        <w:spacing w:after="0" w:line="116"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color w:val="auto"/>
        </w:rPr>
        <w:t>The Company operates in two reportable segments: Federal Solutions and Critical Infrastructure.</w:t>
      </w:r>
    </w:p>
    <w:p>
      <w:pPr>
        <w:spacing w:after="0" w:line="198" w:lineRule="exact"/>
        <w:rPr>
          <w:sz w:val="20"/>
          <w:szCs w:val="20"/>
          <w:color w:val="auto"/>
        </w:rPr>
      </w:pPr>
    </w:p>
    <w:p>
      <w:pPr>
        <w:ind w:right="440" w:firstLine="589"/>
        <w:spacing w:after="0" w:line="260" w:lineRule="auto"/>
        <w:rPr>
          <w:sz w:val="20"/>
          <w:szCs w:val="20"/>
          <w:color w:val="auto"/>
        </w:rPr>
      </w:pPr>
      <w:r>
        <w:rPr>
          <w:rFonts w:ascii="Arial" w:cs="Arial" w:eastAsia="Arial" w:hAnsi="Arial"/>
          <w:sz w:val="16"/>
          <w:szCs w:val="16"/>
          <w:color w:val="auto"/>
        </w:rPr>
        <w:t>The Federal Solutions segment provides advanced technical solutions to the U.S. government, delivering timely, cost-effective hardware, software and services for mission-critical projects. The segment provides advanced technologies, supporting national security missions in cybersecurity, missile defense, and military facility modernization, logistics support, hazardous material remediation and engineering services.</w:t>
      </w:r>
    </w:p>
    <w:p>
      <w:pPr>
        <w:spacing w:after="0" w:line="175" w:lineRule="exact"/>
        <w:rPr>
          <w:sz w:val="20"/>
          <w:szCs w:val="20"/>
          <w:color w:val="auto"/>
        </w:rPr>
      </w:pPr>
    </w:p>
    <w:p>
      <w:pPr>
        <w:ind w:right="20" w:firstLine="589"/>
        <w:spacing w:after="0" w:line="237" w:lineRule="auto"/>
        <w:rPr>
          <w:sz w:val="20"/>
          <w:szCs w:val="20"/>
          <w:color w:val="auto"/>
        </w:rPr>
      </w:pPr>
      <w:r>
        <w:rPr>
          <w:rFonts w:ascii="Arial" w:cs="Arial" w:eastAsia="Arial" w:hAnsi="Arial"/>
          <w:sz w:val="17"/>
          <w:szCs w:val="17"/>
          <w:color w:val="auto"/>
        </w:rPr>
        <w:t>The Critical Infrastructure segment provides integrated engineering and management services for complex physical and digital infrastructure around the globe. The Critical Infrastructure segment is a technology innovator focused on next generation digital systems and complex structures. Industry leading capabilities in engineering and project management allow the Company to deliver significant value to customers by employing cutting-edge technologies, improving timelines and reducing costs.</w:t>
      </w:r>
    </w:p>
    <w:p>
      <w:pPr>
        <w:spacing w:after="0" w:line="191" w:lineRule="exact"/>
        <w:rPr>
          <w:sz w:val="20"/>
          <w:szCs w:val="20"/>
          <w:color w:val="auto"/>
        </w:rPr>
      </w:pPr>
    </w:p>
    <w:p>
      <w:pPr>
        <w:ind w:right="240" w:firstLine="589"/>
        <w:spacing w:after="0" w:line="237" w:lineRule="auto"/>
        <w:rPr>
          <w:sz w:val="20"/>
          <w:szCs w:val="20"/>
          <w:color w:val="auto"/>
        </w:rPr>
      </w:pPr>
      <w:r>
        <w:rPr>
          <w:rFonts w:ascii="Arial" w:cs="Arial" w:eastAsia="Arial" w:hAnsi="Arial"/>
          <w:sz w:val="17"/>
          <w:szCs w:val="17"/>
          <w:color w:val="auto"/>
        </w:rPr>
        <w:t>The Company defines its reportable segments based on the way the chief operating decision maker (“CODM”), currently its Chief Executive Officer, evaluates the performance of each segment and manages the operations of the Company for purposes of allocating resources among the segments. The CODM evaluates segment operating performance using segment Revenue and segment Adjusted EBITDA attributable to Parsons Corporation.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summarizes business segment information for the periods presented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220" w:type="dxa"/>
            <w:vAlign w:val="bottom"/>
            <w:tcBorders>
              <w:bottom w:val="single" w:sz="8" w:color="CFF0FC"/>
            </w:tcBorders>
          </w:tcPr>
          <w:p>
            <w:pPr>
              <w:spacing w:after="0"/>
              <w:rPr>
                <w:sz w:val="14"/>
                <w:szCs w:val="14"/>
                <w:color w:val="auto"/>
              </w:rPr>
            </w:pPr>
          </w:p>
        </w:tc>
        <w:tc>
          <w:tcPr>
            <w:tcW w:w="24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196"/>
        </w:trPr>
        <w:tc>
          <w:tcPr>
            <w:tcW w:w="422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2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220" w:type="dxa"/>
            <w:vAlign w:val="bottom"/>
          </w:tcPr>
          <w:p>
            <w:pPr>
              <w:ind w:left="240"/>
              <w:spacing w:after="0"/>
              <w:rPr>
                <w:sz w:val="20"/>
                <w:szCs w:val="20"/>
                <w:color w:val="auto"/>
              </w:rPr>
            </w:pPr>
            <w:r>
              <w:rPr>
                <w:rFonts w:ascii="Arial" w:cs="Arial" w:eastAsia="Arial" w:hAnsi="Arial"/>
                <w:sz w:val="17"/>
                <w:szCs w:val="17"/>
                <w:color w:val="auto"/>
              </w:rPr>
              <w:t>Federal Solutions</w:t>
            </w:r>
          </w:p>
        </w:tc>
        <w:tc>
          <w:tcPr>
            <w:tcW w:w="2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1,888,050</w:t>
            </w: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1,911,910</w:t>
            </w:r>
          </w:p>
        </w:tc>
        <w:tc>
          <w:tcPr>
            <w:tcW w:w="260" w:type="dxa"/>
            <w:vAlign w:val="bottom"/>
          </w:tcPr>
          <w:p>
            <w:pPr>
              <w:spacing w:after="0"/>
              <w:rPr>
                <w:sz w:val="17"/>
                <w:szCs w:val="17"/>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1,887,907</w:t>
            </w:r>
          </w:p>
        </w:tc>
        <w:tc>
          <w:tcPr>
            <w:tcW w:w="100" w:type="dxa"/>
            <w:vAlign w:val="bottom"/>
          </w:tcPr>
          <w:p>
            <w:pPr>
              <w:spacing w:after="0"/>
              <w:rPr>
                <w:sz w:val="17"/>
                <w:szCs w:val="17"/>
                <w:color w:val="auto"/>
              </w:rPr>
            </w:pPr>
          </w:p>
        </w:tc>
      </w:tr>
      <w:tr>
        <w:trPr>
          <w:trHeight w:val="203"/>
        </w:trPr>
        <w:tc>
          <w:tcPr>
            <w:tcW w:w="42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Critical Infrastructure</w:t>
            </w:r>
          </w:p>
        </w:tc>
        <w:tc>
          <w:tcPr>
            <w:tcW w:w="24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1,772,721</w:t>
            </w:r>
          </w:p>
        </w:tc>
        <w:tc>
          <w:tcPr>
            <w:tcW w:w="24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2,007,036</w:t>
            </w:r>
          </w:p>
        </w:tc>
        <w:tc>
          <w:tcPr>
            <w:tcW w:w="2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2,066,905</w:t>
            </w:r>
          </w:p>
        </w:tc>
        <w:tc>
          <w:tcPr>
            <w:tcW w:w="100" w:type="dxa"/>
            <w:vAlign w:val="bottom"/>
            <w:shd w:val="clear" w:color="auto" w:fill="CFF0FC"/>
          </w:tcPr>
          <w:p>
            <w:pPr>
              <w:spacing w:after="0"/>
              <w:rPr>
                <w:sz w:val="17"/>
                <w:szCs w:val="17"/>
                <w:color w:val="auto"/>
              </w:rPr>
            </w:pPr>
          </w:p>
        </w:tc>
      </w:tr>
      <w:tr>
        <w:trPr>
          <w:trHeight w:val="196"/>
        </w:trPr>
        <w:tc>
          <w:tcPr>
            <w:tcW w:w="4220" w:type="dxa"/>
            <w:vAlign w:val="bottom"/>
          </w:tcPr>
          <w:p>
            <w:pPr>
              <w:spacing w:after="0"/>
              <w:rPr>
                <w:sz w:val="20"/>
                <w:szCs w:val="20"/>
                <w:color w:val="auto"/>
              </w:rPr>
            </w:pPr>
            <w:r>
              <w:rPr>
                <w:rFonts w:ascii="Arial" w:cs="Arial" w:eastAsia="Arial" w:hAnsi="Arial"/>
                <w:sz w:val="17"/>
                <w:szCs w:val="17"/>
                <w:color w:val="auto"/>
              </w:rPr>
              <w:t>Total revenues</w:t>
            </w:r>
          </w:p>
        </w:tc>
        <w:tc>
          <w:tcPr>
            <w:tcW w:w="2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3,660,771</w:t>
            </w: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3,918,946</w:t>
            </w:r>
          </w:p>
        </w:tc>
        <w:tc>
          <w:tcPr>
            <w:tcW w:w="260" w:type="dxa"/>
            <w:vAlign w:val="bottom"/>
          </w:tcPr>
          <w:p>
            <w:pPr>
              <w:spacing w:after="0"/>
              <w:rPr>
                <w:sz w:val="17"/>
                <w:szCs w:val="17"/>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3,954,812</w:t>
            </w:r>
          </w:p>
        </w:tc>
        <w:tc>
          <w:tcPr>
            <w:tcW w:w="100" w:type="dxa"/>
            <w:vAlign w:val="bottom"/>
          </w:tcPr>
          <w:p>
            <w:pPr>
              <w:spacing w:after="0"/>
              <w:rPr>
                <w:sz w:val="17"/>
                <w:szCs w:val="17"/>
                <w:color w:val="auto"/>
              </w:rPr>
            </w:pPr>
          </w:p>
        </w:tc>
      </w:tr>
      <w:tr>
        <w:trPr>
          <w:trHeight w:val="20"/>
        </w:trPr>
        <w:tc>
          <w:tcPr>
            <w:tcW w:w="4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7" w:lineRule="exact"/>
        <w:rPr>
          <w:sz w:val="20"/>
          <w:szCs w:val="20"/>
          <w:color w:val="auto"/>
        </w:rPr>
      </w:pPr>
    </w:p>
    <w:p>
      <w:pPr>
        <w:ind w:right="100" w:firstLine="589"/>
        <w:spacing w:after="0" w:line="235" w:lineRule="auto"/>
        <w:rPr>
          <w:sz w:val="20"/>
          <w:szCs w:val="20"/>
          <w:color w:val="auto"/>
        </w:rPr>
      </w:pPr>
      <w:r>
        <w:rPr>
          <w:rFonts w:ascii="Arial" w:cs="Arial" w:eastAsia="Arial" w:hAnsi="Arial"/>
          <w:sz w:val="17"/>
          <w:szCs w:val="17"/>
          <w:color w:val="auto"/>
        </w:rPr>
        <w:t>The Company defines Adjusted EBITDA attributable to Parsons Corporation as Adjusted EBITDA excluding Adjusted EBITDA attributable to noncontrolling interests. The Company defines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are not considered in the evaluation of ongoing operating performance. These other items include net income (loss) attributable to noncontrolling interests, asset impairment charges, income and expense recognized on litigation matters, expenses incurred in connection with acquisitions and other non-recurring transaction costs and expenses related to our prior restructuring. The following table summarizes business segment Adjusted EBITDA and a reconciliation to net income attributable to Parsons Corporation for the periods presented (in 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320" w:type="dxa"/>
            <w:vAlign w:val="bottom"/>
            <w:tcBorders>
              <w:bottom w:val="single" w:sz="8" w:color="CFF0FC"/>
            </w:tcBorders>
          </w:tcPr>
          <w:p>
            <w:pPr>
              <w:spacing w:after="0"/>
              <w:rPr>
                <w:sz w:val="14"/>
                <w:szCs w:val="14"/>
                <w:color w:val="auto"/>
              </w:rPr>
            </w:pPr>
          </w:p>
        </w:tc>
        <w:tc>
          <w:tcPr>
            <w:tcW w:w="13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08"/>
        </w:trPr>
        <w:tc>
          <w:tcPr>
            <w:tcW w:w="5320" w:type="dxa"/>
            <w:vAlign w:val="bottom"/>
            <w:shd w:val="clear" w:color="auto" w:fill="CFF0FC"/>
          </w:tcPr>
          <w:p>
            <w:pPr>
              <w:spacing w:after="0"/>
              <w:rPr>
                <w:sz w:val="20"/>
                <w:szCs w:val="20"/>
                <w:color w:val="auto"/>
              </w:rPr>
            </w:pPr>
            <w:r>
              <w:rPr>
                <w:rFonts w:ascii="Arial" w:cs="Arial" w:eastAsia="Arial" w:hAnsi="Arial"/>
                <w:sz w:val="17"/>
                <w:szCs w:val="17"/>
                <w:color w:val="auto"/>
              </w:rPr>
              <w:t>Adjusted EBITDA attributable to Parsons Corporation</w:t>
            </w: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320" w:type="dxa"/>
            <w:vAlign w:val="bottom"/>
          </w:tcPr>
          <w:p>
            <w:pPr>
              <w:ind w:left="240"/>
              <w:spacing w:after="0"/>
              <w:rPr>
                <w:sz w:val="20"/>
                <w:szCs w:val="20"/>
                <w:color w:val="auto"/>
              </w:rPr>
            </w:pPr>
            <w:r>
              <w:rPr>
                <w:rFonts w:ascii="Arial" w:cs="Arial" w:eastAsia="Arial" w:hAnsi="Arial"/>
                <w:sz w:val="17"/>
                <w:szCs w:val="17"/>
                <w:color w:val="auto"/>
              </w:rPr>
              <w:t>Federal Solutions</w:t>
            </w:r>
          </w:p>
        </w:tc>
        <w:tc>
          <w:tcPr>
            <w:tcW w:w="1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162,733</w:t>
            </w:r>
          </w:p>
        </w:tc>
        <w:tc>
          <w:tcPr>
            <w:tcW w:w="16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167,340</w:t>
            </w:r>
          </w:p>
        </w:tc>
        <w:tc>
          <w:tcPr>
            <w:tcW w:w="260" w:type="dxa"/>
            <w:vAlign w:val="bottom"/>
          </w:tcPr>
          <w:p>
            <w:pPr>
              <w:spacing w:after="0"/>
              <w:rPr>
                <w:sz w:val="17"/>
                <w:szCs w:val="17"/>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169,100</w:t>
            </w:r>
          </w:p>
        </w:tc>
        <w:tc>
          <w:tcPr>
            <w:tcW w:w="100" w:type="dxa"/>
            <w:vAlign w:val="bottom"/>
          </w:tcPr>
          <w:p>
            <w:pPr>
              <w:spacing w:after="0"/>
              <w:rPr>
                <w:sz w:val="17"/>
                <w:szCs w:val="17"/>
                <w:color w:val="auto"/>
              </w:rPr>
            </w:pPr>
          </w:p>
        </w:tc>
      </w:tr>
      <w:tr>
        <w:trPr>
          <w:trHeight w:val="203"/>
        </w:trPr>
        <w:tc>
          <w:tcPr>
            <w:tcW w:w="53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Critical Infrastructure</w:t>
            </w:r>
          </w:p>
        </w:tc>
        <w:tc>
          <w:tcPr>
            <w:tcW w:w="13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121,700</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154,528</w:t>
            </w:r>
          </w:p>
        </w:tc>
        <w:tc>
          <w:tcPr>
            <w:tcW w:w="2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138,851</w:t>
            </w:r>
          </w:p>
        </w:tc>
        <w:tc>
          <w:tcPr>
            <w:tcW w:w="100" w:type="dxa"/>
            <w:vAlign w:val="bottom"/>
            <w:shd w:val="clear" w:color="auto" w:fill="CFF0FC"/>
          </w:tcPr>
          <w:p>
            <w:pPr>
              <w:spacing w:after="0"/>
              <w:rPr>
                <w:sz w:val="17"/>
                <w:szCs w:val="17"/>
                <w:color w:val="auto"/>
              </w:rPr>
            </w:pPr>
          </w:p>
        </w:tc>
      </w:tr>
      <w:tr>
        <w:trPr>
          <w:trHeight w:val="195"/>
        </w:trPr>
        <w:tc>
          <w:tcPr>
            <w:tcW w:w="5320" w:type="dxa"/>
            <w:vAlign w:val="bottom"/>
          </w:tcPr>
          <w:p>
            <w:pPr>
              <w:spacing w:after="0"/>
              <w:rPr>
                <w:sz w:val="20"/>
                <w:szCs w:val="20"/>
                <w:color w:val="auto"/>
              </w:rPr>
            </w:pPr>
            <w:r>
              <w:rPr>
                <w:rFonts w:ascii="Arial" w:cs="Arial" w:eastAsia="Arial" w:hAnsi="Arial"/>
                <w:sz w:val="17"/>
                <w:szCs w:val="17"/>
                <w:color w:val="auto"/>
              </w:rPr>
              <w:t>Adjusted EBITDA attributable to Parsons</w:t>
            </w: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5320" w:type="dxa"/>
            <w:vAlign w:val="bottom"/>
          </w:tcPr>
          <w:p>
            <w:pPr>
              <w:ind w:left="140"/>
              <w:spacing w:after="0" w:line="191" w:lineRule="exact"/>
              <w:rPr>
                <w:sz w:val="20"/>
                <w:szCs w:val="20"/>
                <w:color w:val="auto"/>
              </w:rPr>
            </w:pPr>
            <w:r>
              <w:rPr>
                <w:rFonts w:ascii="Arial" w:cs="Arial" w:eastAsia="Arial" w:hAnsi="Arial"/>
                <w:sz w:val="17"/>
                <w:szCs w:val="17"/>
                <w:color w:val="auto"/>
              </w:rPr>
              <w:t>Corporation</w:t>
            </w: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line="191" w:lineRule="exact"/>
              <w:rPr>
                <w:sz w:val="20"/>
                <w:szCs w:val="20"/>
                <w:color w:val="auto"/>
              </w:rPr>
            </w:pPr>
            <w:r>
              <w:rPr>
                <w:rFonts w:ascii="Arial" w:cs="Arial" w:eastAsia="Arial" w:hAnsi="Arial"/>
                <w:sz w:val="17"/>
                <w:szCs w:val="17"/>
                <w:color w:val="auto"/>
              </w:rPr>
              <w:t>284,433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line="191" w:lineRule="exact"/>
              <w:rPr>
                <w:sz w:val="20"/>
                <w:szCs w:val="20"/>
                <w:color w:val="auto"/>
              </w:rPr>
            </w:pPr>
            <w:r>
              <w:rPr>
                <w:rFonts w:ascii="Arial" w:cs="Arial" w:eastAsia="Arial" w:hAnsi="Arial"/>
                <w:sz w:val="17"/>
                <w:szCs w:val="17"/>
                <w:color w:val="auto"/>
              </w:rPr>
              <w:t>321,868</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line="191" w:lineRule="exact"/>
              <w:rPr>
                <w:sz w:val="20"/>
                <w:szCs w:val="20"/>
                <w:color w:val="auto"/>
              </w:rPr>
            </w:pPr>
            <w:r>
              <w:rPr>
                <w:rFonts w:ascii="Arial" w:cs="Arial" w:eastAsia="Arial" w:hAnsi="Arial"/>
                <w:sz w:val="17"/>
                <w:szCs w:val="17"/>
                <w:color w:val="auto"/>
              </w:rPr>
              <w:t>307,951</w:t>
            </w:r>
          </w:p>
        </w:tc>
        <w:tc>
          <w:tcPr>
            <w:tcW w:w="100" w:type="dxa"/>
            <w:vAlign w:val="bottom"/>
          </w:tcPr>
          <w:p>
            <w:pPr>
              <w:spacing w:after="0"/>
              <w:rPr>
                <w:sz w:val="16"/>
                <w:szCs w:val="16"/>
                <w:color w:val="auto"/>
              </w:rPr>
            </w:pPr>
          </w:p>
        </w:tc>
      </w:tr>
      <w:tr>
        <w:trPr>
          <w:trHeight w:val="202"/>
        </w:trPr>
        <w:tc>
          <w:tcPr>
            <w:tcW w:w="5320" w:type="dxa"/>
            <w:vAlign w:val="bottom"/>
            <w:shd w:val="clear" w:color="auto" w:fill="CFF0FC"/>
          </w:tcPr>
          <w:p>
            <w:pPr>
              <w:spacing w:after="0"/>
              <w:rPr>
                <w:sz w:val="20"/>
                <w:szCs w:val="20"/>
                <w:color w:val="auto"/>
              </w:rPr>
            </w:pPr>
            <w:r>
              <w:rPr>
                <w:rFonts w:ascii="Arial" w:cs="Arial" w:eastAsia="Arial" w:hAnsi="Arial"/>
                <w:sz w:val="17"/>
                <w:szCs w:val="17"/>
                <w:color w:val="auto"/>
              </w:rPr>
              <w:t>Adjusted EBITDA attributable to noncontrolling</w:t>
            </w: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1"/>
        </w:trPr>
        <w:tc>
          <w:tcPr>
            <w:tcW w:w="5320" w:type="dxa"/>
            <w:vAlign w:val="bottom"/>
            <w:shd w:val="clear" w:color="auto" w:fill="CFF0FC"/>
          </w:tcPr>
          <w:p>
            <w:pPr>
              <w:ind w:left="140"/>
              <w:spacing w:after="0" w:line="191" w:lineRule="exact"/>
              <w:rPr>
                <w:sz w:val="20"/>
                <w:szCs w:val="20"/>
                <w:color w:val="auto"/>
              </w:rPr>
            </w:pPr>
            <w:r>
              <w:rPr>
                <w:rFonts w:ascii="Arial" w:cs="Arial" w:eastAsia="Arial" w:hAnsi="Arial"/>
                <w:sz w:val="17"/>
                <w:szCs w:val="17"/>
                <w:color w:val="auto"/>
              </w:rPr>
              <w:t>interests</w:t>
            </w:r>
          </w:p>
        </w:tc>
        <w:tc>
          <w:tcPr>
            <w:tcW w:w="13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91" w:lineRule="exact"/>
              <w:rPr>
                <w:sz w:val="20"/>
                <w:szCs w:val="20"/>
                <w:color w:val="auto"/>
              </w:rPr>
            </w:pPr>
            <w:r>
              <w:rPr>
                <w:rFonts w:ascii="Arial" w:cs="Arial" w:eastAsia="Arial" w:hAnsi="Arial"/>
                <w:sz w:val="17"/>
                <w:szCs w:val="17"/>
                <w:color w:val="auto"/>
              </w:rPr>
              <w:t>25,287</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91" w:lineRule="exact"/>
              <w:rPr>
                <w:sz w:val="20"/>
                <w:szCs w:val="20"/>
                <w:color w:val="auto"/>
              </w:rPr>
            </w:pPr>
            <w:r>
              <w:rPr>
                <w:rFonts w:ascii="Arial" w:cs="Arial" w:eastAsia="Arial" w:hAnsi="Arial"/>
                <w:sz w:val="17"/>
                <w:szCs w:val="17"/>
                <w:color w:val="auto"/>
              </w:rPr>
              <w:t>20,753</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91" w:lineRule="exact"/>
              <w:rPr>
                <w:sz w:val="20"/>
                <w:szCs w:val="20"/>
                <w:color w:val="auto"/>
              </w:rPr>
            </w:pPr>
            <w:r>
              <w:rPr>
                <w:rFonts w:ascii="Arial" w:cs="Arial" w:eastAsia="Arial" w:hAnsi="Arial"/>
                <w:sz w:val="17"/>
                <w:szCs w:val="17"/>
                <w:color w:val="auto"/>
              </w:rPr>
              <w:t>17,096</w:t>
            </w:r>
          </w:p>
        </w:tc>
        <w:tc>
          <w:tcPr>
            <w:tcW w:w="100" w:type="dxa"/>
            <w:vAlign w:val="bottom"/>
            <w:shd w:val="clear" w:color="auto" w:fill="CFF0FC"/>
          </w:tcPr>
          <w:p>
            <w:pPr>
              <w:spacing w:after="0"/>
              <w:rPr>
                <w:sz w:val="16"/>
                <w:szCs w:val="16"/>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(144,209)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(127,980)</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(125,700)</w:t>
            </w:r>
          </w:p>
        </w:tc>
      </w:tr>
      <w:tr>
        <w:trPr>
          <w:trHeight w:val="203"/>
        </w:trPr>
        <w:tc>
          <w:tcPr>
            <w:tcW w:w="5320" w:type="dxa"/>
            <w:vAlign w:val="bottom"/>
            <w:shd w:val="clear" w:color="auto" w:fill="CFF0FC"/>
          </w:tcPr>
          <w:p>
            <w:pPr>
              <w:spacing w:after="0"/>
              <w:rPr>
                <w:sz w:val="20"/>
                <w:szCs w:val="20"/>
                <w:color w:val="auto"/>
              </w:rPr>
            </w:pPr>
            <w:r>
              <w:rPr>
                <w:rFonts w:ascii="Arial" w:cs="Arial" w:eastAsia="Arial" w:hAnsi="Arial"/>
                <w:sz w:val="17"/>
                <w:szCs w:val="17"/>
                <w:color w:val="auto"/>
              </w:rPr>
              <w:t>Interest expense, net</w:t>
            </w: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(17,301)</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(20,169)</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(22,429)</w:t>
            </w:r>
          </w:p>
        </w:tc>
      </w:tr>
      <w:tr>
        <w:trPr>
          <w:trHeight w:val="203"/>
        </w:trPr>
        <w:tc>
          <w:tcPr>
            <w:tcW w:w="5320" w:type="dxa"/>
            <w:vAlign w:val="bottom"/>
          </w:tcPr>
          <w:p>
            <w:pPr>
              <w:spacing w:after="0"/>
              <w:rPr>
                <w:sz w:val="20"/>
                <w:szCs w:val="20"/>
                <w:color w:val="auto"/>
              </w:rPr>
            </w:pPr>
            <w:r>
              <w:rPr>
                <w:rFonts w:ascii="Arial" w:cs="Arial" w:eastAsia="Arial" w:hAnsi="Arial"/>
                <w:sz w:val="17"/>
                <w:szCs w:val="17"/>
                <w:color w:val="auto"/>
              </w:rPr>
              <w:t>Income tax (expense) benefit</w:t>
            </w: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(23,636)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(42,492)</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69,886</w:t>
            </w:r>
          </w:p>
        </w:tc>
        <w:tc>
          <w:tcPr>
            <w:tcW w:w="100" w:type="dxa"/>
            <w:vAlign w:val="bottom"/>
          </w:tcPr>
          <w:p>
            <w:pPr>
              <w:spacing w:after="0"/>
              <w:rPr>
                <w:sz w:val="17"/>
                <w:szCs w:val="17"/>
                <w:color w:val="auto"/>
              </w:rPr>
            </w:pPr>
          </w:p>
        </w:tc>
      </w:tr>
      <w:tr>
        <w:trPr>
          <w:trHeight w:val="203"/>
        </w:trPr>
        <w:tc>
          <w:tcPr>
            <w:tcW w:w="5320" w:type="dxa"/>
            <w:vAlign w:val="bottom"/>
            <w:shd w:val="clear" w:color="auto" w:fill="CFF0FC"/>
          </w:tcPr>
          <w:p>
            <w:pPr>
              <w:spacing w:after="0"/>
              <w:rPr>
                <w:sz w:val="20"/>
                <w:szCs w:val="20"/>
                <w:color w:val="auto"/>
              </w:rPr>
            </w:pPr>
            <w:r>
              <w:rPr>
                <w:rFonts w:ascii="Arial" w:cs="Arial" w:eastAsia="Arial" w:hAnsi="Arial"/>
                <w:sz w:val="17"/>
                <w:szCs w:val="17"/>
                <w:color w:val="auto"/>
              </w:rPr>
              <w:t>Equity-based compensation (a)</w:t>
            </w: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(19,601)</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(9,785)</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(65,744)</w:t>
            </w:r>
          </w:p>
        </w:tc>
      </w:tr>
      <w:tr>
        <w:trPr>
          <w:trHeight w:val="203"/>
        </w:trPr>
        <w:tc>
          <w:tcPr>
            <w:tcW w:w="5320" w:type="dxa"/>
            <w:vAlign w:val="bottom"/>
          </w:tcPr>
          <w:p>
            <w:pPr>
              <w:spacing w:after="0"/>
              <w:rPr>
                <w:sz w:val="20"/>
                <w:szCs w:val="20"/>
                <w:color w:val="auto"/>
              </w:rPr>
            </w:pPr>
            <w:r>
              <w:rPr>
                <w:rFonts w:ascii="Arial" w:cs="Arial" w:eastAsia="Arial" w:hAnsi="Arial"/>
                <w:sz w:val="17"/>
                <w:szCs w:val="17"/>
                <w:color w:val="auto"/>
              </w:rPr>
              <w:t>Transaction-related costs (b)</w:t>
            </w: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(11,965)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(19,922)</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(34,353)</w:t>
            </w:r>
          </w:p>
        </w:tc>
      </w:tr>
      <w:tr>
        <w:trPr>
          <w:trHeight w:val="203"/>
        </w:trPr>
        <w:tc>
          <w:tcPr>
            <w:tcW w:w="5320" w:type="dxa"/>
            <w:vAlign w:val="bottom"/>
            <w:shd w:val="clear" w:color="auto" w:fill="CFF0FC"/>
          </w:tcPr>
          <w:p>
            <w:pPr>
              <w:spacing w:after="0"/>
              <w:rPr>
                <w:sz w:val="20"/>
                <w:szCs w:val="20"/>
                <w:color w:val="auto"/>
              </w:rPr>
            </w:pPr>
            <w:r>
              <w:rPr>
                <w:rFonts w:ascii="Arial" w:cs="Arial" w:eastAsia="Arial" w:hAnsi="Arial"/>
                <w:sz w:val="17"/>
                <w:szCs w:val="17"/>
                <w:color w:val="auto"/>
              </w:rPr>
              <w:t>Restructuring (c)</w:t>
            </w: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(736)</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(2,193)</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(3,424)</w:t>
            </w:r>
          </w:p>
        </w:tc>
      </w:tr>
      <w:tr>
        <w:trPr>
          <w:trHeight w:val="203"/>
        </w:trPr>
        <w:tc>
          <w:tcPr>
            <w:tcW w:w="5320" w:type="dxa"/>
            <w:vAlign w:val="bottom"/>
          </w:tcPr>
          <w:p>
            <w:pPr>
              <w:spacing w:after="0"/>
              <w:rPr>
                <w:sz w:val="20"/>
                <w:szCs w:val="20"/>
                <w:color w:val="auto"/>
              </w:rPr>
            </w:pPr>
            <w:r>
              <w:rPr>
                <w:rFonts w:ascii="Arial" w:cs="Arial" w:eastAsia="Arial" w:hAnsi="Arial"/>
                <w:sz w:val="17"/>
                <w:szCs w:val="17"/>
                <w:color w:val="auto"/>
              </w:rPr>
              <w:t>Other (d)</w:t>
            </w: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(3,320)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(1,159)</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(6,155)</w:t>
            </w:r>
          </w:p>
        </w:tc>
      </w:tr>
      <w:tr>
        <w:trPr>
          <w:trHeight w:val="195"/>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income including noncontrolling</w:t>
            </w:r>
          </w:p>
        </w:tc>
        <w:tc>
          <w:tcPr>
            <w:tcW w:w="134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191"/>
        </w:trPr>
        <w:tc>
          <w:tcPr>
            <w:tcW w:w="5320" w:type="dxa"/>
            <w:vAlign w:val="bottom"/>
            <w:shd w:val="clear" w:color="auto" w:fill="CFF0FC"/>
          </w:tcPr>
          <w:p>
            <w:pPr>
              <w:ind w:left="140"/>
              <w:spacing w:after="0" w:line="191" w:lineRule="exact"/>
              <w:rPr>
                <w:sz w:val="20"/>
                <w:szCs w:val="20"/>
                <w:color w:val="auto"/>
              </w:rPr>
            </w:pPr>
            <w:r>
              <w:rPr>
                <w:rFonts w:ascii="Arial" w:cs="Arial" w:eastAsia="Arial" w:hAnsi="Arial"/>
                <w:sz w:val="17"/>
                <w:szCs w:val="17"/>
                <w:color w:val="auto"/>
              </w:rPr>
              <w:t>interests</w:t>
            </w:r>
          </w:p>
        </w:tc>
        <w:tc>
          <w:tcPr>
            <w:tcW w:w="1640" w:type="dxa"/>
            <w:vAlign w:val="bottom"/>
            <w:gridSpan w:val="2"/>
            <w:shd w:val="clear" w:color="auto" w:fill="CFF0FC"/>
          </w:tcPr>
          <w:p>
            <w:pPr>
              <w:jc w:val="right"/>
              <w:ind w:right="200"/>
              <w:spacing w:after="0" w:line="191" w:lineRule="exact"/>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line="191" w:lineRule="exact"/>
              <w:rPr>
                <w:sz w:val="20"/>
                <w:szCs w:val="20"/>
                <w:color w:val="auto"/>
              </w:rPr>
            </w:pPr>
            <w:r>
              <w:rPr>
                <w:rFonts w:ascii="Arial" w:cs="Arial" w:eastAsia="Arial" w:hAnsi="Arial"/>
                <w:sz w:val="17"/>
                <w:szCs w:val="17"/>
                <w:color w:val="auto"/>
              </w:rPr>
              <w:t>88,952</w:t>
            </w:r>
          </w:p>
        </w:tc>
        <w:tc>
          <w:tcPr>
            <w:tcW w:w="16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ind w:right="220"/>
              <w:spacing w:after="0" w:line="191" w:lineRule="exact"/>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line="191" w:lineRule="exact"/>
              <w:rPr>
                <w:sz w:val="20"/>
                <w:szCs w:val="20"/>
                <w:color w:val="auto"/>
              </w:rPr>
            </w:pPr>
            <w:r>
              <w:rPr>
                <w:rFonts w:ascii="Arial" w:cs="Arial" w:eastAsia="Arial" w:hAnsi="Arial"/>
                <w:sz w:val="17"/>
                <w:szCs w:val="17"/>
                <w:color w:val="auto"/>
              </w:rPr>
              <w:t>118,921</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line="191" w:lineRule="exact"/>
              <w:rPr>
                <w:sz w:val="20"/>
                <w:szCs w:val="20"/>
                <w:color w:val="auto"/>
              </w:rPr>
            </w:pPr>
            <w:r>
              <w:rPr>
                <w:rFonts w:ascii="Arial" w:cs="Arial" w:eastAsia="Arial" w:hAnsi="Arial"/>
                <w:sz w:val="17"/>
                <w:szCs w:val="17"/>
                <w:color w:val="auto"/>
              </w:rPr>
              <w:t>137,128</w:t>
            </w:r>
          </w:p>
        </w:tc>
        <w:tc>
          <w:tcPr>
            <w:tcW w:w="100" w:type="dxa"/>
            <w:vAlign w:val="bottom"/>
            <w:shd w:val="clear" w:color="auto" w:fill="CFF0FC"/>
          </w:tcPr>
          <w:p>
            <w:pPr>
              <w:spacing w:after="0"/>
              <w:rPr>
                <w:sz w:val="16"/>
                <w:szCs w:val="16"/>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7"/>
                <w:szCs w:val="17"/>
                <w:color w:val="auto"/>
              </w:rPr>
              <w:t>Net income attributable to noncontrolling interests</w:t>
            </w: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(24,880)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(20,380)</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(16,594)</w:t>
            </w:r>
          </w:p>
        </w:tc>
      </w:tr>
      <w:tr>
        <w:trPr>
          <w:trHeight w:val="195"/>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income attributable to Parsons</w:t>
            </w:r>
          </w:p>
        </w:tc>
        <w:tc>
          <w:tcPr>
            <w:tcW w:w="134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191"/>
        </w:trPr>
        <w:tc>
          <w:tcPr>
            <w:tcW w:w="5320" w:type="dxa"/>
            <w:vAlign w:val="bottom"/>
            <w:shd w:val="clear" w:color="auto" w:fill="CFF0FC"/>
          </w:tcPr>
          <w:p>
            <w:pPr>
              <w:ind w:left="140"/>
              <w:spacing w:after="0" w:line="191" w:lineRule="exact"/>
              <w:rPr>
                <w:sz w:val="20"/>
                <w:szCs w:val="20"/>
                <w:color w:val="auto"/>
              </w:rPr>
            </w:pPr>
            <w:r>
              <w:rPr>
                <w:rFonts w:ascii="Arial" w:cs="Arial" w:eastAsia="Arial" w:hAnsi="Arial"/>
                <w:sz w:val="17"/>
                <w:szCs w:val="17"/>
                <w:color w:val="auto"/>
              </w:rPr>
              <w:t>Corporation</w:t>
            </w:r>
          </w:p>
        </w:tc>
        <w:tc>
          <w:tcPr>
            <w:tcW w:w="1640" w:type="dxa"/>
            <w:vAlign w:val="bottom"/>
            <w:gridSpan w:val="2"/>
            <w:shd w:val="clear" w:color="auto" w:fill="CFF0FC"/>
          </w:tcPr>
          <w:p>
            <w:pPr>
              <w:jc w:val="right"/>
              <w:ind w:right="200"/>
              <w:spacing w:after="0" w:line="191" w:lineRule="exact"/>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line="191" w:lineRule="exact"/>
              <w:rPr>
                <w:sz w:val="20"/>
                <w:szCs w:val="20"/>
                <w:color w:val="auto"/>
              </w:rPr>
            </w:pPr>
            <w:r>
              <w:rPr>
                <w:rFonts w:ascii="Arial" w:cs="Arial" w:eastAsia="Arial" w:hAnsi="Arial"/>
                <w:sz w:val="17"/>
                <w:szCs w:val="17"/>
                <w:color w:val="auto"/>
              </w:rPr>
              <w:t>64,072</w:t>
            </w:r>
          </w:p>
        </w:tc>
        <w:tc>
          <w:tcPr>
            <w:tcW w:w="16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ind w:right="220"/>
              <w:spacing w:after="0" w:line="191" w:lineRule="exact"/>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line="191" w:lineRule="exact"/>
              <w:rPr>
                <w:sz w:val="20"/>
                <w:szCs w:val="20"/>
                <w:color w:val="auto"/>
              </w:rPr>
            </w:pPr>
            <w:r>
              <w:rPr>
                <w:rFonts w:ascii="Arial" w:cs="Arial" w:eastAsia="Arial" w:hAnsi="Arial"/>
                <w:sz w:val="17"/>
                <w:szCs w:val="17"/>
                <w:color w:val="auto"/>
              </w:rPr>
              <w:t>98,541</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line="191" w:lineRule="exact"/>
              <w:rPr>
                <w:sz w:val="20"/>
                <w:szCs w:val="20"/>
                <w:color w:val="auto"/>
              </w:rPr>
            </w:pPr>
            <w:r>
              <w:rPr>
                <w:rFonts w:ascii="Arial" w:cs="Arial" w:eastAsia="Arial" w:hAnsi="Arial"/>
                <w:sz w:val="17"/>
                <w:szCs w:val="17"/>
                <w:color w:val="auto"/>
              </w:rPr>
              <w:t>120,534</w:t>
            </w:r>
          </w:p>
        </w:tc>
        <w:tc>
          <w:tcPr>
            <w:tcW w:w="100" w:type="dxa"/>
            <w:vAlign w:val="bottom"/>
            <w:shd w:val="clear" w:color="auto" w:fill="CFF0FC"/>
          </w:tcPr>
          <w:p>
            <w:pPr>
              <w:spacing w:after="0"/>
              <w:rPr>
                <w:sz w:val="16"/>
                <w:szCs w:val="16"/>
                <w:color w:val="auto"/>
              </w:rPr>
            </w:pPr>
          </w:p>
        </w:tc>
      </w:tr>
      <w:tr>
        <w:trPr>
          <w:trHeight w:val="20"/>
        </w:trPr>
        <w:tc>
          <w:tcPr>
            <w:tcW w:w="532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7" w:lineRule="exact"/>
        <w:rPr>
          <w:sz w:val="20"/>
          <w:szCs w:val="20"/>
          <w:color w:val="auto"/>
        </w:rPr>
      </w:pPr>
    </w:p>
    <w:p>
      <w:pPr>
        <w:ind w:left="740" w:right="220" w:hanging="739"/>
        <w:spacing w:after="0" w:line="233" w:lineRule="auto"/>
        <w:tabs>
          <w:tab w:leader="none" w:pos="7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Reflects equity-based compensation costs primarily related to cash-settled awards and stock-based awards through the incentive Award Plan. See “Management’s Discussion and Analysis of Financial Condition and Results of Operations” in this Annual Report on Form 10-K for a further discussion of these awards.</w:t>
      </w:r>
    </w:p>
    <w:p>
      <w:pPr>
        <w:spacing w:after="0" w:line="1" w:lineRule="exact"/>
        <w:rPr>
          <w:rFonts w:ascii="Arial" w:cs="Arial" w:eastAsia="Arial" w:hAnsi="Arial"/>
          <w:sz w:val="17"/>
          <w:szCs w:val="17"/>
          <w:color w:val="auto"/>
        </w:rPr>
      </w:pPr>
    </w:p>
    <w:p>
      <w:pPr>
        <w:ind w:left="740" w:right="240" w:hanging="739"/>
        <w:spacing w:after="0" w:line="233" w:lineRule="auto"/>
        <w:tabs>
          <w:tab w:leader="none" w:pos="7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Reflects costs incurred in connection with acquisitions, IPO, and other non-recurring transaction costs, primarily fees paid for professional services and employee retention.</w:t>
      </w:r>
    </w:p>
    <w:p>
      <w:pPr>
        <w:ind w:left="740" w:hanging="739"/>
        <w:spacing w:after="0" w:line="233" w:lineRule="auto"/>
        <w:tabs>
          <w:tab w:leader="none" w:pos="7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Reflects costs associated with and related to our corporate restructuring initiatives.</w:t>
      </w:r>
    </w:p>
    <w:p>
      <w:pPr>
        <w:ind w:left="740" w:right="200" w:hanging="739"/>
        <w:spacing w:after="0" w:line="273" w:lineRule="auto"/>
        <w:tabs>
          <w:tab w:leader="none" w:pos="7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Includes a combination of gain/loss related to sale of fixed assets, software implementation costs, and other individually insignificant items that are non-recurring in nature.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color w:val="auto"/>
        </w:rPr>
        <w:t>December 31, 2021,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057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Asset information by segment is not a key measure of performance used by the CODM.</w:t>
      </w:r>
    </w:p>
    <w:p>
      <w:pPr>
        <w:spacing w:after="0" w:line="19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presents revenues and property and equipment, net by geographic area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5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96"/>
        </w:trPr>
        <w:tc>
          <w:tcPr>
            <w:tcW w:w="4580" w:type="dxa"/>
            <w:vAlign w:val="bottom"/>
          </w:tcPr>
          <w:p>
            <w:pPr>
              <w:spacing w:after="0"/>
              <w:rPr>
                <w:sz w:val="20"/>
                <w:szCs w:val="20"/>
                <w:color w:val="auto"/>
              </w:rPr>
            </w:pPr>
            <w:r>
              <w:rPr>
                <w:rFonts w:ascii="Arial" w:cs="Arial" w:eastAsia="Arial" w:hAnsi="Arial"/>
                <w:sz w:val="17"/>
                <w:szCs w:val="17"/>
                <w:color w:val="auto"/>
              </w:rPr>
              <w:t>Revenues:</w:t>
            </w:r>
          </w:p>
        </w:tc>
        <w:tc>
          <w:tcPr>
            <w:tcW w:w="2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North America</w:t>
            </w:r>
          </w:p>
        </w:tc>
        <w:tc>
          <w:tcPr>
            <w:tcW w:w="23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3,028,760</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3,215,874</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3,249,054</w:t>
            </w:r>
          </w:p>
        </w:tc>
        <w:tc>
          <w:tcPr>
            <w:tcW w:w="100" w:type="dxa"/>
            <w:vAlign w:val="bottom"/>
            <w:shd w:val="clear" w:color="auto" w:fill="CFF0FC"/>
          </w:tcPr>
          <w:p>
            <w:pPr>
              <w:spacing w:after="0"/>
              <w:rPr>
                <w:sz w:val="17"/>
                <w:szCs w:val="17"/>
                <w:color w:val="auto"/>
              </w:rPr>
            </w:pPr>
          </w:p>
        </w:tc>
      </w:tr>
      <w:tr>
        <w:trPr>
          <w:trHeight w:val="203"/>
        </w:trPr>
        <w:tc>
          <w:tcPr>
            <w:tcW w:w="4580" w:type="dxa"/>
            <w:vAlign w:val="bottom"/>
          </w:tcPr>
          <w:p>
            <w:pPr>
              <w:ind w:left="240"/>
              <w:spacing w:after="0"/>
              <w:rPr>
                <w:sz w:val="20"/>
                <w:szCs w:val="20"/>
                <w:color w:val="auto"/>
              </w:rPr>
            </w:pPr>
            <w:r>
              <w:rPr>
                <w:rFonts w:ascii="Arial" w:cs="Arial" w:eastAsia="Arial" w:hAnsi="Arial"/>
                <w:sz w:val="17"/>
                <w:szCs w:val="17"/>
                <w:color w:val="auto"/>
              </w:rPr>
              <w:t>Middle East</w:t>
            </w:r>
          </w:p>
        </w:tc>
        <w:tc>
          <w:tcPr>
            <w:tcW w:w="2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610,655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684,353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689,067</w:t>
            </w:r>
          </w:p>
        </w:tc>
        <w:tc>
          <w:tcPr>
            <w:tcW w:w="100" w:type="dxa"/>
            <w:vAlign w:val="bottom"/>
          </w:tcPr>
          <w:p>
            <w:pPr>
              <w:spacing w:after="0"/>
              <w:rPr>
                <w:sz w:val="17"/>
                <w:szCs w:val="17"/>
                <w:color w:val="auto"/>
              </w:rPr>
            </w:pPr>
          </w:p>
        </w:tc>
      </w:tr>
      <w:tr>
        <w:trPr>
          <w:trHeight w:val="203"/>
        </w:trPr>
        <w:tc>
          <w:tcPr>
            <w:tcW w:w="4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Rest of World</w:t>
            </w:r>
          </w:p>
        </w:tc>
        <w:tc>
          <w:tcPr>
            <w:tcW w:w="208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21,356</w:t>
            </w:r>
          </w:p>
        </w:tc>
        <w:tc>
          <w:tcPr>
            <w:tcW w:w="24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18,719</w:t>
            </w:r>
          </w:p>
        </w:tc>
        <w:tc>
          <w:tcPr>
            <w:tcW w:w="2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16,691</w:t>
            </w:r>
          </w:p>
        </w:tc>
        <w:tc>
          <w:tcPr>
            <w:tcW w:w="100" w:type="dxa"/>
            <w:vAlign w:val="bottom"/>
            <w:shd w:val="clear" w:color="auto" w:fill="CFF0FC"/>
          </w:tcPr>
          <w:p>
            <w:pPr>
              <w:spacing w:after="0"/>
              <w:rPr>
                <w:sz w:val="17"/>
                <w:szCs w:val="17"/>
                <w:color w:val="auto"/>
              </w:rPr>
            </w:pPr>
          </w:p>
        </w:tc>
      </w:tr>
      <w:tr>
        <w:trPr>
          <w:trHeight w:val="236"/>
        </w:trPr>
        <w:tc>
          <w:tcPr>
            <w:tcW w:w="4580" w:type="dxa"/>
            <w:vAlign w:val="bottom"/>
          </w:tcPr>
          <w:p>
            <w:pPr>
              <w:spacing w:after="0"/>
              <w:rPr>
                <w:sz w:val="20"/>
                <w:szCs w:val="20"/>
                <w:color w:val="auto"/>
              </w:rPr>
            </w:pPr>
            <w:r>
              <w:rPr>
                <w:rFonts w:ascii="Arial" w:cs="Arial" w:eastAsia="Arial" w:hAnsi="Arial"/>
                <w:sz w:val="17"/>
                <w:szCs w:val="17"/>
                <w:color w:val="auto"/>
              </w:rPr>
              <w:t>Total revenues</w:t>
            </w:r>
          </w:p>
        </w:tc>
        <w:tc>
          <w:tcPr>
            <w:tcW w:w="2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3,660,771</w:t>
            </w: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3,918,946</w:t>
            </w:r>
          </w:p>
        </w:tc>
        <w:tc>
          <w:tcPr>
            <w:tcW w:w="260" w:type="dxa"/>
            <w:vAlign w:val="bottom"/>
          </w:tcPr>
          <w:p>
            <w:pPr>
              <w:spacing w:after="0"/>
              <w:rPr>
                <w:sz w:val="20"/>
                <w:szCs w:val="20"/>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3,954,812</w:t>
            </w:r>
          </w:p>
        </w:tc>
        <w:tc>
          <w:tcPr>
            <w:tcW w:w="100" w:type="dxa"/>
            <w:vAlign w:val="bottom"/>
          </w:tcPr>
          <w:p>
            <w:pPr>
              <w:spacing w:after="0"/>
              <w:rPr>
                <w:sz w:val="20"/>
                <w:szCs w:val="20"/>
                <w:color w:val="auto"/>
              </w:rPr>
            </w:pPr>
          </w:p>
        </w:tc>
      </w:tr>
      <w:tr>
        <w:trPr>
          <w:trHeight w:val="181"/>
        </w:trPr>
        <w:tc>
          <w:tcPr>
            <w:tcW w:w="4580" w:type="dxa"/>
            <w:vAlign w:val="bottom"/>
            <w:tcBorders>
              <w:top w:val="single" w:sz="8" w:color="CFF0FC"/>
            </w:tcBorders>
            <w:shd w:val="clear" w:color="auto" w:fill="CFF0FC"/>
          </w:tcPr>
          <w:p>
            <w:pPr>
              <w:spacing w:after="0" w:line="181" w:lineRule="exact"/>
              <w:rPr>
                <w:sz w:val="20"/>
                <w:szCs w:val="20"/>
                <w:color w:val="auto"/>
              </w:rPr>
            </w:pPr>
            <w:r>
              <w:rPr>
                <w:rFonts w:ascii="Arial" w:cs="Arial" w:eastAsia="Arial" w:hAnsi="Arial"/>
                <w:sz w:val="17"/>
                <w:szCs w:val="17"/>
                <w:color w:val="auto"/>
              </w:rPr>
              <w:t>Property and equipment, net</w:t>
            </w:r>
          </w:p>
        </w:tc>
        <w:tc>
          <w:tcPr>
            <w:tcW w:w="208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r>
      <w:tr>
        <w:trPr>
          <w:trHeight w:val="203"/>
        </w:trPr>
        <w:tc>
          <w:tcPr>
            <w:tcW w:w="4580" w:type="dxa"/>
            <w:vAlign w:val="bottom"/>
          </w:tcPr>
          <w:p>
            <w:pPr>
              <w:ind w:left="240"/>
              <w:spacing w:after="0"/>
              <w:rPr>
                <w:sz w:val="20"/>
                <w:szCs w:val="20"/>
                <w:color w:val="auto"/>
              </w:rPr>
            </w:pPr>
            <w:r>
              <w:rPr>
                <w:rFonts w:ascii="Arial" w:cs="Arial" w:eastAsia="Arial" w:hAnsi="Arial"/>
                <w:sz w:val="17"/>
                <w:szCs w:val="17"/>
                <w:color w:val="auto"/>
              </w:rPr>
              <w:t>North America</w:t>
            </w:r>
          </w:p>
        </w:tc>
        <w:tc>
          <w:tcPr>
            <w:tcW w:w="2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100,674</w:t>
            </w: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116,460</w:t>
            </w:r>
          </w:p>
        </w:tc>
        <w:tc>
          <w:tcPr>
            <w:tcW w:w="260" w:type="dxa"/>
            <w:vAlign w:val="bottom"/>
          </w:tcPr>
          <w:p>
            <w:pPr>
              <w:spacing w:after="0"/>
              <w:rPr>
                <w:sz w:val="17"/>
                <w:szCs w:val="17"/>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117,606</w:t>
            </w:r>
          </w:p>
        </w:tc>
        <w:tc>
          <w:tcPr>
            <w:tcW w:w="100" w:type="dxa"/>
            <w:vAlign w:val="bottom"/>
          </w:tcPr>
          <w:p>
            <w:pPr>
              <w:spacing w:after="0"/>
              <w:rPr>
                <w:sz w:val="17"/>
                <w:szCs w:val="17"/>
                <w:color w:val="auto"/>
              </w:rPr>
            </w:pPr>
          </w:p>
        </w:tc>
      </w:tr>
      <w:tr>
        <w:trPr>
          <w:trHeight w:val="203"/>
        </w:trPr>
        <w:tc>
          <w:tcPr>
            <w:tcW w:w="4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Middle East</w:t>
            </w:r>
          </w:p>
        </w:tc>
        <w:tc>
          <w:tcPr>
            <w:tcW w:w="208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3,522</w:t>
            </w:r>
          </w:p>
        </w:tc>
        <w:tc>
          <w:tcPr>
            <w:tcW w:w="24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4,567</w:t>
            </w:r>
          </w:p>
        </w:tc>
        <w:tc>
          <w:tcPr>
            <w:tcW w:w="2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5,145</w:t>
            </w:r>
          </w:p>
        </w:tc>
        <w:tc>
          <w:tcPr>
            <w:tcW w:w="100" w:type="dxa"/>
            <w:vAlign w:val="bottom"/>
            <w:shd w:val="clear" w:color="auto" w:fill="CFF0FC"/>
          </w:tcPr>
          <w:p>
            <w:pPr>
              <w:spacing w:after="0"/>
              <w:rPr>
                <w:sz w:val="17"/>
                <w:szCs w:val="17"/>
                <w:color w:val="auto"/>
              </w:rPr>
            </w:pPr>
          </w:p>
        </w:tc>
      </w:tr>
      <w:tr>
        <w:trPr>
          <w:trHeight w:val="196"/>
        </w:trPr>
        <w:tc>
          <w:tcPr>
            <w:tcW w:w="4580" w:type="dxa"/>
            <w:vAlign w:val="bottom"/>
          </w:tcPr>
          <w:p>
            <w:pPr>
              <w:spacing w:after="0"/>
              <w:rPr>
                <w:sz w:val="20"/>
                <w:szCs w:val="20"/>
                <w:color w:val="auto"/>
              </w:rPr>
            </w:pPr>
            <w:r>
              <w:rPr>
                <w:rFonts w:ascii="Arial" w:cs="Arial" w:eastAsia="Arial" w:hAnsi="Arial"/>
                <w:sz w:val="17"/>
                <w:szCs w:val="17"/>
                <w:color w:val="auto"/>
              </w:rPr>
              <w:t>Total property and equipment, net</w:t>
            </w:r>
          </w:p>
        </w:tc>
        <w:tc>
          <w:tcPr>
            <w:tcW w:w="2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104,196</w:t>
            </w: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121,027</w:t>
            </w:r>
          </w:p>
        </w:tc>
        <w:tc>
          <w:tcPr>
            <w:tcW w:w="260" w:type="dxa"/>
            <w:vAlign w:val="bottom"/>
          </w:tcPr>
          <w:p>
            <w:pPr>
              <w:spacing w:after="0"/>
              <w:rPr>
                <w:sz w:val="17"/>
                <w:szCs w:val="17"/>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122,751</w:t>
            </w:r>
          </w:p>
        </w:tc>
        <w:tc>
          <w:tcPr>
            <w:tcW w:w="100" w:type="dxa"/>
            <w:vAlign w:val="bottom"/>
          </w:tcPr>
          <w:p>
            <w:pPr>
              <w:spacing w:after="0"/>
              <w:rPr>
                <w:sz w:val="17"/>
                <w:szCs w:val="17"/>
                <w:color w:val="auto"/>
              </w:rPr>
            </w:pPr>
          </w:p>
        </w:tc>
      </w:tr>
      <w:tr>
        <w:trPr>
          <w:trHeight w:val="20"/>
        </w:trPr>
        <w:tc>
          <w:tcPr>
            <w:tcW w:w="4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North America revenue includes $2.7 billion, $3.0 billion and $3.0 billion of United States revenue for the years ended December 31, 2021,</w:t>
      </w:r>
    </w:p>
    <w:p>
      <w:pPr>
        <w:spacing w:after="0" w:line="233" w:lineRule="auto"/>
        <w:rPr>
          <w:sz w:val="20"/>
          <w:szCs w:val="20"/>
          <w:color w:val="auto"/>
        </w:rPr>
      </w:pPr>
      <w:r>
        <w:rPr>
          <w:rFonts w:ascii="Arial" w:cs="Arial" w:eastAsia="Arial" w:hAnsi="Arial"/>
          <w:sz w:val="17"/>
          <w:szCs w:val="17"/>
          <w:color w:val="auto"/>
        </w:rPr>
        <w:t>December 31, 2020 and December 31, 2019, respectively. North America property and equipment, net includes $95.0 million, $109.6 million and</w:t>
      </w:r>
    </w:p>
    <w:p>
      <w:pPr>
        <w:spacing w:after="0"/>
        <w:rPr>
          <w:sz w:val="20"/>
          <w:szCs w:val="20"/>
          <w:color w:val="auto"/>
        </w:rPr>
      </w:pPr>
      <w:r>
        <w:rPr>
          <w:rFonts w:ascii="Arial" w:cs="Arial" w:eastAsia="Arial" w:hAnsi="Arial"/>
          <w:sz w:val="17"/>
          <w:szCs w:val="17"/>
          <w:color w:val="auto"/>
        </w:rPr>
        <w:t>$109.9 million of property and equipment, net in the United States at December 31, 2021, December 31, 2020 and December 31, 2019, respectively.</w:t>
      </w:r>
    </w:p>
    <w:p>
      <w:pPr>
        <w:spacing w:after="0" w:line="96" w:lineRule="exact"/>
        <w:rPr>
          <w:sz w:val="20"/>
          <w:szCs w:val="20"/>
          <w:color w:val="auto"/>
        </w:rPr>
      </w:pPr>
    </w:p>
    <w:p>
      <w:pPr>
        <w:ind w:right="20" w:firstLine="743"/>
        <w:spacing w:after="0" w:line="242" w:lineRule="auto"/>
        <w:rPr>
          <w:sz w:val="20"/>
          <w:szCs w:val="20"/>
          <w:color w:val="auto"/>
        </w:rPr>
      </w:pPr>
      <w:r>
        <w:rPr>
          <w:rFonts w:ascii="Arial" w:cs="Arial" w:eastAsia="Arial" w:hAnsi="Arial"/>
          <w:sz w:val="17"/>
          <w:szCs w:val="17"/>
          <w:color w:val="auto"/>
        </w:rPr>
        <w:t>The geographic location of revenue is determined by the location of the customer. The prior reporting of revenue by geographic location has been conformed to the current presentation.</w:t>
      </w:r>
    </w:p>
    <w:p>
      <w:pPr>
        <w:spacing w:after="0" w:line="200" w:lineRule="exact"/>
        <w:rPr>
          <w:sz w:val="20"/>
          <w:szCs w:val="20"/>
          <w:color w:val="auto"/>
        </w:rPr>
      </w:pPr>
    </w:p>
    <w:p>
      <w:pPr>
        <w:spacing w:after="0" w:line="2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presents revenues by business lines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6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96"/>
        </w:trPr>
        <w:tc>
          <w:tcPr>
            <w:tcW w:w="4600" w:type="dxa"/>
            <w:vAlign w:val="bottom"/>
          </w:tcPr>
          <w:p>
            <w:pPr>
              <w:spacing w:after="0"/>
              <w:rPr>
                <w:sz w:val="20"/>
                <w:szCs w:val="20"/>
                <w:color w:val="auto"/>
              </w:rPr>
            </w:pPr>
            <w:r>
              <w:rPr>
                <w:rFonts w:ascii="Arial" w:cs="Arial" w:eastAsia="Arial" w:hAnsi="Arial"/>
                <w:sz w:val="17"/>
                <w:szCs w:val="17"/>
                <w:color w:val="auto"/>
              </w:rPr>
              <w:t>Revenue:</w:t>
            </w: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00" w:type="dxa"/>
            <w:vAlign w:val="bottom"/>
            <w:shd w:val="clear" w:color="auto" w:fill="CFF0FC"/>
          </w:tcPr>
          <w:p>
            <w:pPr>
              <w:ind w:left="460"/>
              <w:spacing w:after="0"/>
              <w:rPr>
                <w:sz w:val="20"/>
                <w:szCs w:val="20"/>
                <w:color w:val="auto"/>
              </w:rPr>
            </w:pPr>
            <w:r>
              <w:rPr>
                <w:rFonts w:ascii="Arial" w:cs="Arial" w:eastAsia="Arial" w:hAnsi="Arial"/>
                <w:sz w:val="17"/>
                <w:szCs w:val="17"/>
                <w:color w:val="auto"/>
              </w:rPr>
              <w:t>Defense &amp; Intelligence</w:t>
            </w:r>
          </w:p>
        </w:tc>
        <w:tc>
          <w:tcPr>
            <w:tcW w:w="2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1,313,731</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1,251,304</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1,219,639</w:t>
            </w:r>
          </w:p>
        </w:tc>
        <w:tc>
          <w:tcPr>
            <w:tcW w:w="100" w:type="dxa"/>
            <w:vAlign w:val="bottom"/>
            <w:shd w:val="clear" w:color="auto" w:fill="CFF0FC"/>
          </w:tcPr>
          <w:p>
            <w:pPr>
              <w:spacing w:after="0"/>
              <w:rPr>
                <w:sz w:val="17"/>
                <w:szCs w:val="17"/>
                <w:color w:val="auto"/>
              </w:rPr>
            </w:pPr>
          </w:p>
        </w:tc>
      </w:tr>
      <w:tr>
        <w:trPr>
          <w:trHeight w:val="203"/>
        </w:trPr>
        <w:tc>
          <w:tcPr>
            <w:tcW w:w="4600" w:type="dxa"/>
            <w:vAlign w:val="bottom"/>
            <w:tcBorders>
              <w:bottom w:val="single" w:sz="8" w:color="CFF0FC"/>
            </w:tcBorders>
          </w:tcPr>
          <w:p>
            <w:pPr>
              <w:ind w:left="460"/>
              <w:spacing w:after="0"/>
              <w:rPr>
                <w:sz w:val="20"/>
                <w:szCs w:val="20"/>
                <w:color w:val="auto"/>
              </w:rPr>
            </w:pPr>
            <w:r>
              <w:rPr>
                <w:rFonts w:ascii="Arial" w:cs="Arial" w:eastAsia="Arial" w:hAnsi="Arial"/>
                <w:sz w:val="17"/>
                <w:szCs w:val="17"/>
                <w:color w:val="auto"/>
              </w:rPr>
              <w:t>Engineered Systems</w:t>
            </w:r>
          </w:p>
        </w:tc>
        <w:tc>
          <w:tcPr>
            <w:tcW w:w="20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574,319</w:t>
            </w:r>
          </w:p>
        </w:tc>
        <w:tc>
          <w:tcPr>
            <w:tcW w:w="24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660,606</w:t>
            </w:r>
          </w:p>
        </w:tc>
        <w:tc>
          <w:tcPr>
            <w:tcW w:w="2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668,268</w:t>
            </w:r>
          </w:p>
        </w:tc>
        <w:tc>
          <w:tcPr>
            <w:tcW w:w="100" w:type="dxa"/>
            <w:vAlign w:val="bottom"/>
            <w:tcBorders>
              <w:bottom w:val="single" w:sz="8" w:color="CFF0FC"/>
            </w:tcBorders>
          </w:tcPr>
          <w:p>
            <w:pPr>
              <w:spacing w:after="0"/>
              <w:rPr>
                <w:sz w:val="17"/>
                <w:szCs w:val="17"/>
                <w:color w:val="auto"/>
              </w:rPr>
            </w:pPr>
          </w:p>
        </w:tc>
      </w:tr>
      <w:tr>
        <w:trPr>
          <w:trHeight w:val="196"/>
        </w:trPr>
        <w:tc>
          <w:tcPr>
            <w:tcW w:w="46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Federal Solutions revenues</w:t>
            </w:r>
          </w:p>
        </w:tc>
        <w:tc>
          <w:tcPr>
            <w:tcW w:w="20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1,888,050</w:t>
            </w:r>
          </w:p>
        </w:tc>
        <w:tc>
          <w:tcPr>
            <w:tcW w:w="24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1,911,910</w:t>
            </w:r>
          </w:p>
        </w:tc>
        <w:tc>
          <w:tcPr>
            <w:tcW w:w="2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1,887,907</w:t>
            </w:r>
          </w:p>
        </w:tc>
        <w:tc>
          <w:tcPr>
            <w:tcW w:w="100" w:type="dxa"/>
            <w:vAlign w:val="bottom"/>
            <w:shd w:val="clear" w:color="auto" w:fill="CFF0FC"/>
          </w:tcPr>
          <w:p>
            <w:pPr>
              <w:spacing w:after="0"/>
              <w:rPr>
                <w:sz w:val="17"/>
                <w:szCs w:val="17"/>
                <w:color w:val="auto"/>
              </w:rPr>
            </w:pPr>
          </w:p>
        </w:tc>
      </w:tr>
      <w:tr>
        <w:trPr>
          <w:trHeight w:val="196"/>
        </w:trPr>
        <w:tc>
          <w:tcPr>
            <w:tcW w:w="4600" w:type="dxa"/>
            <w:vAlign w:val="bottom"/>
          </w:tcPr>
          <w:p>
            <w:pPr>
              <w:ind w:left="460"/>
              <w:spacing w:after="0"/>
              <w:rPr>
                <w:sz w:val="20"/>
                <w:szCs w:val="20"/>
                <w:color w:val="auto"/>
              </w:rPr>
            </w:pPr>
            <w:r>
              <w:rPr>
                <w:rFonts w:ascii="Arial" w:cs="Arial" w:eastAsia="Arial" w:hAnsi="Arial"/>
                <w:sz w:val="17"/>
                <w:szCs w:val="17"/>
                <w:color w:val="auto"/>
              </w:rPr>
              <w:t>Mobility Solutions</w:t>
            </w: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1,410,113</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1,575,539</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1,647,690</w:t>
            </w:r>
          </w:p>
        </w:tc>
        <w:tc>
          <w:tcPr>
            <w:tcW w:w="100" w:type="dxa"/>
            <w:vAlign w:val="bottom"/>
          </w:tcPr>
          <w:p>
            <w:pPr>
              <w:spacing w:after="0"/>
              <w:rPr>
                <w:sz w:val="17"/>
                <w:szCs w:val="17"/>
                <w:color w:val="auto"/>
              </w:rPr>
            </w:pPr>
          </w:p>
        </w:tc>
      </w:tr>
      <w:tr>
        <w:trPr>
          <w:trHeight w:val="203"/>
        </w:trPr>
        <w:tc>
          <w:tcPr>
            <w:tcW w:w="4600" w:type="dxa"/>
            <w:vAlign w:val="bottom"/>
            <w:shd w:val="clear" w:color="auto" w:fill="CFF0FC"/>
          </w:tcPr>
          <w:p>
            <w:pPr>
              <w:ind w:left="460"/>
              <w:spacing w:after="0"/>
              <w:rPr>
                <w:sz w:val="20"/>
                <w:szCs w:val="20"/>
                <w:color w:val="auto"/>
              </w:rPr>
            </w:pPr>
            <w:r>
              <w:rPr>
                <w:rFonts w:ascii="Arial" w:cs="Arial" w:eastAsia="Arial" w:hAnsi="Arial"/>
                <w:sz w:val="17"/>
                <w:szCs w:val="17"/>
                <w:color w:val="auto"/>
              </w:rPr>
              <w:t>Connected Communities</w:t>
            </w:r>
          </w:p>
        </w:tc>
        <w:tc>
          <w:tcPr>
            <w:tcW w:w="20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362,608</w:t>
            </w:r>
          </w:p>
        </w:tc>
        <w:tc>
          <w:tcPr>
            <w:tcW w:w="24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431,497</w:t>
            </w:r>
          </w:p>
        </w:tc>
        <w:tc>
          <w:tcPr>
            <w:tcW w:w="2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419,215</w:t>
            </w:r>
          </w:p>
        </w:tc>
        <w:tc>
          <w:tcPr>
            <w:tcW w:w="100" w:type="dxa"/>
            <w:vAlign w:val="bottom"/>
            <w:shd w:val="clear" w:color="auto" w:fill="CFF0FC"/>
          </w:tcPr>
          <w:p>
            <w:pPr>
              <w:spacing w:after="0"/>
              <w:rPr>
                <w:sz w:val="17"/>
                <w:szCs w:val="17"/>
                <w:color w:val="auto"/>
              </w:rPr>
            </w:pPr>
          </w:p>
        </w:tc>
      </w:tr>
      <w:tr>
        <w:trPr>
          <w:trHeight w:val="196"/>
        </w:trPr>
        <w:tc>
          <w:tcPr>
            <w:tcW w:w="460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Critical Infrastructure revenues</w:t>
            </w:r>
          </w:p>
        </w:tc>
        <w:tc>
          <w:tcPr>
            <w:tcW w:w="20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1,772,721</w:t>
            </w:r>
          </w:p>
        </w:tc>
        <w:tc>
          <w:tcPr>
            <w:tcW w:w="24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2,007,036</w:t>
            </w:r>
          </w:p>
        </w:tc>
        <w:tc>
          <w:tcPr>
            <w:tcW w:w="2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2,066,905</w:t>
            </w:r>
          </w:p>
        </w:tc>
        <w:tc>
          <w:tcPr>
            <w:tcW w:w="100" w:type="dxa"/>
            <w:vAlign w:val="bottom"/>
            <w:tcBorders>
              <w:bottom w:val="single" w:sz="8" w:color="CFF0FC"/>
            </w:tcBorders>
          </w:tcPr>
          <w:p>
            <w:pPr>
              <w:spacing w:after="0"/>
              <w:rPr>
                <w:sz w:val="17"/>
                <w:szCs w:val="17"/>
                <w:color w:val="auto"/>
              </w:rPr>
            </w:pPr>
          </w:p>
        </w:tc>
      </w:tr>
      <w:tr>
        <w:trPr>
          <w:trHeight w:val="196"/>
        </w:trPr>
        <w:tc>
          <w:tcPr>
            <w:tcW w:w="4600" w:type="dxa"/>
            <w:vAlign w:val="bottom"/>
            <w:shd w:val="clear" w:color="auto" w:fill="CFF0FC"/>
          </w:tcPr>
          <w:p>
            <w:pPr>
              <w:spacing w:after="0"/>
              <w:rPr>
                <w:sz w:val="20"/>
                <w:szCs w:val="20"/>
                <w:color w:val="auto"/>
              </w:rPr>
            </w:pPr>
            <w:r>
              <w:rPr>
                <w:rFonts w:ascii="Arial" w:cs="Arial" w:eastAsia="Arial" w:hAnsi="Arial"/>
                <w:sz w:val="17"/>
                <w:szCs w:val="17"/>
                <w:color w:val="auto"/>
              </w:rPr>
              <w:t>Total revenues</w:t>
            </w:r>
          </w:p>
        </w:tc>
        <w:tc>
          <w:tcPr>
            <w:tcW w:w="2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3,660,771</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3,918,946</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3,954,812</w:t>
            </w:r>
          </w:p>
        </w:tc>
        <w:tc>
          <w:tcPr>
            <w:tcW w:w="100" w:type="dxa"/>
            <w:vAlign w:val="bottom"/>
            <w:shd w:val="clear" w:color="auto" w:fill="CFF0FC"/>
          </w:tcPr>
          <w:p>
            <w:pPr>
              <w:spacing w:after="0"/>
              <w:rPr>
                <w:sz w:val="17"/>
                <w:szCs w:val="17"/>
                <w:color w:val="auto"/>
              </w:rPr>
            </w:pPr>
          </w:p>
        </w:tc>
      </w:tr>
      <w:tr>
        <w:trPr>
          <w:trHeight w:val="20"/>
        </w:trPr>
        <w:tc>
          <w:tcPr>
            <w:tcW w:w="4600" w:type="dxa"/>
            <w:vAlign w:val="bottom"/>
            <w:tcBorders>
              <w:top w:val="single" w:sz="8" w:color="CFF0FC"/>
            </w:tcBorders>
          </w:tcPr>
          <w:p>
            <w:pPr>
              <w:spacing w:after="0" w:line="20" w:lineRule="exact"/>
              <w:rPr>
                <w:sz w:val="1"/>
                <w:szCs w:val="1"/>
                <w:color w:val="auto"/>
              </w:rPr>
            </w:pPr>
          </w:p>
        </w:tc>
        <w:tc>
          <w:tcPr>
            <w:tcW w:w="20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77" w:lineRule="exact"/>
        <w:rPr>
          <w:sz w:val="20"/>
          <w:szCs w:val="20"/>
          <w:color w:val="auto"/>
        </w:rPr>
      </w:pPr>
    </w:p>
    <w:p>
      <w:pPr>
        <w:ind w:right="180" w:firstLine="735"/>
        <w:spacing w:after="0" w:line="264" w:lineRule="auto"/>
        <w:rPr>
          <w:sz w:val="20"/>
          <w:szCs w:val="20"/>
          <w:color w:val="auto"/>
        </w:rPr>
      </w:pPr>
      <w:r>
        <w:rPr>
          <w:rFonts w:ascii="Arial" w:cs="Arial" w:eastAsia="Arial" w:hAnsi="Arial"/>
          <w:sz w:val="16"/>
          <w:szCs w:val="16"/>
          <w:color w:val="auto"/>
        </w:rPr>
        <w:t>Effective July 1, 2021, the Company made changes to its Federal Solutions business units by consolidating Space &amp; Geospatial Solutions, Cyber &amp; Intelligence, and Missile Defense &amp; C5ISR into a new Defense and Intelligence business unit. The prior year information in the table above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has been reclassified to conform to the business line changes.</w:t>
      </w:r>
    </w:p>
    <w:p>
      <w:pPr>
        <w:spacing w:after="0" w:line="330" w:lineRule="exact"/>
        <w:rPr>
          <w:sz w:val="20"/>
          <w:szCs w:val="20"/>
          <w:color w:val="auto"/>
        </w:rPr>
      </w:pPr>
    </w:p>
    <w:p>
      <w:pPr>
        <w:ind w:left="580" w:hanging="579"/>
        <w:spacing w:after="0"/>
        <w:tabs>
          <w:tab w:leader="none" w:pos="580" w:val="left"/>
        </w:tabs>
        <w:numPr>
          <w:ilvl w:val="0"/>
          <w:numId w:val="81"/>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65975" cy="412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9" w:name="page150"/>
    <w:bookmarkEnd w:id="149"/>
    <w:p>
      <w:pPr>
        <w:ind w:left="3740"/>
        <w:spacing w:after="0"/>
        <w:rPr>
          <w:sz w:val="20"/>
          <w:szCs w:val="20"/>
          <w:color w:val="auto"/>
        </w:rPr>
      </w:pPr>
      <w:r>
        <w:rPr>
          <w:rFonts w:ascii="Arial" w:cs="Arial" w:eastAsia="Arial" w:hAnsi="Arial"/>
          <w:sz w:val="17"/>
          <w:szCs w:val="17"/>
          <w:b w:val="1"/>
          <w:bCs w:val="1"/>
          <w:color w:val="auto"/>
        </w:rPr>
        <w:t>PARSONS CORPORATION AND SUBSIDIARIES</w:t>
      </w:r>
    </w:p>
    <w:p>
      <w:pPr>
        <w:spacing w:after="0" w:line="15"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Schedule II—Valuation and Qualifying Accounts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Balance at</w:t>
            </w: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2"/>
        </w:trPr>
        <w:tc>
          <w:tcPr>
            <w:tcW w:w="4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5"/>
              </w:rPr>
              <w:t>beginning</w:t>
            </w: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right"/>
              <w:ind w:right="240"/>
              <w:spacing w:after="0" w:line="152" w:lineRule="exact"/>
              <w:rPr>
                <w:sz w:val="20"/>
                <w:szCs w:val="20"/>
                <w:color w:val="auto"/>
              </w:rPr>
            </w:pPr>
            <w:r>
              <w:rPr>
                <w:rFonts w:ascii="Arial" w:cs="Arial" w:eastAsia="Arial" w:hAnsi="Arial"/>
                <w:sz w:val="14"/>
                <w:szCs w:val="14"/>
                <w:b w:val="1"/>
                <w:bCs w:val="1"/>
                <w:color w:val="auto"/>
                <w:w w:val="95"/>
              </w:rPr>
              <w:t>Other and foreign</w:t>
            </w:r>
          </w:p>
        </w:tc>
        <w:tc>
          <w:tcPr>
            <w:tcW w:w="1200" w:type="dxa"/>
            <w:vAlign w:val="bottom"/>
            <w:gridSpan w:val="2"/>
          </w:tcPr>
          <w:p>
            <w:pPr>
              <w:jc w:val="center"/>
              <w:ind w:right="120"/>
              <w:spacing w:after="0" w:line="152" w:lineRule="exact"/>
              <w:rPr>
                <w:sz w:val="20"/>
                <w:szCs w:val="20"/>
                <w:color w:val="auto"/>
              </w:rPr>
            </w:pPr>
            <w:r>
              <w:rPr>
                <w:rFonts w:ascii="Arial" w:cs="Arial" w:eastAsia="Arial" w:hAnsi="Arial"/>
                <w:sz w:val="14"/>
                <w:szCs w:val="14"/>
                <w:b w:val="1"/>
                <w:bCs w:val="1"/>
                <w:color w:val="auto"/>
                <w:w w:val="97"/>
              </w:rPr>
              <w:t>Balance at</w:t>
            </w:r>
          </w:p>
        </w:tc>
      </w:tr>
      <w:tr>
        <w:trPr>
          <w:trHeight w:val="164"/>
        </w:trPr>
        <w:tc>
          <w:tcPr>
            <w:tcW w:w="47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of period</w:t>
            </w: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Additions</w:t>
            </w: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Deductions</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exchange impact</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end of period</w:t>
            </w:r>
          </w:p>
        </w:tc>
      </w:tr>
      <w:tr>
        <w:trPr>
          <w:trHeight w:val="196"/>
        </w:trPr>
        <w:tc>
          <w:tcPr>
            <w:tcW w:w="4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2021</w:t>
            </w:r>
          </w:p>
        </w:tc>
        <w:tc>
          <w:tcPr>
            <w:tcW w:w="12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4760" w:type="dxa"/>
            <w:vAlign w:val="bottom"/>
            <w:gridSpan w:val="2"/>
          </w:tcPr>
          <w:p>
            <w:pPr>
              <w:spacing w:after="0"/>
              <w:rPr>
                <w:sz w:val="20"/>
                <w:szCs w:val="20"/>
                <w:color w:val="auto"/>
              </w:rPr>
            </w:pPr>
            <w:r>
              <w:rPr>
                <w:rFonts w:ascii="Arial" w:cs="Arial" w:eastAsia="Arial" w:hAnsi="Arial"/>
                <w:sz w:val="17"/>
                <w:szCs w:val="17"/>
                <w:color w:val="auto"/>
              </w:rPr>
              <w:t>Allowance for doubtful accounts</w:t>
            </w:r>
          </w:p>
        </w:tc>
        <w:tc>
          <w:tcPr>
            <w:tcW w:w="1080" w:type="dxa"/>
            <w:vAlign w:val="bottom"/>
          </w:tcPr>
          <w:p>
            <w:pPr>
              <w:jc w:val="right"/>
              <w:spacing w:after="0"/>
              <w:rPr>
                <w:sz w:val="20"/>
                <w:szCs w:val="20"/>
                <w:color w:val="auto"/>
              </w:rPr>
            </w:pPr>
            <w:r>
              <w:rPr>
                <w:rFonts w:ascii="Arial" w:cs="Arial" w:eastAsia="Arial" w:hAnsi="Arial"/>
                <w:sz w:val="17"/>
                <w:szCs w:val="17"/>
                <w:color w:val="auto"/>
              </w:rPr>
              <w:t>4,001</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w:t>
            </w:r>
          </w:p>
        </w:tc>
        <w:tc>
          <w:tcPr>
            <w:tcW w:w="2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(54)</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3,955</w:t>
            </w:r>
          </w:p>
        </w:tc>
        <w:tc>
          <w:tcPr>
            <w:tcW w:w="100" w:type="dxa"/>
            <w:vAlign w:val="bottom"/>
          </w:tcPr>
          <w:p>
            <w:pPr>
              <w:spacing w:after="0"/>
              <w:rPr>
                <w:sz w:val="17"/>
                <w:szCs w:val="17"/>
                <w:color w:val="auto"/>
              </w:rPr>
            </w:pPr>
          </w:p>
        </w:tc>
      </w:tr>
      <w:tr>
        <w:trPr>
          <w:trHeight w:val="203"/>
        </w:trPr>
        <w:tc>
          <w:tcPr>
            <w:tcW w:w="47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Valuation allowance on deferred tax assets</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23,878</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4,873</w:t>
            </w:r>
          </w:p>
        </w:tc>
        <w:tc>
          <w:tcPr>
            <w:tcW w:w="2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(878)</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(525)</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27,348</w:t>
            </w:r>
          </w:p>
        </w:tc>
        <w:tc>
          <w:tcPr>
            <w:tcW w:w="100" w:type="dxa"/>
            <w:vAlign w:val="bottom"/>
            <w:shd w:val="clear" w:color="auto" w:fill="CFF0FC"/>
          </w:tcPr>
          <w:p>
            <w:pPr>
              <w:spacing w:after="0"/>
              <w:rPr>
                <w:sz w:val="17"/>
                <w:szCs w:val="17"/>
                <w:color w:val="auto"/>
              </w:rPr>
            </w:pPr>
          </w:p>
        </w:tc>
      </w:tr>
      <w:tr>
        <w:trPr>
          <w:trHeight w:val="203"/>
        </w:trPr>
        <w:tc>
          <w:tcPr>
            <w:tcW w:w="4640" w:type="dxa"/>
            <w:vAlign w:val="bottom"/>
          </w:tcPr>
          <w:p>
            <w:pPr>
              <w:spacing w:after="0"/>
              <w:rPr>
                <w:sz w:val="20"/>
                <w:szCs w:val="20"/>
                <w:color w:val="auto"/>
              </w:rPr>
            </w:pPr>
            <w:r>
              <w:rPr>
                <w:rFonts w:ascii="Arial" w:cs="Arial" w:eastAsia="Arial" w:hAnsi="Arial"/>
                <w:sz w:val="17"/>
                <w:szCs w:val="17"/>
                <w:color w:val="auto"/>
              </w:rPr>
              <w:t>2020</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Allowance for doubtful accounts</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5,497</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1,201</w:t>
            </w:r>
          </w:p>
        </w:tc>
        <w:tc>
          <w:tcPr>
            <w:tcW w:w="2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(2,697)</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4,001</w:t>
            </w:r>
          </w:p>
        </w:tc>
        <w:tc>
          <w:tcPr>
            <w:tcW w:w="100" w:type="dxa"/>
            <w:vAlign w:val="bottom"/>
            <w:shd w:val="clear" w:color="auto" w:fill="CFF0FC"/>
          </w:tcPr>
          <w:p>
            <w:pPr>
              <w:spacing w:after="0"/>
              <w:rPr>
                <w:sz w:val="17"/>
                <w:szCs w:val="17"/>
                <w:color w:val="auto"/>
              </w:rPr>
            </w:pPr>
          </w:p>
        </w:tc>
      </w:tr>
      <w:tr>
        <w:trPr>
          <w:trHeight w:val="203"/>
        </w:trPr>
        <w:tc>
          <w:tcPr>
            <w:tcW w:w="4760" w:type="dxa"/>
            <w:vAlign w:val="bottom"/>
            <w:gridSpan w:val="2"/>
          </w:tcPr>
          <w:p>
            <w:pPr>
              <w:spacing w:after="0"/>
              <w:rPr>
                <w:sz w:val="20"/>
                <w:szCs w:val="20"/>
                <w:color w:val="auto"/>
              </w:rPr>
            </w:pPr>
            <w:r>
              <w:rPr>
                <w:rFonts w:ascii="Arial" w:cs="Arial" w:eastAsia="Arial" w:hAnsi="Arial"/>
                <w:sz w:val="17"/>
                <w:szCs w:val="17"/>
                <w:color w:val="auto"/>
              </w:rPr>
              <w:t>Valuation allowance on deferred tax assets</w:t>
            </w:r>
          </w:p>
        </w:tc>
        <w:tc>
          <w:tcPr>
            <w:tcW w:w="1080" w:type="dxa"/>
            <w:vAlign w:val="bottom"/>
          </w:tcPr>
          <w:p>
            <w:pPr>
              <w:jc w:val="right"/>
              <w:spacing w:after="0"/>
              <w:rPr>
                <w:sz w:val="20"/>
                <w:szCs w:val="20"/>
                <w:color w:val="auto"/>
              </w:rPr>
            </w:pPr>
            <w:r>
              <w:rPr>
                <w:rFonts w:ascii="Arial" w:cs="Arial" w:eastAsia="Arial" w:hAnsi="Arial"/>
                <w:sz w:val="17"/>
                <w:szCs w:val="17"/>
                <w:color w:val="auto"/>
              </w:rPr>
              <w:t>17,359</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7,655</w:t>
            </w:r>
          </w:p>
        </w:tc>
        <w:tc>
          <w:tcPr>
            <w:tcW w:w="2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(596)</w:t>
            </w: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(540)</w:t>
            </w:r>
          </w:p>
        </w:tc>
        <w:tc>
          <w:tcPr>
            <w:tcW w:w="1100" w:type="dxa"/>
            <w:vAlign w:val="bottom"/>
          </w:tcPr>
          <w:p>
            <w:pPr>
              <w:jc w:val="right"/>
              <w:spacing w:after="0"/>
              <w:rPr>
                <w:sz w:val="20"/>
                <w:szCs w:val="20"/>
                <w:color w:val="auto"/>
              </w:rPr>
            </w:pPr>
            <w:r>
              <w:rPr>
                <w:rFonts w:ascii="Arial" w:cs="Arial" w:eastAsia="Arial" w:hAnsi="Arial"/>
                <w:sz w:val="17"/>
                <w:szCs w:val="17"/>
                <w:color w:val="auto"/>
              </w:rPr>
              <w:t>23,878</w:t>
            </w:r>
          </w:p>
        </w:tc>
        <w:tc>
          <w:tcPr>
            <w:tcW w:w="100" w:type="dxa"/>
            <w:vAlign w:val="bottom"/>
          </w:tcPr>
          <w:p>
            <w:pPr>
              <w:spacing w:after="0"/>
              <w:rPr>
                <w:sz w:val="17"/>
                <w:szCs w:val="17"/>
                <w:color w:val="auto"/>
              </w:rPr>
            </w:pPr>
          </w:p>
        </w:tc>
      </w:tr>
      <w:tr>
        <w:trPr>
          <w:trHeight w:val="203"/>
        </w:trPr>
        <w:tc>
          <w:tcPr>
            <w:tcW w:w="4640" w:type="dxa"/>
            <w:vAlign w:val="bottom"/>
            <w:shd w:val="clear" w:color="auto" w:fill="CFF0FC"/>
          </w:tcPr>
          <w:p>
            <w:pPr>
              <w:spacing w:after="0"/>
              <w:rPr>
                <w:sz w:val="20"/>
                <w:szCs w:val="20"/>
                <w:color w:val="auto"/>
              </w:rPr>
            </w:pPr>
            <w:r>
              <w:rPr>
                <w:rFonts w:ascii="Arial" w:cs="Arial" w:eastAsia="Arial" w:hAnsi="Arial"/>
                <w:sz w:val="17"/>
                <w:szCs w:val="17"/>
                <w:color w:val="auto"/>
              </w:rPr>
              <w:t>2019</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760" w:type="dxa"/>
            <w:vAlign w:val="bottom"/>
            <w:gridSpan w:val="2"/>
          </w:tcPr>
          <w:p>
            <w:pPr>
              <w:spacing w:after="0"/>
              <w:rPr>
                <w:sz w:val="20"/>
                <w:szCs w:val="20"/>
                <w:color w:val="auto"/>
              </w:rPr>
            </w:pPr>
            <w:r>
              <w:rPr>
                <w:rFonts w:ascii="Arial" w:cs="Arial" w:eastAsia="Arial" w:hAnsi="Arial"/>
                <w:sz w:val="17"/>
                <w:szCs w:val="17"/>
                <w:color w:val="auto"/>
              </w:rPr>
              <w:t>Allowance for doubtful accounts (1)</w:t>
            </w:r>
          </w:p>
        </w:tc>
        <w:tc>
          <w:tcPr>
            <w:tcW w:w="1080" w:type="dxa"/>
            <w:vAlign w:val="bottom"/>
          </w:tcPr>
          <w:p>
            <w:pPr>
              <w:jc w:val="right"/>
              <w:spacing w:after="0"/>
              <w:rPr>
                <w:sz w:val="20"/>
                <w:szCs w:val="20"/>
                <w:color w:val="auto"/>
              </w:rPr>
            </w:pPr>
            <w:r>
              <w:rPr>
                <w:rFonts w:ascii="Arial" w:cs="Arial" w:eastAsia="Arial" w:hAnsi="Arial"/>
                <w:sz w:val="17"/>
                <w:szCs w:val="17"/>
                <w:color w:val="auto"/>
              </w:rPr>
              <w:t>4,722</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775</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5,497</w:t>
            </w:r>
          </w:p>
        </w:tc>
        <w:tc>
          <w:tcPr>
            <w:tcW w:w="100" w:type="dxa"/>
            <w:vAlign w:val="bottom"/>
          </w:tcPr>
          <w:p>
            <w:pPr>
              <w:spacing w:after="0"/>
              <w:rPr>
                <w:sz w:val="17"/>
                <w:szCs w:val="17"/>
                <w:color w:val="auto"/>
              </w:rPr>
            </w:pPr>
          </w:p>
        </w:tc>
      </w:tr>
      <w:tr>
        <w:trPr>
          <w:trHeight w:val="203"/>
        </w:trPr>
        <w:tc>
          <w:tcPr>
            <w:tcW w:w="47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Valuation allowance on deferred tax assets</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6,668</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10,817</w:t>
            </w:r>
          </w:p>
        </w:tc>
        <w:tc>
          <w:tcPr>
            <w:tcW w:w="2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(32)</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(94)</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17,359</w:t>
            </w:r>
          </w:p>
        </w:tc>
        <w:tc>
          <w:tcPr>
            <w:tcW w:w="100" w:type="dxa"/>
            <w:vAlign w:val="bottom"/>
            <w:shd w:val="clear" w:color="auto" w:fill="CFF0FC"/>
          </w:tcPr>
          <w:p>
            <w:pPr>
              <w:spacing w:after="0"/>
              <w:rPr>
                <w:sz w:val="17"/>
                <w:szCs w:val="17"/>
                <w:color w:val="auto"/>
              </w:rPr>
            </w:pPr>
          </w:p>
        </w:tc>
      </w:tr>
    </w:tbl>
    <w:p>
      <w:pPr>
        <w:spacing w:after="0" w:line="233" w:lineRule="exact"/>
        <w:rPr>
          <w:sz w:val="20"/>
          <w:szCs w:val="20"/>
          <w:color w:val="auto"/>
        </w:rPr>
      </w:pPr>
    </w:p>
    <w:p>
      <w:pPr>
        <w:ind w:left="860" w:right="320" w:hanging="859"/>
        <w:spacing w:after="0" w:line="234" w:lineRule="auto"/>
        <w:tabs>
          <w:tab w:leader="none" w:pos="8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In connection with the adoption of ASU 2016-13, we have modified the historical presentation of gross receivables and the allowance for doubtful accounts to reflect only expected credit losses in the allowance in conformity with the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F-56</w:t>
      </w:r>
    </w:p>
    <w:p>
      <w:pPr>
        <w:sectPr>
          <w:pgSz w:w="11900" w:h="16838" w:orient="portrait"/>
          <w:cols w:equalWidth="0" w:num="1">
            <w:col w:w="11240"/>
          </w:cols>
          <w:pgMar w:left="320" w:top="727"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9"/>
          <w:szCs w:val="19"/>
          <w:color w:val="auto"/>
        </w:rPr>
        <w:t>Exhibit 10.10</w:t>
      </w:r>
    </w:p>
    <w:p>
      <w:pPr>
        <w:spacing w:after="0" w:line="157"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2"/>
          <w:szCs w:val="12"/>
          <w:b w:val="1"/>
          <w:bCs w:val="1"/>
          <w:color w:val="auto"/>
        </w:rPr>
        <w:t>MENDMENTS TO</w:t>
      </w:r>
      <w:r>
        <w:rPr>
          <w:rFonts w:ascii="Arial" w:cs="Arial" w:eastAsia="Arial" w:hAnsi="Arial"/>
          <w:sz w:val="19"/>
          <w:szCs w:val="19"/>
          <w:b w:val="1"/>
          <w:bCs w:val="1"/>
          <w:color w:val="auto"/>
        </w:rPr>
        <w:t xml:space="preserve"> A</w:t>
      </w:r>
      <w:r>
        <w:rPr>
          <w:rFonts w:ascii="Arial" w:cs="Arial" w:eastAsia="Arial" w:hAnsi="Arial"/>
          <w:sz w:val="12"/>
          <w:szCs w:val="12"/>
          <w:b w:val="1"/>
          <w:bCs w:val="1"/>
          <w:color w:val="auto"/>
        </w:rPr>
        <w:t>NNUAL</w:t>
      </w:r>
      <w:r>
        <w:rPr>
          <w:rFonts w:ascii="Arial" w:cs="Arial" w:eastAsia="Arial" w:hAnsi="Arial"/>
          <w:sz w:val="19"/>
          <w:szCs w:val="19"/>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9"/>
          <w:szCs w:val="19"/>
          <w:b w:val="1"/>
          <w:bCs w:val="1"/>
          <w:color w:val="auto"/>
        </w:rPr>
        <w:t xml:space="preserve"> P</w:t>
      </w:r>
      <w:r>
        <w:rPr>
          <w:rFonts w:ascii="Arial" w:cs="Arial" w:eastAsia="Arial" w:hAnsi="Arial"/>
          <w:sz w:val="12"/>
          <w:szCs w:val="12"/>
          <w:b w:val="1"/>
          <w:bCs w:val="1"/>
          <w:color w:val="auto"/>
        </w:rPr>
        <w:t>LAN</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PARSONS CORPORATION</w:t>
      </w:r>
    </w:p>
    <w:p>
      <w:pPr>
        <w:spacing w:after="0" w:line="200" w:lineRule="exact"/>
        <w:rPr>
          <w:sz w:val="20"/>
          <w:szCs w:val="20"/>
          <w:color w:val="auto"/>
        </w:rPr>
      </w:pPr>
    </w:p>
    <w:p>
      <w:pPr>
        <w:ind w:left="3300"/>
        <w:spacing w:after="0"/>
        <w:rPr>
          <w:sz w:val="20"/>
          <w:szCs w:val="20"/>
          <w:color w:val="auto"/>
        </w:rPr>
      </w:pPr>
      <w:r>
        <w:rPr>
          <w:rFonts w:ascii="Arial" w:cs="Arial" w:eastAsia="Arial" w:hAnsi="Arial"/>
          <w:sz w:val="19"/>
          <w:szCs w:val="19"/>
          <w:color w:val="auto"/>
        </w:rPr>
        <w:t>ANNUAL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560"/>
        <w:spacing w:after="0"/>
        <w:rPr>
          <w:sz w:val="20"/>
          <w:szCs w:val="20"/>
          <w:color w:val="auto"/>
        </w:rPr>
      </w:pPr>
      <w:r>
        <w:rPr>
          <w:rFonts w:ascii="Arial" w:cs="Arial" w:eastAsia="Arial" w:hAnsi="Arial"/>
          <w:sz w:val="19"/>
          <w:szCs w:val="19"/>
          <w:color w:val="auto"/>
        </w:rPr>
        <w:t>Adopted January 1, 2012</w:t>
      </w:r>
    </w:p>
    <w:p>
      <w:pPr>
        <w:spacing w:after="0" w:line="200"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Amended January 1, 2019</w:t>
      </w:r>
    </w:p>
    <w:p>
      <w:pPr>
        <w:spacing w:after="0" w:line="200"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Amended January 1, 2020</w:t>
      </w:r>
    </w:p>
    <w:p>
      <w:pPr>
        <w:spacing w:after="0" w:line="200" w:lineRule="exact"/>
        <w:rPr>
          <w:sz w:val="20"/>
          <w:szCs w:val="20"/>
          <w:color w:val="auto"/>
        </w:rPr>
      </w:pPr>
    </w:p>
    <w:p>
      <w:pPr>
        <w:ind w:left="3460"/>
        <w:spacing w:after="0"/>
        <w:rPr>
          <w:sz w:val="20"/>
          <w:szCs w:val="20"/>
          <w:color w:val="auto"/>
        </w:rPr>
      </w:pPr>
      <w:r>
        <w:rPr>
          <w:rFonts w:ascii="Arial" w:cs="Arial" w:eastAsia="Arial" w:hAnsi="Arial"/>
          <w:sz w:val="19"/>
          <w:szCs w:val="19"/>
          <w:color w:val="auto"/>
        </w:rPr>
        <w:t>Amended October 19, 2020</w:t>
      </w:r>
    </w:p>
    <w:p>
      <w:pPr>
        <w:spacing w:after="0" w:line="200"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Amended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591820</wp:posOffset>
            </wp:positionV>
            <wp:extent cx="7182485" cy="412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0120"/>
          </w:cols>
          <w:pgMar w:left="1440" w:top="124" w:right="3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59"/>
        </w:trPr>
        <w:tc>
          <w:tcPr>
            <w:tcW w:w="1840" w:type="dxa"/>
            <w:vAlign w:val="bottom"/>
          </w:tcPr>
          <w:p>
            <w:pPr>
              <w:spacing w:after="0"/>
              <w:rPr>
                <w:sz w:val="22"/>
                <w:szCs w:val="22"/>
                <w:color w:val="auto"/>
              </w:rPr>
            </w:pPr>
          </w:p>
        </w:tc>
        <w:tc>
          <w:tcPr>
            <w:tcW w:w="9440" w:type="dxa"/>
            <w:vAlign w:val="bottom"/>
          </w:tcPr>
          <w:p>
            <w:pPr>
              <w:ind w:left="2620"/>
              <w:spacing w:after="0"/>
              <w:rPr>
                <w:sz w:val="20"/>
                <w:szCs w:val="20"/>
                <w:color w:val="auto"/>
              </w:rPr>
            </w:pPr>
            <w:r>
              <w:rPr>
                <w:rFonts w:ascii="Arial" w:cs="Arial" w:eastAsia="Arial" w:hAnsi="Arial"/>
                <w:sz w:val="20"/>
                <w:szCs w:val="20"/>
                <w:color w:val="auto"/>
              </w:rPr>
              <w:t>TABLE OF CONTENTS</w:t>
            </w:r>
          </w:p>
        </w:tc>
      </w:tr>
      <w:tr>
        <w:trPr>
          <w:trHeight w:val="735"/>
        </w:trPr>
        <w:tc>
          <w:tcPr>
            <w:tcW w:w="1840" w:type="dxa"/>
            <w:vAlign w:val="bottom"/>
          </w:tcPr>
          <w:p>
            <w:pPr>
              <w:ind w:left="480"/>
              <w:spacing w:after="0"/>
              <w:rPr>
                <w:sz w:val="20"/>
                <w:szCs w:val="20"/>
                <w:color w:val="auto"/>
              </w:rPr>
            </w:pPr>
            <w:r>
              <w:rPr>
                <w:rFonts w:ascii="Arial" w:cs="Arial" w:eastAsia="Arial" w:hAnsi="Arial"/>
                <w:sz w:val="20"/>
                <w:szCs w:val="20"/>
                <w:color w:val="auto"/>
              </w:rPr>
              <w:t>ARTICLE 1</w:t>
            </w:r>
          </w:p>
        </w:tc>
        <w:tc>
          <w:tcPr>
            <w:tcW w:w="9440" w:type="dxa"/>
            <w:vAlign w:val="bottom"/>
          </w:tcPr>
          <w:p>
            <w:pPr>
              <w:jc w:val="center"/>
              <w:ind w:right="1439"/>
              <w:spacing w:after="0"/>
              <w:rPr>
                <w:sz w:val="20"/>
                <w:szCs w:val="20"/>
                <w:color w:val="auto"/>
              </w:rPr>
            </w:pPr>
            <w:r>
              <w:rPr>
                <w:rFonts w:ascii="Arial" w:cs="Arial" w:eastAsia="Arial" w:hAnsi="Arial"/>
                <w:sz w:val="20"/>
                <w:szCs w:val="20"/>
                <w:color w:val="auto"/>
                <w:w w:val="92"/>
              </w:rPr>
              <w:t>PREFACE1</w:t>
            </w:r>
          </w:p>
        </w:tc>
      </w:tr>
      <w:tr>
        <w:trPr>
          <w:trHeight w:val="330"/>
        </w:trPr>
        <w:tc>
          <w:tcPr>
            <w:tcW w:w="1840" w:type="dxa"/>
            <w:vAlign w:val="bottom"/>
          </w:tcPr>
          <w:p>
            <w:pPr>
              <w:ind w:left="840"/>
              <w:spacing w:after="0"/>
              <w:rPr>
                <w:sz w:val="20"/>
                <w:szCs w:val="20"/>
                <w:color w:val="auto"/>
              </w:rPr>
            </w:pPr>
            <w:r>
              <w:rPr>
                <w:rFonts w:ascii="Arial" w:cs="Arial" w:eastAsia="Arial" w:hAnsi="Arial"/>
                <w:sz w:val="20"/>
                <w:szCs w:val="20"/>
                <w:color w:val="auto"/>
                <w:w w:val="97"/>
              </w:rPr>
              <w:t>Section 1.1</w:t>
            </w:r>
          </w:p>
        </w:tc>
        <w:tc>
          <w:tcPr>
            <w:tcW w:w="9440" w:type="dxa"/>
            <w:vAlign w:val="bottom"/>
          </w:tcPr>
          <w:p>
            <w:pPr>
              <w:ind w:left="960"/>
              <w:spacing w:after="0"/>
              <w:rPr>
                <w:sz w:val="20"/>
                <w:szCs w:val="20"/>
                <w:color w:val="auto"/>
              </w:rPr>
            </w:pPr>
            <w:r>
              <w:rPr>
                <w:rFonts w:ascii="Arial" w:cs="Arial" w:eastAsia="Arial" w:hAnsi="Arial"/>
                <w:sz w:val="20"/>
                <w:szCs w:val="20"/>
                <w:color w:val="auto"/>
              </w:rPr>
              <w:t>Effective Date and Term1</w:t>
            </w:r>
          </w:p>
        </w:tc>
      </w:tr>
      <w:tr>
        <w:trPr>
          <w:trHeight w:val="330"/>
        </w:trPr>
        <w:tc>
          <w:tcPr>
            <w:tcW w:w="1840" w:type="dxa"/>
            <w:vAlign w:val="bottom"/>
          </w:tcPr>
          <w:p>
            <w:pPr>
              <w:ind w:left="840"/>
              <w:spacing w:after="0"/>
              <w:rPr>
                <w:sz w:val="20"/>
                <w:szCs w:val="20"/>
                <w:color w:val="auto"/>
              </w:rPr>
            </w:pPr>
            <w:r>
              <w:rPr>
                <w:rFonts w:ascii="Arial" w:cs="Arial" w:eastAsia="Arial" w:hAnsi="Arial"/>
                <w:sz w:val="20"/>
                <w:szCs w:val="20"/>
                <w:color w:val="auto"/>
                <w:w w:val="97"/>
              </w:rPr>
              <w:t>Section 1.2</w:t>
            </w:r>
          </w:p>
        </w:tc>
        <w:tc>
          <w:tcPr>
            <w:tcW w:w="9440" w:type="dxa"/>
            <w:vAlign w:val="bottom"/>
          </w:tcPr>
          <w:p>
            <w:pPr>
              <w:ind w:left="960"/>
              <w:spacing w:after="0"/>
              <w:rPr>
                <w:sz w:val="20"/>
                <w:szCs w:val="20"/>
                <w:color w:val="auto"/>
              </w:rPr>
            </w:pPr>
            <w:r>
              <w:rPr>
                <w:rFonts w:ascii="Arial" w:cs="Arial" w:eastAsia="Arial" w:hAnsi="Arial"/>
                <w:sz w:val="20"/>
                <w:szCs w:val="20"/>
                <w:color w:val="auto"/>
              </w:rPr>
              <w:t>Purpose of the Plan1</w:t>
            </w:r>
          </w:p>
        </w:tc>
      </w:tr>
      <w:tr>
        <w:trPr>
          <w:trHeight w:val="532"/>
        </w:trPr>
        <w:tc>
          <w:tcPr>
            <w:tcW w:w="1840" w:type="dxa"/>
            <w:vAlign w:val="bottom"/>
          </w:tcPr>
          <w:p>
            <w:pPr>
              <w:ind w:left="480"/>
              <w:spacing w:after="0"/>
              <w:rPr>
                <w:sz w:val="20"/>
                <w:szCs w:val="20"/>
                <w:color w:val="auto"/>
              </w:rPr>
            </w:pPr>
            <w:r>
              <w:rPr>
                <w:rFonts w:ascii="Arial" w:cs="Arial" w:eastAsia="Arial" w:hAnsi="Arial"/>
                <w:sz w:val="20"/>
                <w:szCs w:val="20"/>
                <w:color w:val="auto"/>
              </w:rPr>
              <w:t>ARTICLE 2</w:t>
            </w:r>
          </w:p>
        </w:tc>
        <w:tc>
          <w:tcPr>
            <w:tcW w:w="9440" w:type="dxa"/>
            <w:vAlign w:val="bottom"/>
          </w:tcPr>
          <w:p>
            <w:pPr>
              <w:jc w:val="center"/>
              <w:ind w:right="1459"/>
              <w:spacing w:after="0"/>
              <w:rPr>
                <w:sz w:val="20"/>
                <w:szCs w:val="20"/>
                <w:color w:val="auto"/>
              </w:rPr>
            </w:pPr>
            <w:r>
              <w:rPr>
                <w:rFonts w:ascii="Arial" w:cs="Arial" w:eastAsia="Arial" w:hAnsi="Arial"/>
                <w:sz w:val="20"/>
                <w:szCs w:val="20"/>
                <w:color w:val="auto"/>
                <w:w w:val="98"/>
              </w:rPr>
              <w:t>DEFINITIONS1</w:t>
            </w:r>
          </w:p>
        </w:tc>
      </w:tr>
      <w:tr>
        <w:trPr>
          <w:trHeight w:val="532"/>
        </w:trPr>
        <w:tc>
          <w:tcPr>
            <w:tcW w:w="1840" w:type="dxa"/>
            <w:vAlign w:val="bottom"/>
          </w:tcPr>
          <w:p>
            <w:pPr>
              <w:spacing w:after="0"/>
              <w:rPr>
                <w:sz w:val="20"/>
                <w:szCs w:val="20"/>
                <w:color w:val="auto"/>
              </w:rPr>
            </w:pPr>
            <w:r>
              <w:rPr>
                <w:rFonts w:ascii="Arial" w:cs="Arial" w:eastAsia="Arial" w:hAnsi="Arial"/>
                <w:sz w:val="20"/>
                <w:szCs w:val="20"/>
                <w:color w:val="auto"/>
              </w:rPr>
              <w:t>ARTICLE 3</w:t>
            </w:r>
          </w:p>
        </w:tc>
        <w:tc>
          <w:tcPr>
            <w:tcW w:w="9440" w:type="dxa"/>
            <w:vAlign w:val="bottom"/>
          </w:tcPr>
          <w:p>
            <w:pPr>
              <w:ind w:left="100"/>
              <w:spacing w:after="0"/>
              <w:rPr>
                <w:sz w:val="20"/>
                <w:szCs w:val="20"/>
                <w:color w:val="auto"/>
              </w:rPr>
            </w:pPr>
            <w:r>
              <w:rPr>
                <w:rFonts w:ascii="Arial" w:cs="Arial" w:eastAsia="Arial" w:hAnsi="Arial"/>
                <w:sz w:val="20"/>
                <w:szCs w:val="20"/>
                <w:color w:val="auto"/>
              </w:rPr>
              <w:t>ANNUAL INCENTIVE OPPORTUNITY TARGETS AND AWARDS2</w:t>
            </w:r>
          </w:p>
        </w:tc>
      </w:tr>
      <w:tr>
        <w:trPr>
          <w:trHeight w:val="330"/>
        </w:trPr>
        <w:tc>
          <w:tcPr>
            <w:tcW w:w="1840" w:type="dxa"/>
            <w:vAlign w:val="bottom"/>
          </w:tcPr>
          <w:p>
            <w:pPr>
              <w:ind w:left="840"/>
              <w:spacing w:after="0"/>
              <w:rPr>
                <w:sz w:val="20"/>
                <w:szCs w:val="20"/>
                <w:color w:val="auto"/>
              </w:rPr>
            </w:pPr>
            <w:r>
              <w:rPr>
                <w:rFonts w:ascii="Arial" w:cs="Arial" w:eastAsia="Arial" w:hAnsi="Arial"/>
                <w:sz w:val="20"/>
                <w:szCs w:val="20"/>
                <w:color w:val="auto"/>
                <w:w w:val="97"/>
              </w:rPr>
              <w:t>Section 3.1</w:t>
            </w:r>
          </w:p>
        </w:tc>
        <w:tc>
          <w:tcPr>
            <w:tcW w:w="9440" w:type="dxa"/>
            <w:vAlign w:val="bottom"/>
          </w:tcPr>
          <w:p>
            <w:pPr>
              <w:ind w:left="960"/>
              <w:spacing w:after="0"/>
              <w:rPr>
                <w:sz w:val="20"/>
                <w:szCs w:val="20"/>
                <w:color w:val="auto"/>
              </w:rPr>
            </w:pPr>
            <w:r>
              <w:rPr>
                <w:rFonts w:ascii="Arial" w:cs="Arial" w:eastAsia="Arial" w:hAnsi="Arial"/>
                <w:sz w:val="20"/>
                <w:szCs w:val="20"/>
                <w:color w:val="auto"/>
              </w:rPr>
              <w:t>Authority of the Compensation Committee2</w:t>
            </w:r>
          </w:p>
        </w:tc>
      </w:tr>
      <w:tr>
        <w:trPr>
          <w:trHeight w:val="330"/>
        </w:trPr>
        <w:tc>
          <w:tcPr>
            <w:tcW w:w="1840" w:type="dxa"/>
            <w:vAlign w:val="bottom"/>
          </w:tcPr>
          <w:p>
            <w:pPr>
              <w:ind w:left="840"/>
              <w:spacing w:after="0"/>
              <w:rPr>
                <w:sz w:val="20"/>
                <w:szCs w:val="20"/>
                <w:color w:val="auto"/>
              </w:rPr>
            </w:pPr>
            <w:r>
              <w:rPr>
                <w:rFonts w:ascii="Arial" w:cs="Arial" w:eastAsia="Arial" w:hAnsi="Arial"/>
                <w:sz w:val="20"/>
                <w:szCs w:val="20"/>
                <w:color w:val="auto"/>
                <w:w w:val="97"/>
              </w:rPr>
              <w:t>Section 3.2</w:t>
            </w:r>
          </w:p>
        </w:tc>
        <w:tc>
          <w:tcPr>
            <w:tcW w:w="9440" w:type="dxa"/>
            <w:vAlign w:val="bottom"/>
          </w:tcPr>
          <w:p>
            <w:pPr>
              <w:ind w:left="960"/>
              <w:spacing w:after="0"/>
              <w:rPr>
                <w:sz w:val="20"/>
                <w:szCs w:val="20"/>
                <w:color w:val="auto"/>
              </w:rPr>
            </w:pPr>
            <w:r>
              <w:rPr>
                <w:rFonts w:ascii="Arial" w:cs="Arial" w:eastAsia="Arial" w:hAnsi="Arial"/>
                <w:sz w:val="20"/>
                <w:szCs w:val="20"/>
                <w:color w:val="auto"/>
              </w:rPr>
              <w:t>Determination of Performance Criteria3</w:t>
            </w:r>
          </w:p>
        </w:tc>
      </w:tr>
      <w:tr>
        <w:trPr>
          <w:trHeight w:val="330"/>
        </w:trPr>
        <w:tc>
          <w:tcPr>
            <w:tcW w:w="1840" w:type="dxa"/>
            <w:vAlign w:val="bottom"/>
          </w:tcPr>
          <w:p>
            <w:pPr>
              <w:ind w:left="840"/>
              <w:spacing w:after="0"/>
              <w:rPr>
                <w:sz w:val="20"/>
                <w:szCs w:val="20"/>
                <w:color w:val="auto"/>
              </w:rPr>
            </w:pPr>
            <w:r>
              <w:rPr>
                <w:rFonts w:ascii="Arial" w:cs="Arial" w:eastAsia="Arial" w:hAnsi="Arial"/>
                <w:sz w:val="20"/>
                <w:szCs w:val="20"/>
                <w:color w:val="auto"/>
                <w:w w:val="97"/>
              </w:rPr>
              <w:t>Section 3.3</w:t>
            </w:r>
          </w:p>
        </w:tc>
        <w:tc>
          <w:tcPr>
            <w:tcW w:w="9440" w:type="dxa"/>
            <w:vAlign w:val="bottom"/>
          </w:tcPr>
          <w:p>
            <w:pPr>
              <w:ind w:left="960"/>
              <w:spacing w:after="0"/>
              <w:rPr>
                <w:sz w:val="20"/>
                <w:szCs w:val="20"/>
                <w:color w:val="auto"/>
              </w:rPr>
            </w:pPr>
            <w:r>
              <w:rPr>
                <w:rFonts w:ascii="Arial" w:cs="Arial" w:eastAsia="Arial" w:hAnsi="Arial"/>
                <w:sz w:val="20"/>
                <w:szCs w:val="20"/>
                <w:color w:val="auto"/>
              </w:rPr>
              <w:t>Determination of Annual Incentive Opportunity Targets3</w:t>
            </w:r>
          </w:p>
        </w:tc>
      </w:tr>
      <w:tr>
        <w:trPr>
          <w:trHeight w:val="330"/>
        </w:trPr>
        <w:tc>
          <w:tcPr>
            <w:tcW w:w="1840" w:type="dxa"/>
            <w:vAlign w:val="bottom"/>
          </w:tcPr>
          <w:p>
            <w:pPr>
              <w:ind w:left="840"/>
              <w:spacing w:after="0"/>
              <w:rPr>
                <w:sz w:val="20"/>
                <w:szCs w:val="20"/>
                <w:color w:val="auto"/>
              </w:rPr>
            </w:pPr>
            <w:r>
              <w:rPr>
                <w:rFonts w:ascii="Arial" w:cs="Arial" w:eastAsia="Arial" w:hAnsi="Arial"/>
                <w:sz w:val="20"/>
                <w:szCs w:val="20"/>
                <w:color w:val="auto"/>
                <w:w w:val="97"/>
              </w:rPr>
              <w:t>Section 3.4</w:t>
            </w:r>
          </w:p>
        </w:tc>
        <w:tc>
          <w:tcPr>
            <w:tcW w:w="9440" w:type="dxa"/>
            <w:vAlign w:val="bottom"/>
          </w:tcPr>
          <w:p>
            <w:pPr>
              <w:ind w:left="960"/>
              <w:spacing w:after="0"/>
              <w:rPr>
                <w:sz w:val="20"/>
                <w:szCs w:val="20"/>
                <w:color w:val="auto"/>
              </w:rPr>
            </w:pPr>
            <w:r>
              <w:rPr>
                <w:rFonts w:ascii="Arial" w:cs="Arial" w:eastAsia="Arial" w:hAnsi="Arial"/>
                <w:sz w:val="20"/>
                <w:szCs w:val="20"/>
                <w:color w:val="auto"/>
              </w:rPr>
              <w:t>Determination of Funding Target for the Annual Incentive Plan4</w:t>
            </w:r>
          </w:p>
        </w:tc>
      </w:tr>
      <w:tr>
        <w:trPr>
          <w:trHeight w:val="330"/>
        </w:trPr>
        <w:tc>
          <w:tcPr>
            <w:tcW w:w="1840" w:type="dxa"/>
            <w:vAlign w:val="bottom"/>
          </w:tcPr>
          <w:p>
            <w:pPr>
              <w:ind w:left="840"/>
              <w:spacing w:after="0"/>
              <w:rPr>
                <w:sz w:val="20"/>
                <w:szCs w:val="20"/>
                <w:color w:val="auto"/>
              </w:rPr>
            </w:pPr>
            <w:r>
              <w:rPr>
                <w:rFonts w:ascii="Arial" w:cs="Arial" w:eastAsia="Arial" w:hAnsi="Arial"/>
                <w:sz w:val="20"/>
                <w:szCs w:val="20"/>
                <w:color w:val="auto"/>
                <w:w w:val="97"/>
              </w:rPr>
              <w:t>Section 3.5</w:t>
            </w:r>
          </w:p>
        </w:tc>
        <w:tc>
          <w:tcPr>
            <w:tcW w:w="9440" w:type="dxa"/>
            <w:vAlign w:val="bottom"/>
          </w:tcPr>
          <w:p>
            <w:pPr>
              <w:ind w:left="960"/>
              <w:spacing w:after="0"/>
              <w:rPr>
                <w:sz w:val="20"/>
                <w:szCs w:val="20"/>
                <w:color w:val="auto"/>
              </w:rPr>
            </w:pPr>
            <w:r>
              <w:rPr>
                <w:rFonts w:ascii="Arial" w:cs="Arial" w:eastAsia="Arial" w:hAnsi="Arial"/>
                <w:sz w:val="20"/>
                <w:szCs w:val="20"/>
                <w:color w:val="auto"/>
              </w:rPr>
              <w:t>Determination of Annual Incentive Award Pools4</w:t>
            </w:r>
          </w:p>
        </w:tc>
      </w:tr>
      <w:tr>
        <w:trPr>
          <w:trHeight w:val="330"/>
        </w:trPr>
        <w:tc>
          <w:tcPr>
            <w:tcW w:w="1840" w:type="dxa"/>
            <w:vAlign w:val="bottom"/>
          </w:tcPr>
          <w:p>
            <w:pPr>
              <w:ind w:left="840"/>
              <w:spacing w:after="0"/>
              <w:rPr>
                <w:sz w:val="20"/>
                <w:szCs w:val="20"/>
                <w:color w:val="auto"/>
              </w:rPr>
            </w:pPr>
            <w:r>
              <w:rPr>
                <w:rFonts w:ascii="Arial" w:cs="Arial" w:eastAsia="Arial" w:hAnsi="Arial"/>
                <w:sz w:val="20"/>
                <w:szCs w:val="20"/>
                <w:color w:val="auto"/>
                <w:w w:val="97"/>
              </w:rPr>
              <w:t>Section 3.6</w:t>
            </w:r>
          </w:p>
        </w:tc>
        <w:tc>
          <w:tcPr>
            <w:tcW w:w="9440" w:type="dxa"/>
            <w:vAlign w:val="bottom"/>
          </w:tcPr>
          <w:p>
            <w:pPr>
              <w:ind w:left="960"/>
              <w:spacing w:after="0"/>
              <w:rPr>
                <w:sz w:val="20"/>
                <w:szCs w:val="20"/>
                <w:color w:val="auto"/>
              </w:rPr>
            </w:pPr>
            <w:r>
              <w:rPr>
                <w:rFonts w:ascii="Arial" w:cs="Arial" w:eastAsia="Arial" w:hAnsi="Arial"/>
                <w:sz w:val="20"/>
                <w:szCs w:val="20"/>
                <w:color w:val="auto"/>
              </w:rPr>
              <w:t>Determination and Approval of Annual Incentive Awards4</w:t>
            </w:r>
          </w:p>
        </w:tc>
      </w:tr>
      <w:tr>
        <w:trPr>
          <w:trHeight w:val="532"/>
        </w:trPr>
        <w:tc>
          <w:tcPr>
            <w:tcW w:w="1840" w:type="dxa"/>
            <w:vAlign w:val="bottom"/>
          </w:tcPr>
          <w:p>
            <w:pPr>
              <w:ind w:left="480"/>
              <w:spacing w:after="0"/>
              <w:rPr>
                <w:sz w:val="20"/>
                <w:szCs w:val="20"/>
                <w:color w:val="auto"/>
              </w:rPr>
            </w:pPr>
            <w:r>
              <w:rPr>
                <w:rFonts w:ascii="Arial" w:cs="Arial" w:eastAsia="Arial" w:hAnsi="Arial"/>
                <w:sz w:val="20"/>
                <w:szCs w:val="20"/>
                <w:color w:val="auto"/>
              </w:rPr>
              <w:t>ARTICLE 4</w:t>
            </w:r>
          </w:p>
        </w:tc>
        <w:tc>
          <w:tcPr>
            <w:tcW w:w="9440" w:type="dxa"/>
            <w:vAlign w:val="bottom"/>
          </w:tcPr>
          <w:p>
            <w:pPr>
              <w:jc w:val="center"/>
              <w:ind w:right="1459"/>
              <w:spacing w:after="0"/>
              <w:rPr>
                <w:sz w:val="20"/>
                <w:szCs w:val="20"/>
                <w:color w:val="auto"/>
              </w:rPr>
            </w:pPr>
            <w:r>
              <w:rPr>
                <w:rFonts w:ascii="Arial" w:cs="Arial" w:eastAsia="Arial" w:hAnsi="Arial"/>
                <w:sz w:val="20"/>
                <w:szCs w:val="20"/>
                <w:color w:val="auto"/>
                <w:w w:val="97"/>
              </w:rPr>
              <w:t>FUNDING, PAYMENT AND RIGHTS OF PARTICIPANTS5</w:t>
            </w:r>
          </w:p>
        </w:tc>
      </w:tr>
      <w:tr>
        <w:trPr>
          <w:trHeight w:val="330"/>
        </w:trPr>
        <w:tc>
          <w:tcPr>
            <w:tcW w:w="1840" w:type="dxa"/>
            <w:vAlign w:val="bottom"/>
          </w:tcPr>
          <w:p>
            <w:pPr>
              <w:ind w:left="840"/>
              <w:spacing w:after="0"/>
              <w:rPr>
                <w:sz w:val="20"/>
                <w:szCs w:val="20"/>
                <w:color w:val="auto"/>
              </w:rPr>
            </w:pPr>
            <w:r>
              <w:rPr>
                <w:rFonts w:ascii="Arial" w:cs="Arial" w:eastAsia="Arial" w:hAnsi="Arial"/>
                <w:sz w:val="20"/>
                <w:szCs w:val="20"/>
                <w:color w:val="auto"/>
                <w:w w:val="97"/>
              </w:rPr>
              <w:t>Section 4.1</w:t>
            </w:r>
          </w:p>
        </w:tc>
        <w:tc>
          <w:tcPr>
            <w:tcW w:w="9440" w:type="dxa"/>
            <w:vAlign w:val="bottom"/>
          </w:tcPr>
          <w:p>
            <w:pPr>
              <w:ind w:left="960"/>
              <w:spacing w:after="0"/>
              <w:rPr>
                <w:sz w:val="20"/>
                <w:szCs w:val="20"/>
                <w:color w:val="auto"/>
              </w:rPr>
            </w:pPr>
            <w:r>
              <w:rPr>
                <w:rFonts w:ascii="Arial" w:cs="Arial" w:eastAsia="Arial" w:hAnsi="Arial"/>
                <w:sz w:val="20"/>
                <w:szCs w:val="20"/>
                <w:color w:val="auto"/>
              </w:rPr>
              <w:t>Unfunded Plan5</w:t>
            </w:r>
          </w:p>
        </w:tc>
      </w:tr>
      <w:tr>
        <w:trPr>
          <w:trHeight w:val="330"/>
        </w:trPr>
        <w:tc>
          <w:tcPr>
            <w:tcW w:w="1840" w:type="dxa"/>
            <w:vAlign w:val="bottom"/>
          </w:tcPr>
          <w:p>
            <w:pPr>
              <w:ind w:left="840"/>
              <w:spacing w:after="0"/>
              <w:rPr>
                <w:sz w:val="20"/>
                <w:szCs w:val="20"/>
                <w:color w:val="auto"/>
              </w:rPr>
            </w:pPr>
            <w:r>
              <w:rPr>
                <w:rFonts w:ascii="Arial" w:cs="Arial" w:eastAsia="Arial" w:hAnsi="Arial"/>
                <w:sz w:val="20"/>
                <w:szCs w:val="20"/>
                <w:color w:val="auto"/>
                <w:w w:val="97"/>
              </w:rPr>
              <w:t>Section 4.2</w:t>
            </w:r>
          </w:p>
        </w:tc>
        <w:tc>
          <w:tcPr>
            <w:tcW w:w="9440" w:type="dxa"/>
            <w:vAlign w:val="bottom"/>
          </w:tcPr>
          <w:p>
            <w:pPr>
              <w:ind w:left="960"/>
              <w:spacing w:after="0"/>
              <w:rPr>
                <w:sz w:val="20"/>
                <w:szCs w:val="20"/>
                <w:color w:val="auto"/>
              </w:rPr>
            </w:pPr>
            <w:r>
              <w:rPr>
                <w:rFonts w:ascii="Arial" w:cs="Arial" w:eastAsia="Arial" w:hAnsi="Arial"/>
                <w:sz w:val="20"/>
                <w:szCs w:val="20"/>
                <w:color w:val="auto"/>
              </w:rPr>
              <w:t>Payment of Annual Incentive Awards5</w:t>
            </w:r>
          </w:p>
        </w:tc>
      </w:tr>
      <w:tr>
        <w:trPr>
          <w:trHeight w:val="330"/>
        </w:trPr>
        <w:tc>
          <w:tcPr>
            <w:tcW w:w="1840" w:type="dxa"/>
            <w:vAlign w:val="bottom"/>
          </w:tcPr>
          <w:p>
            <w:pPr>
              <w:ind w:left="840"/>
              <w:spacing w:after="0"/>
              <w:rPr>
                <w:sz w:val="20"/>
                <w:szCs w:val="20"/>
                <w:color w:val="auto"/>
              </w:rPr>
            </w:pPr>
            <w:r>
              <w:rPr>
                <w:rFonts w:ascii="Arial" w:cs="Arial" w:eastAsia="Arial" w:hAnsi="Arial"/>
                <w:sz w:val="20"/>
                <w:szCs w:val="20"/>
                <w:color w:val="auto"/>
                <w:w w:val="97"/>
              </w:rPr>
              <w:t>Section 4.3</w:t>
            </w:r>
          </w:p>
        </w:tc>
        <w:tc>
          <w:tcPr>
            <w:tcW w:w="9440" w:type="dxa"/>
            <w:vAlign w:val="bottom"/>
          </w:tcPr>
          <w:p>
            <w:pPr>
              <w:ind w:left="960"/>
              <w:spacing w:after="0"/>
              <w:rPr>
                <w:sz w:val="20"/>
                <w:szCs w:val="20"/>
                <w:color w:val="auto"/>
              </w:rPr>
            </w:pPr>
            <w:r>
              <w:rPr>
                <w:rFonts w:ascii="Arial" w:cs="Arial" w:eastAsia="Arial" w:hAnsi="Arial"/>
                <w:sz w:val="20"/>
                <w:szCs w:val="20"/>
                <w:color w:val="auto"/>
              </w:rPr>
              <w:t>Modification of Performance Standards5</w:t>
            </w:r>
          </w:p>
        </w:tc>
      </w:tr>
      <w:tr>
        <w:trPr>
          <w:trHeight w:val="532"/>
        </w:trPr>
        <w:tc>
          <w:tcPr>
            <w:tcW w:w="1840" w:type="dxa"/>
            <w:vAlign w:val="bottom"/>
          </w:tcPr>
          <w:p>
            <w:pPr>
              <w:ind w:left="480"/>
              <w:spacing w:after="0"/>
              <w:rPr>
                <w:sz w:val="20"/>
                <w:szCs w:val="20"/>
                <w:color w:val="auto"/>
              </w:rPr>
            </w:pPr>
            <w:r>
              <w:rPr>
                <w:rFonts w:ascii="Arial" w:cs="Arial" w:eastAsia="Arial" w:hAnsi="Arial"/>
                <w:sz w:val="20"/>
                <w:szCs w:val="20"/>
                <w:color w:val="auto"/>
              </w:rPr>
              <w:t>ARTICLE 5</w:t>
            </w:r>
          </w:p>
        </w:tc>
        <w:tc>
          <w:tcPr>
            <w:tcW w:w="9440" w:type="dxa"/>
            <w:vAlign w:val="bottom"/>
          </w:tcPr>
          <w:p>
            <w:pPr>
              <w:jc w:val="center"/>
              <w:ind w:right="1459"/>
              <w:spacing w:after="0"/>
              <w:rPr>
                <w:sz w:val="20"/>
                <w:szCs w:val="20"/>
                <w:color w:val="auto"/>
              </w:rPr>
            </w:pPr>
            <w:r>
              <w:rPr>
                <w:rFonts w:ascii="Arial" w:cs="Arial" w:eastAsia="Arial" w:hAnsi="Arial"/>
                <w:sz w:val="20"/>
                <w:szCs w:val="20"/>
                <w:color w:val="auto"/>
              </w:rPr>
              <w:t>AMENDMENT AND TERMINATION OF THE PLAN5</w:t>
            </w:r>
          </w:p>
        </w:tc>
      </w:tr>
      <w:tr>
        <w:trPr>
          <w:trHeight w:val="532"/>
        </w:trPr>
        <w:tc>
          <w:tcPr>
            <w:tcW w:w="1840" w:type="dxa"/>
            <w:vAlign w:val="bottom"/>
          </w:tcPr>
          <w:p>
            <w:pPr>
              <w:ind w:left="480"/>
              <w:spacing w:after="0"/>
              <w:rPr>
                <w:sz w:val="20"/>
                <w:szCs w:val="20"/>
                <w:color w:val="auto"/>
              </w:rPr>
            </w:pPr>
            <w:r>
              <w:rPr>
                <w:rFonts w:ascii="Arial" w:cs="Arial" w:eastAsia="Arial" w:hAnsi="Arial"/>
                <w:sz w:val="20"/>
                <w:szCs w:val="20"/>
                <w:color w:val="auto"/>
              </w:rPr>
              <w:t>ARTICLE 6</w:t>
            </w:r>
          </w:p>
        </w:tc>
        <w:tc>
          <w:tcPr>
            <w:tcW w:w="9440" w:type="dxa"/>
            <w:vAlign w:val="bottom"/>
          </w:tcPr>
          <w:p>
            <w:pPr>
              <w:jc w:val="center"/>
              <w:ind w:right="1459"/>
              <w:spacing w:after="0"/>
              <w:rPr>
                <w:sz w:val="20"/>
                <w:szCs w:val="20"/>
                <w:color w:val="auto"/>
              </w:rPr>
            </w:pPr>
            <w:r>
              <w:rPr>
                <w:rFonts w:ascii="Arial" w:cs="Arial" w:eastAsia="Arial" w:hAnsi="Arial"/>
                <w:sz w:val="20"/>
                <w:szCs w:val="20"/>
                <w:color w:val="auto"/>
                <w:w w:val="96"/>
              </w:rPr>
              <w:t>GENERAL PROVISIONS6</w:t>
            </w:r>
          </w:p>
        </w:tc>
      </w:tr>
      <w:tr>
        <w:trPr>
          <w:trHeight w:val="330"/>
        </w:trPr>
        <w:tc>
          <w:tcPr>
            <w:tcW w:w="1840" w:type="dxa"/>
            <w:vAlign w:val="bottom"/>
          </w:tcPr>
          <w:p>
            <w:pPr>
              <w:ind w:left="840"/>
              <w:spacing w:after="0"/>
              <w:rPr>
                <w:sz w:val="20"/>
                <w:szCs w:val="20"/>
                <w:color w:val="auto"/>
              </w:rPr>
            </w:pPr>
            <w:r>
              <w:rPr>
                <w:rFonts w:ascii="Arial" w:cs="Arial" w:eastAsia="Arial" w:hAnsi="Arial"/>
                <w:sz w:val="20"/>
                <w:szCs w:val="20"/>
                <w:color w:val="auto"/>
                <w:w w:val="97"/>
              </w:rPr>
              <w:t>Section 6.1</w:t>
            </w:r>
          </w:p>
        </w:tc>
        <w:tc>
          <w:tcPr>
            <w:tcW w:w="9440" w:type="dxa"/>
            <w:vAlign w:val="bottom"/>
          </w:tcPr>
          <w:p>
            <w:pPr>
              <w:ind w:left="960"/>
              <w:spacing w:after="0"/>
              <w:rPr>
                <w:sz w:val="20"/>
                <w:szCs w:val="20"/>
                <w:color w:val="auto"/>
              </w:rPr>
            </w:pPr>
            <w:r>
              <w:rPr>
                <w:rFonts w:ascii="Arial" w:cs="Arial" w:eastAsia="Arial" w:hAnsi="Arial"/>
                <w:sz w:val="20"/>
                <w:szCs w:val="20"/>
                <w:color w:val="auto"/>
              </w:rPr>
              <w:t>Liability of Corporation6</w:t>
            </w:r>
          </w:p>
        </w:tc>
      </w:tr>
      <w:tr>
        <w:trPr>
          <w:trHeight w:val="330"/>
        </w:trPr>
        <w:tc>
          <w:tcPr>
            <w:tcW w:w="1840" w:type="dxa"/>
            <w:vAlign w:val="bottom"/>
          </w:tcPr>
          <w:p>
            <w:pPr>
              <w:ind w:left="840"/>
              <w:spacing w:after="0"/>
              <w:rPr>
                <w:sz w:val="20"/>
                <w:szCs w:val="20"/>
                <w:color w:val="auto"/>
              </w:rPr>
            </w:pPr>
            <w:r>
              <w:rPr>
                <w:rFonts w:ascii="Arial" w:cs="Arial" w:eastAsia="Arial" w:hAnsi="Arial"/>
                <w:sz w:val="20"/>
                <w:szCs w:val="20"/>
                <w:color w:val="auto"/>
                <w:w w:val="97"/>
              </w:rPr>
              <w:t>Section 6.2</w:t>
            </w:r>
          </w:p>
        </w:tc>
        <w:tc>
          <w:tcPr>
            <w:tcW w:w="9440" w:type="dxa"/>
            <w:vAlign w:val="bottom"/>
          </w:tcPr>
          <w:p>
            <w:pPr>
              <w:ind w:left="960"/>
              <w:spacing w:after="0"/>
              <w:rPr>
                <w:sz w:val="20"/>
                <w:szCs w:val="20"/>
                <w:color w:val="auto"/>
              </w:rPr>
            </w:pPr>
            <w:r>
              <w:rPr>
                <w:rFonts w:ascii="Arial" w:cs="Arial" w:eastAsia="Arial" w:hAnsi="Arial"/>
                <w:sz w:val="20"/>
                <w:szCs w:val="20"/>
                <w:color w:val="auto"/>
              </w:rPr>
              <w:t>Liability of Administrators6</w:t>
            </w:r>
          </w:p>
        </w:tc>
      </w:tr>
      <w:tr>
        <w:trPr>
          <w:trHeight w:val="330"/>
        </w:trPr>
        <w:tc>
          <w:tcPr>
            <w:tcW w:w="1840" w:type="dxa"/>
            <w:vAlign w:val="bottom"/>
          </w:tcPr>
          <w:p>
            <w:pPr>
              <w:ind w:left="840"/>
              <w:spacing w:after="0"/>
              <w:rPr>
                <w:sz w:val="20"/>
                <w:szCs w:val="20"/>
                <w:color w:val="auto"/>
              </w:rPr>
            </w:pPr>
            <w:r>
              <w:rPr>
                <w:rFonts w:ascii="Arial" w:cs="Arial" w:eastAsia="Arial" w:hAnsi="Arial"/>
                <w:sz w:val="20"/>
                <w:szCs w:val="20"/>
                <w:color w:val="auto"/>
                <w:w w:val="97"/>
              </w:rPr>
              <w:t>Section 6.3</w:t>
            </w:r>
          </w:p>
        </w:tc>
        <w:tc>
          <w:tcPr>
            <w:tcW w:w="9440" w:type="dxa"/>
            <w:vAlign w:val="bottom"/>
          </w:tcPr>
          <w:p>
            <w:pPr>
              <w:ind w:left="960"/>
              <w:spacing w:after="0"/>
              <w:rPr>
                <w:sz w:val="20"/>
                <w:szCs w:val="20"/>
                <w:color w:val="auto"/>
              </w:rPr>
            </w:pPr>
            <w:r>
              <w:rPr>
                <w:rFonts w:ascii="Arial" w:cs="Arial" w:eastAsia="Arial" w:hAnsi="Arial"/>
                <w:sz w:val="20"/>
                <w:szCs w:val="20"/>
                <w:color w:val="auto"/>
              </w:rPr>
              <w:t>Assignment and Alienation6</w:t>
            </w:r>
          </w:p>
        </w:tc>
      </w:tr>
      <w:tr>
        <w:trPr>
          <w:trHeight w:val="330"/>
        </w:trPr>
        <w:tc>
          <w:tcPr>
            <w:tcW w:w="1840" w:type="dxa"/>
            <w:vAlign w:val="bottom"/>
          </w:tcPr>
          <w:p>
            <w:pPr>
              <w:ind w:left="840"/>
              <w:spacing w:after="0"/>
              <w:rPr>
                <w:sz w:val="20"/>
                <w:szCs w:val="20"/>
                <w:color w:val="auto"/>
              </w:rPr>
            </w:pPr>
            <w:r>
              <w:rPr>
                <w:rFonts w:ascii="Arial" w:cs="Arial" w:eastAsia="Arial" w:hAnsi="Arial"/>
                <w:sz w:val="20"/>
                <w:szCs w:val="20"/>
                <w:color w:val="auto"/>
                <w:w w:val="97"/>
              </w:rPr>
              <w:t>Section 6.4</w:t>
            </w:r>
          </w:p>
        </w:tc>
        <w:tc>
          <w:tcPr>
            <w:tcW w:w="9440" w:type="dxa"/>
            <w:vAlign w:val="bottom"/>
          </w:tcPr>
          <w:p>
            <w:pPr>
              <w:ind w:left="960"/>
              <w:spacing w:after="0"/>
              <w:rPr>
                <w:sz w:val="20"/>
                <w:szCs w:val="20"/>
                <w:color w:val="auto"/>
              </w:rPr>
            </w:pPr>
            <w:r>
              <w:rPr>
                <w:rFonts w:ascii="Arial" w:cs="Arial" w:eastAsia="Arial" w:hAnsi="Arial"/>
                <w:sz w:val="20"/>
                <w:szCs w:val="20"/>
                <w:color w:val="auto"/>
              </w:rPr>
              <w:t>Code Section 409A6</w:t>
            </w:r>
          </w:p>
        </w:tc>
      </w:tr>
      <w:tr>
        <w:trPr>
          <w:trHeight w:val="313"/>
        </w:trPr>
        <w:tc>
          <w:tcPr>
            <w:tcW w:w="1840" w:type="dxa"/>
            <w:vAlign w:val="bottom"/>
          </w:tcPr>
          <w:p>
            <w:pPr>
              <w:spacing w:after="0"/>
              <w:rPr>
                <w:sz w:val="24"/>
                <w:szCs w:val="24"/>
                <w:color w:val="auto"/>
              </w:rPr>
            </w:pPr>
          </w:p>
        </w:tc>
        <w:tc>
          <w:tcPr>
            <w:tcW w:w="9440" w:type="dxa"/>
            <w:vAlign w:val="bottom"/>
          </w:tcPr>
          <w:p>
            <w:pPr>
              <w:ind w:left="3700"/>
              <w:spacing w:after="0"/>
              <w:rPr>
                <w:sz w:val="20"/>
                <w:szCs w:val="20"/>
                <w:color w:val="auto"/>
              </w:rPr>
            </w:pPr>
            <w:r>
              <w:rPr>
                <w:rFonts w:ascii="Arial" w:cs="Arial" w:eastAsia="Arial" w:hAnsi="Arial"/>
                <w:sz w:val="19"/>
                <w:szCs w:val="19"/>
                <w:color w:val="auto"/>
              </w:rPr>
              <w:t>-i-</w:t>
            </w:r>
          </w:p>
        </w:tc>
      </w:tr>
      <w:tr>
        <w:trPr>
          <w:trHeight w:val="685"/>
        </w:trPr>
        <w:tc>
          <w:tcPr>
            <w:tcW w:w="1840" w:type="dxa"/>
            <w:vAlign w:val="bottom"/>
            <w:tcBorders>
              <w:bottom w:val="single" w:sz="8" w:color="9A9A9A"/>
            </w:tcBorders>
          </w:tcPr>
          <w:p>
            <w:pPr>
              <w:spacing w:after="0"/>
              <w:rPr>
                <w:sz w:val="24"/>
                <w:szCs w:val="24"/>
                <w:color w:val="auto"/>
              </w:rPr>
            </w:pPr>
          </w:p>
        </w:tc>
        <w:tc>
          <w:tcPr>
            <w:tcW w:w="9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-27940</wp:posOffset>
            </wp:positionV>
            <wp:extent cx="33655" cy="412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1">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80"/>
          </w:cols>
          <w:pgMar w:left="320" w:top="752" w:right="299" w:bottom="1440" w:gutter="0" w:footer="0" w:header="0"/>
        </w:sectPr>
      </w:pPr>
    </w:p>
    <w:bookmarkStart w:id="152" w:name="page153"/>
    <w:bookmarkEnd w:id="152"/>
    <w:p>
      <w:pPr>
        <w:jc w:val="center"/>
        <w:ind w:right="-139"/>
        <w:spacing w:after="0"/>
        <w:rPr>
          <w:sz w:val="20"/>
          <w:szCs w:val="20"/>
          <w:color w:val="auto"/>
        </w:rPr>
      </w:pPr>
      <w:r>
        <w:rPr>
          <w:rFonts w:ascii="Arial" w:cs="Arial" w:eastAsia="Arial" w:hAnsi="Arial"/>
          <w:sz w:val="19"/>
          <w:szCs w:val="19"/>
          <w:color w:val="auto"/>
        </w:rPr>
        <w:t>PARSONS CORPORATION</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ANNUAL INCENTIVE PLAN</w:t>
      </w:r>
    </w:p>
    <w:p>
      <w:pPr>
        <w:spacing w:after="0" w:line="179" w:lineRule="exact"/>
        <w:rPr>
          <w:sz w:val="20"/>
          <w:szCs w:val="20"/>
          <w:color w:val="auto"/>
        </w:rPr>
      </w:pPr>
    </w:p>
    <w:p>
      <w:pPr>
        <w:jc w:val="both"/>
        <w:ind w:right="100" w:firstLine="865"/>
        <w:spacing w:after="0" w:line="253" w:lineRule="auto"/>
        <w:rPr>
          <w:sz w:val="20"/>
          <w:szCs w:val="20"/>
          <w:color w:val="auto"/>
        </w:rPr>
      </w:pPr>
      <w:r>
        <w:rPr>
          <w:rFonts w:ascii="Arial" w:cs="Arial" w:eastAsia="Arial" w:hAnsi="Arial"/>
          <w:sz w:val="20"/>
          <w:szCs w:val="20"/>
          <w:color w:val="auto"/>
        </w:rPr>
        <w:t>Parsons Corporation, a Delaware corporation with its principal place of business in California, hereby establishes and sets forth the terms and conditions of the Parsons Corporation Annual Incentive Plan (the “Plan”) for the benefit of eligible employees on the terms and conditions described hereinafter:</w:t>
      </w:r>
    </w:p>
    <w:p>
      <w:pPr>
        <w:spacing w:after="0" w:line="160"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ARTICLE 1</w:t>
      </w:r>
    </w:p>
    <w:p>
      <w:pPr>
        <w:spacing w:after="0" w:line="16" w:lineRule="exact"/>
        <w:rPr>
          <w:sz w:val="20"/>
          <w:szCs w:val="20"/>
          <w:color w:val="auto"/>
        </w:rPr>
      </w:pPr>
    </w:p>
    <w:p>
      <w:pPr>
        <w:ind w:left="5180"/>
        <w:spacing w:after="0"/>
        <w:rPr>
          <w:sz w:val="20"/>
          <w:szCs w:val="20"/>
          <w:color w:val="auto"/>
        </w:rPr>
      </w:pPr>
      <w:r>
        <w:rPr>
          <w:rFonts w:ascii="Arial" w:cs="Arial" w:eastAsia="Arial" w:hAnsi="Arial"/>
          <w:sz w:val="20"/>
          <w:szCs w:val="20"/>
          <w:u w:val="single" w:color="auto"/>
          <w:color w:val="auto"/>
        </w:rPr>
        <w:t>PREFACE</w:t>
      </w:r>
    </w:p>
    <w:p>
      <w:pPr>
        <w:spacing w:after="0" w:line="183" w:lineRule="exact"/>
        <w:rPr>
          <w:sz w:val="20"/>
          <w:szCs w:val="20"/>
          <w:color w:val="auto"/>
        </w:rPr>
      </w:pPr>
    </w:p>
    <w:p>
      <w:pPr>
        <w:spacing w:after="0" w:line="268"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Effective Date and Term</w:t>
      </w:r>
      <w:r>
        <w:rPr>
          <w:rFonts w:ascii="Arial" w:cs="Arial" w:eastAsia="Arial" w:hAnsi="Arial"/>
          <w:sz w:val="20"/>
          <w:szCs w:val="20"/>
          <w:color w:val="auto"/>
        </w:rPr>
        <w:t>. The Plan shall be effective on January 1, 2012, and shall continue in force and effect until terminated by the Board.</w:t>
      </w:r>
    </w:p>
    <w:p>
      <w:pPr>
        <w:spacing w:after="0" w:line="146" w:lineRule="exact"/>
        <w:rPr>
          <w:sz w:val="20"/>
          <w:szCs w:val="20"/>
          <w:color w:val="auto"/>
        </w:rPr>
      </w:pPr>
    </w:p>
    <w:p>
      <w:pPr>
        <w:ind w:right="40"/>
        <w:spacing w:after="0" w:line="268"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u w:val="single" w:color="auto"/>
          <w:color w:val="auto"/>
        </w:rPr>
        <w:t>Purpose of the Plan</w:t>
      </w:r>
      <w:r>
        <w:rPr>
          <w:rFonts w:ascii="Arial" w:cs="Arial" w:eastAsia="Arial" w:hAnsi="Arial"/>
          <w:sz w:val="20"/>
          <w:szCs w:val="20"/>
          <w:color w:val="auto"/>
        </w:rPr>
        <w:t>. The Plan is intended to encourage participating key employees of the Corporation to remain in its employ and to motivate such participants to exert maximum effort to achieve the Corporation’s goals.</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ARTICLE 2</w:t>
      </w:r>
    </w:p>
    <w:p>
      <w:pPr>
        <w:spacing w:after="0" w:line="16" w:lineRule="exact"/>
        <w:rPr>
          <w:sz w:val="20"/>
          <w:szCs w:val="20"/>
          <w:color w:val="auto"/>
        </w:rPr>
      </w:pPr>
    </w:p>
    <w:p>
      <w:pPr>
        <w:jc w:val="center"/>
        <w:ind w:right="-139"/>
        <w:spacing w:after="0"/>
        <w:rPr>
          <w:sz w:val="20"/>
          <w:szCs w:val="20"/>
          <w:color w:val="auto"/>
        </w:rPr>
      </w:pPr>
      <w:r>
        <w:rPr>
          <w:rFonts w:ascii="Arial" w:cs="Arial" w:eastAsia="Arial" w:hAnsi="Arial"/>
          <w:sz w:val="20"/>
          <w:szCs w:val="20"/>
          <w:u w:val="single" w:color="auto"/>
          <w:color w:val="auto"/>
        </w:rPr>
        <w:t>DEFINITIONS</w:t>
      </w:r>
    </w:p>
    <w:p>
      <w:pPr>
        <w:spacing w:after="0" w:line="183" w:lineRule="exact"/>
        <w:rPr>
          <w:sz w:val="20"/>
          <w:szCs w:val="20"/>
          <w:color w:val="auto"/>
        </w:rPr>
      </w:pPr>
    </w:p>
    <w:p>
      <w:pPr>
        <w:ind w:right="400" w:firstLine="755"/>
        <w:spacing w:after="0" w:line="268" w:lineRule="auto"/>
        <w:rPr>
          <w:sz w:val="20"/>
          <w:szCs w:val="20"/>
          <w:color w:val="auto"/>
        </w:rPr>
      </w:pPr>
      <w:r>
        <w:rPr>
          <w:rFonts w:ascii="Arial" w:cs="Arial" w:eastAsia="Arial" w:hAnsi="Arial"/>
          <w:sz w:val="20"/>
          <w:szCs w:val="20"/>
          <w:color w:val="auto"/>
        </w:rPr>
        <w:t>The words and phrases identified in quotation marks below, when used in the Plan and related documents, shall have the meanings set forth in this Article 2, unless the context clearly indicates otherwise.</w:t>
      </w:r>
    </w:p>
    <w:p>
      <w:pPr>
        <w:spacing w:after="0" w:line="146" w:lineRule="exact"/>
        <w:rPr>
          <w:sz w:val="20"/>
          <w:szCs w:val="20"/>
          <w:color w:val="auto"/>
        </w:rPr>
      </w:pPr>
    </w:p>
    <w:p>
      <w:pPr>
        <w:ind w:left="1700" w:hanging="834"/>
        <w:spacing w:after="0"/>
        <w:tabs>
          <w:tab w:leader="none" w:pos="1700"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w:t>
      </w:r>
      <w:r>
        <w:rPr>
          <w:rFonts w:ascii="Arial" w:cs="Arial" w:eastAsia="Arial" w:hAnsi="Arial"/>
          <w:sz w:val="20"/>
          <w:szCs w:val="20"/>
          <w:u w:val="single" w:color="auto"/>
          <w:color w:val="auto"/>
        </w:rPr>
        <w:t>Compensation Committee</w:t>
      </w:r>
      <w:r>
        <w:rPr>
          <w:rFonts w:ascii="Arial" w:cs="Arial" w:eastAsia="Arial" w:hAnsi="Arial"/>
          <w:sz w:val="20"/>
          <w:szCs w:val="20"/>
          <w:color w:val="auto"/>
        </w:rPr>
        <w:t>” means the Compensation Committee of the Board.</w:t>
      </w:r>
    </w:p>
    <w:p>
      <w:pPr>
        <w:spacing w:after="0" w:line="201" w:lineRule="exact"/>
        <w:rPr>
          <w:rFonts w:ascii="Arial" w:cs="Arial" w:eastAsia="Arial" w:hAnsi="Arial"/>
          <w:sz w:val="20"/>
          <w:szCs w:val="20"/>
          <w:color w:val="auto"/>
        </w:rPr>
      </w:pPr>
    </w:p>
    <w:p>
      <w:pPr>
        <w:ind w:right="80" w:firstLine="866"/>
        <w:spacing w:after="0" w:line="253" w:lineRule="auto"/>
        <w:tabs>
          <w:tab w:leader="none" w:pos="1715"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w:t>
      </w:r>
      <w:r>
        <w:rPr>
          <w:rFonts w:ascii="Arial" w:cs="Arial" w:eastAsia="Arial" w:hAnsi="Arial"/>
          <w:sz w:val="20"/>
          <w:szCs w:val="20"/>
          <w:u w:val="single" w:color="auto"/>
          <w:color w:val="auto"/>
        </w:rPr>
        <w:t>Total Rewards Committee</w:t>
      </w:r>
      <w:r>
        <w:rPr>
          <w:rFonts w:ascii="Arial" w:cs="Arial" w:eastAsia="Arial" w:hAnsi="Arial"/>
          <w:sz w:val="20"/>
          <w:szCs w:val="20"/>
          <w:color w:val="auto"/>
        </w:rPr>
        <w:t>” means the committee composed of the CEO and other executives named by the CEO to review and approve Annual Incentive Awards for Participants below the level of those required to be reviewed by the Compensation Committee.</w:t>
      </w:r>
    </w:p>
    <w:p>
      <w:pPr>
        <w:spacing w:after="0" w:line="160" w:lineRule="exact"/>
        <w:rPr>
          <w:rFonts w:ascii="Arial" w:cs="Arial" w:eastAsia="Arial" w:hAnsi="Arial"/>
          <w:sz w:val="20"/>
          <w:szCs w:val="20"/>
          <w:color w:val="auto"/>
        </w:rPr>
      </w:pPr>
    </w:p>
    <w:p>
      <w:pPr>
        <w:ind w:left="1700" w:hanging="834"/>
        <w:spacing w:after="0"/>
        <w:tabs>
          <w:tab w:leader="none" w:pos="1700" w:val="left"/>
        </w:tabs>
        <w:numPr>
          <w:ilvl w:val="0"/>
          <w:numId w:val="8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Directors of Parsons Corporation.</w:t>
      </w: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294005</wp:posOffset>
            </wp:positionV>
            <wp:extent cx="7182485" cy="412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120"/>
          </w:cols>
          <w:pgMar w:left="320" w:top="960" w:right="459" w:bottom="1440" w:gutter="0" w:footer="0" w:header="0"/>
        </w:sectPr>
      </w:pPr>
    </w:p>
    <w:bookmarkStart w:id="153" w:name="page154"/>
    <w:bookmarkEnd w:id="153"/>
    <w:p>
      <w:pPr>
        <w:ind w:left="1720" w:hanging="854"/>
        <w:spacing w:after="0"/>
        <w:tabs>
          <w:tab w:leader="none" w:pos="1720" w:val="left"/>
        </w:tabs>
        <w:numPr>
          <w:ilvl w:val="0"/>
          <w:numId w:val="8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Corporation</w:t>
      </w:r>
      <w:r>
        <w:rPr>
          <w:rFonts w:ascii="Arial" w:cs="Arial" w:eastAsia="Arial" w:hAnsi="Arial"/>
          <w:sz w:val="20"/>
          <w:szCs w:val="20"/>
          <w:color w:val="auto"/>
        </w:rPr>
        <w:t>” means Parsons Corporation and any of its subsidiary companies of any tier.</w:t>
      </w:r>
    </w:p>
    <w:p>
      <w:pPr>
        <w:spacing w:after="0" w:line="201" w:lineRule="exact"/>
        <w:rPr>
          <w:rFonts w:ascii="Arial" w:cs="Arial" w:eastAsia="Arial" w:hAnsi="Arial"/>
          <w:sz w:val="20"/>
          <w:szCs w:val="20"/>
          <w:color w:val="auto"/>
        </w:rPr>
      </w:pPr>
    </w:p>
    <w:p>
      <w:pPr>
        <w:ind w:left="1700" w:hanging="834"/>
        <w:spacing w:after="0"/>
        <w:tabs>
          <w:tab w:leader="none" w:pos="17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Participant</w:t>
      </w:r>
      <w:r>
        <w:rPr>
          <w:rFonts w:ascii="Arial" w:cs="Arial" w:eastAsia="Arial" w:hAnsi="Arial"/>
          <w:sz w:val="19"/>
          <w:szCs w:val="19"/>
          <w:color w:val="auto"/>
        </w:rPr>
        <w:t>” means each employee of the Corporation selected to participate in the Plan for each Performance</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Cycle.</w:t>
      </w:r>
    </w:p>
    <w:p>
      <w:pPr>
        <w:spacing w:after="0" w:line="183" w:lineRule="exact"/>
        <w:rPr>
          <w:sz w:val="20"/>
          <w:szCs w:val="20"/>
          <w:color w:val="auto"/>
        </w:rPr>
      </w:pPr>
    </w:p>
    <w:p>
      <w:pPr>
        <w:ind w:left="1680" w:hanging="814"/>
        <w:spacing w:after="0"/>
        <w:tabs>
          <w:tab w:leader="none" w:pos="1680" w:val="left"/>
        </w:tabs>
        <w:numPr>
          <w:ilvl w:val="0"/>
          <w:numId w:val="8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Performance Cycle</w:t>
      </w:r>
      <w:r>
        <w:rPr>
          <w:rFonts w:ascii="Arial" w:cs="Arial" w:eastAsia="Arial" w:hAnsi="Arial"/>
          <w:sz w:val="20"/>
          <w:szCs w:val="20"/>
          <w:color w:val="auto"/>
        </w:rPr>
        <w:t>” means a fiscal year of the Corporation.</w:t>
      </w:r>
    </w:p>
    <w:p>
      <w:pPr>
        <w:spacing w:after="0" w:line="201" w:lineRule="exact"/>
        <w:rPr>
          <w:rFonts w:ascii="Arial" w:cs="Arial" w:eastAsia="Arial" w:hAnsi="Arial"/>
          <w:sz w:val="20"/>
          <w:szCs w:val="20"/>
          <w:color w:val="auto"/>
        </w:rPr>
      </w:pPr>
    </w:p>
    <w:p>
      <w:pPr>
        <w:ind w:left="1720" w:hanging="854"/>
        <w:spacing w:after="0"/>
        <w:tabs>
          <w:tab w:leader="none" w:pos="1720" w:val="left"/>
        </w:tabs>
        <w:numPr>
          <w:ilvl w:val="0"/>
          <w:numId w:val="8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the Parsons Corporation Annual Incentive Plan.</w:t>
      </w:r>
    </w:p>
    <w:p>
      <w:pPr>
        <w:spacing w:after="0" w:line="201" w:lineRule="exact"/>
        <w:rPr>
          <w:rFonts w:ascii="Arial" w:cs="Arial" w:eastAsia="Arial" w:hAnsi="Arial"/>
          <w:sz w:val="20"/>
          <w:szCs w:val="20"/>
          <w:color w:val="auto"/>
        </w:rPr>
      </w:pPr>
    </w:p>
    <w:p>
      <w:pPr>
        <w:ind w:right="20" w:firstLine="866"/>
        <w:spacing w:after="0" w:line="268" w:lineRule="auto"/>
        <w:tabs>
          <w:tab w:leader="none" w:pos="1710" w:val="left"/>
        </w:tabs>
        <w:numPr>
          <w:ilvl w:val="0"/>
          <w:numId w:val="8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Annual Incentive Opportunity Target</w:t>
      </w:r>
      <w:r>
        <w:rPr>
          <w:rFonts w:ascii="Arial" w:cs="Arial" w:eastAsia="Arial" w:hAnsi="Arial"/>
          <w:sz w:val="20"/>
          <w:szCs w:val="20"/>
          <w:color w:val="auto"/>
        </w:rPr>
        <w:t>” means the target value of the incentive which could potentially be earned by an eligible Participant in respect of a Performance Cycle.</w:t>
      </w:r>
    </w:p>
    <w:p>
      <w:pPr>
        <w:spacing w:after="0" w:line="145" w:lineRule="exact"/>
        <w:rPr>
          <w:rFonts w:ascii="Arial" w:cs="Arial" w:eastAsia="Arial" w:hAnsi="Arial"/>
          <w:sz w:val="20"/>
          <w:szCs w:val="20"/>
          <w:color w:val="auto"/>
        </w:rPr>
      </w:pPr>
    </w:p>
    <w:p>
      <w:pPr>
        <w:ind w:firstLine="866"/>
        <w:spacing w:after="0" w:line="268" w:lineRule="auto"/>
        <w:tabs>
          <w:tab w:leader="none" w:pos="1665" w:val="left"/>
        </w:tabs>
        <w:numPr>
          <w:ilvl w:val="0"/>
          <w:numId w:val="8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Annual Incentive Award</w:t>
      </w:r>
      <w:r>
        <w:rPr>
          <w:rFonts w:ascii="Arial" w:cs="Arial" w:eastAsia="Arial" w:hAnsi="Arial"/>
          <w:sz w:val="20"/>
          <w:szCs w:val="20"/>
          <w:color w:val="auto"/>
        </w:rPr>
        <w:t>” means the value of the cash incentive payment earned by an eligible Participant under the Plan in respect of a completed Performance Cycle.</w:t>
      </w:r>
    </w:p>
    <w:p>
      <w:pPr>
        <w:spacing w:after="0" w:line="145" w:lineRule="exact"/>
        <w:rPr>
          <w:rFonts w:ascii="Arial" w:cs="Arial" w:eastAsia="Arial" w:hAnsi="Arial"/>
          <w:sz w:val="20"/>
          <w:szCs w:val="20"/>
          <w:color w:val="auto"/>
        </w:rPr>
      </w:pPr>
    </w:p>
    <w:p>
      <w:pPr>
        <w:ind w:right="60" w:firstLine="866"/>
        <w:spacing w:after="0" w:line="268" w:lineRule="auto"/>
        <w:tabs>
          <w:tab w:leader="none" w:pos="1665" w:val="left"/>
        </w:tabs>
        <w:numPr>
          <w:ilvl w:val="0"/>
          <w:numId w:val="8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Incentive Award Pools</w:t>
      </w:r>
      <w:r>
        <w:rPr>
          <w:rFonts w:ascii="Arial" w:cs="Arial" w:eastAsia="Arial" w:hAnsi="Arial"/>
          <w:sz w:val="20"/>
          <w:szCs w:val="20"/>
          <w:color w:val="auto"/>
        </w:rPr>
        <w:t>” means the amount of cash available to pay Annual Incentive Awards earned under the Plan as determined pursuant to Section 3.5.</w:t>
      </w:r>
    </w:p>
    <w:p>
      <w:pPr>
        <w:spacing w:after="0" w:line="155" w:lineRule="exact"/>
        <w:rPr>
          <w:rFonts w:ascii="Arial" w:cs="Arial" w:eastAsia="Arial" w:hAnsi="Arial"/>
          <w:sz w:val="20"/>
          <w:szCs w:val="20"/>
          <w:color w:val="auto"/>
        </w:rPr>
      </w:pPr>
    </w:p>
    <w:p>
      <w:pPr>
        <w:ind w:right="720" w:firstLine="866"/>
        <w:spacing w:after="0" w:line="269" w:lineRule="auto"/>
        <w:tabs>
          <w:tab w:leader="none" w:pos="1710" w:val="left"/>
        </w:tabs>
        <w:numPr>
          <w:ilvl w:val="0"/>
          <w:numId w:val="85"/>
        </w:numPr>
        <w:rPr>
          <w:rFonts w:ascii="Arial" w:cs="Arial" w:eastAsia="Arial" w:hAnsi="Arial"/>
          <w:sz w:val="20"/>
          <w:szCs w:val="20"/>
          <w:color w:val="auto"/>
        </w:rPr>
      </w:pPr>
      <w:r>
        <w:rPr>
          <w:rFonts w:ascii="Arial" w:cs="Arial" w:eastAsia="Arial" w:hAnsi="Arial"/>
          <w:sz w:val="19"/>
          <w:szCs w:val="19"/>
          <w:color w:val="auto"/>
        </w:rPr>
        <w:t>“Retire” or “Retirement” means a Participant's voluntary termination of employment from the Corporation or its subsidiary after having attained age 62 or older.</w:t>
      </w:r>
    </w:p>
    <w:p>
      <w:pPr>
        <w:spacing w:after="0" w:line="147" w:lineRule="exact"/>
        <w:rPr>
          <w:rFonts w:ascii="Arial" w:cs="Arial" w:eastAsia="Arial" w:hAnsi="Arial"/>
          <w:sz w:val="20"/>
          <w:szCs w:val="20"/>
          <w:color w:val="auto"/>
        </w:rPr>
      </w:pPr>
    </w:p>
    <w:p>
      <w:pPr>
        <w:ind w:right="160" w:firstLine="866"/>
        <w:spacing w:after="0" w:line="268" w:lineRule="auto"/>
        <w:tabs>
          <w:tab w:leader="none" w:pos="1665" w:val="left"/>
        </w:tabs>
        <w:numPr>
          <w:ilvl w:val="0"/>
          <w:numId w:val="85"/>
        </w:numPr>
        <w:rPr>
          <w:rFonts w:ascii="Arial" w:cs="Arial" w:eastAsia="Arial" w:hAnsi="Arial"/>
          <w:sz w:val="20"/>
          <w:szCs w:val="20"/>
          <w:color w:val="auto"/>
        </w:rPr>
      </w:pPr>
      <w:r>
        <w:rPr>
          <w:rFonts w:ascii="Arial" w:cs="Arial" w:eastAsia="Arial" w:hAnsi="Arial"/>
          <w:sz w:val="20"/>
          <w:szCs w:val="20"/>
          <w:color w:val="auto"/>
        </w:rPr>
        <w:t>“Disability” means the Participant has been determined by the Social Security Administration as eligible for Social Security disability benefits.</w:t>
      </w:r>
    </w:p>
    <w:p>
      <w:pPr>
        <w:spacing w:after="0" w:line="145" w:lineRule="exact"/>
        <w:rPr>
          <w:rFonts w:ascii="Arial" w:cs="Arial" w:eastAsia="Arial" w:hAnsi="Arial"/>
          <w:sz w:val="20"/>
          <w:szCs w:val="20"/>
          <w:color w:val="auto"/>
        </w:rPr>
      </w:pPr>
    </w:p>
    <w:p>
      <w:pPr>
        <w:ind w:right="340" w:firstLine="866"/>
        <w:spacing w:after="0" w:line="294" w:lineRule="auto"/>
        <w:tabs>
          <w:tab w:leader="none" w:pos="1766" w:val="left"/>
        </w:tabs>
        <w:numPr>
          <w:ilvl w:val="0"/>
          <w:numId w:val="85"/>
        </w:numPr>
        <w:rPr>
          <w:rFonts w:ascii="Arial" w:cs="Arial" w:eastAsia="Arial" w:hAnsi="Arial"/>
          <w:sz w:val="19"/>
          <w:szCs w:val="19"/>
          <w:color w:val="auto"/>
        </w:rPr>
      </w:pPr>
      <w:r>
        <w:rPr>
          <w:rFonts w:ascii="Arial" w:cs="Arial" w:eastAsia="Arial" w:hAnsi="Arial"/>
          <w:sz w:val="19"/>
          <w:szCs w:val="19"/>
          <w:color w:val="auto"/>
        </w:rPr>
        <w:t>“Eligible Employee” means active full-time or part-time employees of the Corporation with a minimum of 17.5 weekly scheduled hours, but excludes any Employee who is on a leave of absence for the entire Performance Cycle.</w:t>
      </w:r>
    </w:p>
    <w:p>
      <w:pPr>
        <w:spacing w:after="0" w:line="123" w:lineRule="exact"/>
        <w:rPr>
          <w:rFonts w:ascii="Arial" w:cs="Arial" w:eastAsia="Arial" w:hAnsi="Arial"/>
          <w:sz w:val="19"/>
          <w:szCs w:val="19"/>
          <w:color w:val="auto"/>
        </w:rPr>
      </w:pPr>
    </w:p>
    <w:p>
      <w:pPr>
        <w:jc w:val="both"/>
        <w:ind w:right="60" w:firstLine="866"/>
        <w:spacing w:after="0" w:line="253" w:lineRule="auto"/>
        <w:tabs>
          <w:tab w:leader="none" w:pos="1710" w:val="left"/>
        </w:tabs>
        <w:numPr>
          <w:ilvl w:val="0"/>
          <w:numId w:val="85"/>
        </w:numPr>
        <w:rPr>
          <w:rFonts w:ascii="Arial" w:cs="Arial" w:eastAsia="Arial" w:hAnsi="Arial"/>
          <w:sz w:val="20"/>
          <w:szCs w:val="20"/>
          <w:color w:val="auto"/>
        </w:rPr>
      </w:pPr>
      <w:r>
        <w:rPr>
          <w:rFonts w:ascii="Arial" w:cs="Arial" w:eastAsia="Arial" w:hAnsi="Arial"/>
          <w:sz w:val="20"/>
          <w:szCs w:val="20"/>
          <w:color w:val="auto"/>
        </w:rPr>
        <w:t>“Base Salary” means, for full-time employees, the annual base salary in effect on the last day of the fiscal year; and for part-time employees, the base hourly rate in effect on the last day of the fiscal year, multiplied by the number of hours for which they received hourly compensation (including hours charged to holiday and paid time off).</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294005</wp:posOffset>
            </wp:positionV>
            <wp:extent cx="7182485" cy="412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160"/>
          </w:cols>
          <w:pgMar w:left="320" w:top="955" w:right="419" w:bottom="1440" w:gutter="0" w:footer="0" w:header="0"/>
        </w:sectPr>
      </w:pPr>
    </w:p>
    <w:bookmarkStart w:id="154" w:name="page155"/>
    <w:bookmarkEnd w:id="154"/>
    <w:p>
      <w:pPr>
        <w:jc w:val="center"/>
        <w:ind w:right="-59"/>
        <w:spacing w:after="0"/>
        <w:rPr>
          <w:sz w:val="20"/>
          <w:szCs w:val="20"/>
          <w:color w:val="auto"/>
        </w:rPr>
      </w:pPr>
      <w:r>
        <w:rPr>
          <w:rFonts w:ascii="Arial" w:cs="Arial" w:eastAsia="Arial" w:hAnsi="Arial"/>
          <w:sz w:val="20"/>
          <w:szCs w:val="20"/>
          <w:color w:val="auto"/>
        </w:rPr>
        <w:t>ARTICLE 3</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20"/>
          <w:szCs w:val="20"/>
          <w:u w:val="single" w:color="auto"/>
          <w:color w:val="auto"/>
        </w:rPr>
        <w:t>ANNUAL INCENTIVE OPPORTUNITY TARGETS AND AWARDS</w:t>
      </w:r>
    </w:p>
    <w:p>
      <w:pPr>
        <w:spacing w:after="0" w:line="183" w:lineRule="exact"/>
        <w:rPr>
          <w:sz w:val="20"/>
          <w:szCs w:val="20"/>
          <w:color w:val="auto"/>
        </w:rPr>
      </w:pPr>
    </w:p>
    <w:p>
      <w:pPr>
        <w:ind w:right="740"/>
        <w:spacing w:after="0" w:line="268" w:lineRule="auto"/>
        <w:rPr>
          <w:sz w:val="20"/>
          <w:szCs w:val="20"/>
          <w:color w:val="auto"/>
        </w:rPr>
      </w:pPr>
      <w:r>
        <w:rPr>
          <w:rFonts w:ascii="Arial" w:cs="Arial" w:eastAsia="Arial" w:hAnsi="Arial"/>
          <w:sz w:val="20"/>
          <w:szCs w:val="20"/>
          <w:color w:val="auto"/>
        </w:rPr>
        <w:t xml:space="preserve">Section 3.1 </w:t>
      </w:r>
      <w:r>
        <w:rPr>
          <w:rFonts w:ascii="Arial" w:cs="Arial" w:eastAsia="Arial" w:hAnsi="Arial"/>
          <w:sz w:val="20"/>
          <w:szCs w:val="20"/>
          <w:u w:val="single" w:color="auto"/>
          <w:color w:val="auto"/>
        </w:rPr>
        <w:t>Authority of the Compensation Committee</w:t>
      </w:r>
      <w:r>
        <w:rPr>
          <w:rFonts w:ascii="Arial" w:cs="Arial" w:eastAsia="Arial" w:hAnsi="Arial"/>
          <w:sz w:val="20"/>
          <w:szCs w:val="20"/>
          <w:color w:val="auto"/>
        </w:rPr>
        <w:t>. With respect to the Plan, the Compensation Committee shall in its discretion:</w:t>
      </w:r>
    </w:p>
    <w:p>
      <w:pPr>
        <w:spacing w:after="0" w:line="146" w:lineRule="exact"/>
        <w:rPr>
          <w:sz w:val="20"/>
          <w:szCs w:val="20"/>
          <w:color w:val="auto"/>
        </w:rPr>
      </w:pPr>
    </w:p>
    <w:p>
      <w:pPr>
        <w:ind w:left="1700" w:hanging="834"/>
        <w:spacing w:after="0"/>
        <w:tabs>
          <w:tab w:leader="none" w:pos="1700" w:val="left"/>
        </w:tabs>
        <w:numPr>
          <w:ilvl w:val="0"/>
          <w:numId w:val="86"/>
        </w:numPr>
        <w:rPr>
          <w:rFonts w:ascii="Arial" w:cs="Arial" w:eastAsia="Arial" w:hAnsi="Arial"/>
          <w:sz w:val="20"/>
          <w:szCs w:val="20"/>
          <w:color w:val="auto"/>
        </w:rPr>
      </w:pPr>
      <w:r>
        <w:rPr>
          <w:rFonts w:ascii="Arial" w:cs="Arial" w:eastAsia="Arial" w:hAnsi="Arial"/>
          <w:sz w:val="20"/>
          <w:szCs w:val="20"/>
          <w:color w:val="auto"/>
        </w:rPr>
        <w:t>Determine the funding level of any Incentive Award Pool for Participants,</w:t>
      </w:r>
    </w:p>
    <w:p>
      <w:pPr>
        <w:spacing w:after="0" w:line="201" w:lineRule="exact"/>
        <w:rPr>
          <w:rFonts w:ascii="Arial" w:cs="Arial" w:eastAsia="Arial" w:hAnsi="Arial"/>
          <w:sz w:val="20"/>
          <w:szCs w:val="20"/>
          <w:color w:val="auto"/>
        </w:rPr>
      </w:pPr>
    </w:p>
    <w:p>
      <w:pPr>
        <w:ind w:left="1720" w:hanging="854"/>
        <w:spacing w:after="0"/>
        <w:tabs>
          <w:tab w:leader="none" w:pos="1720" w:val="left"/>
        </w:tabs>
        <w:numPr>
          <w:ilvl w:val="0"/>
          <w:numId w:val="86"/>
        </w:numPr>
        <w:rPr>
          <w:rFonts w:ascii="Arial" w:cs="Arial" w:eastAsia="Arial" w:hAnsi="Arial"/>
          <w:sz w:val="20"/>
          <w:szCs w:val="20"/>
          <w:color w:val="auto"/>
        </w:rPr>
      </w:pPr>
      <w:r>
        <w:rPr>
          <w:rFonts w:ascii="Arial" w:cs="Arial" w:eastAsia="Arial" w:hAnsi="Arial"/>
          <w:sz w:val="20"/>
          <w:szCs w:val="20"/>
          <w:color w:val="auto"/>
        </w:rPr>
        <w:t>Determine the Annual Incentive Opportunity Target and Annual Incentive Award for the CEO,</w:t>
      </w:r>
    </w:p>
    <w:p>
      <w:pPr>
        <w:spacing w:after="0" w:line="201" w:lineRule="exact"/>
        <w:rPr>
          <w:rFonts w:ascii="Arial" w:cs="Arial" w:eastAsia="Arial" w:hAnsi="Arial"/>
          <w:sz w:val="20"/>
          <w:szCs w:val="20"/>
          <w:color w:val="auto"/>
        </w:rPr>
      </w:pPr>
    </w:p>
    <w:p>
      <w:pPr>
        <w:ind w:firstLine="866"/>
        <w:spacing w:after="0" w:line="268" w:lineRule="auto"/>
        <w:tabs>
          <w:tab w:leader="none" w:pos="1703" w:val="left"/>
        </w:tabs>
        <w:numPr>
          <w:ilvl w:val="0"/>
          <w:numId w:val="86"/>
        </w:numPr>
        <w:rPr>
          <w:rFonts w:ascii="Arial" w:cs="Arial" w:eastAsia="Arial" w:hAnsi="Arial"/>
          <w:sz w:val="20"/>
          <w:szCs w:val="20"/>
          <w:color w:val="auto"/>
        </w:rPr>
      </w:pPr>
      <w:r>
        <w:rPr>
          <w:rFonts w:ascii="Arial" w:cs="Arial" w:eastAsia="Arial" w:hAnsi="Arial"/>
          <w:sz w:val="20"/>
          <w:szCs w:val="20"/>
          <w:color w:val="auto"/>
        </w:rPr>
        <w:t>Review and approve the Annual Incentive Opportunity Targets and Annual Incentive Awards recommended by the CEO for Presidents and other key officers designated by the Compensation Committee for review and approval,</w:t>
      </w:r>
    </w:p>
    <w:p>
      <w:pPr>
        <w:spacing w:after="0" w:line="145" w:lineRule="exact"/>
        <w:rPr>
          <w:rFonts w:ascii="Arial" w:cs="Arial" w:eastAsia="Arial" w:hAnsi="Arial"/>
          <w:sz w:val="20"/>
          <w:szCs w:val="20"/>
          <w:color w:val="auto"/>
        </w:rPr>
      </w:pPr>
    </w:p>
    <w:p>
      <w:pPr>
        <w:ind w:right="260" w:firstLine="866"/>
        <w:spacing w:after="0" w:line="268" w:lineRule="auto"/>
        <w:tabs>
          <w:tab w:leader="none" w:pos="1715" w:val="left"/>
        </w:tabs>
        <w:numPr>
          <w:ilvl w:val="0"/>
          <w:numId w:val="86"/>
        </w:numPr>
        <w:rPr>
          <w:rFonts w:ascii="Arial" w:cs="Arial" w:eastAsia="Arial" w:hAnsi="Arial"/>
          <w:sz w:val="20"/>
          <w:szCs w:val="20"/>
          <w:color w:val="auto"/>
        </w:rPr>
      </w:pPr>
      <w:r>
        <w:rPr>
          <w:rFonts w:ascii="Arial" w:cs="Arial" w:eastAsia="Arial" w:hAnsi="Arial"/>
          <w:sz w:val="20"/>
          <w:szCs w:val="20"/>
          <w:color w:val="auto"/>
        </w:rPr>
        <w:t>Delegate to the Total Rewards Committee the authority to determine Annual Incentive Opportunity Targets and Annual Incentive Awards for all other participants in the Plan,</w:t>
      </w:r>
    </w:p>
    <w:p>
      <w:pPr>
        <w:spacing w:after="0" w:line="145" w:lineRule="exact"/>
        <w:rPr>
          <w:rFonts w:ascii="Arial" w:cs="Arial" w:eastAsia="Arial" w:hAnsi="Arial"/>
          <w:sz w:val="20"/>
          <w:szCs w:val="20"/>
          <w:color w:val="auto"/>
        </w:rPr>
      </w:pPr>
    </w:p>
    <w:p>
      <w:pPr>
        <w:ind w:right="640" w:firstLine="866"/>
        <w:spacing w:after="0" w:line="268" w:lineRule="auto"/>
        <w:tabs>
          <w:tab w:leader="none" w:pos="1698" w:val="left"/>
        </w:tabs>
        <w:numPr>
          <w:ilvl w:val="0"/>
          <w:numId w:val="86"/>
        </w:numPr>
        <w:rPr>
          <w:rFonts w:ascii="Arial" w:cs="Arial" w:eastAsia="Arial" w:hAnsi="Arial"/>
          <w:sz w:val="20"/>
          <w:szCs w:val="20"/>
          <w:color w:val="auto"/>
        </w:rPr>
      </w:pPr>
      <w:r>
        <w:rPr>
          <w:rFonts w:ascii="Arial" w:cs="Arial" w:eastAsia="Arial" w:hAnsi="Arial"/>
          <w:sz w:val="20"/>
          <w:szCs w:val="20"/>
          <w:color w:val="auto"/>
        </w:rPr>
        <w:t>Make all other determinations and take all other actions as may be necessary, appropriate or advisable for the administration of the Plan, to the extent not delegated to the Total Rewards Committee.</w:t>
      </w:r>
    </w:p>
    <w:p>
      <w:pPr>
        <w:spacing w:after="0" w:line="146" w:lineRule="exact"/>
        <w:rPr>
          <w:sz w:val="20"/>
          <w:szCs w:val="20"/>
          <w:color w:val="auto"/>
        </w:rPr>
      </w:pPr>
    </w:p>
    <w:p>
      <w:pPr>
        <w:ind w:right="80"/>
        <w:spacing w:after="0" w:line="265" w:lineRule="auto"/>
        <w:rPr>
          <w:sz w:val="20"/>
          <w:szCs w:val="20"/>
          <w:color w:val="auto"/>
        </w:rPr>
      </w:pPr>
      <w:r>
        <w:rPr>
          <w:rFonts w:ascii="Arial" w:cs="Arial" w:eastAsia="Arial" w:hAnsi="Arial"/>
          <w:sz w:val="19"/>
          <w:szCs w:val="19"/>
          <w:color w:val="auto"/>
        </w:rPr>
        <w:t xml:space="preserve">Section 3.2 </w:t>
      </w:r>
      <w:r>
        <w:rPr>
          <w:rFonts w:ascii="Arial" w:cs="Arial" w:eastAsia="Arial" w:hAnsi="Arial"/>
          <w:sz w:val="19"/>
          <w:szCs w:val="19"/>
          <w:u w:val="single" w:color="auto"/>
          <w:color w:val="auto"/>
        </w:rPr>
        <w:t>Determination of Performance Criteria</w:t>
      </w:r>
      <w:r>
        <w:rPr>
          <w:rFonts w:ascii="Arial" w:cs="Arial" w:eastAsia="Arial" w:hAnsi="Arial"/>
          <w:sz w:val="19"/>
          <w:szCs w:val="19"/>
          <w:color w:val="auto"/>
        </w:rPr>
        <w:t>. At the beginning of the Performance Cycle, the Compensation Committee shall confirm performance criteria consistent with the business plan approved by the Board. Performance criteria may be expressed in terms of overall financial and operational results of the Corporation or such other measurement as the Board or Compensation Committee may determine in its discretion. Individual performance goals for each Participant are set and communicated as follows:</w:t>
      </w:r>
    </w:p>
    <w:p>
      <w:pPr>
        <w:spacing w:after="0" w:line="151" w:lineRule="exact"/>
        <w:rPr>
          <w:sz w:val="20"/>
          <w:szCs w:val="20"/>
          <w:color w:val="auto"/>
        </w:rPr>
      </w:pPr>
    </w:p>
    <w:p>
      <w:pPr>
        <w:ind w:left="2300" w:hanging="1434"/>
        <w:spacing w:after="0"/>
        <w:tabs>
          <w:tab w:leader="none" w:pos="2300"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CEO communicates performance goals in writing to Participants who report to the CEO.</w:t>
      </w:r>
    </w:p>
    <w:p>
      <w:pPr>
        <w:spacing w:after="0" w:line="205" w:lineRule="exact"/>
        <w:rPr>
          <w:rFonts w:ascii="Arial" w:cs="Arial" w:eastAsia="Arial" w:hAnsi="Arial"/>
          <w:sz w:val="20"/>
          <w:szCs w:val="20"/>
          <w:color w:val="auto"/>
        </w:rPr>
      </w:pPr>
    </w:p>
    <w:p>
      <w:pPr>
        <w:ind w:left="5580"/>
        <w:spacing w:after="0"/>
        <w:rPr>
          <w:rFonts w:ascii="Arial" w:cs="Arial" w:eastAsia="Arial" w:hAnsi="Arial"/>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294005</wp:posOffset>
            </wp:positionV>
            <wp:extent cx="7182485" cy="412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4">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00"/>
          </w:cols>
          <w:pgMar w:left="320" w:top="955" w:right="379" w:bottom="1440" w:gutter="0" w:footer="0" w:header="0"/>
        </w:sectPr>
      </w:pPr>
    </w:p>
    <w:bookmarkStart w:id="155" w:name="page156"/>
    <w:bookmarkEnd w:id="155"/>
    <w:p>
      <w:pPr>
        <w:jc w:val="both"/>
        <w:ind w:right="700" w:firstLine="866"/>
        <w:spacing w:after="0" w:line="324" w:lineRule="auto"/>
        <w:tabs>
          <w:tab w:leader="none" w:pos="2318"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Performance goals are communicated to Participants as and when administratively feasible following approval of performance criteria at the meeting of the Compensation Committee nearest the beginning of the Performance Cycle.</w:t>
      </w:r>
    </w:p>
    <w:p>
      <w:pPr>
        <w:spacing w:after="0" w:line="100"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 xml:space="preserve">Section 3.3 </w:t>
      </w:r>
      <w:r>
        <w:rPr>
          <w:rFonts w:ascii="Arial" w:cs="Arial" w:eastAsia="Arial" w:hAnsi="Arial"/>
          <w:sz w:val="20"/>
          <w:szCs w:val="20"/>
          <w:u w:val="single" w:color="auto"/>
          <w:color w:val="auto"/>
        </w:rPr>
        <w:t>Determination of Annual Incentive Opportunity Targets</w:t>
      </w:r>
      <w:r>
        <w:rPr>
          <w:rFonts w:ascii="Arial" w:cs="Arial" w:eastAsia="Arial" w:hAnsi="Arial"/>
          <w:sz w:val="20"/>
          <w:szCs w:val="20"/>
          <w:color w:val="auto"/>
        </w:rPr>
        <w:t>. The amount of a Participant’s Annual Incentive Opportunity Target may be expressed as a fixed value or as a percent of base salary, or as a range of opportunity with a minimum threshold, a target and a maximum award opportunity. In some instances, a Participant may be advised that the amount of any future incentive award will be discretionary and that the Participant will not have any Annual Incentive Opportunity Target. A Participant may earn an Annual Incentive Award in excess of the amount of the Annual Incentive Opportunity Target. Annual Incentive Opportunity Targets may be established based on relative levels of responsibility, position and impact on financial and operating results, competitive practice, management discretion or any other applicable factor. The Compensation Committee reviews and approves Annual Incentive Opportunity Targets for those senior executives whose targets and awards are subject to Compensation Committee approval. The CEO reviews and approves Annual Incentive Opportunity Targets proposed by Participants who report to the CEO for Participants in their organizations.</w:t>
      </w:r>
    </w:p>
    <w:p>
      <w:pPr>
        <w:spacing w:after="0" w:line="175" w:lineRule="exact"/>
        <w:rPr>
          <w:sz w:val="20"/>
          <w:szCs w:val="20"/>
          <w:color w:val="auto"/>
        </w:rPr>
      </w:pPr>
    </w:p>
    <w:p>
      <w:pPr>
        <w:ind w:right="20"/>
        <w:spacing w:after="0" w:line="265" w:lineRule="auto"/>
        <w:rPr>
          <w:sz w:val="20"/>
          <w:szCs w:val="20"/>
          <w:color w:val="auto"/>
        </w:rPr>
      </w:pPr>
      <w:r>
        <w:rPr>
          <w:rFonts w:ascii="Arial" w:cs="Arial" w:eastAsia="Arial" w:hAnsi="Arial"/>
          <w:sz w:val="19"/>
          <w:szCs w:val="19"/>
          <w:color w:val="auto"/>
        </w:rPr>
        <w:t xml:space="preserve">Section 3.4 </w:t>
      </w:r>
      <w:r>
        <w:rPr>
          <w:rFonts w:ascii="Arial" w:cs="Arial" w:eastAsia="Arial" w:hAnsi="Arial"/>
          <w:sz w:val="19"/>
          <w:szCs w:val="19"/>
          <w:u w:val="single" w:color="auto"/>
          <w:color w:val="auto"/>
        </w:rPr>
        <w:t>Determination of Funding Target for the Annual Incentive Plan</w:t>
      </w:r>
      <w:r>
        <w:rPr>
          <w:rFonts w:ascii="Arial" w:cs="Arial" w:eastAsia="Arial" w:hAnsi="Arial"/>
          <w:sz w:val="19"/>
          <w:szCs w:val="19"/>
          <w:color w:val="auto"/>
        </w:rPr>
        <w:t>. At the beginning of the Performance Cycle, funding at target for the Annual Incentive Plan is reviewed and approved by the Compensation Committee. The Corporation accrues for the potential liability for funding the Incentive Award Pools, making adjustments during the course of the year based on the actual financial performance of the Corporation or on guidance provided by CEO, Chief Financial Officer or the Compensation Committee.</w:t>
      </w:r>
    </w:p>
    <w:p>
      <w:pPr>
        <w:spacing w:after="0" w:line="151" w:lineRule="exact"/>
        <w:rPr>
          <w:sz w:val="20"/>
          <w:szCs w:val="20"/>
          <w:color w:val="auto"/>
        </w:rPr>
      </w:pPr>
    </w:p>
    <w:p>
      <w:pPr>
        <w:jc w:val="both"/>
        <w:ind w:right="20"/>
        <w:spacing w:after="0" w:line="257" w:lineRule="auto"/>
        <w:rPr>
          <w:sz w:val="20"/>
          <w:szCs w:val="20"/>
          <w:color w:val="auto"/>
        </w:rPr>
      </w:pPr>
      <w:r>
        <w:rPr>
          <w:rFonts w:ascii="Arial" w:cs="Arial" w:eastAsia="Arial" w:hAnsi="Arial"/>
          <w:sz w:val="19"/>
          <w:szCs w:val="19"/>
          <w:color w:val="auto"/>
        </w:rPr>
        <w:t xml:space="preserve">Section 3.5 </w:t>
      </w:r>
      <w:r>
        <w:rPr>
          <w:rFonts w:ascii="Arial" w:cs="Arial" w:eastAsia="Arial" w:hAnsi="Arial"/>
          <w:sz w:val="19"/>
          <w:szCs w:val="19"/>
          <w:u w:val="single" w:color="auto"/>
          <w:color w:val="auto"/>
        </w:rPr>
        <w:t>Determination of Annual Incentive Award Pools</w:t>
      </w:r>
      <w:r>
        <w:rPr>
          <w:rFonts w:ascii="Arial" w:cs="Arial" w:eastAsia="Arial" w:hAnsi="Arial"/>
          <w:sz w:val="19"/>
          <w:szCs w:val="19"/>
          <w:color w:val="auto"/>
        </w:rPr>
        <w:t>. At the first meeting of the Compensation Committee following the end of the Performance Cycle, where the year-end financial and operating performance of the Corporation is available, the Committee shall review the performance against the criteria originally approved by the Committee or criteria pursuant to a revised business plan.</w:t>
      </w:r>
    </w:p>
    <w:p>
      <w:pPr>
        <w:spacing w:after="0" w:line="1" w:lineRule="exact"/>
        <w:rPr>
          <w:sz w:val="20"/>
          <w:szCs w:val="20"/>
          <w:color w:val="auto"/>
        </w:rPr>
      </w:pPr>
    </w:p>
    <w:p>
      <w:pPr>
        <w:ind w:right="1120"/>
        <w:spacing w:after="0" w:line="249" w:lineRule="auto"/>
        <w:rPr>
          <w:sz w:val="20"/>
          <w:szCs w:val="20"/>
          <w:color w:val="auto"/>
        </w:rPr>
      </w:pPr>
      <w:r>
        <w:rPr>
          <w:rFonts w:ascii="Arial" w:cs="Arial" w:eastAsia="Arial" w:hAnsi="Arial"/>
          <w:sz w:val="20"/>
          <w:szCs w:val="20"/>
          <w:color w:val="auto"/>
        </w:rPr>
        <w:t>The Incentive Award Pools recommended for the Annual Incentive Plan are reviewed and approved by the Compensation Committee. If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294005</wp:posOffset>
            </wp:positionV>
            <wp:extent cx="7182485" cy="412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156" w:name="page157"/>
    <w:bookmarkEnd w:id="156"/>
    <w:p>
      <w:pPr>
        <w:ind w:right="160"/>
        <w:spacing w:after="0" w:line="253" w:lineRule="auto"/>
        <w:rPr>
          <w:sz w:val="20"/>
          <w:szCs w:val="20"/>
          <w:color w:val="auto"/>
        </w:rPr>
      </w:pPr>
      <w:r>
        <w:rPr>
          <w:rFonts w:ascii="Arial" w:cs="Arial" w:eastAsia="Arial" w:hAnsi="Arial"/>
          <w:sz w:val="20"/>
          <w:szCs w:val="20"/>
          <w:color w:val="auto"/>
        </w:rPr>
        <w:t>performance of the Corporation falls short of the performance criteria established at the beginning of the Performance Cycle, the Compensation Committee has the authority to establish an adjusted Incentive Award Pool to fund discretionary awards to Participants whose individual performance merits consideration.</w:t>
      </w:r>
    </w:p>
    <w:p>
      <w:pPr>
        <w:spacing w:after="0" w:line="160"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 xml:space="preserve">Section 3.6 </w:t>
      </w:r>
      <w:r>
        <w:rPr>
          <w:rFonts w:ascii="Arial" w:cs="Arial" w:eastAsia="Arial" w:hAnsi="Arial"/>
          <w:sz w:val="19"/>
          <w:szCs w:val="19"/>
          <w:u w:val="single" w:color="auto"/>
          <w:color w:val="auto"/>
        </w:rPr>
        <w:t>Determination and Approval of Annual Incentive Awards</w:t>
      </w:r>
      <w:r>
        <w:rPr>
          <w:rFonts w:ascii="Arial" w:cs="Arial" w:eastAsia="Arial" w:hAnsi="Arial"/>
          <w:sz w:val="19"/>
          <w:szCs w:val="19"/>
          <w:color w:val="auto"/>
        </w:rPr>
        <w:t>. Following the end of the Performance Cycle and in conjunction with the approval of the Incentive Award Pools, the Compensation Committee reviews the performance of the Corporation and determines the amount of the Annual Incentive Award, if any, earned by the CEO. The CEO recommends Annual Incentive Awards for senior officers designated for review and approval by the Compensation Committee, and then the Compensation Committee determines the amount of Annual Incentive Awards, if any, earned by such officers. Such determination may include discretionary consideration for factors other than those performance criteria outlined in the performance goals at the beginning of the performance period. For all others, Annual Incentive Award exception recommendations are reviewed and approved by the Total Rewards Committee prior to scheduled payment of Annual Incentive Awards.</w:t>
      </w:r>
    </w:p>
    <w:p>
      <w:pPr>
        <w:spacing w:after="0" w:line="164" w:lineRule="exact"/>
        <w:rPr>
          <w:sz w:val="20"/>
          <w:szCs w:val="20"/>
          <w:color w:val="auto"/>
        </w:rPr>
      </w:pPr>
    </w:p>
    <w:p>
      <w:pPr>
        <w:ind w:right="360"/>
        <w:spacing w:after="0" w:line="268" w:lineRule="auto"/>
        <w:rPr>
          <w:sz w:val="20"/>
          <w:szCs w:val="20"/>
          <w:color w:val="auto"/>
        </w:rPr>
      </w:pPr>
      <w:r>
        <w:rPr>
          <w:rFonts w:ascii="Arial" w:cs="Arial" w:eastAsia="Arial" w:hAnsi="Arial"/>
          <w:sz w:val="20"/>
          <w:szCs w:val="20"/>
          <w:color w:val="auto"/>
        </w:rPr>
        <w:t>Section 3.7 Proration of Awards. Payment of any Annual Incentive Award earned by a Participant are subject to proration as follows:</w:t>
      </w:r>
    </w:p>
    <w:p>
      <w:pPr>
        <w:spacing w:after="0" w:line="146" w:lineRule="exact"/>
        <w:rPr>
          <w:sz w:val="20"/>
          <w:szCs w:val="20"/>
          <w:color w:val="auto"/>
        </w:rPr>
      </w:pPr>
    </w:p>
    <w:p>
      <w:pPr>
        <w:ind w:right="20" w:firstLine="1729"/>
        <w:spacing w:after="0" w:line="245" w:lineRule="auto"/>
        <w:rPr>
          <w:sz w:val="20"/>
          <w:szCs w:val="20"/>
          <w:color w:val="auto"/>
        </w:rPr>
      </w:pPr>
      <w:r>
        <w:rPr>
          <w:rFonts w:ascii="Arial" w:cs="Arial" w:eastAsia="Arial" w:hAnsi="Arial"/>
          <w:sz w:val="20"/>
          <w:szCs w:val="20"/>
          <w:color w:val="auto"/>
        </w:rPr>
        <w:t>(a) If an individual becomes an Eligible Employee and a Participant in the Plan, due to hire or a change in job after the beginning of the Performance Cycle, their Annual Incentive Award will be prorated by multiplying the amount of their Annual Incentive Award by a fraction, the numerator of which is the number of calendar days during which employee was actively employed as a full-time or part-time employee and a Participant in the Plan during the applicable Performance Cycle, and the denominator is the total number of calendar days in that Performance Cycle.</w:t>
      </w:r>
    </w:p>
    <w:p>
      <w:pPr>
        <w:spacing w:after="0" w:line="170" w:lineRule="exact"/>
        <w:rPr>
          <w:sz w:val="20"/>
          <w:szCs w:val="20"/>
          <w:color w:val="auto"/>
        </w:rPr>
      </w:pPr>
    </w:p>
    <w:p>
      <w:pPr>
        <w:jc w:val="both"/>
        <w:ind w:right="180" w:firstLine="1729"/>
        <w:spacing w:after="0" w:line="253" w:lineRule="auto"/>
        <w:rPr>
          <w:sz w:val="20"/>
          <w:szCs w:val="20"/>
          <w:color w:val="auto"/>
        </w:rPr>
      </w:pPr>
      <w:r>
        <w:rPr>
          <w:rFonts w:ascii="Arial" w:cs="Arial" w:eastAsia="Arial" w:hAnsi="Arial"/>
          <w:sz w:val="20"/>
          <w:szCs w:val="20"/>
          <w:color w:val="auto"/>
        </w:rPr>
        <w:t>(b) If a Participant’s Annual Incentive Opportunity Target is expressed as a percent of base salary and is adjusted during the Performance Cycle, the Participant’s award will prorated as follows, unless the Committee expressly determines otherwise: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294005</wp:posOffset>
            </wp:positionV>
            <wp:extent cx="7182485" cy="412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6">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157" w:name="page158"/>
    <w:bookmarkEnd w:id="157"/>
    <w:p>
      <w:pPr>
        <w:ind w:left="1740" w:right="40"/>
        <w:spacing w:after="0" w:line="248" w:lineRule="auto"/>
        <w:rPr>
          <w:sz w:val="20"/>
          <w:szCs w:val="20"/>
          <w:color w:val="auto"/>
        </w:rPr>
      </w:pPr>
      <w:r>
        <w:rPr>
          <w:rFonts w:ascii="Arial" w:cs="Arial" w:eastAsia="Arial" w:hAnsi="Arial"/>
          <w:sz w:val="20"/>
          <w:szCs w:val="20"/>
          <w:color w:val="auto"/>
        </w:rPr>
        <w:t>(i) By multiplying the Participant’s applicable base salary by a fraction, the numerator of which is the number of calendar days during which the initial Annual Incentive Opportunity Target was in effect and the denominator is the total number of days in that Performance Cycle; and then multiplying that amount by the initial Annual Incentive Opportunity Target; and</w:t>
      </w:r>
    </w:p>
    <w:p>
      <w:pPr>
        <w:spacing w:after="0" w:line="165" w:lineRule="exact"/>
        <w:rPr>
          <w:sz w:val="20"/>
          <w:szCs w:val="20"/>
          <w:color w:val="auto"/>
        </w:rPr>
      </w:pPr>
    </w:p>
    <w:p>
      <w:pPr>
        <w:ind w:left="1740" w:hanging="9"/>
        <w:spacing w:after="0" w:line="248" w:lineRule="auto"/>
        <w:tabs>
          <w:tab w:leader="none" w:pos="2596" w:val="left"/>
        </w:tabs>
        <w:numPr>
          <w:ilvl w:val="0"/>
          <w:numId w:val="89"/>
        </w:numPr>
        <w:rPr>
          <w:rFonts w:ascii="Arial" w:cs="Arial" w:eastAsia="Arial" w:hAnsi="Arial"/>
          <w:sz w:val="20"/>
          <w:szCs w:val="20"/>
          <w:color w:val="auto"/>
        </w:rPr>
      </w:pPr>
      <w:r>
        <w:rPr>
          <w:rFonts w:ascii="Arial" w:cs="Arial" w:eastAsia="Arial" w:hAnsi="Arial"/>
          <w:sz w:val="20"/>
          <w:szCs w:val="20"/>
          <w:color w:val="auto"/>
        </w:rPr>
        <w:t>By multiplying the Participant’s applicable base salary by a fraction, the numerator of which is the number of calendar days during which the adjusted Annual Incentive Opportunity Target was in effect and the denominator is the total number of days in that Performance Cycle; and then multiplying that amount by the adjusted Annual Incentive Opportunity Target; and</w:t>
      </w:r>
    </w:p>
    <w:p>
      <w:pPr>
        <w:spacing w:after="0" w:line="165" w:lineRule="exact"/>
        <w:rPr>
          <w:rFonts w:ascii="Arial" w:cs="Arial" w:eastAsia="Arial" w:hAnsi="Arial"/>
          <w:sz w:val="20"/>
          <w:szCs w:val="20"/>
          <w:color w:val="auto"/>
        </w:rPr>
      </w:pPr>
    </w:p>
    <w:p>
      <w:pPr>
        <w:ind w:left="2640" w:hanging="909"/>
        <w:spacing w:after="0"/>
        <w:tabs>
          <w:tab w:leader="none" w:pos="2640" w:val="left"/>
        </w:tabs>
        <w:numPr>
          <w:ilvl w:val="0"/>
          <w:numId w:val="89"/>
        </w:numPr>
        <w:rPr>
          <w:rFonts w:ascii="Arial" w:cs="Arial" w:eastAsia="Arial" w:hAnsi="Arial"/>
          <w:sz w:val="20"/>
          <w:szCs w:val="20"/>
          <w:color w:val="auto"/>
        </w:rPr>
      </w:pPr>
      <w:r>
        <w:rPr>
          <w:rFonts w:ascii="Arial" w:cs="Arial" w:eastAsia="Arial" w:hAnsi="Arial"/>
          <w:sz w:val="20"/>
          <w:szCs w:val="20"/>
          <w:color w:val="auto"/>
        </w:rPr>
        <w:t>Finally, by adding the amounts calculated in sections (i) and (ii) above.</w:t>
      </w:r>
    </w:p>
    <w:p>
      <w:pPr>
        <w:spacing w:after="0" w:line="201" w:lineRule="exact"/>
        <w:rPr>
          <w:sz w:val="20"/>
          <w:szCs w:val="20"/>
          <w:color w:val="auto"/>
        </w:rPr>
      </w:pPr>
    </w:p>
    <w:p>
      <w:pPr>
        <w:ind w:right="60" w:firstLine="1729"/>
        <w:spacing w:after="0" w:line="245" w:lineRule="auto"/>
        <w:rPr>
          <w:sz w:val="20"/>
          <w:szCs w:val="20"/>
          <w:color w:val="auto"/>
        </w:rPr>
      </w:pPr>
      <w:r>
        <w:rPr>
          <w:rFonts w:ascii="Arial" w:cs="Arial" w:eastAsia="Arial" w:hAnsi="Arial"/>
          <w:sz w:val="20"/>
          <w:szCs w:val="20"/>
          <w:color w:val="auto"/>
        </w:rPr>
        <w:t>(c) If a Participant is on a leave of absence for more than twelve (12) weeks during the Performance Cycle, their Annual Incentive Award may be prorated, in the Committee’s sole discretion, by multiplying the amount of the their Annual Incentive Award by a fraction, the numerator of which is the number of calendar days during which employee was actively employed as a full-time or part-time employee (and not on leave of absence) during the applicable Performance Cycle, and the denominator is the total number of calendar days in that Performance Cycle.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4</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FUNDING, PAYMENT AND RIGHTS OF PARTICIPANTS</w:t>
      </w:r>
    </w:p>
    <w:p>
      <w:pPr>
        <w:spacing w:after="0" w:line="183" w:lineRule="exact"/>
        <w:rPr>
          <w:sz w:val="20"/>
          <w:szCs w:val="20"/>
          <w:color w:val="auto"/>
        </w:rPr>
      </w:pPr>
    </w:p>
    <w:p>
      <w:pPr>
        <w:ind w:right="180"/>
        <w:spacing w:after="0" w:line="268" w:lineRule="auto"/>
        <w:rPr>
          <w:sz w:val="20"/>
          <w:szCs w:val="20"/>
          <w:color w:val="auto"/>
        </w:rPr>
      </w:pPr>
      <w:r>
        <w:rPr>
          <w:rFonts w:ascii="Arial" w:cs="Arial" w:eastAsia="Arial" w:hAnsi="Arial"/>
          <w:sz w:val="20"/>
          <w:szCs w:val="20"/>
          <w:color w:val="auto"/>
        </w:rPr>
        <w:t xml:space="preserve">Section 4.1 </w:t>
      </w:r>
      <w:r>
        <w:rPr>
          <w:rFonts w:ascii="Arial" w:cs="Arial" w:eastAsia="Arial" w:hAnsi="Arial"/>
          <w:sz w:val="20"/>
          <w:szCs w:val="20"/>
          <w:u w:val="single" w:color="auto"/>
          <w:color w:val="auto"/>
        </w:rPr>
        <w:t>Unfunded Plan</w:t>
      </w:r>
      <w:r>
        <w:rPr>
          <w:rFonts w:ascii="Arial" w:cs="Arial" w:eastAsia="Arial" w:hAnsi="Arial"/>
          <w:sz w:val="20"/>
          <w:szCs w:val="20"/>
          <w:color w:val="auto"/>
        </w:rPr>
        <w:t>. The Plan is an unfunded, nonqualified plan. The benefits provided under the Plan shall be payable by the Corporation from its general assets.</w:t>
      </w:r>
    </w:p>
    <w:p>
      <w:pPr>
        <w:spacing w:after="0" w:line="146"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color w:val="auto"/>
        </w:rPr>
        <w:t xml:space="preserve">Section 4.2 </w:t>
      </w:r>
      <w:r>
        <w:rPr>
          <w:rFonts w:ascii="Arial" w:cs="Arial" w:eastAsia="Arial" w:hAnsi="Arial"/>
          <w:sz w:val="19"/>
          <w:szCs w:val="19"/>
          <w:u w:val="single" w:color="auto"/>
          <w:color w:val="auto"/>
        </w:rPr>
        <w:t>Payment of Annual Incentive Awards</w:t>
      </w:r>
      <w:r>
        <w:rPr>
          <w:rFonts w:ascii="Arial" w:cs="Arial" w:eastAsia="Arial" w:hAnsi="Arial"/>
          <w:sz w:val="19"/>
          <w:szCs w:val="19"/>
          <w:color w:val="auto"/>
        </w:rPr>
        <w:t>. Payment of any Annual Incentive Award earned by a Participant shall be made in one payment occurring between the 1</w:t>
      </w:r>
      <w:r>
        <w:rPr>
          <w:rFonts w:ascii="Arial" w:cs="Arial" w:eastAsia="Arial" w:hAnsi="Arial"/>
          <w:sz w:val="16"/>
          <w:szCs w:val="16"/>
          <w:color w:val="auto"/>
        </w:rPr>
        <w:t>st</w:t>
      </w:r>
      <w:r>
        <w:rPr>
          <w:rFonts w:ascii="Arial" w:cs="Arial" w:eastAsia="Arial" w:hAnsi="Arial"/>
          <w:sz w:val="19"/>
          <w:szCs w:val="19"/>
          <w:color w:val="auto"/>
        </w:rPr>
        <w:t xml:space="preserve"> of January and the 30</w:t>
      </w:r>
      <w:r>
        <w:rPr>
          <w:rFonts w:ascii="Arial" w:cs="Arial" w:eastAsia="Arial" w:hAnsi="Arial"/>
          <w:sz w:val="16"/>
          <w:szCs w:val="16"/>
          <w:color w:val="auto"/>
        </w:rPr>
        <w:t>th</w:t>
      </w:r>
      <w:r>
        <w:rPr>
          <w:rFonts w:ascii="Arial" w:cs="Arial" w:eastAsia="Arial" w:hAnsi="Arial"/>
          <w:sz w:val="19"/>
          <w:szCs w:val="19"/>
          <w:color w:val="auto"/>
        </w:rPr>
        <w:t xml:space="preserve"> of April of the calendar year following the Performance Cycle, provided the Participant has been a Participant for a full fiscal quarter during the Performance Cycle and is employed as a</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294005</wp:posOffset>
            </wp:positionV>
            <wp:extent cx="7182485" cy="412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7">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158" w:name="page159"/>
    <w:bookmarkEnd w:id="158"/>
    <w:p>
      <w:pPr>
        <w:ind w:right="120"/>
        <w:spacing w:after="0" w:line="268" w:lineRule="auto"/>
        <w:rPr>
          <w:sz w:val="20"/>
          <w:szCs w:val="20"/>
          <w:color w:val="auto"/>
        </w:rPr>
      </w:pPr>
      <w:r>
        <w:rPr>
          <w:rFonts w:ascii="Arial" w:cs="Arial" w:eastAsia="Arial" w:hAnsi="Arial"/>
          <w:sz w:val="20"/>
          <w:szCs w:val="20"/>
          <w:color w:val="auto"/>
        </w:rPr>
        <w:t>regular employee by the Corporation at the time of payment. This requirement for continued employment at the time of payment will be waived in the event of;</w:t>
      </w:r>
    </w:p>
    <w:p>
      <w:pPr>
        <w:spacing w:after="0" w:line="146" w:lineRule="exact"/>
        <w:rPr>
          <w:sz w:val="20"/>
          <w:szCs w:val="20"/>
          <w:color w:val="auto"/>
        </w:rPr>
      </w:pPr>
    </w:p>
    <w:p>
      <w:pPr>
        <w:jc w:val="both"/>
        <w:ind w:left="920" w:hanging="424"/>
        <w:spacing w:after="0" w:line="284" w:lineRule="auto"/>
        <w:tabs>
          <w:tab w:leader="none" w:pos="9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Retirement, Disability, or death of the Participant prior to the scheduled payment date, and shall be prorated, as applicable, by multiplying the amount of the Participant’s Annual Incentive Award by a fraction, the numerator of which is the number of calendar days during which the Participant was actively employed as a full-time or part-time regular employee during the applicable Performance Cycle, and the denominator is the total number of calendar days in that Performance Cycle.</w:t>
      </w:r>
    </w:p>
    <w:p>
      <w:pPr>
        <w:spacing w:after="0" w:line="135" w:lineRule="exact"/>
        <w:rPr>
          <w:rFonts w:ascii="Arial" w:cs="Arial" w:eastAsia="Arial" w:hAnsi="Arial"/>
          <w:sz w:val="18"/>
          <w:szCs w:val="18"/>
          <w:color w:val="auto"/>
        </w:rPr>
      </w:pPr>
    </w:p>
    <w:p>
      <w:pPr>
        <w:ind w:left="920" w:right="20" w:hanging="424"/>
        <w:spacing w:after="0" w:line="261" w:lineRule="auto"/>
        <w:tabs>
          <w:tab w:leader="none" w:pos="920" w:val="left"/>
        </w:tabs>
        <w:numPr>
          <w:ilvl w:val="0"/>
          <w:numId w:val="90"/>
        </w:numPr>
        <w:rPr>
          <w:rFonts w:ascii="Arial" w:cs="Arial" w:eastAsia="Arial" w:hAnsi="Arial"/>
          <w:sz w:val="19"/>
          <w:szCs w:val="19"/>
          <w:color w:val="auto"/>
        </w:rPr>
      </w:pPr>
      <w:r>
        <w:rPr>
          <w:rFonts w:ascii="Arial" w:cs="Arial" w:eastAsia="Arial" w:hAnsi="Arial"/>
          <w:sz w:val="19"/>
          <w:szCs w:val="19"/>
          <w:color w:val="auto"/>
        </w:rPr>
        <w:t>Involuntary termination for reason other than performance, misconduct, or change in control, with effect on or after the first day of the fourth fiscal quarter through the scheduled payment date, and shall be prorated, as applicable, by multiplying the amount of the Participant’s Annual Incentive Award by a fraction, the numerator of which is the number of calendar days during which the Participant was actively employed as a full-time or part-time regular employee during the applicable Performance Cycle, and the denominator is the total number of calendar days in that Performance Cycle.</w:t>
      </w:r>
    </w:p>
    <w:p>
      <w:pPr>
        <w:spacing w:after="0" w:line="155" w:lineRule="exact"/>
        <w:rPr>
          <w:rFonts w:ascii="Arial" w:cs="Arial" w:eastAsia="Arial" w:hAnsi="Arial"/>
          <w:sz w:val="19"/>
          <w:szCs w:val="19"/>
          <w:color w:val="auto"/>
        </w:rPr>
      </w:pPr>
    </w:p>
    <w:p>
      <w:pPr>
        <w:ind w:left="920" w:hanging="424"/>
        <w:spacing w:after="0"/>
        <w:tabs>
          <w:tab w:leader="none" w:pos="920" w:val="left"/>
        </w:tabs>
        <w:numPr>
          <w:ilvl w:val="0"/>
          <w:numId w:val="90"/>
        </w:numPr>
        <w:rPr>
          <w:rFonts w:ascii="Arial" w:cs="Arial" w:eastAsia="Arial" w:hAnsi="Arial"/>
          <w:sz w:val="20"/>
          <w:szCs w:val="20"/>
          <w:color w:val="auto"/>
        </w:rPr>
      </w:pPr>
      <w:r>
        <w:rPr>
          <w:rFonts w:ascii="Arial" w:cs="Arial" w:eastAsia="Arial" w:hAnsi="Arial"/>
          <w:sz w:val="20"/>
          <w:szCs w:val="20"/>
          <w:color w:val="auto"/>
        </w:rPr>
        <w:t>In the case of special circumstances as determined by the Committee.</w:t>
      </w:r>
    </w:p>
    <w:p>
      <w:pPr>
        <w:spacing w:after="0" w:line="201" w:lineRule="exact"/>
        <w:rPr>
          <w:sz w:val="20"/>
          <w:szCs w:val="20"/>
          <w:color w:val="auto"/>
        </w:rPr>
      </w:pPr>
    </w:p>
    <w:p>
      <w:pPr>
        <w:ind w:right="800"/>
        <w:spacing w:after="0" w:line="268" w:lineRule="auto"/>
        <w:rPr>
          <w:sz w:val="20"/>
          <w:szCs w:val="20"/>
          <w:color w:val="auto"/>
        </w:rPr>
      </w:pPr>
      <w:r>
        <w:rPr>
          <w:rFonts w:ascii="Arial" w:cs="Arial" w:eastAsia="Arial" w:hAnsi="Arial"/>
          <w:sz w:val="20"/>
          <w:szCs w:val="20"/>
          <w:color w:val="auto"/>
        </w:rPr>
        <w:t>The payment of any Annual Incentive Awards earned by selected Participants may be eligible for deferral under the terms of the Corporation’s deferred compensation plans as in effect from time to time.</w:t>
      </w:r>
    </w:p>
    <w:p>
      <w:pPr>
        <w:spacing w:after="0" w:line="146"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Modification of Performance Standards</w:t>
      </w:r>
      <w:r>
        <w:rPr>
          <w:rFonts w:ascii="Arial" w:cs="Arial" w:eastAsia="Arial" w:hAnsi="Arial"/>
          <w:sz w:val="18"/>
          <w:szCs w:val="18"/>
          <w:color w:val="auto"/>
        </w:rPr>
        <w:t>. If, prior to completion of a Performance Cycle, the Board determines, in its absolute and complete discretion, that the established performance measures or objectives are no longer applicable, the Compensation Committee may modify the performance measures and standards in a manner that it considers to be appropriate and equitable.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294005</wp:posOffset>
            </wp:positionV>
            <wp:extent cx="7182485" cy="412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00"/>
          </w:cols>
          <w:pgMar w:left="320" w:top="955" w:right="379" w:bottom="1440" w:gutter="0" w:footer="0" w:header="0"/>
        </w:sectPr>
      </w:pPr>
    </w:p>
    <w:bookmarkStart w:id="159" w:name="page160"/>
    <w:bookmarkEnd w:id="159"/>
    <w:p>
      <w:pPr>
        <w:jc w:val="center"/>
        <w:ind w:right="-79"/>
        <w:spacing w:after="0"/>
        <w:rPr>
          <w:sz w:val="20"/>
          <w:szCs w:val="20"/>
          <w:color w:val="auto"/>
        </w:rPr>
      </w:pPr>
      <w:r>
        <w:rPr>
          <w:rFonts w:ascii="Arial" w:cs="Arial" w:eastAsia="Arial" w:hAnsi="Arial"/>
          <w:sz w:val="20"/>
          <w:szCs w:val="20"/>
          <w:color w:val="auto"/>
        </w:rPr>
        <w:t>ARTICLE 5</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20"/>
          <w:szCs w:val="20"/>
          <w:u w:val="single" w:color="auto"/>
          <w:color w:val="auto"/>
        </w:rPr>
        <w:t>AMENDMENT AND TERMINATION OF THE PLAN</w:t>
      </w:r>
    </w:p>
    <w:p>
      <w:pPr>
        <w:spacing w:after="0" w:line="188"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The Compensation Committee will review the Plan, at a minimum, once every five years.</w:t>
      </w:r>
    </w:p>
    <w:p>
      <w:pPr>
        <w:spacing w:after="0" w:line="200"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The Board at any time and from time to time may suspend, terminate, modify, or amend the Plan.</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ARTICLE 6</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20"/>
          <w:szCs w:val="20"/>
          <w:u w:val="single" w:color="auto"/>
          <w:color w:val="auto"/>
        </w:rPr>
        <w:t>GENERAL PROVISIONS</w:t>
      </w:r>
    </w:p>
    <w:p>
      <w:pPr>
        <w:spacing w:after="0" w:line="183" w:lineRule="exact"/>
        <w:rPr>
          <w:sz w:val="20"/>
          <w:szCs w:val="20"/>
          <w:color w:val="auto"/>
        </w:rPr>
      </w:pPr>
    </w:p>
    <w:p>
      <w:pPr>
        <w:ind w:right="60"/>
        <w:spacing w:after="0" w:line="253" w:lineRule="auto"/>
        <w:rPr>
          <w:sz w:val="20"/>
          <w:szCs w:val="20"/>
          <w:color w:val="auto"/>
        </w:rPr>
      </w:pPr>
      <w:r>
        <w:rPr>
          <w:rFonts w:ascii="Arial" w:cs="Arial" w:eastAsia="Arial" w:hAnsi="Arial"/>
          <w:sz w:val="20"/>
          <w:szCs w:val="20"/>
          <w:color w:val="auto"/>
        </w:rPr>
        <w:t xml:space="preserve">Section 6.1 </w:t>
      </w:r>
      <w:r>
        <w:rPr>
          <w:rFonts w:ascii="Arial" w:cs="Arial" w:eastAsia="Arial" w:hAnsi="Arial"/>
          <w:sz w:val="20"/>
          <w:szCs w:val="20"/>
          <w:u w:val="single" w:color="auto"/>
          <w:color w:val="auto"/>
        </w:rPr>
        <w:t>Liability of Corporation</w:t>
      </w:r>
      <w:r>
        <w:rPr>
          <w:rFonts w:ascii="Arial" w:cs="Arial" w:eastAsia="Arial" w:hAnsi="Arial"/>
          <w:sz w:val="20"/>
          <w:szCs w:val="20"/>
          <w:color w:val="auto"/>
        </w:rPr>
        <w:t>. Nothing in the Plan shall constitute the creation of a trust or other fiduciary relationship between the Corporation and any Participant, beneficiary or other person. The Corporation shall not be considered a trustee by reason of the Plan.</w:t>
      </w:r>
    </w:p>
    <w:p>
      <w:pPr>
        <w:spacing w:after="0" w:line="160"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 xml:space="preserve">Section 6.2 </w:t>
      </w:r>
      <w:r>
        <w:rPr>
          <w:rFonts w:ascii="Arial" w:cs="Arial" w:eastAsia="Arial" w:hAnsi="Arial"/>
          <w:sz w:val="20"/>
          <w:szCs w:val="20"/>
          <w:u w:val="single" w:color="auto"/>
          <w:color w:val="auto"/>
        </w:rPr>
        <w:t>Liability of Administrators</w:t>
      </w:r>
      <w:r>
        <w:rPr>
          <w:rFonts w:ascii="Arial" w:cs="Arial" w:eastAsia="Arial" w:hAnsi="Arial"/>
          <w:sz w:val="20"/>
          <w:szCs w:val="20"/>
          <w:color w:val="auto"/>
        </w:rPr>
        <w:t>. No member of the Board, the Compensation Committee, the Total Rewards Committee, or the CEO or any other person with administrative responsibility under the Plan will be personally liable for any action taken or determination made in good faith with respect to the Plan, its interpretation, management or administration or any Annual Incentive Award granted hereunder.</w:t>
      </w:r>
    </w:p>
    <w:p>
      <w:pPr>
        <w:spacing w:after="0" w:line="165" w:lineRule="exact"/>
        <w:rPr>
          <w:sz w:val="20"/>
          <w:szCs w:val="20"/>
          <w:color w:val="auto"/>
        </w:rPr>
      </w:pPr>
    </w:p>
    <w:p>
      <w:pPr>
        <w:ind w:right="100"/>
        <w:spacing w:after="0" w:line="268" w:lineRule="auto"/>
        <w:rPr>
          <w:sz w:val="20"/>
          <w:szCs w:val="20"/>
          <w:color w:val="auto"/>
        </w:rPr>
      </w:pPr>
      <w:r>
        <w:rPr>
          <w:rFonts w:ascii="Arial" w:cs="Arial" w:eastAsia="Arial" w:hAnsi="Arial"/>
          <w:sz w:val="20"/>
          <w:szCs w:val="20"/>
          <w:color w:val="auto"/>
        </w:rPr>
        <w:t xml:space="preserve">Section 6.3 </w:t>
      </w:r>
      <w:r>
        <w:rPr>
          <w:rFonts w:ascii="Arial" w:cs="Arial" w:eastAsia="Arial" w:hAnsi="Arial"/>
          <w:sz w:val="20"/>
          <w:szCs w:val="20"/>
          <w:u w:val="single" w:color="auto"/>
          <w:color w:val="auto"/>
        </w:rPr>
        <w:t>Assignment and Alienation</w:t>
      </w:r>
      <w:r>
        <w:rPr>
          <w:rFonts w:ascii="Arial" w:cs="Arial" w:eastAsia="Arial" w:hAnsi="Arial"/>
          <w:sz w:val="20"/>
          <w:szCs w:val="20"/>
          <w:color w:val="auto"/>
        </w:rPr>
        <w:t>. No rights under the Plan may be anticipated, assigned, transferred, alienated, pledged, sold, attached, garnished or encumbered by a Participant or beneficiary.</w:t>
      </w:r>
    </w:p>
    <w:p>
      <w:pPr>
        <w:spacing w:after="0" w:line="146"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 xml:space="preserve">Section 6.4 </w:t>
      </w:r>
      <w:r>
        <w:rPr>
          <w:rFonts w:ascii="Arial" w:cs="Arial" w:eastAsia="Arial" w:hAnsi="Arial"/>
          <w:sz w:val="19"/>
          <w:szCs w:val="19"/>
          <w:u w:val="single" w:color="auto"/>
          <w:color w:val="auto"/>
        </w:rPr>
        <w:t>Code Section 409A</w:t>
      </w:r>
      <w:r>
        <w:rPr>
          <w:rFonts w:ascii="Arial" w:cs="Arial" w:eastAsia="Arial" w:hAnsi="Arial"/>
          <w:sz w:val="19"/>
          <w:szCs w:val="19"/>
          <w:color w:val="auto"/>
        </w:rPr>
        <w:t>. It is intended that any amounts payable under this Plan shall either be exempt from Code Section 409A or shall comply with Code Section 409A (including Treasury Regulations and other published guidance related thereto) so as not to subject Participants to payment of any additional tax, penalty, or interest imposed under Code Section 409A. The provisions of this Plan shall be construed and interpreted to avoid the imputation of any such additional tax, penalty, or interest under Code Section 409A yet preserve (to the nearest extent reasonably possible) the intended benefits payable to Participants.</w:t>
      </w: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294005</wp:posOffset>
            </wp:positionV>
            <wp:extent cx="7182485" cy="412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180"/>
          </w:cols>
          <w:pgMar w:left="320" w:top="955" w:right="39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9"/>
          <w:szCs w:val="19"/>
          <w:u w:val="single" w:color="auto"/>
          <w:color w:val="auto"/>
        </w:rPr>
        <w:t>END</w:t>
      </w:r>
    </w:p>
    <w:p>
      <w:pPr>
        <w:sectPr>
          <w:pgSz w:w="11900" w:h="16838" w:orient="portrait"/>
          <w:cols w:equalWidth="0" w:num="1">
            <w:col w:w="9019"/>
          </w:cols>
          <w:pgMar w:left="1440" w:top="9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9019"/>
          </w:cols>
          <w:pgMar w:left="1440" w:top="955" w:right="1440" w:bottom="1440" w:gutter="0" w:footer="0" w:header="0"/>
          <w:type w:val="continuous"/>
        </w:sectPr>
      </w:pPr>
    </w:p>
    <w:bookmarkStart w:id="161" w:name="page162"/>
    <w:bookmarkEnd w:id="161"/>
    <w:p>
      <w:pPr>
        <w:jc w:val="right"/>
        <w:spacing w:after="0"/>
        <w:rPr>
          <w:sz w:val="20"/>
          <w:szCs w:val="20"/>
          <w:color w:val="auto"/>
        </w:rPr>
      </w:pPr>
      <w:r>
        <w:rPr>
          <w:rFonts w:ascii="Arial" w:cs="Arial" w:eastAsia="Arial" w:hAnsi="Arial"/>
          <w:sz w:val="20"/>
          <w:szCs w:val="20"/>
          <w:color w:val="auto"/>
        </w:rPr>
        <w:t>Exhibit 10.23</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Prospectus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This document constitutes part of a</w:t>
      </w:r>
    </w:p>
    <w:p>
      <w:pPr>
        <w:jc w:val="center"/>
        <w:spacing w:after="0" w:line="227" w:lineRule="auto"/>
        <w:rPr>
          <w:sz w:val="20"/>
          <w:szCs w:val="20"/>
          <w:color w:val="auto"/>
        </w:rPr>
      </w:pPr>
      <w:r>
        <w:rPr>
          <w:rFonts w:ascii="Arial" w:cs="Arial" w:eastAsia="Arial" w:hAnsi="Arial"/>
          <w:sz w:val="19"/>
          <w:szCs w:val="19"/>
          <w:b w:val="1"/>
          <w:bCs w:val="1"/>
          <w:color w:val="auto"/>
        </w:rPr>
        <w:t>prospectus covering securities that</w:t>
      </w:r>
    </w:p>
    <w:p>
      <w:pPr>
        <w:jc w:val="center"/>
        <w:spacing w:after="0" w:line="223" w:lineRule="auto"/>
        <w:rPr>
          <w:sz w:val="20"/>
          <w:szCs w:val="20"/>
          <w:color w:val="auto"/>
        </w:rPr>
      </w:pPr>
      <w:r>
        <w:rPr>
          <w:rFonts w:ascii="Arial" w:cs="Arial" w:eastAsia="Arial" w:hAnsi="Arial"/>
          <w:sz w:val="19"/>
          <w:szCs w:val="19"/>
          <w:b w:val="1"/>
          <w:bCs w:val="1"/>
          <w:color w:val="auto"/>
        </w:rPr>
        <w:t>we have registered under the</w:t>
      </w:r>
    </w:p>
    <w:p>
      <w:pPr>
        <w:jc w:val="center"/>
        <w:spacing w:after="0"/>
        <w:rPr>
          <w:sz w:val="20"/>
          <w:szCs w:val="20"/>
          <w:color w:val="auto"/>
        </w:rPr>
      </w:pPr>
      <w:r>
        <w:rPr>
          <w:rFonts w:ascii="Arial" w:cs="Arial" w:eastAsia="Arial" w:hAnsi="Arial"/>
          <w:sz w:val="19"/>
          <w:szCs w:val="19"/>
          <w:b w:val="1"/>
          <w:bCs w:val="1"/>
          <w:color w:val="auto"/>
        </w:rPr>
        <w:t>Securities Act of 1933</w:t>
      </w:r>
    </w:p>
    <w:p>
      <w:pPr>
        <w:spacing w:after="0" w:line="269" w:lineRule="exact"/>
        <w:rPr>
          <w:sz w:val="20"/>
          <w:szCs w:val="20"/>
          <w:color w:val="auto"/>
        </w:rPr>
      </w:pPr>
    </w:p>
    <w:p>
      <w:pPr>
        <w:ind w:left="4480"/>
        <w:spacing w:after="0"/>
        <w:rPr>
          <w:sz w:val="20"/>
          <w:szCs w:val="20"/>
          <w:color w:val="auto"/>
        </w:rPr>
      </w:pPr>
      <w:r>
        <w:rPr>
          <w:rFonts w:ascii="Arial" w:cs="Arial" w:eastAsia="Arial" w:hAnsi="Arial"/>
          <w:sz w:val="19"/>
          <w:szCs w:val="19"/>
          <w:b w:val="1"/>
          <w:bCs w:val="1"/>
          <w:color w:val="auto"/>
        </w:rPr>
        <w:t>PARSONS CORPORATION</w:t>
      </w:r>
    </w:p>
    <w:p>
      <w:pPr>
        <w:spacing w:after="0" w:line="86" w:lineRule="exact"/>
        <w:rPr>
          <w:sz w:val="20"/>
          <w:szCs w:val="20"/>
          <w:color w:val="auto"/>
        </w:rPr>
      </w:pPr>
    </w:p>
    <w:p>
      <w:pPr>
        <w:ind w:left="4220"/>
        <w:spacing w:after="0"/>
        <w:rPr>
          <w:sz w:val="20"/>
          <w:szCs w:val="20"/>
          <w:color w:val="auto"/>
        </w:rPr>
      </w:pPr>
      <w:r>
        <w:rPr>
          <w:rFonts w:ascii="Arial" w:cs="Arial" w:eastAsia="Arial" w:hAnsi="Arial"/>
          <w:sz w:val="19"/>
          <w:szCs w:val="19"/>
          <w:b w:val="1"/>
          <w:bCs w:val="1"/>
          <w:color w:val="auto"/>
        </w:rPr>
        <w:t>2,000,000 Shares of Common Stock</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Issuable under the Parsons Corporation Employee Stock Purchase Plan</w:t>
      </w:r>
    </w:p>
    <w:p>
      <w:pPr>
        <w:spacing w:after="0" w:line="197" w:lineRule="exact"/>
        <w:rPr>
          <w:sz w:val="20"/>
          <w:szCs w:val="20"/>
          <w:color w:val="auto"/>
        </w:rPr>
      </w:pPr>
    </w:p>
    <w:p>
      <w:pPr>
        <w:jc w:val="both"/>
        <w:ind w:firstLine="865"/>
        <w:spacing w:after="0"/>
        <w:rPr>
          <w:sz w:val="20"/>
          <w:szCs w:val="20"/>
          <w:color w:val="auto"/>
        </w:rPr>
      </w:pPr>
      <w:r>
        <w:rPr>
          <w:rFonts w:ascii="Arial" w:cs="Arial" w:eastAsia="Arial" w:hAnsi="Arial"/>
          <w:sz w:val="19"/>
          <w:szCs w:val="19"/>
          <w:color w:val="auto"/>
        </w:rPr>
        <w:t>This Prospectus relates to 2,000,000 shares of common stock (“</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of Parsons Corporation (“</w:t>
      </w:r>
      <w:r>
        <w:rPr>
          <w:rFonts w:ascii="Arial" w:cs="Arial" w:eastAsia="Arial" w:hAnsi="Arial"/>
          <w:sz w:val="19"/>
          <w:szCs w:val="19"/>
          <w:b w:val="1"/>
          <w:bCs w:val="1"/>
          <w:i w:val="1"/>
          <w:iCs w:val="1"/>
          <w:color w:val="auto"/>
        </w:rPr>
        <w:t>Parsons</w:t>
      </w:r>
      <w:r>
        <w:rPr>
          <w:rFonts w:ascii="Arial" w:cs="Arial" w:eastAsia="Arial" w:hAnsi="Arial"/>
          <w:sz w:val="19"/>
          <w:szCs w:val="19"/>
          <w:color w:val="auto"/>
        </w:rPr>
        <w:t>” or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Pursuant to the Parsons Corporation Employee Stock Purchase Plan (as amended to date,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participants may buy our Common Stock at reduced prices through payroll deductions during each offering period. Offering periods under the Plan are six-month periods. The terms and conditions of the Plan, including the prices of the shares of our Common Stock, are governed by the provisions of the Plan and the agreements issued under the Plan. The Company is the issuer of the Common Stock under the Plan. The Common Stock of the Company is listed on the New York Stock Exchange under the ticker symbol “PSN.”</w:t>
      </w:r>
    </w:p>
    <w:p>
      <w:pPr>
        <w:spacing w:after="0" w:line="185" w:lineRule="exact"/>
        <w:rPr>
          <w:sz w:val="20"/>
          <w:szCs w:val="20"/>
          <w:color w:val="auto"/>
        </w:rPr>
      </w:pPr>
    </w:p>
    <w:p>
      <w:pPr>
        <w:ind w:right="260" w:firstLine="865"/>
        <w:spacing w:after="0" w:line="245" w:lineRule="auto"/>
        <w:rPr>
          <w:sz w:val="20"/>
          <w:szCs w:val="20"/>
          <w:color w:val="auto"/>
        </w:rPr>
      </w:pPr>
      <w:r>
        <w:rPr>
          <w:rFonts w:ascii="Arial" w:cs="Arial" w:eastAsia="Arial" w:hAnsi="Arial"/>
          <w:sz w:val="19"/>
          <w:szCs w:val="19"/>
          <w:color w:val="auto"/>
        </w:rPr>
        <w:t>The main features of the Plan are summarized in this Prospectus. However, if there are any inconsistencies between this Prospectus and the Plan or the terms of any award, the Plan and the terms of the option or other award will always control.</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_______________</w:t>
      </w:r>
    </w:p>
    <w:p>
      <w:pPr>
        <w:spacing w:after="0" w:line="184" w:lineRule="exact"/>
        <w:rPr>
          <w:sz w:val="20"/>
          <w:szCs w:val="20"/>
          <w:color w:val="auto"/>
        </w:rPr>
      </w:pPr>
    </w:p>
    <w:p>
      <w:pPr>
        <w:jc w:val="center"/>
        <w:spacing w:after="0" w:line="307" w:lineRule="auto"/>
        <w:rPr>
          <w:sz w:val="20"/>
          <w:szCs w:val="20"/>
          <w:color w:val="auto"/>
        </w:rPr>
      </w:pPr>
      <w:r>
        <w:rPr>
          <w:rFonts w:ascii="Arial" w:cs="Arial" w:eastAsia="Arial" w:hAnsi="Arial"/>
          <w:sz w:val="15"/>
          <w:szCs w:val="15"/>
          <w:i w:val="1"/>
          <w:iCs w:val="1"/>
          <w:color w:val="auto"/>
        </w:rPr>
        <w:t>Neither the Securities and Exchange Commission (the “</w:t>
      </w:r>
      <w:r>
        <w:rPr>
          <w:rFonts w:ascii="Arial" w:cs="Arial" w:eastAsia="Arial" w:hAnsi="Arial"/>
          <w:sz w:val="15"/>
          <w:szCs w:val="15"/>
          <w:b w:val="1"/>
          <w:bCs w:val="1"/>
          <w:i w:val="1"/>
          <w:iCs w:val="1"/>
          <w:color w:val="auto"/>
        </w:rPr>
        <w:t>SEC</w:t>
      </w:r>
      <w:r>
        <w:rPr>
          <w:rFonts w:ascii="Arial" w:cs="Arial" w:eastAsia="Arial" w:hAnsi="Arial"/>
          <w:sz w:val="15"/>
          <w:szCs w:val="15"/>
          <w:i w:val="1"/>
          <w:iCs w:val="1"/>
          <w:color w:val="auto"/>
        </w:rPr>
        <w:t>”) nor any state securities commission has approved or disapproved these securities, or determined if this Prospectus is truthful or complete. Any representation to the contrary is a criminal offense.</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_______________</w:t>
      </w:r>
    </w:p>
    <w:p>
      <w:pPr>
        <w:spacing w:after="0" w:line="184" w:lineRule="exact"/>
        <w:rPr>
          <w:sz w:val="20"/>
          <w:szCs w:val="20"/>
          <w:color w:val="auto"/>
        </w:rPr>
      </w:pPr>
    </w:p>
    <w:p>
      <w:pPr>
        <w:ind w:right="120" w:firstLine="865"/>
        <w:spacing w:after="0" w:line="267" w:lineRule="auto"/>
        <w:rPr>
          <w:sz w:val="20"/>
          <w:szCs w:val="20"/>
          <w:color w:val="auto"/>
        </w:rPr>
      </w:pPr>
      <w:r>
        <w:rPr>
          <w:rFonts w:ascii="Arial" w:cs="Arial" w:eastAsia="Arial" w:hAnsi="Arial"/>
          <w:sz w:val="18"/>
          <w:szCs w:val="18"/>
          <w:color w:val="auto"/>
        </w:rPr>
        <w:t>You should rely only on the information contained in this document or that we have referred to you. We have not authorized anyone to provide you with information that is different. We are offering to sell, and seeking offers to buy, shares of Common Stock only in jurisdictions which permit offers and sales. The information contained in this Prospectus is accurate only as of the date of this Prospectus.</w:t>
      </w:r>
    </w:p>
    <w:p>
      <w:pPr>
        <w:spacing w:after="0" w:line="171" w:lineRule="exact"/>
        <w:rPr>
          <w:sz w:val="20"/>
          <w:szCs w:val="20"/>
          <w:color w:val="auto"/>
        </w:rPr>
      </w:pPr>
    </w:p>
    <w:p>
      <w:pPr>
        <w:ind w:right="320" w:firstLine="865"/>
        <w:spacing w:after="0" w:line="245" w:lineRule="auto"/>
        <w:rPr>
          <w:sz w:val="20"/>
          <w:szCs w:val="20"/>
          <w:color w:val="auto"/>
        </w:rPr>
      </w:pPr>
      <w:r>
        <w:rPr>
          <w:rFonts w:ascii="Arial" w:cs="Arial" w:eastAsia="Arial" w:hAnsi="Arial"/>
          <w:sz w:val="19"/>
          <w:szCs w:val="19"/>
          <w:color w:val="auto"/>
        </w:rPr>
        <w:t>Copies of the Plan and additional information about the Plan can be obtained without charge upon written or oral request to: Secretary, Parsons Corporation, 5875 Trinity Parkway #300, Centreville, VA 20120; (703) 988-8500.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DATE OF THIS PROSPECTUS IS NOVEMBER 1, 2021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US-DOCS\126472695.1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49530</wp:posOffset>
            </wp:positionV>
            <wp:extent cx="7182485" cy="412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0">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62" w:name="page163"/>
    <w:bookmarkEnd w:id="162"/>
    <w:p>
      <w:pPr>
        <w:jc w:val="center"/>
        <w:ind w:left="840"/>
        <w:spacing w:after="0"/>
        <w:rPr>
          <w:sz w:val="20"/>
          <w:szCs w:val="20"/>
          <w:color w:val="auto"/>
        </w:rPr>
      </w:pPr>
      <w:r>
        <w:rPr>
          <w:rFonts w:ascii="Arial" w:cs="Arial" w:eastAsia="Arial" w:hAnsi="Arial"/>
          <w:sz w:val="19"/>
          <w:szCs w:val="19"/>
          <w:b w:val="1"/>
          <w:bCs w:val="1"/>
          <w:color w:val="auto"/>
        </w:rPr>
        <w:t>AVAILABLE INFORMATION</w:t>
      </w:r>
    </w:p>
    <w:p>
      <w:pPr>
        <w:spacing w:after="0" w:line="204" w:lineRule="exact"/>
        <w:rPr>
          <w:sz w:val="20"/>
          <w:szCs w:val="20"/>
          <w:color w:val="auto"/>
        </w:rPr>
      </w:pPr>
    </w:p>
    <w:p>
      <w:pPr>
        <w:jc w:val="both"/>
        <w:ind w:firstLine="865"/>
        <w:spacing w:after="0" w:line="272" w:lineRule="auto"/>
        <w:rPr>
          <w:sz w:val="20"/>
          <w:szCs w:val="20"/>
          <w:color w:val="auto"/>
        </w:rPr>
      </w:pPr>
      <w:r>
        <w:rPr>
          <w:rFonts w:ascii="Arial" w:cs="Arial" w:eastAsia="Arial" w:hAnsi="Arial"/>
          <w:sz w:val="17"/>
          <w:szCs w:val="17"/>
          <w:color w:val="auto"/>
        </w:rPr>
        <w:t>The Company is subject to the reporting and information requirements of the Securities Exchange Act of 1934, as amended (the “</w:t>
      </w:r>
      <w:r>
        <w:rPr>
          <w:rFonts w:ascii="Arial" w:cs="Arial" w:eastAsia="Arial" w:hAnsi="Arial"/>
          <w:sz w:val="17"/>
          <w:szCs w:val="17"/>
          <w:b w:val="1"/>
          <w:bCs w:val="1"/>
          <w:i w:val="1"/>
          <w:iCs w:val="1"/>
          <w:color w:val="auto"/>
        </w:rPr>
        <w:t>Exchange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and in accordance therewith files periodic reports, proxy statements and other information with the SEC. Periodic reports, proxy statements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information filed by the Company in accordance with the Exchange Act can be read and copied at the Public Reference Room of the SEC located at 100 F Street, N.E., Washington, D.C. 20549, and copies of which can be obtained from the SEC upon payment of prescribed fees. Electronic reports, proxy statements and other information filed through the SEC’s Electronic Data Gathering, Analysis and Retrieval system (“</w:t>
      </w:r>
      <w:r>
        <w:rPr>
          <w:rFonts w:ascii="Arial" w:cs="Arial" w:eastAsia="Arial" w:hAnsi="Arial"/>
          <w:sz w:val="17"/>
          <w:szCs w:val="17"/>
          <w:b w:val="1"/>
          <w:bCs w:val="1"/>
          <w:i w:val="1"/>
          <w:iCs w:val="1"/>
          <w:color w:val="auto"/>
        </w:rPr>
        <w:t>EDGAR</w:t>
      </w:r>
      <w:r>
        <w:rPr>
          <w:rFonts w:ascii="Arial" w:cs="Arial" w:eastAsia="Arial" w:hAnsi="Arial"/>
          <w:sz w:val="17"/>
          <w:szCs w:val="17"/>
          <w:color w:val="auto"/>
        </w:rPr>
        <w:t>”) are publicly available through the SEC’s web site (http://www.sec.gov). The Company’s Common Stock is listed on the New York Stock Exchange under the ticker symbol “PSN”. Additional updating information with respect to the Company’s Common Stock may be provided in the future to grantees by means of appendices to this Prospectus or delivery of other documents.</w:t>
      </w:r>
    </w:p>
    <w:p>
      <w:pPr>
        <w:spacing w:after="0" w:line="155" w:lineRule="exact"/>
        <w:rPr>
          <w:sz w:val="20"/>
          <w:szCs w:val="20"/>
          <w:color w:val="auto"/>
        </w:rPr>
      </w:pPr>
    </w:p>
    <w:p>
      <w:pPr>
        <w:jc w:val="both"/>
        <w:ind w:firstLine="865"/>
        <w:spacing w:after="0" w:line="274" w:lineRule="auto"/>
        <w:rPr>
          <w:sz w:val="20"/>
          <w:szCs w:val="20"/>
          <w:color w:val="auto"/>
        </w:rPr>
      </w:pPr>
      <w:r>
        <w:rPr>
          <w:rFonts w:ascii="Arial" w:cs="Arial" w:eastAsia="Arial" w:hAnsi="Arial"/>
          <w:sz w:val="17"/>
          <w:szCs w:val="17"/>
          <w:color w:val="auto"/>
        </w:rPr>
        <w:t>The Company has filed with the SEC a Registration Statement on Form S-8 (including all amendments thereto, the “</w:t>
      </w:r>
      <w:r>
        <w:rPr>
          <w:rFonts w:ascii="Arial" w:cs="Arial" w:eastAsia="Arial" w:hAnsi="Arial"/>
          <w:sz w:val="17"/>
          <w:szCs w:val="17"/>
          <w:b w:val="1"/>
          <w:bCs w:val="1"/>
          <w:i w:val="1"/>
          <w:i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Statement</w:t>
      </w:r>
      <w:r>
        <w:rPr>
          <w:rFonts w:ascii="Arial" w:cs="Arial" w:eastAsia="Arial" w:hAnsi="Arial"/>
          <w:sz w:val="17"/>
          <w:szCs w:val="17"/>
          <w:color w:val="auto"/>
        </w:rPr>
        <w:t>”) with respect to the securities offered hereby. This Prospectus is a part of the Registration Statement and therefore does not contain all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information set forth in the Registration Statement and the exhibits and schedules thereto. For further information about the Company and the securities offered hereby, reference is made to the Registration Statement and the exhibits thereto, which may be read and copied at the Public Reference Room of the SEC located at 100 F Street, N.E., Washington, D.C. 20549, and copies of which may be obtained from the SEC upon payment of the prescribed fees. The Registration Statement is also available through EDGAR at the SEC’s web site (http://www.sec.gov).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US-DOCS\126472695.1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49530</wp:posOffset>
            </wp:positionV>
            <wp:extent cx="7182485" cy="412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1">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63" w:name="page164"/>
    <w:bookmarkEnd w:id="163"/>
    <w:p>
      <w:pPr>
        <w:ind w:left="3320"/>
        <w:spacing w:after="0"/>
        <w:rPr>
          <w:sz w:val="20"/>
          <w:szCs w:val="20"/>
          <w:color w:val="auto"/>
        </w:rPr>
      </w:pPr>
      <w:r>
        <w:rPr>
          <w:rFonts w:ascii="Arial" w:cs="Arial" w:eastAsia="Arial" w:hAnsi="Arial"/>
          <w:sz w:val="19"/>
          <w:szCs w:val="19"/>
          <w:b w:val="1"/>
          <w:bCs w:val="1"/>
          <w:color w:val="auto"/>
        </w:rPr>
        <w:t>INCORPORATION OF CERTAIN DOCUMENTS BY REFERENCE</w:t>
      </w:r>
    </w:p>
    <w:p>
      <w:pPr>
        <w:spacing w:after="0" w:line="204"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The following documents, which we have filed with the SEC, are incorporated by reference in this Prospectus:</w:t>
      </w:r>
    </w:p>
    <w:p>
      <w:pPr>
        <w:spacing w:after="0" w:line="98" w:lineRule="exact"/>
        <w:rPr>
          <w:sz w:val="20"/>
          <w:szCs w:val="20"/>
          <w:color w:val="auto"/>
        </w:rPr>
      </w:pPr>
    </w:p>
    <w:p>
      <w:pPr>
        <w:jc w:val="both"/>
        <w:ind w:left="1720" w:hanging="856"/>
        <w:spacing w:after="0" w:line="247" w:lineRule="auto"/>
        <w:tabs>
          <w:tab w:leader="none" w:pos="1720"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Company’s annual report on Form 10-K filed with the Commission for the most recent fiscal year, which contains the Company’s audited financial statements for the latest fiscal year for which such statements have been filed, filed pursuant to Section 13(a) of the Exchange Act;</w:t>
      </w:r>
    </w:p>
    <w:p>
      <w:pPr>
        <w:spacing w:after="0" w:line="174" w:lineRule="exact"/>
        <w:rPr>
          <w:rFonts w:ascii="Arial" w:cs="Arial" w:eastAsia="Arial" w:hAnsi="Arial"/>
          <w:sz w:val="19"/>
          <w:szCs w:val="19"/>
          <w:color w:val="auto"/>
        </w:rPr>
      </w:pPr>
    </w:p>
    <w:p>
      <w:pPr>
        <w:ind w:left="1720" w:hanging="856"/>
        <w:spacing w:after="0" w:line="257" w:lineRule="auto"/>
        <w:tabs>
          <w:tab w:leader="none" w:pos="1720"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Company’s quarterly reports on Form 10-Q for the fiscal quarters ended during the current fiscal year, filed pursuant to Section 13(a) of the Exchange Act;</w:t>
      </w:r>
    </w:p>
    <w:p>
      <w:pPr>
        <w:spacing w:after="0" w:line="165" w:lineRule="exact"/>
        <w:rPr>
          <w:rFonts w:ascii="Arial" w:cs="Arial" w:eastAsia="Arial" w:hAnsi="Arial"/>
          <w:sz w:val="19"/>
          <w:szCs w:val="19"/>
          <w:color w:val="auto"/>
        </w:rPr>
      </w:pPr>
    </w:p>
    <w:p>
      <w:pPr>
        <w:ind w:left="1720" w:hanging="856"/>
        <w:spacing w:after="0"/>
        <w:tabs>
          <w:tab w:leader="none" w:pos="1720"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Company’s current reports on Form 8-K for the current fiscal year, filed pursuant to Section 13(a) of the Exchange Act; and</w:t>
      </w:r>
    </w:p>
    <w:p>
      <w:pPr>
        <w:spacing w:after="0" w:line="245" w:lineRule="exact"/>
        <w:rPr>
          <w:rFonts w:ascii="Arial" w:cs="Arial" w:eastAsia="Arial" w:hAnsi="Arial"/>
          <w:sz w:val="15"/>
          <w:szCs w:val="15"/>
          <w:color w:val="auto"/>
        </w:rPr>
      </w:pPr>
    </w:p>
    <w:p>
      <w:pPr>
        <w:jc w:val="both"/>
        <w:ind w:left="1720" w:hanging="856"/>
        <w:spacing w:after="0" w:line="247" w:lineRule="auto"/>
        <w:tabs>
          <w:tab w:leader="none" w:pos="1720"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description of the Company’s common stock contained in the Company’s Registration Statement on Form 8-A (File No. 001-07782) filed with the Commission on May 3, 2019, including any subsequently filed amendments and reports updating such description, and reports updating such description.</w:t>
      </w:r>
    </w:p>
    <w:p>
      <w:pPr>
        <w:spacing w:after="0" w:line="175" w:lineRule="exact"/>
        <w:rPr>
          <w:sz w:val="20"/>
          <w:szCs w:val="20"/>
          <w:color w:val="auto"/>
        </w:rPr>
      </w:pPr>
    </w:p>
    <w:p>
      <w:pPr>
        <w:jc w:val="both"/>
        <w:ind w:firstLine="865"/>
        <w:spacing w:after="0" w:line="243" w:lineRule="auto"/>
        <w:rPr>
          <w:sz w:val="20"/>
          <w:szCs w:val="20"/>
          <w:color w:val="auto"/>
        </w:rPr>
      </w:pPr>
      <w:r>
        <w:rPr>
          <w:rFonts w:ascii="Arial" w:cs="Arial" w:eastAsia="Arial" w:hAnsi="Arial"/>
          <w:sz w:val="19"/>
          <w:szCs w:val="19"/>
          <w:color w:val="auto"/>
        </w:rPr>
        <w:t>All documents filed by us pursuant to Section 13(a), 13(c), 14 or 15(d) of the Exchange Act after the date of this Prospectus and prior to the filing of a post-effective amendment which indicates that the Company has sold all securities offered or which deregisters all securities then remaining unsold are deemed to be incorporated by reference in this Prospectus. All such documents are deemed to be a part of this Prospectus from the respective dates of filing such documents.</w:t>
      </w:r>
    </w:p>
    <w:p>
      <w:pPr>
        <w:spacing w:after="0" w:line="79" w:lineRule="exact"/>
        <w:rPr>
          <w:sz w:val="20"/>
          <w:szCs w:val="20"/>
          <w:color w:val="auto"/>
        </w:rPr>
      </w:pPr>
    </w:p>
    <w:p>
      <w:pPr>
        <w:jc w:val="both"/>
        <w:ind w:firstLine="865"/>
        <w:spacing w:after="0" w:line="330" w:lineRule="auto"/>
        <w:rPr>
          <w:sz w:val="20"/>
          <w:szCs w:val="20"/>
          <w:color w:val="auto"/>
        </w:rPr>
      </w:pPr>
      <w:r>
        <w:rPr>
          <w:rFonts w:ascii="Arial" w:cs="Arial" w:eastAsia="Arial" w:hAnsi="Arial"/>
          <w:sz w:val="15"/>
          <w:szCs w:val="15"/>
          <w:color w:val="auto"/>
        </w:rPr>
        <w:t>Any statement contained in this Prospectus or in a document incorporated or deemed to be incorporated by reference in this Prospectus is deemed to be modified or superseded for the purposes of this Prospectus to the extent that a statement contained in this Prospectus or in any other subsequently filed document which also is or is deemed to be incorporated by reference in this Prospectus modifies or supersedes such statement. Any such statement so modified or superseded will not be deemed to constitute a part of this Prospectus except as so modified or superseded.</w:t>
      </w:r>
    </w:p>
    <w:p>
      <w:pPr>
        <w:spacing w:after="0" w:line="15" w:lineRule="exact"/>
        <w:rPr>
          <w:sz w:val="20"/>
          <w:szCs w:val="20"/>
          <w:color w:val="auto"/>
        </w:rPr>
      </w:pPr>
    </w:p>
    <w:p>
      <w:pPr>
        <w:jc w:val="both"/>
        <w:ind w:firstLine="865"/>
        <w:spacing w:after="0" w:line="255" w:lineRule="auto"/>
        <w:rPr>
          <w:sz w:val="20"/>
          <w:szCs w:val="20"/>
          <w:color w:val="auto"/>
        </w:rPr>
      </w:pPr>
      <w:r>
        <w:rPr>
          <w:rFonts w:ascii="Arial" w:cs="Arial" w:eastAsia="Arial" w:hAnsi="Arial"/>
          <w:sz w:val="18"/>
          <w:szCs w:val="18"/>
          <w:color w:val="auto"/>
        </w:rPr>
        <w:t>The Company will provide copies of all documents which it has incorporated into this Prospectus by reference (not including the exhibits to such information, unless such exhibits are specifically incorporated by reference in such information) without charge to each person, including any beneficial owner, to whom the Company has delivered this Prospectus, upon a written or oral request. The Company will also provide copies of this Prospectus, as amended or supplemented from time to time, any other documents (or parts of documents) that constitute part of the Prospectus under Section 10(a) of the Securities Act, or which Rule 428(b) under the Securities Act requires us to deliver, and its Annual Report to Stockholders, without charge to each such person, upon written or oral request. Such persons should direct all requests to: Secretary, Parsons Corporation, 5875 Trinity Parkway #300, Centreville, VA 20120; Tel: (703) 988-8500.</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US-DOCS\126472695.1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49530</wp:posOffset>
            </wp:positionV>
            <wp:extent cx="7182485" cy="412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9"/>
          <w:szCs w:val="19"/>
          <w:b w:val="1"/>
          <w:bCs w:val="1"/>
          <w:color w:val="auto"/>
        </w:rPr>
        <w:t>SUMMARY OF THE PLAN</w:t>
      </w:r>
    </w:p>
    <w:p>
      <w:pPr>
        <w:spacing w:after="0" w:line="217"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9"/>
          <w:szCs w:val="19"/>
          <w:i w:val="1"/>
          <w:iCs w:val="1"/>
          <w:color w:val="auto"/>
        </w:rPr>
        <w:t>The following information includes summaries of certain provisions of the Plan. Because this is a summary, it does not contain all the information that may be important to you. You should carefully read the entire Plan.</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w:t>
      </w:r>
    </w:p>
    <w:p>
      <w:pPr>
        <w:spacing w:after="0" w:line="318" w:lineRule="exact"/>
        <w:rPr>
          <w:sz w:val="20"/>
          <w:szCs w:val="20"/>
          <w:color w:val="auto"/>
        </w:rPr>
      </w:pPr>
    </w:p>
    <w:p>
      <w:pPr>
        <w:jc w:val="both"/>
        <w:ind w:firstLine="865"/>
        <w:spacing w:after="0" w:line="267" w:lineRule="auto"/>
        <w:rPr>
          <w:sz w:val="20"/>
          <w:szCs w:val="20"/>
          <w:color w:val="auto"/>
        </w:rPr>
      </w:pPr>
      <w:r>
        <w:rPr>
          <w:rFonts w:ascii="Arial" w:cs="Arial" w:eastAsia="Arial" w:hAnsi="Arial"/>
          <w:sz w:val="18"/>
          <w:szCs w:val="18"/>
          <w:color w:val="auto"/>
        </w:rPr>
        <w:t>The Plan assists our eligible employees in acquiring our stock. The Plan includes two components: (a) a qualified “employee stock purchase plan” under Section 423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(the “</w:t>
      </w:r>
      <w:r>
        <w:rPr>
          <w:rFonts w:ascii="Arial" w:cs="Arial" w:eastAsia="Arial" w:hAnsi="Arial"/>
          <w:sz w:val="18"/>
          <w:szCs w:val="18"/>
          <w:b w:val="1"/>
          <w:bCs w:val="1"/>
          <w:i w:val="1"/>
          <w:iCs w:val="1"/>
          <w:color w:val="auto"/>
        </w:rPr>
        <w:t>Section 423 Component</w:t>
      </w:r>
      <w:r>
        <w:rPr>
          <w:rFonts w:ascii="Arial" w:cs="Arial" w:eastAsia="Arial" w:hAnsi="Arial"/>
          <w:sz w:val="18"/>
          <w:szCs w:val="18"/>
          <w:color w:val="auto"/>
        </w:rPr>
        <w:t>”), and (b) a non-Section 423 plan which is not intended to meet the requirements under Section 423 of the Code (the “</w:t>
      </w:r>
      <w:r>
        <w:rPr>
          <w:rFonts w:ascii="Arial" w:cs="Arial" w:eastAsia="Arial" w:hAnsi="Arial"/>
          <w:sz w:val="18"/>
          <w:szCs w:val="18"/>
          <w:b w:val="1"/>
          <w:bCs w:val="1"/>
          <w:i w:val="1"/>
          <w:iCs w:val="1"/>
          <w:color w:val="auto"/>
        </w:rPr>
        <w:t>Non-Section 423 Component</w:t>
      </w:r>
      <w:r>
        <w:rPr>
          <w:rFonts w:ascii="Arial" w:cs="Arial" w:eastAsia="Arial" w:hAnsi="Arial"/>
          <w:sz w:val="18"/>
          <w:szCs w:val="18"/>
          <w:color w:val="auto"/>
        </w:rPr>
        <w:t>”).</w:t>
      </w:r>
    </w:p>
    <w:p>
      <w:pPr>
        <w:spacing w:after="0" w:line="171" w:lineRule="exact"/>
        <w:rPr>
          <w:sz w:val="20"/>
          <w:szCs w:val="20"/>
          <w:color w:val="auto"/>
        </w:rPr>
      </w:pPr>
    </w:p>
    <w:p>
      <w:pPr>
        <w:jc w:val="both"/>
        <w:ind w:firstLine="865"/>
        <w:spacing w:after="0" w:line="277" w:lineRule="auto"/>
        <w:rPr>
          <w:sz w:val="20"/>
          <w:szCs w:val="20"/>
          <w:color w:val="auto"/>
        </w:rPr>
      </w:pPr>
      <w:r>
        <w:rPr>
          <w:rFonts w:ascii="Arial" w:cs="Arial" w:eastAsia="Arial" w:hAnsi="Arial"/>
          <w:sz w:val="17"/>
          <w:szCs w:val="17"/>
          <w:color w:val="auto"/>
        </w:rPr>
        <w:t>With the exception of the “special offering period” for eligible employees of BlackHorse Solutions, Inc. and its eligible subsidiaries, as described below under the section titled “Special Offering Period for Eligible Employees of BlackHorse Solutions, Inc. and its Subsidiaries,” the Plan authorizes the granting of options to eligible employees during six month offering periods commencing on January 1 and July 1 of each year that the Plan is in existence. The first trading day of each offering period is the date on which options will be granted, referred to as the grant date, and the last trading day of each offering period is the date on which options will be exercised, referred to as the exercise date.</w:t>
      </w:r>
    </w:p>
    <w:p>
      <w:pPr>
        <w:spacing w:after="0" w:line="165"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9"/>
          <w:szCs w:val="19"/>
          <w:color w:val="auto"/>
        </w:rPr>
        <w:t>The Employee Retirement Income Security Act of 1974 does not govern the Plan. In addition, the Plan does not qualify under Section 401(a) of the Code.</w:t>
      </w:r>
    </w:p>
    <w:p>
      <w:pPr>
        <w:spacing w:after="0" w:line="65" w:lineRule="exact"/>
        <w:rPr>
          <w:sz w:val="20"/>
          <w:szCs w:val="20"/>
          <w:color w:val="auto"/>
        </w:rPr>
      </w:pPr>
    </w:p>
    <w:p>
      <w:pPr>
        <w:jc w:val="both"/>
        <w:ind w:firstLine="865"/>
        <w:spacing w:after="0" w:line="243" w:lineRule="auto"/>
        <w:rPr>
          <w:sz w:val="20"/>
          <w:szCs w:val="20"/>
          <w:color w:val="auto"/>
        </w:rPr>
      </w:pPr>
      <w:r>
        <w:rPr>
          <w:rFonts w:ascii="Arial" w:cs="Arial" w:eastAsia="Arial" w:hAnsi="Arial"/>
          <w:sz w:val="19"/>
          <w:szCs w:val="19"/>
          <w:color w:val="auto"/>
        </w:rPr>
        <w:t>Because this is a summary, it does not contain all the information that may be important to you. To the extent any provision of this summary is inconsistent with the terms of the Plan, the Plan will prevail. You may obtain a copy of the Plan and additional information about the Plan, without charge, by written or oral request to us: Secretary, Parsons Corporation, 5875 Trinity Parkway #300, Centreville, VA 20120; Tel: (703) 988-8500.</w:t>
      </w:r>
    </w:p>
    <w:p>
      <w:pPr>
        <w:spacing w:after="0" w:line="2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Administration of the Plan</w:t>
      </w:r>
    </w:p>
    <w:p>
      <w:pPr>
        <w:spacing w:after="0" w:line="217" w:lineRule="exact"/>
        <w:rPr>
          <w:sz w:val="20"/>
          <w:szCs w:val="20"/>
          <w:color w:val="auto"/>
        </w:rPr>
      </w:pPr>
    </w:p>
    <w:p>
      <w:pPr>
        <w:jc w:val="both"/>
        <w:ind w:firstLine="865"/>
        <w:spacing w:after="0" w:line="255" w:lineRule="auto"/>
        <w:rPr>
          <w:sz w:val="20"/>
          <w:szCs w:val="20"/>
          <w:color w:val="auto"/>
        </w:rPr>
      </w:pPr>
      <w:r>
        <w:rPr>
          <w:rFonts w:ascii="Arial" w:cs="Arial" w:eastAsia="Arial" w:hAnsi="Arial"/>
          <w:sz w:val="18"/>
          <w:szCs w:val="18"/>
          <w:color w:val="auto"/>
        </w:rPr>
        <w:t>The Plan will be administered by the Compensation Committee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of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Subject to the provisions of the Plan, the plan administrator determines the terms and conditions of the offerings under the Plan; provided, however, that all participants granted purchase rights in an offering which are intended to comply with Section 423 of the Code will have the same rights and privileges within the meaning of Section 423 of the Code. For purposes of the Plan, the plan administrator may designate separate offerings under the Plan, the terms of which need not be identical, in which eligible employees of one or more participating companies will participate, even if the dates of the applicable offering periods in each such offering are identical, provided that the terms of participation are the same within each separate offering as determined under Section 423 of the Code.</w:t>
      </w:r>
    </w:p>
    <w:p>
      <w:pPr>
        <w:spacing w:after="0" w:line="185" w:lineRule="exact"/>
        <w:rPr>
          <w:sz w:val="20"/>
          <w:szCs w:val="20"/>
          <w:color w:val="auto"/>
        </w:rPr>
      </w:pPr>
    </w:p>
    <w:p>
      <w:pPr>
        <w:jc w:val="both"/>
        <w:ind w:firstLine="865"/>
        <w:spacing w:after="0" w:line="261" w:lineRule="auto"/>
        <w:rPr>
          <w:sz w:val="20"/>
          <w:szCs w:val="20"/>
          <w:color w:val="auto"/>
        </w:rPr>
      </w:pPr>
      <w:r>
        <w:rPr>
          <w:rFonts w:ascii="Arial" w:cs="Arial" w:eastAsia="Arial" w:hAnsi="Arial"/>
          <w:sz w:val="18"/>
          <w:szCs w:val="18"/>
          <w:color w:val="auto"/>
        </w:rPr>
        <w:t>The Committee may adopt sub-plans, appendices, rules and procedures relating to the operation and administration of the Plan to facilitate participation in the Plan by employees who are foreign nationals or employed outside the U.S. To the extent any sub-plan is inconsistent with the requirements of Section 423 of the Code or is so designated by the Committee it will be considered part of the Non-Section 423 Component. The provisions of the Plan will govern any sub-plan unless superseded by the terms of such sub-plan.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US-DOCS\126472695.1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49530</wp:posOffset>
            </wp:positionV>
            <wp:extent cx="7182485" cy="412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65" w:name="page166"/>
    <w:bookmarkEnd w:id="165"/>
    <w:p>
      <w:pPr>
        <w:spacing w:after="0"/>
        <w:rPr>
          <w:sz w:val="20"/>
          <w:szCs w:val="20"/>
          <w:color w:val="auto"/>
        </w:rPr>
      </w:pPr>
      <w:r>
        <w:rPr>
          <w:rFonts w:ascii="Arial" w:cs="Arial" w:eastAsia="Arial" w:hAnsi="Arial"/>
          <w:sz w:val="19"/>
          <w:szCs w:val="19"/>
          <w:b w:val="1"/>
          <w:bCs w:val="1"/>
          <w:color w:val="auto"/>
        </w:rPr>
        <w:t>Shares Covered by the Plan</w:t>
      </w:r>
    </w:p>
    <w:p>
      <w:pPr>
        <w:spacing w:after="0" w:line="217" w:lineRule="exact"/>
        <w:rPr>
          <w:sz w:val="20"/>
          <w:szCs w:val="20"/>
          <w:color w:val="auto"/>
        </w:rPr>
      </w:pPr>
    </w:p>
    <w:p>
      <w:pPr>
        <w:jc w:val="both"/>
        <w:ind w:firstLine="865"/>
        <w:spacing w:after="0" w:line="330" w:lineRule="auto"/>
        <w:rPr>
          <w:sz w:val="20"/>
          <w:szCs w:val="20"/>
          <w:color w:val="auto"/>
        </w:rPr>
      </w:pPr>
      <w:r>
        <w:rPr>
          <w:rFonts w:ascii="Arial" w:cs="Arial" w:eastAsia="Arial" w:hAnsi="Arial"/>
          <w:sz w:val="15"/>
          <w:szCs w:val="15"/>
          <w:color w:val="auto"/>
        </w:rPr>
        <w:t>The Plan provides that an aggregate of 2,000,000 shares of Common Stock may be issued. The Committee may make appropriate adjustments to the aggregate number of shares of Common Stock subject to the Plan, the number of shares of Common Stock subject to outstanding options and the price per share of the outstanding options if there is any recapitalization, stock dividend, stock split or certain other similar changes in the Common Stock. Shares issued under the Plan may be unissued shares or treasury shares or shares bought on the market for purposes of the Plan.</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Offerings Under the Plan</w:t>
      </w:r>
    </w:p>
    <w:p>
      <w:pPr>
        <w:spacing w:after="0" w:line="217" w:lineRule="exact"/>
        <w:rPr>
          <w:sz w:val="20"/>
          <w:szCs w:val="20"/>
          <w:color w:val="auto"/>
        </w:rPr>
      </w:pPr>
    </w:p>
    <w:p>
      <w:pPr>
        <w:jc w:val="both"/>
        <w:ind w:firstLine="865"/>
        <w:spacing w:after="0" w:line="290" w:lineRule="auto"/>
        <w:rPr>
          <w:sz w:val="20"/>
          <w:szCs w:val="20"/>
          <w:color w:val="auto"/>
        </w:rPr>
      </w:pPr>
      <w:r>
        <w:rPr>
          <w:rFonts w:ascii="Arial" w:cs="Arial" w:eastAsia="Arial" w:hAnsi="Arial"/>
          <w:sz w:val="17"/>
          <w:szCs w:val="17"/>
          <w:color w:val="auto"/>
        </w:rPr>
        <w:t>The Committee may designate separate offerings under the Plan, the terms of which need not be identical (except as otherwise required by Section 423 of the Code), in which eligible employees of one or more participating companies will participate, even if the dates of the applicable offering period(s) in each such offering are identical, provided that the terms of participation are the same within each separate offering.</w:t>
      </w:r>
    </w:p>
    <w:p>
      <w:pPr>
        <w:spacing w:after="0" w:line="153" w:lineRule="exact"/>
        <w:rPr>
          <w:sz w:val="20"/>
          <w:szCs w:val="20"/>
          <w:color w:val="auto"/>
        </w:rPr>
      </w:pPr>
    </w:p>
    <w:p>
      <w:pPr>
        <w:jc w:val="both"/>
        <w:ind w:firstLine="865"/>
        <w:spacing w:after="0" w:line="247" w:lineRule="auto"/>
        <w:rPr>
          <w:sz w:val="20"/>
          <w:szCs w:val="20"/>
          <w:color w:val="auto"/>
        </w:rPr>
      </w:pPr>
      <w:r>
        <w:rPr>
          <w:rFonts w:ascii="Arial" w:cs="Arial" w:eastAsia="Arial" w:hAnsi="Arial"/>
          <w:sz w:val="19"/>
          <w:szCs w:val="19"/>
          <w:color w:val="auto"/>
        </w:rPr>
        <w:t>Rights to purchase shares granted under the Non-423 Component will be granted pursuant to separate offerings containing such sub-plans, appendices, rules or procedures as may be adopted by the Compensation Committee and designed to achieve tax, securities law or other objectives for eligible employees and participating companies located outside of the U.S.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Eligibility</w:t>
      </w:r>
    </w:p>
    <w:p>
      <w:pPr>
        <w:spacing w:after="0" w:line="217" w:lineRule="exact"/>
        <w:rPr>
          <w:sz w:val="20"/>
          <w:szCs w:val="20"/>
          <w:color w:val="auto"/>
        </w:rPr>
      </w:pPr>
    </w:p>
    <w:p>
      <w:pPr>
        <w:jc w:val="both"/>
        <w:ind w:firstLine="865"/>
        <w:spacing w:after="0" w:line="247" w:lineRule="auto"/>
        <w:rPr>
          <w:sz w:val="20"/>
          <w:szCs w:val="20"/>
          <w:color w:val="auto"/>
        </w:rPr>
      </w:pPr>
      <w:r>
        <w:rPr>
          <w:rFonts w:ascii="Arial" w:cs="Arial" w:eastAsia="Arial" w:hAnsi="Arial"/>
          <w:sz w:val="19"/>
          <w:szCs w:val="19"/>
          <w:color w:val="auto"/>
        </w:rPr>
        <w:t>Each of our employees and the employees of those of our subsidiary corporations or affiliates that have been designated by the Board as “participating companies” under the Plan may be eligible to participate in the Plan. To be eligible, such an employee must be employed on the first day of an offering period.</w:t>
      </w:r>
    </w:p>
    <w:p>
      <w:pPr>
        <w:spacing w:after="0" w:line="188"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The Committee may exclude from participation in the Plan or any offering:</w:t>
      </w:r>
    </w:p>
    <w:p>
      <w:pPr>
        <w:spacing w:after="0" w:line="213" w:lineRule="exact"/>
        <w:rPr>
          <w:sz w:val="20"/>
          <w:szCs w:val="20"/>
          <w:color w:val="auto"/>
        </w:rPr>
      </w:pPr>
    </w:p>
    <w:p>
      <w:pPr>
        <w:jc w:val="both"/>
        <w:ind w:left="1720" w:hanging="856"/>
        <w:spacing w:after="0" w:line="247" w:lineRule="auto"/>
        <w:tabs>
          <w:tab w:leader="none" w:pos="1720" w:val="left"/>
        </w:tabs>
        <w:numPr>
          <w:ilvl w:val="0"/>
          <w:numId w:val="92"/>
        </w:numPr>
        <w:rPr>
          <w:rFonts w:ascii="Arial" w:cs="Arial" w:eastAsia="Arial" w:hAnsi="Arial"/>
          <w:sz w:val="19"/>
          <w:szCs w:val="19"/>
          <w:color w:val="auto"/>
        </w:rPr>
      </w:pPr>
      <w:r>
        <w:rPr>
          <w:rFonts w:ascii="Arial" w:cs="Arial" w:eastAsia="Arial" w:hAnsi="Arial"/>
          <w:sz w:val="19"/>
          <w:szCs w:val="19"/>
          <w:color w:val="auto"/>
        </w:rPr>
        <w:t>any “highly compensated employee” of Parsons or any participating company (within the meaning of Section 414(q) of the Code), or any such highly compensated employee with compensation above a specified level, who is an officer and/or who is subject to the disclosure requirements of Section 16(a) of the Exchange Act,</w:t>
      </w:r>
    </w:p>
    <w:p>
      <w:pPr>
        <w:spacing w:after="0" w:line="187" w:lineRule="exact"/>
        <w:rPr>
          <w:rFonts w:ascii="Arial" w:cs="Arial" w:eastAsia="Arial" w:hAnsi="Arial"/>
          <w:sz w:val="19"/>
          <w:szCs w:val="19"/>
          <w:color w:val="auto"/>
        </w:rPr>
      </w:pPr>
    </w:p>
    <w:p>
      <w:pPr>
        <w:ind w:left="1720" w:hanging="856"/>
        <w:spacing w:after="0" w:line="257" w:lineRule="auto"/>
        <w:tabs>
          <w:tab w:leader="none" w:pos="1720" w:val="left"/>
        </w:tabs>
        <w:numPr>
          <w:ilvl w:val="0"/>
          <w:numId w:val="92"/>
        </w:numPr>
        <w:rPr>
          <w:rFonts w:ascii="Arial" w:cs="Arial" w:eastAsia="Arial" w:hAnsi="Arial"/>
          <w:sz w:val="19"/>
          <w:szCs w:val="19"/>
          <w:color w:val="auto"/>
        </w:rPr>
      </w:pPr>
      <w:r>
        <w:rPr>
          <w:rFonts w:ascii="Arial" w:cs="Arial" w:eastAsia="Arial" w:hAnsi="Arial"/>
          <w:sz w:val="19"/>
          <w:szCs w:val="19"/>
          <w:color w:val="auto"/>
        </w:rPr>
        <w:t>any employee that has not met a service requirement designated by the Committee pursuant to Section 423(b)(4)(A) of the Code (which service requirement may not exceed two years),</w:t>
      </w:r>
    </w:p>
    <w:p>
      <w:pPr>
        <w:spacing w:after="0" w:line="178" w:lineRule="exact"/>
        <w:rPr>
          <w:rFonts w:ascii="Arial" w:cs="Arial" w:eastAsia="Arial" w:hAnsi="Arial"/>
          <w:sz w:val="19"/>
          <w:szCs w:val="19"/>
          <w:color w:val="auto"/>
        </w:rPr>
      </w:pPr>
    </w:p>
    <w:p>
      <w:pPr>
        <w:jc w:val="both"/>
        <w:ind w:left="1720" w:hanging="856"/>
        <w:spacing w:after="0" w:line="247" w:lineRule="auto"/>
        <w:tabs>
          <w:tab w:leader="none" w:pos="1720" w:val="left"/>
        </w:tabs>
        <w:numPr>
          <w:ilvl w:val="0"/>
          <w:numId w:val="92"/>
        </w:numPr>
        <w:rPr>
          <w:rFonts w:ascii="Arial" w:cs="Arial" w:eastAsia="Arial" w:hAnsi="Arial"/>
          <w:sz w:val="19"/>
          <w:szCs w:val="19"/>
          <w:color w:val="auto"/>
        </w:rPr>
      </w:pPr>
      <w:r>
        <w:rPr>
          <w:rFonts w:ascii="Arial" w:cs="Arial" w:eastAsia="Arial" w:hAnsi="Arial"/>
          <w:sz w:val="19"/>
          <w:szCs w:val="19"/>
          <w:color w:val="auto"/>
        </w:rPr>
        <w:t>any employee whose customary employment with the Company or any participating company is twenty hours or less per week and/or not more than five months per calendar year (or any lesser number of hours per week or months per calendar year designated by the Committee), and/or</w:t>
      </w:r>
    </w:p>
    <w:p>
      <w:pPr>
        <w:spacing w:after="0" w:line="187" w:lineRule="exact"/>
        <w:rPr>
          <w:rFonts w:ascii="Arial" w:cs="Arial" w:eastAsia="Arial" w:hAnsi="Arial"/>
          <w:sz w:val="19"/>
          <w:szCs w:val="19"/>
          <w:color w:val="auto"/>
        </w:rPr>
      </w:pPr>
    </w:p>
    <w:p>
      <w:pPr>
        <w:jc w:val="both"/>
        <w:ind w:left="1720" w:hanging="856"/>
        <w:spacing w:after="0"/>
        <w:tabs>
          <w:tab w:leader="none" w:pos="1720" w:val="left"/>
        </w:tabs>
        <w:numPr>
          <w:ilvl w:val="0"/>
          <w:numId w:val="92"/>
        </w:numPr>
        <w:rPr>
          <w:rFonts w:ascii="Arial" w:cs="Arial" w:eastAsia="Arial" w:hAnsi="Arial"/>
          <w:sz w:val="19"/>
          <w:szCs w:val="19"/>
          <w:color w:val="auto"/>
        </w:rPr>
      </w:pPr>
      <w:r>
        <w:rPr>
          <w:rFonts w:ascii="Arial" w:cs="Arial" w:eastAsia="Arial" w:hAnsi="Arial"/>
          <w:sz w:val="19"/>
          <w:szCs w:val="19"/>
          <w:color w:val="auto"/>
        </w:rPr>
        <w:t>any employee of a participating company who is a citizen or resident of a foreign jurisdiction if the grant of an option under the Plan to such employee would be prohibited under the laws of such foreign jurisdiction or the grant of an option to such employee in compliance with the laws of such foreign jurisdiction would cause the Section 423 Component of the Plan, any offering or the option granted to such employee under the Plan to violate the requirements of Section 423 of the Code, as determined by the Committee in its sole discretion (provided that any such exclusion be applied in an identical manner to all employees in each offering).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US-DOCS\126472695.1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49530</wp:posOffset>
            </wp:positionV>
            <wp:extent cx="7182485" cy="412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4">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66" w:name="page167"/>
    <w:bookmarkEnd w:id="166"/>
    <w:p>
      <w:pPr>
        <w:ind w:left="860"/>
        <w:spacing w:after="0"/>
        <w:rPr>
          <w:sz w:val="20"/>
          <w:szCs w:val="20"/>
          <w:color w:val="auto"/>
        </w:rPr>
      </w:pPr>
      <w:r>
        <w:rPr>
          <w:rFonts w:ascii="Arial" w:cs="Arial" w:eastAsia="Arial" w:hAnsi="Arial"/>
          <w:sz w:val="17"/>
          <w:szCs w:val="17"/>
          <w:color w:val="auto"/>
        </w:rPr>
        <w:t>The Committee has approved the following eligibility requirements, in addition to the other eligibility requirements set forth in the Plan:</w:t>
      </w:r>
    </w:p>
    <w:p>
      <w:pPr>
        <w:spacing w:after="0" w:line="236" w:lineRule="exact"/>
        <w:rPr>
          <w:sz w:val="20"/>
          <w:szCs w:val="20"/>
          <w:color w:val="auto"/>
        </w:rPr>
      </w:pPr>
    </w:p>
    <w:p>
      <w:pPr>
        <w:ind w:left="1720" w:hanging="856"/>
        <w:spacing w:after="0" w:line="257" w:lineRule="auto"/>
        <w:tabs>
          <w:tab w:leader="none" w:pos="1720" w:val="left"/>
        </w:tabs>
        <w:numPr>
          <w:ilvl w:val="0"/>
          <w:numId w:val="93"/>
        </w:numPr>
        <w:rPr>
          <w:rFonts w:ascii="Arial" w:cs="Arial" w:eastAsia="Arial" w:hAnsi="Arial"/>
          <w:sz w:val="19"/>
          <w:szCs w:val="19"/>
          <w:color w:val="auto"/>
        </w:rPr>
      </w:pPr>
      <w:r>
        <w:rPr>
          <w:rFonts w:ascii="Arial" w:cs="Arial" w:eastAsia="Arial" w:hAnsi="Arial"/>
          <w:sz w:val="19"/>
          <w:szCs w:val="19"/>
          <w:color w:val="auto"/>
        </w:rPr>
        <w:t>an employee will not be eligible to participate in an offering period unless such employee has been an employee of the Company or any participating company for at least five months prior to the first day of such offering period,</w:t>
      </w:r>
    </w:p>
    <w:p>
      <w:pPr>
        <w:spacing w:after="0" w:line="178" w:lineRule="exact"/>
        <w:rPr>
          <w:rFonts w:ascii="Arial" w:cs="Arial" w:eastAsia="Arial" w:hAnsi="Arial"/>
          <w:sz w:val="19"/>
          <w:szCs w:val="19"/>
          <w:color w:val="auto"/>
        </w:rPr>
      </w:pPr>
    </w:p>
    <w:p>
      <w:pPr>
        <w:ind w:left="1720" w:hanging="856"/>
        <w:spacing w:after="0" w:line="257" w:lineRule="auto"/>
        <w:tabs>
          <w:tab w:leader="none" w:pos="1720" w:val="left"/>
        </w:tabs>
        <w:numPr>
          <w:ilvl w:val="0"/>
          <w:numId w:val="93"/>
        </w:numPr>
        <w:rPr>
          <w:rFonts w:ascii="Arial" w:cs="Arial" w:eastAsia="Arial" w:hAnsi="Arial"/>
          <w:sz w:val="19"/>
          <w:szCs w:val="19"/>
          <w:color w:val="auto"/>
        </w:rPr>
      </w:pPr>
      <w:r>
        <w:rPr>
          <w:rFonts w:ascii="Arial" w:cs="Arial" w:eastAsia="Arial" w:hAnsi="Arial"/>
          <w:sz w:val="19"/>
          <w:szCs w:val="19"/>
          <w:color w:val="auto"/>
        </w:rPr>
        <w:t>any employee whose customary employment with the Company or any participating company is less than 17.5 hours per week will not be eligible to participate in the Plan, and</w:t>
      </w:r>
    </w:p>
    <w:p>
      <w:pPr>
        <w:spacing w:after="0" w:line="178" w:lineRule="exact"/>
        <w:rPr>
          <w:rFonts w:ascii="Arial" w:cs="Arial" w:eastAsia="Arial" w:hAnsi="Arial"/>
          <w:sz w:val="19"/>
          <w:szCs w:val="19"/>
          <w:color w:val="auto"/>
        </w:rPr>
      </w:pPr>
    </w:p>
    <w:p>
      <w:pPr>
        <w:ind w:left="1720" w:hanging="856"/>
        <w:spacing w:after="0" w:line="257" w:lineRule="auto"/>
        <w:tabs>
          <w:tab w:leader="none" w:pos="1720" w:val="left"/>
        </w:tabs>
        <w:numPr>
          <w:ilvl w:val="0"/>
          <w:numId w:val="93"/>
        </w:numPr>
        <w:rPr>
          <w:rFonts w:ascii="Arial" w:cs="Arial" w:eastAsia="Arial" w:hAnsi="Arial"/>
          <w:sz w:val="19"/>
          <w:szCs w:val="19"/>
          <w:color w:val="auto"/>
        </w:rPr>
      </w:pPr>
      <w:r>
        <w:rPr>
          <w:rFonts w:ascii="Arial" w:cs="Arial" w:eastAsia="Arial" w:hAnsi="Arial"/>
          <w:sz w:val="19"/>
          <w:szCs w:val="19"/>
          <w:color w:val="auto"/>
        </w:rPr>
        <w:t>any employee whose customary employment with the Company or any participating company is for less than five months per calendar year will not be eligible to participate in the Plan.</w:t>
      </w:r>
    </w:p>
    <w:p>
      <w:pPr>
        <w:spacing w:after="0" w:line="179" w:lineRule="exact"/>
        <w:rPr>
          <w:sz w:val="20"/>
          <w:szCs w:val="20"/>
          <w:color w:val="auto"/>
        </w:rPr>
      </w:pPr>
    </w:p>
    <w:p>
      <w:pPr>
        <w:jc w:val="both"/>
        <w:ind w:firstLine="865"/>
        <w:spacing w:after="0" w:line="255" w:lineRule="auto"/>
        <w:rPr>
          <w:sz w:val="20"/>
          <w:szCs w:val="20"/>
          <w:color w:val="auto"/>
        </w:rPr>
      </w:pPr>
      <w:r>
        <w:rPr>
          <w:rFonts w:ascii="Arial" w:cs="Arial" w:eastAsia="Arial" w:hAnsi="Arial"/>
          <w:sz w:val="18"/>
          <w:szCs w:val="18"/>
          <w:color w:val="auto"/>
        </w:rPr>
        <w:t>No option may be granted under the Plan to an employee who immediately after the granting of the option would own stock (including stock which the individual may purchase under outstanding options) possessing more than 5% of the total voting power or value of all classes of our stock or any parent or subsidiary corporation. In addition, no employee may be granted an option which would permit his or her rights to purchase stock under all of Parsons’s, or any parent or subsidiary corporations, employee stock purchase plans, to accrue at a rate which exceeds $25,000 of the fair market value of the stock for each calendar year in which the option is outstanding, as determined under the Code. If by reason of this limitation any portion of the balance in a participant’s account is not applied to the purchase of stock on an exercise date, we will pay such amount to the participant in cash as soon as reasonably practicable following such exercise date.</w:t>
      </w:r>
    </w:p>
    <w:p>
      <w:pPr>
        <w:spacing w:after="0" w:line="185" w:lineRule="exact"/>
        <w:rPr>
          <w:sz w:val="20"/>
          <w:szCs w:val="20"/>
          <w:color w:val="auto"/>
        </w:rPr>
      </w:pPr>
    </w:p>
    <w:p>
      <w:pPr>
        <w:jc w:val="both"/>
        <w:ind w:firstLine="865"/>
        <w:spacing w:after="0" w:line="247" w:lineRule="auto"/>
        <w:rPr>
          <w:sz w:val="20"/>
          <w:szCs w:val="20"/>
          <w:color w:val="auto"/>
        </w:rPr>
      </w:pPr>
      <w:r>
        <w:rPr>
          <w:rFonts w:ascii="Arial" w:cs="Arial" w:eastAsia="Arial" w:hAnsi="Arial"/>
          <w:sz w:val="19"/>
          <w:szCs w:val="19"/>
          <w:color w:val="auto"/>
        </w:rPr>
        <w:t>The foregoing eligibility rules will apply in determining who is an eligible employee with respect to the Non-Section 423 Component, subject to applicable local laws and the right of the Committee to further limit eligibility within a participating company so as to only designate some employees of that participating company as eligible to participate in the Plan.</w:t>
      </w:r>
    </w:p>
    <w:p>
      <w:pPr>
        <w:spacing w:after="0" w:line="188" w:lineRule="exact"/>
        <w:rPr>
          <w:sz w:val="20"/>
          <w:szCs w:val="20"/>
          <w:color w:val="auto"/>
        </w:rPr>
      </w:pPr>
    </w:p>
    <w:p>
      <w:pPr>
        <w:jc w:val="both"/>
        <w:ind w:firstLine="865"/>
        <w:spacing w:after="0" w:line="243" w:lineRule="auto"/>
        <w:rPr>
          <w:sz w:val="20"/>
          <w:szCs w:val="20"/>
          <w:color w:val="auto"/>
        </w:rPr>
      </w:pPr>
      <w:r>
        <w:rPr>
          <w:rFonts w:ascii="Arial" w:cs="Arial" w:eastAsia="Arial" w:hAnsi="Arial"/>
          <w:sz w:val="19"/>
          <w:szCs w:val="19"/>
          <w:color w:val="auto"/>
        </w:rPr>
        <w:t>If you are employed by a participating company, you will be eligible to participate in the Section 423 Component or the Non-Section 423 Component in accordance with the designation of your employer as either a Section-423 Component participating company or Non-Section 423 Component participating company. Employees in certain jurisdictions having unfavorable laws regarding stock purchase plans may be excluded from participating in the Plan.</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Election to Participate; Grant of Options; Payroll Deductions</w:t>
      </w:r>
    </w:p>
    <w:p>
      <w:pPr>
        <w:spacing w:after="0" w:line="217" w:lineRule="exact"/>
        <w:rPr>
          <w:sz w:val="20"/>
          <w:szCs w:val="20"/>
          <w:color w:val="auto"/>
        </w:rPr>
      </w:pPr>
    </w:p>
    <w:p>
      <w:pPr>
        <w:jc w:val="both"/>
        <w:ind w:firstLine="865"/>
        <w:spacing w:after="0" w:line="241" w:lineRule="auto"/>
        <w:rPr>
          <w:sz w:val="20"/>
          <w:szCs w:val="20"/>
          <w:color w:val="auto"/>
        </w:rPr>
      </w:pPr>
      <w:r>
        <w:rPr>
          <w:rFonts w:ascii="Arial" w:cs="Arial" w:eastAsia="Arial" w:hAnsi="Arial"/>
          <w:sz w:val="19"/>
          <w:szCs w:val="19"/>
          <w:color w:val="auto"/>
        </w:rPr>
        <w:t>You may participate in the Plan by means of payroll deductions. To start the appropriate deductions, you must submit a completed and executed payroll deduction authorization to us before any date of an option grant (or such shorter or longer period as may be determined by the Co Committee). Once you indicate your interest in participating in the Plan, we reduce your eligible cash compensation through payroll deductions in an amount not to exceed 10% of your “eligible compensation” and not to be less than 1% of your eligible compensation (or $10.00 if a specified dollar amount is selected), as elected by you.</w:t>
      </w:r>
    </w:p>
    <w:p>
      <w:pPr>
        <w:spacing w:after="0" w:line="196" w:lineRule="exact"/>
        <w:rPr>
          <w:sz w:val="20"/>
          <w:szCs w:val="20"/>
          <w:color w:val="auto"/>
        </w:rPr>
      </w:pPr>
    </w:p>
    <w:p>
      <w:pPr>
        <w:jc w:val="both"/>
        <w:ind w:firstLine="865"/>
        <w:spacing w:after="0" w:line="290" w:lineRule="auto"/>
        <w:rPr>
          <w:sz w:val="20"/>
          <w:szCs w:val="20"/>
          <w:color w:val="auto"/>
        </w:rPr>
      </w:pPr>
      <w:r>
        <w:rPr>
          <w:rFonts w:ascii="Arial" w:cs="Arial" w:eastAsia="Arial" w:hAnsi="Arial"/>
          <w:sz w:val="17"/>
          <w:szCs w:val="17"/>
          <w:color w:val="auto"/>
        </w:rPr>
        <w:t>You may decrease or suspend, but not increase, the rate of your payroll deductions once during an offering period. The change in rate shall be effective with the first full payroll period following our receipt of the new payroll deduction authorization. You may increase the rate of your payroll deductions for any future offering period by submitting a new payroll deduction authorization within the time frame specified by the Company.</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US-DOCS\126472695.1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49530</wp:posOffset>
            </wp:positionV>
            <wp:extent cx="7182485" cy="412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67" w:name="page168"/>
    <w:bookmarkEnd w:id="167"/>
    <w:p>
      <w:pPr>
        <w:jc w:val="both"/>
        <w:ind w:firstLine="865"/>
        <w:spacing w:after="0" w:line="261" w:lineRule="auto"/>
        <w:rPr>
          <w:sz w:val="20"/>
          <w:szCs w:val="20"/>
          <w:color w:val="auto"/>
        </w:rPr>
      </w:pPr>
      <w:r>
        <w:rPr>
          <w:rFonts w:ascii="Arial" w:cs="Arial" w:eastAsia="Arial" w:hAnsi="Arial"/>
          <w:sz w:val="18"/>
          <w:szCs w:val="18"/>
          <w:color w:val="auto"/>
        </w:rPr>
        <w:t>The amounts withheld are credited to your account under the Plan, with payroll deductions being contributed to us upon the exercise your option. The Committee retains the discretion to adjust the minimum and maximum payroll deduction limitations, to establish rules for the determination of the exchange ratio applicable to amounts withheld in a currency other than U.S. dollars and to determine the date and manner by which the fair market value of the Common Stock is determined for purposes of administration of the Plan.</w:t>
      </w:r>
    </w:p>
    <w:p>
      <w:pPr>
        <w:spacing w:after="0" w:line="177" w:lineRule="exact"/>
        <w:rPr>
          <w:sz w:val="20"/>
          <w:szCs w:val="20"/>
          <w:color w:val="auto"/>
        </w:rPr>
      </w:pPr>
    </w:p>
    <w:p>
      <w:pPr>
        <w:jc w:val="both"/>
        <w:ind w:firstLine="865"/>
        <w:spacing w:after="0" w:line="285" w:lineRule="auto"/>
        <w:rPr>
          <w:sz w:val="20"/>
          <w:szCs w:val="20"/>
          <w:color w:val="auto"/>
        </w:rPr>
      </w:pPr>
      <w:r>
        <w:rPr>
          <w:rFonts w:ascii="Arial" w:cs="Arial" w:eastAsia="Arial" w:hAnsi="Arial"/>
          <w:sz w:val="18"/>
          <w:szCs w:val="18"/>
          <w:color w:val="auto"/>
        </w:rPr>
        <w:t>In non-U.S. jurisdictions where participation in the Plan through payroll deductions is prohibited, the Committee may provide that an eligible employee may participate through contributions to his or her account under the Plan in a form acceptable to the Committee.</w:t>
      </w:r>
    </w:p>
    <w:p>
      <w:pPr>
        <w:spacing w:after="0" w:line="155" w:lineRule="exact"/>
        <w:rPr>
          <w:sz w:val="20"/>
          <w:szCs w:val="20"/>
          <w:color w:val="auto"/>
        </w:rPr>
      </w:pPr>
    </w:p>
    <w:p>
      <w:pPr>
        <w:jc w:val="both"/>
        <w:ind w:firstLine="865"/>
        <w:spacing w:after="0"/>
        <w:rPr>
          <w:sz w:val="20"/>
          <w:szCs w:val="20"/>
          <w:color w:val="auto"/>
        </w:rPr>
      </w:pPr>
      <w:r>
        <w:rPr>
          <w:rFonts w:ascii="Arial" w:cs="Arial" w:eastAsia="Arial" w:hAnsi="Arial"/>
          <w:sz w:val="19"/>
          <w:szCs w:val="19"/>
          <w:color w:val="auto"/>
        </w:rPr>
        <w:t>For purposes of the Plan, your “eligible compensation” means your base pay, overtime payments and shift differentials, but excluding sales commissions, incentive compensation, bonuses, expense reimbursements, fringe benefits and other special payments, or, for participants in non-U.S. jurisdictions, equivalent amounts as determined by the Committee. The Committee may, in its discretion, establish a different definition of “eligible compensation” on a prospective basis, so long as such determination applies on a uniform and nondiscriminatory basis for each offering. If you are a participant resident in certain countries in the Middle East participating in the Non-Section 423 Component, your “eligible compensation” means your base pay only.</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Exercise of Options</w:t>
      </w:r>
    </w:p>
    <w:p>
      <w:pPr>
        <w:spacing w:after="0" w:line="217" w:lineRule="exact"/>
        <w:rPr>
          <w:sz w:val="20"/>
          <w:szCs w:val="20"/>
          <w:color w:val="auto"/>
        </w:rPr>
      </w:pPr>
    </w:p>
    <w:p>
      <w:pPr>
        <w:jc w:val="both"/>
        <w:ind w:firstLine="865"/>
        <w:spacing w:after="0" w:line="254" w:lineRule="auto"/>
        <w:rPr>
          <w:sz w:val="20"/>
          <w:szCs w:val="20"/>
          <w:color w:val="auto"/>
        </w:rPr>
      </w:pPr>
      <w:r>
        <w:rPr>
          <w:rFonts w:ascii="Arial" w:cs="Arial" w:eastAsia="Arial" w:hAnsi="Arial"/>
          <w:sz w:val="18"/>
          <w:szCs w:val="18"/>
          <w:color w:val="auto"/>
        </w:rPr>
        <w:t>You will automatically be deemed to exercise your option on the last trading day of the applicable six-month offering period at the applicable exercise price. Each option will expire on the last trading day of the applicable six-month offering period immediately after the automatic exercise of the option as outlined above. The maximum number of shares of Common Stock subject to any option cannot exceed 3,000. If by reason of this limitation any portion of the balance in a participant’s account is not applied to the purchase of stock on an exercise date, we will pay such amount to the participant in cash as soon as reasonably practicable following such exercise date, unless otherwise required by local law for participants in non-U.S. jurisdictions. The Committee may further limit the number or value of the shares of stock available for purchase by participants in specified countries or working for specified participating companies, if necessary to avoid securities law filings, achieve tax objectives or to meet other compliance objectives in non-U.S. jurisdictions. Any such limitations must be applied in a manner that complies with Section 423 of the Code to the extent such limitations apply to offerings under the Section 423 Component.</w:t>
      </w:r>
    </w:p>
    <w:p>
      <w:pPr>
        <w:spacing w:after="0" w:line="184" w:lineRule="exact"/>
        <w:rPr>
          <w:sz w:val="20"/>
          <w:szCs w:val="20"/>
          <w:color w:val="auto"/>
        </w:rPr>
      </w:pPr>
    </w:p>
    <w:p>
      <w:pPr>
        <w:jc w:val="both"/>
        <w:ind w:firstLine="865"/>
        <w:spacing w:after="0" w:line="247" w:lineRule="auto"/>
        <w:rPr>
          <w:sz w:val="20"/>
          <w:szCs w:val="20"/>
          <w:color w:val="auto"/>
        </w:rPr>
      </w:pPr>
      <w:r>
        <w:rPr>
          <w:rFonts w:ascii="Arial" w:cs="Arial" w:eastAsia="Arial" w:hAnsi="Arial"/>
          <w:sz w:val="19"/>
          <w:szCs w:val="19"/>
          <w:color w:val="auto"/>
        </w:rPr>
        <w:t>You may not purchase fractional shares upon exercise of an option, and any funds credited to your account remaining after purchases of whole shares of Common Stock upon exercise of an option will remain credited to your account and carried forward for purchase of whole shares of Common Stock pursuant to the exercise of an option, if any, granted to you for the next offering period.</w:t>
      </w:r>
    </w:p>
    <w:p>
      <w:pPr>
        <w:spacing w:after="0" w:line="188" w:lineRule="exact"/>
        <w:rPr>
          <w:sz w:val="20"/>
          <w:szCs w:val="20"/>
          <w:color w:val="auto"/>
        </w:rPr>
      </w:pPr>
    </w:p>
    <w:p>
      <w:pPr>
        <w:jc w:val="both"/>
        <w:ind w:firstLine="865"/>
        <w:spacing w:after="0" w:line="277" w:lineRule="auto"/>
        <w:rPr>
          <w:sz w:val="20"/>
          <w:szCs w:val="20"/>
          <w:color w:val="auto"/>
        </w:rPr>
      </w:pPr>
      <w:r>
        <w:rPr>
          <w:rFonts w:ascii="Arial" w:cs="Arial" w:eastAsia="Arial" w:hAnsi="Arial"/>
          <w:sz w:val="17"/>
          <w:szCs w:val="17"/>
          <w:color w:val="auto"/>
        </w:rPr>
        <w:t>As soon as practicable following the exercise of your option, Parsons will deliver to you the whole shares of Common Stock purchased by you. The shares may be evidenced in such manner as the Committee may determine and may be issued in certificated form or issued pursuant to book-entry procedures. Parsons may permit or require that shares be deposited directly with a broker designated by Parsons or to a designated agent of Parsons. Parsons may utilize electronic or automated methods of share transfer. Parsons may also require that shares be retained with such broker or agent for a designated period of time and/or may establish procedures to permit tracking of dispositions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US-DOCS\126472695.1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49530</wp:posOffset>
            </wp:positionV>
            <wp:extent cx="7182485" cy="412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6">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68" w:name="page169"/>
    <w:bookmarkEnd w:id="168"/>
    <w:p>
      <w:pPr>
        <w:spacing w:after="0"/>
        <w:rPr>
          <w:sz w:val="20"/>
          <w:szCs w:val="20"/>
          <w:color w:val="auto"/>
        </w:rPr>
      </w:pPr>
      <w:r>
        <w:rPr>
          <w:rFonts w:ascii="Arial" w:cs="Arial" w:eastAsia="Arial" w:hAnsi="Arial"/>
          <w:sz w:val="19"/>
          <w:szCs w:val="19"/>
          <w:b w:val="1"/>
          <w:bCs w:val="1"/>
          <w:color w:val="auto"/>
        </w:rPr>
        <w:t>Option Price</w:t>
      </w:r>
    </w:p>
    <w:p>
      <w:pPr>
        <w:spacing w:after="0" w:line="217" w:lineRule="exact"/>
        <w:rPr>
          <w:sz w:val="20"/>
          <w:szCs w:val="20"/>
          <w:color w:val="auto"/>
        </w:rPr>
      </w:pPr>
    </w:p>
    <w:p>
      <w:pPr>
        <w:ind w:left="860"/>
        <w:spacing w:after="0"/>
        <w:rPr>
          <w:sz w:val="20"/>
          <w:szCs w:val="20"/>
          <w:color w:val="auto"/>
        </w:rPr>
      </w:pPr>
      <w:r>
        <w:rPr>
          <w:rFonts w:ascii="Arial" w:cs="Arial" w:eastAsia="Arial" w:hAnsi="Arial"/>
          <w:sz w:val="15"/>
          <w:szCs w:val="15"/>
          <w:color w:val="auto"/>
        </w:rPr>
        <w:t>The per share exercise price of each option will be an amount equal to 95% of the fair market value of a share of Common Stock on the date</w:t>
      </w:r>
    </w:p>
    <w:p>
      <w:pPr>
        <w:spacing w:after="0" w:line="59" w:lineRule="exact"/>
        <w:rPr>
          <w:sz w:val="20"/>
          <w:szCs w:val="20"/>
          <w:color w:val="auto"/>
        </w:rPr>
      </w:pPr>
    </w:p>
    <w:p>
      <w:pPr>
        <w:spacing w:after="0"/>
        <w:rPr>
          <w:sz w:val="20"/>
          <w:szCs w:val="20"/>
          <w:color w:val="auto"/>
        </w:rPr>
      </w:pPr>
      <w:r>
        <w:rPr>
          <w:rFonts w:ascii="Arial" w:cs="Arial" w:eastAsia="Arial" w:hAnsi="Arial"/>
          <w:sz w:val="19"/>
          <w:szCs w:val="19"/>
          <w:color w:val="auto"/>
        </w:rPr>
        <w:t>of exercise.</w:t>
      </w:r>
    </w:p>
    <w:p>
      <w:pPr>
        <w:spacing w:after="0" w:line="197" w:lineRule="exact"/>
        <w:rPr>
          <w:sz w:val="20"/>
          <w:szCs w:val="20"/>
          <w:color w:val="auto"/>
        </w:rPr>
      </w:pPr>
    </w:p>
    <w:p>
      <w:pPr>
        <w:jc w:val="both"/>
        <w:ind w:firstLine="865"/>
        <w:spacing w:after="0" w:line="267" w:lineRule="auto"/>
        <w:rPr>
          <w:sz w:val="20"/>
          <w:szCs w:val="20"/>
          <w:color w:val="auto"/>
        </w:rPr>
      </w:pPr>
      <w:r>
        <w:rPr>
          <w:rFonts w:ascii="Arial" w:cs="Arial" w:eastAsia="Arial" w:hAnsi="Arial"/>
          <w:sz w:val="18"/>
          <w:szCs w:val="18"/>
          <w:color w:val="auto"/>
        </w:rPr>
        <w:t>The Committee may change the exercise price for future offering periods, but the exercise price per share at which shares will be sold in an offering under the Plan will never be less than the lower of (1) 85% of the fair market value of a share of the Company's common stock on the exercise date or (2) 85% of the fair market value of a share of the Company's common stock on the grant date.</w:t>
      </w:r>
    </w:p>
    <w:p>
      <w:pPr>
        <w:spacing w:after="0" w:line="171" w:lineRule="exact"/>
        <w:rPr>
          <w:sz w:val="20"/>
          <w:szCs w:val="20"/>
          <w:color w:val="auto"/>
        </w:rPr>
      </w:pPr>
    </w:p>
    <w:p>
      <w:pPr>
        <w:jc w:val="both"/>
        <w:ind w:firstLine="865"/>
        <w:spacing w:after="0" w:line="247" w:lineRule="auto"/>
        <w:rPr>
          <w:sz w:val="20"/>
          <w:szCs w:val="20"/>
          <w:color w:val="auto"/>
        </w:rPr>
      </w:pPr>
      <w:r>
        <w:rPr>
          <w:rFonts w:ascii="Arial" w:cs="Arial" w:eastAsia="Arial" w:hAnsi="Arial"/>
          <w:sz w:val="19"/>
          <w:szCs w:val="19"/>
          <w:color w:val="auto"/>
        </w:rPr>
        <w:t>For purposes of the Plan, the fair market value of a share of our Common Stock as of a given date will be the closing price of our Common Stock on such date as reported on the New York Stock Exchange or, if shares were not traded on that date, then on the most recent trading day during which a sale occurred.</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Termination of Employment</w:t>
      </w:r>
    </w:p>
    <w:p>
      <w:pPr>
        <w:spacing w:after="0" w:line="217" w:lineRule="exact"/>
        <w:rPr>
          <w:sz w:val="20"/>
          <w:szCs w:val="20"/>
          <w:color w:val="auto"/>
        </w:rPr>
      </w:pPr>
    </w:p>
    <w:p>
      <w:pPr>
        <w:jc w:val="both"/>
        <w:ind w:firstLine="865"/>
        <w:spacing w:after="0" w:line="274" w:lineRule="auto"/>
        <w:rPr>
          <w:sz w:val="20"/>
          <w:szCs w:val="20"/>
          <w:color w:val="auto"/>
        </w:rPr>
      </w:pPr>
      <w:r>
        <w:rPr>
          <w:rFonts w:ascii="Arial" w:cs="Arial" w:eastAsia="Arial" w:hAnsi="Arial"/>
          <w:sz w:val="17"/>
          <w:szCs w:val="17"/>
          <w:color w:val="auto"/>
        </w:rPr>
        <w:t>If your employment terminates by reason other than death, your participation in the Plan will automatically terminate as of the date of termination of employment, as determined in accordance with the Plan document. As soon as reasonably practicable after termination of employment, Parsons will pay you the balance of your account under the Plan. If the employment of a participant terminates by reason of death, the appropriate designated individual under the deceased participant's will or estate may request payment of the balance of the deceased participant's account under the Plan, in which event we will pay the amount, and the deceased participant's interest in the Plan and any option under the Plan will terminate. If we do not receive the notice prior to the end of the applicable offering period, the deceased participant's option will be exercised.</w:t>
      </w:r>
    </w:p>
    <w:p>
      <w:pPr>
        <w:spacing w:after="0" w:line="170" w:lineRule="exact"/>
        <w:rPr>
          <w:sz w:val="20"/>
          <w:szCs w:val="20"/>
          <w:color w:val="auto"/>
        </w:rPr>
      </w:pPr>
    </w:p>
    <w:p>
      <w:pPr>
        <w:jc w:val="both"/>
        <w:ind w:firstLine="865"/>
        <w:spacing w:after="0" w:line="312" w:lineRule="auto"/>
        <w:rPr>
          <w:sz w:val="20"/>
          <w:szCs w:val="20"/>
          <w:color w:val="auto"/>
        </w:rPr>
      </w:pPr>
      <w:r>
        <w:rPr>
          <w:rFonts w:ascii="Arial" w:cs="Arial" w:eastAsia="Arial" w:hAnsi="Arial"/>
          <w:sz w:val="15"/>
          <w:szCs w:val="15"/>
          <w:color w:val="auto"/>
        </w:rPr>
        <w:t>A transfer of employment from one participating company to another will not be treated as a termination of employment under the Plan. If a participant transfers employment from Parsons or any participating company participating in the Section 423 Component to a participating company participating in the Non-Section 423 Component, he or she will immediately cease to participate in the Section 423 Component; however, any contributions for the offering period in which such transfer occurs will be transferred to the Non-Section 423 Component, and the participant will immediately join the then-current offering under the Non-Section 423 Component upon the same terms and conditions in effect for his or her participation in the Section 423 Component, except for modifications otherwise applicable for participants in such offering. A participant who transfers employment from a participating company participating in the Non-Section 423 Component to Parsons or any participating company participating in the Section 423 Component shall remain a participant in the Non-Section 423 Component until the earlier of (a) the end of the current offering period under the Non-Section 423 Component, or (b) the grant date of the first offering period in which he or she is eligible to participate following such transfer.</w:t>
      </w:r>
    </w:p>
    <w:p>
      <w:pPr>
        <w:spacing w:after="0" w:line="3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 Right to Continued Employment</w:t>
      </w:r>
    </w:p>
    <w:p>
      <w:pPr>
        <w:spacing w:after="0" w:line="217" w:lineRule="exact"/>
        <w:rPr>
          <w:sz w:val="20"/>
          <w:szCs w:val="20"/>
          <w:color w:val="auto"/>
        </w:rPr>
      </w:pPr>
    </w:p>
    <w:p>
      <w:pPr>
        <w:jc w:val="both"/>
        <w:ind w:firstLine="865"/>
        <w:spacing w:after="0" w:line="316" w:lineRule="auto"/>
        <w:rPr>
          <w:sz w:val="20"/>
          <w:szCs w:val="20"/>
          <w:color w:val="auto"/>
        </w:rPr>
      </w:pPr>
      <w:r>
        <w:rPr>
          <w:rFonts w:ascii="Arial" w:cs="Arial" w:eastAsia="Arial" w:hAnsi="Arial"/>
          <w:sz w:val="17"/>
          <w:szCs w:val="17"/>
          <w:color w:val="auto"/>
        </w:rPr>
        <w:t>Nothing in the Plan confers upon any participant any right to remain an employee of Parsons or any participating company or interferes with or restricts in any way the rights of Parsons or any participating company to discharge any participant for any reason whatsoever.</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Withdrawal from the Plan</w:t>
      </w:r>
    </w:p>
    <w:p>
      <w:pPr>
        <w:spacing w:after="0" w:line="217" w:lineRule="exact"/>
        <w:rPr>
          <w:sz w:val="20"/>
          <w:szCs w:val="20"/>
          <w:color w:val="auto"/>
        </w:rPr>
      </w:pPr>
    </w:p>
    <w:p>
      <w:pPr>
        <w:jc w:val="both"/>
        <w:ind w:firstLine="865"/>
        <w:spacing w:after="0" w:line="290" w:lineRule="auto"/>
        <w:rPr>
          <w:sz w:val="20"/>
          <w:szCs w:val="20"/>
          <w:color w:val="auto"/>
        </w:rPr>
      </w:pPr>
      <w:r>
        <w:rPr>
          <w:rFonts w:ascii="Arial" w:cs="Arial" w:eastAsia="Arial" w:hAnsi="Arial"/>
          <w:sz w:val="17"/>
          <w:szCs w:val="17"/>
          <w:color w:val="auto"/>
        </w:rPr>
        <w:t>You may withdraw from participation under the Plan at any time by delivering a notice of withdrawal, on a form prepared by Parsons, to Parsons within 10 days prior to the exercise date during the applicable offering period as is specified by the Committee. As soon as reasonably practicable following receipt of a notice of withdrawal, we will pay you the balance of your account under the Plan in one lump sum, without</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US-DOCS\126472695.1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49530</wp:posOffset>
            </wp:positionV>
            <wp:extent cx="7182485" cy="412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7">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69" w:name="page170"/>
    <w:bookmarkEnd w:id="169"/>
    <w:p>
      <w:pPr>
        <w:jc w:val="both"/>
        <w:spacing w:after="0" w:line="247" w:lineRule="auto"/>
        <w:rPr>
          <w:sz w:val="20"/>
          <w:szCs w:val="20"/>
          <w:color w:val="auto"/>
        </w:rPr>
      </w:pPr>
      <w:r>
        <w:rPr>
          <w:rFonts w:ascii="Arial" w:cs="Arial" w:eastAsia="Arial" w:hAnsi="Arial"/>
          <w:sz w:val="19"/>
          <w:szCs w:val="19"/>
          <w:color w:val="auto"/>
        </w:rPr>
        <w:t>interest, unless otherwise required by local law for participants in non-U.S. jurisdictions. If you withdraw from participation under the Plan, you will be eligible to participate in the Plan again as of any subsequent date of option grant by delivering a payroll deduction authorization to Parsons as described above under "Election to Participate; Grant of Options; Payroll Deductions."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Leaves of Absence</w:t>
      </w:r>
    </w:p>
    <w:p>
      <w:pPr>
        <w:spacing w:after="0" w:line="217" w:lineRule="exact"/>
        <w:rPr>
          <w:sz w:val="20"/>
          <w:szCs w:val="20"/>
          <w:color w:val="auto"/>
        </w:rPr>
      </w:pPr>
    </w:p>
    <w:p>
      <w:pPr>
        <w:jc w:val="both"/>
        <w:ind w:firstLine="865"/>
        <w:spacing w:after="0" w:line="330" w:lineRule="auto"/>
        <w:rPr>
          <w:sz w:val="20"/>
          <w:szCs w:val="20"/>
          <w:color w:val="auto"/>
        </w:rPr>
      </w:pPr>
      <w:r>
        <w:rPr>
          <w:rFonts w:ascii="Arial" w:cs="Arial" w:eastAsia="Arial" w:hAnsi="Arial"/>
          <w:sz w:val="15"/>
          <w:szCs w:val="15"/>
          <w:color w:val="auto"/>
        </w:rPr>
        <w:t>In the event of certain approved leaves of absence, you will not be deemed to have ceased to participate in the Plan. In the event of an approved leave of absence that meets certain requirements under the Code, payroll deductions may continue, if such leave is paid, or in the case of an unpaid leave will be suspended and, at your election, you may make cash payments to Parsons on your normal payday, in lieu of payroll deductions, in the amount of payroll deduction for the payday immediately prior to your leave of absence. Different rules may apply to employees outside of the U.S.</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Use of Funds; Payment of Interest</w:t>
      </w:r>
    </w:p>
    <w:p>
      <w:pPr>
        <w:spacing w:after="0" w:line="217" w:lineRule="exact"/>
        <w:rPr>
          <w:sz w:val="20"/>
          <w:szCs w:val="20"/>
          <w:color w:val="auto"/>
        </w:rPr>
      </w:pPr>
    </w:p>
    <w:p>
      <w:pPr>
        <w:jc w:val="both"/>
        <w:ind w:firstLine="865"/>
        <w:spacing w:after="0" w:line="247" w:lineRule="auto"/>
        <w:rPr>
          <w:sz w:val="20"/>
          <w:szCs w:val="20"/>
          <w:color w:val="auto"/>
        </w:rPr>
      </w:pPr>
      <w:r>
        <w:rPr>
          <w:rFonts w:ascii="Arial" w:cs="Arial" w:eastAsia="Arial" w:hAnsi="Arial"/>
          <w:sz w:val="19"/>
          <w:szCs w:val="19"/>
          <w:color w:val="auto"/>
        </w:rPr>
        <w:t>All funds received or held by us under the Plan may be used for any corporate purpose, except for funds under offerings in which the local law of a non-U.S. jurisdiction requires that contributions to the Plan by participants be segregated from Parsons’s general corporate funds and/or deposited with an independent third party for participants in non-U.S. jurisdictions.</w:t>
      </w:r>
    </w:p>
    <w:p>
      <w:pPr>
        <w:spacing w:after="0" w:line="188"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9"/>
          <w:szCs w:val="19"/>
          <w:color w:val="auto"/>
        </w:rPr>
        <w:t>No interest will be paid to any participant or credited to any participant’s account under the Plan with respect to funds collected by Parsons, except as may be required by local law in a non-U.S. jurisdiction.</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Tax Obligations</w:t>
      </w:r>
    </w:p>
    <w:p>
      <w:pPr>
        <w:spacing w:after="0" w:line="217" w:lineRule="exact"/>
        <w:rPr>
          <w:sz w:val="20"/>
          <w:szCs w:val="20"/>
          <w:color w:val="auto"/>
        </w:rPr>
      </w:pPr>
    </w:p>
    <w:p>
      <w:pPr>
        <w:jc w:val="both"/>
        <w:ind w:firstLine="761"/>
        <w:spacing w:after="0"/>
        <w:rPr>
          <w:sz w:val="20"/>
          <w:szCs w:val="20"/>
          <w:color w:val="auto"/>
        </w:rPr>
      </w:pPr>
      <w:r>
        <w:rPr>
          <w:rFonts w:ascii="Arial" w:cs="Arial" w:eastAsia="Arial" w:hAnsi="Arial"/>
          <w:sz w:val="19"/>
          <w:szCs w:val="19"/>
          <w:color w:val="auto"/>
        </w:rPr>
        <w:t>You are responsible for any tax consequences arising from your participation in the Plan, including the issuance, sale or disposition of shares. Parsons or your employer will withhold taxes according to the requirements under the applicable laws, including under the laws of the U.S., whether at the federal, state or local level, or under the laws of the applicable non-U.S. jurisdiction. The Committee may implement appropriate procedures to ensure that such tax withholding obligations are met, including, without limitation, increased withholding from your current compensation, cash payments to Parsons or another participating company by you, or a sale of a portion of the stock purchased under the Plan, which sale may be required and initiated by Parsons.</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Foreign Employees</w:t>
      </w:r>
    </w:p>
    <w:p>
      <w:pPr>
        <w:spacing w:after="0" w:line="217" w:lineRule="exact"/>
        <w:rPr>
          <w:sz w:val="20"/>
          <w:szCs w:val="20"/>
          <w:color w:val="auto"/>
        </w:rPr>
      </w:pPr>
    </w:p>
    <w:p>
      <w:pPr>
        <w:jc w:val="both"/>
        <w:ind w:firstLine="865"/>
        <w:spacing w:after="0" w:line="254" w:lineRule="auto"/>
        <w:rPr>
          <w:sz w:val="20"/>
          <w:szCs w:val="20"/>
          <w:color w:val="auto"/>
        </w:rPr>
      </w:pPr>
      <w:r>
        <w:rPr>
          <w:rFonts w:ascii="Arial" w:cs="Arial" w:eastAsia="Arial" w:hAnsi="Arial"/>
          <w:sz w:val="18"/>
          <w:szCs w:val="18"/>
          <w:color w:val="auto"/>
        </w:rPr>
        <w:t>The Committee may adopt such sub-plans or appendices relating to the operation and administration of the Plan as are necessary or appropriate to permit the participation in the Plan by employees who are foreign nationals or employed in non-U.S. jurisdictions, which sub-plans or appendices may be designed to govern offerings under the Section 423 Component or the Non-Section 423 Component. Without limiting the generality of the foregoing, the Committee is specifically authorized to adopt rules and procedures regarding the exclusion of particular subsidiaries from participation in the Plan, eligibility to participate, the definition of “eligible compensation,” handling of payroll deductions or other contributions by participants, payment of interest, conversion of local currency, data privacy security, payroll tax, withholding procedures, establishment of bank or trust accounts to hold payroll deductions or contributions, determination of beneficiary designation requirements, and handling of stock certificates. The Committee is not required to obtain the approval of the stockholders of the Company prior to the adoption, amendment or termination of any such sub-plan, appendix, rules or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US-DOCS\126472695.1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49530</wp:posOffset>
            </wp:positionV>
            <wp:extent cx="7182485" cy="412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70" w:name="page171"/>
    <w:bookmarkEnd w:id="170"/>
    <w:p>
      <w:pPr>
        <w:spacing w:after="0"/>
        <w:rPr>
          <w:sz w:val="20"/>
          <w:szCs w:val="20"/>
          <w:color w:val="auto"/>
        </w:rPr>
      </w:pPr>
      <w:r>
        <w:rPr>
          <w:rFonts w:ascii="Arial" w:cs="Arial" w:eastAsia="Arial" w:hAnsi="Arial"/>
          <w:sz w:val="19"/>
          <w:szCs w:val="19"/>
          <w:b w:val="1"/>
          <w:bCs w:val="1"/>
          <w:color w:val="auto"/>
        </w:rPr>
        <w:t>Rights as a Stockholder</w:t>
      </w:r>
    </w:p>
    <w:p>
      <w:pPr>
        <w:spacing w:after="0" w:line="217" w:lineRule="exact"/>
        <w:rPr>
          <w:sz w:val="20"/>
          <w:szCs w:val="20"/>
          <w:color w:val="auto"/>
        </w:rPr>
      </w:pPr>
    </w:p>
    <w:p>
      <w:pPr>
        <w:jc w:val="both"/>
        <w:ind w:firstLine="865"/>
        <w:spacing w:after="0" w:line="247" w:lineRule="auto"/>
        <w:rPr>
          <w:sz w:val="20"/>
          <w:szCs w:val="20"/>
          <w:color w:val="auto"/>
        </w:rPr>
      </w:pPr>
      <w:r>
        <w:rPr>
          <w:rFonts w:ascii="Arial" w:cs="Arial" w:eastAsia="Arial" w:hAnsi="Arial"/>
          <w:sz w:val="19"/>
          <w:szCs w:val="19"/>
          <w:color w:val="auto"/>
        </w:rPr>
        <w:t>You will not have any rights as a stockholder as to the shares of Common Stock covered by an option until the shares have been issued and delivered to your account following the exercise of an option. No adjustment will be made for dividends or distributions or other rights for which the record date is prior to the date of the issuance.</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Options Not Transferable</w:t>
      </w:r>
    </w:p>
    <w:p>
      <w:pPr>
        <w:spacing w:after="0" w:line="217"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9"/>
          <w:szCs w:val="19"/>
          <w:color w:val="auto"/>
        </w:rPr>
        <w:t>You may not transfer or assign any option granted under the Plan except by will or the laws of descent and distribution. During your lifetime, an option may be exercised only by you.</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Amendment, Suspension and Termination</w:t>
      </w:r>
    </w:p>
    <w:p>
      <w:pPr>
        <w:spacing w:after="0" w:line="217" w:lineRule="exact"/>
        <w:rPr>
          <w:sz w:val="20"/>
          <w:szCs w:val="20"/>
          <w:color w:val="auto"/>
        </w:rPr>
      </w:pPr>
    </w:p>
    <w:p>
      <w:pPr>
        <w:jc w:val="both"/>
        <w:ind w:firstLine="865"/>
        <w:spacing w:after="0" w:line="281" w:lineRule="auto"/>
        <w:rPr>
          <w:sz w:val="20"/>
          <w:szCs w:val="20"/>
          <w:color w:val="auto"/>
        </w:rPr>
      </w:pPr>
      <w:r>
        <w:rPr>
          <w:rFonts w:ascii="Arial" w:cs="Arial" w:eastAsia="Arial" w:hAnsi="Arial"/>
          <w:sz w:val="17"/>
          <w:szCs w:val="17"/>
          <w:color w:val="auto"/>
        </w:rPr>
        <w:t>The Board may amend, suspend or terminate the Plan at any time. The Board may not, without prior stockholder approval, amend the Plan to increase the maximum number of shares of Common Stock subject to the Plan, amend the Plan in any manner which would cause the Section 423 Component to cease to be an “employee stock purchase plan” under Section 423 of the Code, or amend the Plan in any manner that would require the approval of the Company's stockholders under applicable law or the rules of the New York Stock Exchange.</w:t>
      </w:r>
    </w:p>
    <w:p>
      <w:pPr>
        <w:spacing w:after="0" w:line="162" w:lineRule="exact"/>
        <w:rPr>
          <w:sz w:val="20"/>
          <w:szCs w:val="20"/>
          <w:color w:val="auto"/>
        </w:rPr>
      </w:pPr>
    </w:p>
    <w:p>
      <w:pPr>
        <w:jc w:val="both"/>
        <w:ind w:firstLine="865"/>
        <w:spacing w:after="0" w:line="247" w:lineRule="auto"/>
        <w:rPr>
          <w:sz w:val="20"/>
          <w:szCs w:val="20"/>
          <w:color w:val="auto"/>
        </w:rPr>
      </w:pPr>
      <w:r>
        <w:rPr>
          <w:rFonts w:ascii="Arial" w:cs="Arial" w:eastAsia="Arial" w:hAnsi="Arial"/>
          <w:sz w:val="19"/>
          <w:szCs w:val="19"/>
          <w:color w:val="auto"/>
        </w:rPr>
        <w:t>In the event the Board determines that the ongoing operation of the Plan may result in unfavorable financial accounting consequences, the Board may modify or amend the Plan to reduce or eliminate such accounting consequence. Such modifications or amendments will not require stockholder approval or the consent of any Purchase Plan participants.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Corporate Transactions</w:t>
      </w:r>
    </w:p>
    <w:p>
      <w:pPr>
        <w:spacing w:after="0" w:line="217" w:lineRule="exact"/>
        <w:rPr>
          <w:sz w:val="20"/>
          <w:szCs w:val="20"/>
          <w:color w:val="auto"/>
        </w:rPr>
      </w:pPr>
    </w:p>
    <w:p>
      <w:pPr>
        <w:jc w:val="both"/>
        <w:ind w:firstLine="865"/>
        <w:spacing w:after="0" w:line="271" w:lineRule="auto"/>
        <w:rPr>
          <w:sz w:val="20"/>
          <w:szCs w:val="20"/>
          <w:color w:val="auto"/>
        </w:rPr>
      </w:pPr>
      <w:r>
        <w:rPr>
          <w:rFonts w:ascii="Arial" w:cs="Arial" w:eastAsia="Arial" w:hAnsi="Arial"/>
          <w:sz w:val="17"/>
          <w:szCs w:val="17"/>
          <w:color w:val="auto"/>
        </w:rPr>
        <w:t>In the event of certain significant transactions or a change in control, or of changes in applicable laws, regulations or accounting principles, and whenever the Committee determines that such action is appropriate in order to prevent the dilution or enlargement of the benefits or potential benefits intended to be made available under the Plan or with respect to any right under the Plan, to facilitate such transactions or events or to give effect to such changes in laws, regulations or principles, the Committee may provide for (1) either the replacement or termination of outstanding rights in exchange for cash or other property, (2) the assumption or substitution of outstanding rights by the successor or survivor corporation or parent or subsidiary thereof, if any, (3) the adjustment in the number and type of shares of stock subject to outstanding rights, (4) the use of participants' accumulated payroll deductions to purchase stock on a new exercise date prior to the next exercise date and termination of any rights under ongoing offering periods or (5) the termination of all outstanding rights. No adjustment or action shall be authorized to the extent that such adjustment or action would cause the Section 423 Component of the Plan to fail to satisfy the requirements of Section 423 of the Code.</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Share Proration</w:t>
      </w:r>
    </w:p>
    <w:p>
      <w:pPr>
        <w:spacing w:after="0" w:line="217" w:lineRule="exact"/>
        <w:rPr>
          <w:sz w:val="20"/>
          <w:szCs w:val="20"/>
          <w:color w:val="auto"/>
        </w:rPr>
      </w:pPr>
    </w:p>
    <w:p>
      <w:pPr>
        <w:jc w:val="both"/>
        <w:ind w:firstLine="865"/>
        <w:spacing w:after="0" w:line="258" w:lineRule="auto"/>
        <w:rPr>
          <w:sz w:val="20"/>
          <w:szCs w:val="20"/>
          <w:color w:val="auto"/>
        </w:rPr>
      </w:pPr>
      <w:r>
        <w:rPr>
          <w:rFonts w:ascii="Arial" w:cs="Arial" w:eastAsia="Arial" w:hAnsi="Arial"/>
          <w:sz w:val="18"/>
          <w:szCs w:val="18"/>
          <w:color w:val="auto"/>
        </w:rPr>
        <w:t>Should the total number of shares of Common Stock which are to be purchased under outstanding options on any particular exercise date exceed the number of shares then available for issuance under the Plan, the Committee may make a pro rata allocation of the available shares in as nearly a uniform manner as possible, and the payroll deductions of each participant, to the extent in excess of the aggregate purchase price payable for the Common Stock prorated to such individual, shall be refunded to such participant as soon as reasonably practicable following such exercise date, unless otherwise required by local law for participants in non-U.S.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US-DOCS\126472695.1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49530</wp:posOffset>
            </wp:positionV>
            <wp:extent cx="7182485" cy="412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71" w:name="page172"/>
    <w:bookmarkEnd w:id="171"/>
    <w:p>
      <w:pPr>
        <w:spacing w:after="0"/>
        <w:rPr>
          <w:sz w:val="20"/>
          <w:szCs w:val="20"/>
          <w:color w:val="auto"/>
        </w:rPr>
      </w:pPr>
      <w:r>
        <w:rPr>
          <w:rFonts w:ascii="Arial" w:cs="Arial" w:eastAsia="Arial" w:hAnsi="Arial"/>
          <w:sz w:val="19"/>
          <w:szCs w:val="19"/>
          <w:b w:val="1"/>
          <w:bCs w:val="1"/>
          <w:color w:val="auto"/>
        </w:rPr>
        <w:t>Equal Rights and Privileges</w:t>
      </w:r>
    </w:p>
    <w:p>
      <w:pPr>
        <w:spacing w:after="0" w:line="217" w:lineRule="exact"/>
        <w:rPr>
          <w:sz w:val="20"/>
          <w:szCs w:val="20"/>
          <w:color w:val="auto"/>
        </w:rPr>
      </w:pPr>
    </w:p>
    <w:p>
      <w:pPr>
        <w:jc w:val="both"/>
        <w:ind w:firstLine="865"/>
        <w:spacing w:after="0" w:line="318" w:lineRule="auto"/>
        <w:rPr>
          <w:sz w:val="20"/>
          <w:szCs w:val="20"/>
          <w:color w:val="auto"/>
        </w:rPr>
      </w:pPr>
      <w:r>
        <w:rPr>
          <w:rFonts w:ascii="Arial" w:cs="Arial" w:eastAsia="Arial" w:hAnsi="Arial"/>
          <w:sz w:val="15"/>
          <w:szCs w:val="15"/>
          <w:color w:val="auto"/>
        </w:rPr>
        <w:t>All participants in offerings under the Section 423 Component will have equal rights and privileges so that the Section 423 Component of the Plan qualifies as an “employee stock purchase plan” within the meaning of Section 423 of the Code or applicable Treasury Regulations thereunder, except for differences approved by the Committee pursuant to the Plan that are consistent with that intention. Any provision of the Section 423 Component that is inconsistent with Section 423 of the Code will, without further act or amendment by Parsons or the Board, be reformed to comply with the equal rights and privileges requirement of Section 423 of the Code or applicable Treasury Regulations. Participants participating in the Non-Section 423 Component need not have the same rights and privileges as employees participating in the Section 423 Component.</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Notification of Disposition</w:t>
      </w:r>
    </w:p>
    <w:p>
      <w:pPr>
        <w:spacing w:after="0" w:line="217" w:lineRule="exact"/>
        <w:rPr>
          <w:sz w:val="20"/>
          <w:szCs w:val="20"/>
          <w:color w:val="auto"/>
        </w:rPr>
      </w:pPr>
    </w:p>
    <w:p>
      <w:pPr>
        <w:ind w:left="860"/>
        <w:spacing w:after="0"/>
        <w:rPr>
          <w:sz w:val="20"/>
          <w:szCs w:val="20"/>
          <w:color w:val="auto"/>
        </w:rPr>
      </w:pPr>
      <w:r>
        <w:rPr>
          <w:rFonts w:ascii="Arial" w:cs="Arial" w:eastAsia="Arial" w:hAnsi="Arial"/>
          <w:sz w:val="15"/>
          <w:szCs w:val="15"/>
          <w:color w:val="auto"/>
        </w:rPr>
        <w:t>If you are a participant in the Section 423 Component, you must give prompt notice to us of any disposition or other transfer of any shares of</w:t>
      </w:r>
    </w:p>
    <w:p>
      <w:pPr>
        <w:spacing w:after="0" w:line="59" w:lineRule="exact"/>
        <w:rPr>
          <w:sz w:val="20"/>
          <w:szCs w:val="20"/>
          <w:color w:val="auto"/>
        </w:rPr>
      </w:pPr>
    </w:p>
    <w:p>
      <w:pPr>
        <w:spacing w:after="0"/>
        <w:rPr>
          <w:sz w:val="20"/>
          <w:szCs w:val="20"/>
          <w:color w:val="auto"/>
        </w:rPr>
      </w:pPr>
      <w:r>
        <w:rPr>
          <w:rFonts w:ascii="Arial" w:cs="Arial" w:eastAsia="Arial" w:hAnsi="Arial"/>
          <w:sz w:val="19"/>
          <w:szCs w:val="19"/>
          <w:color w:val="auto"/>
        </w:rPr>
        <w:t>Common Stock purchased upon exercise of an option if the disposition or transfer is made:</w:t>
      </w:r>
    </w:p>
    <w:p>
      <w:pPr>
        <w:spacing w:after="0" w:line="197" w:lineRule="exact"/>
        <w:rPr>
          <w:sz w:val="20"/>
          <w:szCs w:val="20"/>
          <w:color w:val="auto"/>
        </w:rPr>
      </w:pPr>
    </w:p>
    <w:p>
      <w:pPr>
        <w:ind w:left="1300" w:hanging="436"/>
        <w:spacing w:after="0"/>
        <w:tabs>
          <w:tab w:leader="none" w:pos="1300" w:val="left"/>
        </w:tabs>
        <w:numPr>
          <w:ilvl w:val="0"/>
          <w:numId w:val="94"/>
        </w:numPr>
        <w:rPr>
          <w:rFonts w:ascii="Arial" w:cs="Arial" w:eastAsia="Arial" w:hAnsi="Arial"/>
          <w:sz w:val="19"/>
          <w:szCs w:val="19"/>
          <w:color w:val="auto"/>
        </w:rPr>
      </w:pPr>
      <w:r>
        <w:rPr>
          <w:rFonts w:ascii="Arial" w:cs="Arial" w:eastAsia="Arial" w:hAnsi="Arial"/>
          <w:sz w:val="19"/>
          <w:szCs w:val="19"/>
          <w:color w:val="auto"/>
        </w:rPr>
        <w:t>Within two years from the date of the grant of the option, or</w:t>
      </w:r>
    </w:p>
    <w:p>
      <w:pPr>
        <w:spacing w:after="0" w:line="212" w:lineRule="exact"/>
        <w:rPr>
          <w:rFonts w:ascii="Arial" w:cs="Arial" w:eastAsia="Arial" w:hAnsi="Arial"/>
          <w:sz w:val="19"/>
          <w:szCs w:val="19"/>
          <w:color w:val="auto"/>
        </w:rPr>
      </w:pPr>
    </w:p>
    <w:p>
      <w:pPr>
        <w:ind w:left="1720" w:hanging="856"/>
        <w:spacing w:after="0"/>
        <w:tabs>
          <w:tab w:leader="none" w:pos="1720" w:val="left"/>
        </w:tabs>
        <w:numPr>
          <w:ilvl w:val="0"/>
          <w:numId w:val="94"/>
        </w:numPr>
        <w:rPr>
          <w:rFonts w:ascii="Arial" w:cs="Arial" w:eastAsia="Arial" w:hAnsi="Arial"/>
          <w:sz w:val="19"/>
          <w:szCs w:val="19"/>
          <w:color w:val="auto"/>
        </w:rPr>
      </w:pPr>
      <w:r>
        <w:rPr>
          <w:rFonts w:ascii="Arial" w:cs="Arial" w:eastAsia="Arial" w:hAnsi="Arial"/>
          <w:sz w:val="19"/>
          <w:szCs w:val="19"/>
          <w:color w:val="auto"/>
        </w:rPr>
        <w:t>Within one year after the transfer of the shares of Common Stock to you upon exercise of an option.</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Certain Restrictions on Resale</w:t>
      </w:r>
    </w:p>
    <w:p>
      <w:pPr>
        <w:spacing w:after="0" w:line="204" w:lineRule="exact"/>
        <w:rPr>
          <w:sz w:val="20"/>
          <w:szCs w:val="20"/>
          <w:color w:val="auto"/>
        </w:rPr>
      </w:pPr>
    </w:p>
    <w:p>
      <w:pPr>
        <w:jc w:val="both"/>
        <w:ind w:firstLine="865"/>
        <w:spacing w:after="0" w:line="322" w:lineRule="auto"/>
        <w:rPr>
          <w:sz w:val="20"/>
          <w:szCs w:val="20"/>
          <w:color w:val="auto"/>
        </w:rPr>
      </w:pPr>
      <w:r>
        <w:rPr>
          <w:rFonts w:ascii="Arial" w:cs="Arial" w:eastAsia="Arial" w:hAnsi="Arial"/>
          <w:sz w:val="15"/>
          <w:szCs w:val="15"/>
          <w:color w:val="auto"/>
        </w:rPr>
        <w:t>Purchases and sales of Common Stock by our directors and officers and beneficial owners of more than 10% of the outstanding shares of Common Stock (including shares acquired under the Plan or otherwise) may, under certain circumstances, subject such persons to reporting and/or liability under Section 16 of the Exchange Act. If you are an officer or director of the Company, or beneficial owner of more than 10% of the outstanding shares of Common Stock, you are advised to consult with your own legal advisor regarding the reporting requirements under Section 16 of the Exchange Act that may be applicable to awards granted to you under the Plan and before engaging in transactions involving any Common Stock.</w:t>
      </w:r>
    </w:p>
    <w:p>
      <w:pPr>
        <w:spacing w:after="0" w:line="123" w:lineRule="exact"/>
        <w:rPr>
          <w:sz w:val="20"/>
          <w:szCs w:val="20"/>
          <w:color w:val="auto"/>
        </w:rPr>
      </w:pPr>
    </w:p>
    <w:p>
      <w:pPr>
        <w:jc w:val="both"/>
        <w:ind w:firstLine="865"/>
        <w:spacing w:after="0" w:line="241" w:lineRule="auto"/>
        <w:rPr>
          <w:sz w:val="20"/>
          <w:szCs w:val="20"/>
          <w:color w:val="auto"/>
        </w:rPr>
      </w:pPr>
      <w:r>
        <w:rPr>
          <w:rFonts w:ascii="Arial" w:cs="Arial" w:eastAsia="Arial" w:hAnsi="Arial"/>
          <w:sz w:val="19"/>
          <w:szCs w:val="19"/>
          <w:color w:val="auto"/>
        </w:rPr>
        <w:t>If you are not considered our “affiliate,” as defined in Rule 144 under the Securities Act, you may resell the shares of Common Stock acquired under the Plan without restriction (subject to compliance with Section 16(b) under the Exchange Act). If you are considered our “affiliate,” which is likely if you are either a director or an officer, you may resell such shares in compliance with the requirements of Rule 144 under the Securities Act without registration; however, you will be subject to the volume limitation and manner of sale restrictions set forth in Rule 144 under the Securities Act.</w:t>
      </w:r>
    </w:p>
    <w:p>
      <w:pPr>
        <w:spacing w:after="0" w:line="183" w:lineRule="exact"/>
        <w:rPr>
          <w:sz w:val="20"/>
          <w:szCs w:val="20"/>
          <w:color w:val="auto"/>
        </w:rPr>
      </w:pPr>
    </w:p>
    <w:p>
      <w:pPr>
        <w:jc w:val="both"/>
        <w:ind w:firstLine="865"/>
        <w:spacing w:after="0" w:line="241" w:lineRule="auto"/>
        <w:rPr>
          <w:sz w:val="20"/>
          <w:szCs w:val="20"/>
          <w:color w:val="auto"/>
        </w:rPr>
      </w:pPr>
      <w:r>
        <w:rPr>
          <w:rFonts w:ascii="Arial" w:cs="Arial" w:eastAsia="Arial" w:hAnsi="Arial"/>
          <w:sz w:val="19"/>
          <w:szCs w:val="19"/>
          <w:color w:val="auto"/>
        </w:rPr>
        <w:t>If, however, you are an employee, director, officer or beneficial owner of more than 10% of the outstanding shares of Common Stock and are aware of material inside information regarding us or any aspect of our business, you cannot sell shares of Common Stock, whether purchased through the Plan or otherwise, before the information has been disseminated by us to the public. Generally, “material inside information” is information that is both important to us (</w:t>
      </w:r>
      <w:r>
        <w:rPr>
          <w:rFonts w:ascii="Arial" w:cs="Arial" w:eastAsia="Arial" w:hAnsi="Arial"/>
          <w:sz w:val="19"/>
          <w:szCs w:val="19"/>
          <w:i w:val="1"/>
          <w:iCs w:val="1"/>
          <w:color w:val="auto"/>
        </w:rPr>
        <w:t>e.g.,</w:t>
      </w:r>
      <w:r>
        <w:rPr>
          <w:rFonts w:ascii="Arial" w:cs="Arial" w:eastAsia="Arial" w:hAnsi="Arial"/>
          <w:sz w:val="19"/>
          <w:szCs w:val="19"/>
          <w:color w:val="auto"/>
        </w:rPr>
        <w:t xml:space="preserve"> may impact our stock price)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nonpublic (not yet disclosed through press releases, newspaper articles or otherwise to the public which buys and sells securities).</w:t>
      </w:r>
    </w:p>
    <w:p>
      <w:pPr>
        <w:spacing w:after="0" w:line="183" w:lineRule="exact"/>
        <w:rPr>
          <w:sz w:val="20"/>
          <w:szCs w:val="20"/>
          <w:color w:val="auto"/>
        </w:rPr>
      </w:pPr>
    </w:p>
    <w:p>
      <w:pPr>
        <w:jc w:val="both"/>
        <w:ind w:firstLine="865"/>
        <w:spacing w:after="0" w:line="247" w:lineRule="auto"/>
        <w:rPr>
          <w:sz w:val="20"/>
          <w:szCs w:val="20"/>
          <w:color w:val="auto"/>
        </w:rPr>
      </w:pPr>
      <w:r>
        <w:rPr>
          <w:rFonts w:ascii="Arial" w:cs="Arial" w:eastAsia="Arial" w:hAnsi="Arial"/>
          <w:sz w:val="19"/>
          <w:szCs w:val="19"/>
          <w:color w:val="auto"/>
        </w:rPr>
        <w:t>Additionally, if you are a director, officer or employee, under our insider trading policy you are generally prohibited from purchasing or selling any security of the Company, including shares of Common Stock acquired through the Plan, during the period beginning two weeks before the end of any fiscal quarter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US-DOCS\126472695.1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49530</wp:posOffset>
            </wp:positionV>
            <wp:extent cx="7182485" cy="412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0">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72" w:name="page173"/>
    <w:bookmarkEnd w:id="172"/>
    <w:p>
      <w:pPr>
        <w:jc w:val="both"/>
        <w:spacing w:after="0" w:line="247" w:lineRule="auto"/>
        <w:rPr>
          <w:sz w:val="20"/>
          <w:szCs w:val="20"/>
          <w:color w:val="auto"/>
        </w:rPr>
      </w:pPr>
      <w:r>
        <w:rPr>
          <w:rFonts w:ascii="Arial" w:cs="Arial" w:eastAsia="Arial" w:hAnsi="Arial"/>
          <w:sz w:val="19"/>
          <w:szCs w:val="19"/>
          <w:color w:val="auto"/>
        </w:rPr>
        <w:t>of the Company and ending two days after the public release of earnings data for such fiscal quarter. Further information about our insider trading policy may be obtained by contacting the Company at the following address: Secretary, Parsons Corporation, 5875 Trinity Parkway #300, Centreville, VA 20120; Tel: (703) 988-8500.</w:t>
      </w:r>
    </w:p>
    <w:p>
      <w:pPr>
        <w:spacing w:after="0" w:line="175" w:lineRule="exact"/>
        <w:rPr>
          <w:sz w:val="20"/>
          <w:szCs w:val="20"/>
          <w:color w:val="auto"/>
        </w:rPr>
      </w:pPr>
    </w:p>
    <w:p>
      <w:pPr>
        <w:ind w:left="860"/>
        <w:spacing w:after="0"/>
        <w:rPr>
          <w:sz w:val="20"/>
          <w:szCs w:val="20"/>
          <w:color w:val="auto"/>
        </w:rPr>
      </w:pPr>
      <w:r>
        <w:rPr>
          <w:rFonts w:ascii="Arial" w:cs="Arial" w:eastAsia="Arial" w:hAnsi="Arial"/>
          <w:sz w:val="19"/>
          <w:szCs w:val="19"/>
          <w:color w:val="auto"/>
        </w:rPr>
        <w:t>You are advised to consult with your own legal advisor about the applicability and effect of these restrictions on you.</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US-DOCS\126472695.1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49530</wp:posOffset>
            </wp:positionV>
            <wp:extent cx="7182485" cy="412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1">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9"/>
          <w:szCs w:val="19"/>
          <w:b w:val="1"/>
          <w:bCs w:val="1"/>
          <w:color w:val="auto"/>
        </w:rPr>
        <w:t>SPECIAL OFFERING PERIOD FOR ELIGIBLE EMPLOYEES OF BLACKHORSE SOLUTIONS, INC. AND ITS SUBSIDIARIES</w:t>
      </w:r>
    </w:p>
    <w:p>
      <w:pPr>
        <w:spacing w:after="0" w:line="318" w:lineRule="exact"/>
        <w:rPr>
          <w:sz w:val="20"/>
          <w:szCs w:val="20"/>
          <w:color w:val="auto"/>
        </w:rPr>
      </w:pPr>
    </w:p>
    <w:p>
      <w:pPr>
        <w:jc w:val="both"/>
        <w:ind w:firstLine="865"/>
        <w:spacing w:after="0"/>
        <w:rPr>
          <w:sz w:val="20"/>
          <w:szCs w:val="20"/>
          <w:color w:val="auto"/>
        </w:rPr>
      </w:pPr>
      <w:r>
        <w:rPr>
          <w:rFonts w:ascii="Arial" w:cs="Arial" w:eastAsia="Arial" w:hAnsi="Arial"/>
          <w:sz w:val="19"/>
          <w:szCs w:val="19"/>
          <w:color w:val="auto"/>
        </w:rPr>
        <w:t>The Committee has approved a special offering period under the Plan for eligible employees of BlackHorse Solutions, Inc. and its eligible subsidiaries. This special offering period will be under the Section 423 Component of the Plan and will commence on November 1, 2021, and end on December 31, 2021. After the termination of this special offering period, eligible employees of BlackHorse Solutions, Inc. and its eligible subsidiaries will be eligible to commence participation in offering periods under the Plan on the same terms as other eligible employees. The terms and conditions of this special offering period, other than the length of the offering period, will be generally consistent with the terms and conditions described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US-DOCS\126472695.1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49530</wp:posOffset>
            </wp:positionV>
            <wp:extent cx="7182485" cy="412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9"/>
          <w:szCs w:val="19"/>
          <w:b w:val="1"/>
          <w:bCs w:val="1"/>
          <w:color w:val="auto"/>
        </w:rPr>
        <w:t>FEDERAL INCOME TAX CONSEQUENCES ASSOCIATED WITH THE PLAN</w:t>
      </w:r>
    </w:p>
    <w:p>
      <w:pPr>
        <w:spacing w:after="0" w:line="217"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The Plan is intended to qualify as an “employee stock purchase plan” as defined in Section 423 of the Code.</w:t>
      </w:r>
    </w:p>
    <w:p>
      <w:pPr>
        <w:spacing w:after="0" w:line="213" w:lineRule="exact"/>
        <w:rPr>
          <w:sz w:val="20"/>
          <w:szCs w:val="20"/>
          <w:color w:val="auto"/>
        </w:rPr>
      </w:pPr>
    </w:p>
    <w:p>
      <w:pPr>
        <w:jc w:val="both"/>
        <w:ind w:firstLine="865"/>
        <w:spacing w:after="0" w:line="281" w:lineRule="auto"/>
        <w:rPr>
          <w:sz w:val="20"/>
          <w:szCs w:val="20"/>
          <w:color w:val="auto"/>
        </w:rPr>
      </w:pPr>
      <w:r>
        <w:rPr>
          <w:rFonts w:ascii="Arial" w:cs="Arial" w:eastAsia="Arial" w:hAnsi="Arial"/>
          <w:sz w:val="17"/>
          <w:szCs w:val="17"/>
          <w:color w:val="auto"/>
        </w:rPr>
        <w:t xml:space="preserve">The following is a general summary under current law of the material United States federal income tax consequences to participants in the Plan. </w:t>
      </w:r>
      <w:r>
        <w:rPr>
          <w:rFonts w:ascii="Arial" w:cs="Arial" w:eastAsia="Arial" w:hAnsi="Arial"/>
          <w:sz w:val="17"/>
          <w:szCs w:val="17"/>
          <w:b w:val="1"/>
          <w:bCs w:val="1"/>
          <w:color w:val="auto"/>
        </w:rPr>
        <w:t>This summary deals with the general tax principles that apply, which are subject to change, and is provided only for general</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information. Some kinds of taxes, such as foreign taxes and state and local income taxes, are not discussed. </w:t>
      </w:r>
      <w:r>
        <w:rPr>
          <w:rFonts w:ascii="Arial" w:cs="Arial" w:eastAsia="Arial" w:hAnsi="Arial"/>
          <w:sz w:val="17"/>
          <w:szCs w:val="17"/>
          <w:color w:val="auto"/>
        </w:rPr>
        <w:t>Please see the addendum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Prospectus for information regarding tax consequences to certain foreign tax-resident participants in the Plan.</w:t>
      </w:r>
    </w:p>
    <w:p>
      <w:pPr>
        <w:spacing w:after="0" w:line="158" w:lineRule="exact"/>
        <w:rPr>
          <w:sz w:val="20"/>
          <w:szCs w:val="20"/>
          <w:color w:val="auto"/>
        </w:rPr>
      </w:pPr>
    </w:p>
    <w:p>
      <w:pPr>
        <w:jc w:val="both"/>
        <w:ind w:firstLine="865"/>
        <w:spacing w:after="0" w:line="292" w:lineRule="auto"/>
        <w:rPr>
          <w:sz w:val="20"/>
          <w:szCs w:val="20"/>
          <w:color w:val="auto"/>
        </w:rPr>
      </w:pPr>
      <w:r>
        <w:rPr>
          <w:rFonts w:ascii="Arial" w:cs="Arial" w:eastAsia="Arial" w:hAnsi="Arial"/>
          <w:sz w:val="17"/>
          <w:szCs w:val="17"/>
          <w:b w:val="1"/>
          <w:bCs w:val="1"/>
          <w:color w:val="auto"/>
        </w:rPr>
        <w:t>Tax laws are complex and subject to change and may vary depending on individual circumstances and from locality to locality. This summary does not discuss all aspects of income taxation that may be relevant to participants in light of their personal investment circumstances. The following summary assumes that you will participate in the Section 423 Component of the Plan.</w:t>
      </w:r>
    </w:p>
    <w:p>
      <w:pPr>
        <w:spacing w:after="0" w:line="149" w:lineRule="exact"/>
        <w:rPr>
          <w:sz w:val="20"/>
          <w:szCs w:val="20"/>
          <w:color w:val="auto"/>
        </w:rPr>
      </w:pPr>
    </w:p>
    <w:p>
      <w:pPr>
        <w:jc w:val="both"/>
        <w:ind w:firstLine="865"/>
        <w:spacing w:after="0" w:line="262" w:lineRule="auto"/>
        <w:rPr>
          <w:sz w:val="20"/>
          <w:szCs w:val="20"/>
          <w:color w:val="auto"/>
        </w:rPr>
      </w:pPr>
      <w:r>
        <w:rPr>
          <w:rFonts w:ascii="Arial" w:cs="Arial" w:eastAsia="Arial" w:hAnsi="Arial"/>
          <w:sz w:val="19"/>
          <w:szCs w:val="19"/>
          <w:b w:val="1"/>
          <w:bCs w:val="1"/>
          <w:color w:val="auto"/>
        </w:rPr>
        <w:t>This summarized tax information is not tax advice. You are advised to consult your own advisor as to the specific tax consequences of participating in the Plan.</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Grant of Right; Exercise of Right</w:t>
      </w:r>
    </w:p>
    <w:p>
      <w:pPr>
        <w:spacing w:after="0" w:line="213" w:lineRule="exact"/>
        <w:rPr>
          <w:sz w:val="20"/>
          <w:szCs w:val="20"/>
          <w:color w:val="auto"/>
        </w:rPr>
      </w:pPr>
    </w:p>
    <w:p>
      <w:pPr>
        <w:jc w:val="both"/>
        <w:ind w:firstLine="865"/>
        <w:spacing w:after="0" w:line="316" w:lineRule="auto"/>
        <w:rPr>
          <w:sz w:val="20"/>
          <w:szCs w:val="20"/>
          <w:color w:val="auto"/>
        </w:rPr>
      </w:pPr>
      <w:r>
        <w:rPr>
          <w:rFonts w:ascii="Arial" w:cs="Arial" w:eastAsia="Arial" w:hAnsi="Arial"/>
          <w:sz w:val="17"/>
          <w:szCs w:val="17"/>
          <w:color w:val="auto"/>
        </w:rPr>
        <w:t>You will generally not recognize taxable income on the date you are granted a purchase right under the Plan (</w:t>
      </w:r>
      <w:r>
        <w:rPr>
          <w:rFonts w:ascii="Arial" w:cs="Arial" w:eastAsia="Arial" w:hAnsi="Arial"/>
          <w:sz w:val="17"/>
          <w:szCs w:val="17"/>
          <w:i w:val="1"/>
          <w:iCs w:val="1"/>
          <w:color w:val="auto"/>
        </w:rPr>
        <w:t>i.e.</w:t>
      </w:r>
      <w:r>
        <w:rPr>
          <w:rFonts w:ascii="Arial" w:cs="Arial" w:eastAsia="Arial" w:hAnsi="Arial"/>
          <w:sz w:val="17"/>
          <w:szCs w:val="17"/>
          <w:color w:val="auto"/>
        </w:rPr>
        <w:t>, the first trading day of the Offering Period), nor will you recognize taxable income on the date the right is exercised (i.e., the last trading day of the Offering Period).</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Sale of Common Stock</w:t>
      </w:r>
    </w:p>
    <w:p>
      <w:pPr>
        <w:spacing w:after="0" w:line="213" w:lineRule="exact"/>
        <w:rPr>
          <w:sz w:val="20"/>
          <w:szCs w:val="20"/>
          <w:color w:val="auto"/>
        </w:rPr>
      </w:pPr>
    </w:p>
    <w:p>
      <w:pPr>
        <w:jc w:val="both"/>
        <w:ind w:firstLine="865"/>
        <w:spacing w:after="0" w:line="243" w:lineRule="auto"/>
        <w:rPr>
          <w:sz w:val="20"/>
          <w:szCs w:val="20"/>
          <w:color w:val="auto"/>
        </w:rPr>
      </w:pPr>
      <w:r>
        <w:rPr>
          <w:rFonts w:ascii="Arial" w:cs="Arial" w:eastAsia="Arial" w:hAnsi="Arial"/>
          <w:sz w:val="19"/>
          <w:szCs w:val="19"/>
          <w:color w:val="auto"/>
        </w:rPr>
        <w:t>You will be taxed on the shares of Common Stock you purchase under the Plan when you sell or otherwise dispose of such shares. Generally, you will owe federal income tax on the difference between what you paid for the Common Stock and the price at which you sold the Common Stock. The amount of tax will depend on your personal tax situation and the characterization of any profit or loss on the sale as ordinary income or capital gain or loss, or a combination of ordinary income and capital gain or loss.</w:t>
      </w:r>
    </w:p>
    <w:p>
      <w:pPr>
        <w:spacing w:after="0" w:line="193" w:lineRule="exact"/>
        <w:rPr>
          <w:sz w:val="20"/>
          <w:szCs w:val="20"/>
          <w:color w:val="auto"/>
        </w:rPr>
      </w:pPr>
    </w:p>
    <w:p>
      <w:pPr>
        <w:jc w:val="both"/>
        <w:ind w:firstLine="865"/>
        <w:spacing w:after="0" w:line="285" w:lineRule="auto"/>
        <w:rPr>
          <w:sz w:val="20"/>
          <w:szCs w:val="20"/>
          <w:color w:val="auto"/>
        </w:rPr>
      </w:pPr>
      <w:r>
        <w:rPr>
          <w:rFonts w:ascii="Arial" w:cs="Arial" w:eastAsia="Arial" w:hAnsi="Arial"/>
          <w:sz w:val="18"/>
          <w:szCs w:val="18"/>
          <w:color w:val="auto"/>
        </w:rPr>
        <w:t>The characterization of the gain or loss you recognize will vary and will depend upon how long you held the Common Stock before you sold (or “disposed” of) it. Your disposition will be either a “qualifying disposition” or a “disqualifying disposition,” as discussed below.</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Disqualifying Disposition</w:t>
      </w:r>
    </w:p>
    <w:p>
      <w:pPr>
        <w:spacing w:after="0" w:line="21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Generally, a “disqualifying disposition” will occur if you transfer your Common Stock in a “disposition” (as described below) within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either:</w:t>
      </w:r>
    </w:p>
    <w:p>
      <w:pPr>
        <w:spacing w:after="0" w:line="197" w:lineRule="exact"/>
        <w:rPr>
          <w:sz w:val="20"/>
          <w:szCs w:val="20"/>
          <w:color w:val="auto"/>
        </w:rPr>
      </w:pPr>
    </w:p>
    <w:p>
      <w:pPr>
        <w:ind w:left="1720" w:hanging="856"/>
        <w:spacing w:after="0"/>
        <w:tabs>
          <w:tab w:leader="none" w:pos="17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two years after the first trading day of the Offering Period in which you purchased the Common Stock, or the grant date; or</w:t>
      </w:r>
    </w:p>
    <w:p>
      <w:pPr>
        <w:spacing w:after="0" w:line="235" w:lineRule="exact"/>
        <w:rPr>
          <w:rFonts w:ascii="Arial" w:cs="Arial" w:eastAsia="Arial" w:hAnsi="Arial"/>
          <w:sz w:val="17"/>
          <w:szCs w:val="17"/>
          <w:color w:val="auto"/>
        </w:rPr>
      </w:pPr>
    </w:p>
    <w:p>
      <w:pPr>
        <w:ind w:left="1720" w:hanging="856"/>
        <w:spacing w:after="0"/>
        <w:tabs>
          <w:tab w:leader="none" w:pos="1720" w:val="left"/>
        </w:tabs>
        <w:numPr>
          <w:ilvl w:val="0"/>
          <w:numId w:val="95"/>
        </w:numPr>
        <w:rPr>
          <w:rFonts w:ascii="Arial" w:cs="Arial" w:eastAsia="Arial" w:hAnsi="Arial"/>
          <w:sz w:val="19"/>
          <w:szCs w:val="19"/>
          <w:color w:val="auto"/>
        </w:rPr>
      </w:pPr>
      <w:r>
        <w:rPr>
          <w:rFonts w:ascii="Arial" w:cs="Arial" w:eastAsia="Arial" w:hAnsi="Arial"/>
          <w:sz w:val="19"/>
          <w:szCs w:val="19"/>
          <w:color w:val="auto"/>
        </w:rPr>
        <w:t>one year after the transfer of the Common Stock to you (generally the exercise date).</w:t>
      </w:r>
    </w:p>
    <w:p>
      <w:pPr>
        <w:spacing w:after="0" w:line="213" w:lineRule="exact"/>
        <w:rPr>
          <w:sz w:val="20"/>
          <w:szCs w:val="20"/>
          <w:color w:val="auto"/>
        </w:rPr>
      </w:pPr>
    </w:p>
    <w:p>
      <w:pPr>
        <w:jc w:val="both"/>
        <w:ind w:firstLine="865"/>
        <w:spacing w:after="0" w:line="247" w:lineRule="auto"/>
        <w:rPr>
          <w:sz w:val="20"/>
          <w:szCs w:val="20"/>
          <w:color w:val="auto"/>
        </w:rPr>
      </w:pPr>
      <w:r>
        <w:rPr>
          <w:rFonts w:ascii="Arial" w:cs="Arial" w:eastAsia="Arial" w:hAnsi="Arial"/>
          <w:sz w:val="19"/>
          <w:szCs w:val="19"/>
          <w:color w:val="auto"/>
        </w:rPr>
        <w:t>In such a disqualifying disposition, the difference between (1) the fair market value of the Common Stock on the exercise date (the “</w:t>
      </w:r>
      <w:r>
        <w:rPr>
          <w:rFonts w:ascii="Arial" w:cs="Arial" w:eastAsia="Arial" w:hAnsi="Arial"/>
          <w:sz w:val="19"/>
          <w:szCs w:val="19"/>
          <w:b w:val="1"/>
          <w:bCs w:val="1"/>
          <w:i w:val="1"/>
          <w:iCs w:val="1"/>
          <w:color w:val="auto"/>
        </w:rPr>
        <w:t>Exercise Date Value</w:t>
      </w:r>
      <w:r>
        <w:rPr>
          <w:rFonts w:ascii="Arial" w:cs="Arial" w:eastAsia="Arial" w:hAnsi="Arial"/>
          <w:sz w:val="19"/>
          <w:szCs w:val="19"/>
          <w:color w:val="auto"/>
        </w:rPr>
        <w:t>”) and (2) the price at which the Common Stock was purchased (the “</w:t>
      </w:r>
      <w:r>
        <w:rPr>
          <w:rFonts w:ascii="Arial" w:cs="Arial" w:eastAsia="Arial" w:hAnsi="Arial"/>
          <w:sz w:val="19"/>
          <w:szCs w:val="19"/>
          <w:b w:val="1"/>
          <w:bCs w:val="1"/>
          <w:i w:val="1"/>
          <w:iCs w:val="1"/>
          <w:color w:val="auto"/>
        </w:rPr>
        <w:t>Option Price</w:t>
      </w:r>
      <w:r>
        <w:rPr>
          <w:rFonts w:ascii="Arial" w:cs="Arial" w:eastAsia="Arial" w:hAnsi="Arial"/>
          <w:sz w:val="19"/>
          <w:szCs w:val="19"/>
          <w:color w:val="auto"/>
        </w:rPr>
        <w:t>”) will be characterized as ordinary income, and the balance of the gain (if</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US-DOCS\126472695.1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49530</wp:posOffset>
            </wp:positionV>
            <wp:extent cx="7182485" cy="412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75" w:name="page176"/>
    <w:bookmarkEnd w:id="175"/>
    <w:p>
      <w:pPr>
        <w:spacing w:after="0"/>
        <w:rPr>
          <w:sz w:val="20"/>
          <w:szCs w:val="20"/>
          <w:color w:val="auto"/>
        </w:rPr>
      </w:pPr>
      <w:r>
        <w:rPr>
          <w:rFonts w:ascii="Arial" w:cs="Arial" w:eastAsia="Arial" w:hAnsi="Arial"/>
          <w:sz w:val="19"/>
          <w:szCs w:val="19"/>
          <w:color w:val="auto"/>
        </w:rPr>
        <w:t>any)—the difference between the sale price and the Exercise Date Value—will be characterized as capital gain.</w:t>
      </w:r>
    </w:p>
    <w:p>
      <w:pPr>
        <w:spacing w:after="0" w:line="213" w:lineRule="exact"/>
        <w:rPr>
          <w:sz w:val="20"/>
          <w:szCs w:val="20"/>
          <w:color w:val="auto"/>
        </w:rPr>
      </w:pPr>
    </w:p>
    <w:p>
      <w:pPr>
        <w:jc w:val="both"/>
        <w:ind w:firstLine="865"/>
        <w:spacing w:after="0" w:line="241" w:lineRule="auto"/>
        <w:rPr>
          <w:sz w:val="20"/>
          <w:szCs w:val="20"/>
          <w:color w:val="auto"/>
        </w:rPr>
      </w:pPr>
      <w:r>
        <w:rPr>
          <w:rFonts w:ascii="Arial" w:cs="Arial" w:eastAsia="Arial" w:hAnsi="Arial"/>
          <w:sz w:val="19"/>
          <w:szCs w:val="19"/>
          <w:color w:val="auto"/>
        </w:rPr>
        <w:t>If you sell or otherwise dispose of the Common Stock in a disqualifying disposition for an amount less than the Exercise Date Value, you generally will be deemed to have received ordinary income equal to the difference between the Exercise Date Value and the Option Price, as described above. However, you generally will be able to report a capital loss equal to the difference between the sale price in the disqualifying disposition and the Exercise Date Value. Thus, you will have ordinary income and a capital loss in the same year, and you may not be able to offset fully the income with the loss.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Qualifying Disposition</w:t>
      </w:r>
    </w:p>
    <w:p>
      <w:pPr>
        <w:spacing w:after="0" w:line="208" w:lineRule="exact"/>
        <w:rPr>
          <w:sz w:val="20"/>
          <w:szCs w:val="20"/>
          <w:color w:val="auto"/>
        </w:rPr>
      </w:pPr>
    </w:p>
    <w:p>
      <w:pPr>
        <w:jc w:val="both"/>
        <w:ind w:firstLine="865"/>
        <w:spacing w:after="0" w:line="261" w:lineRule="auto"/>
        <w:rPr>
          <w:sz w:val="20"/>
          <w:szCs w:val="20"/>
          <w:color w:val="auto"/>
        </w:rPr>
      </w:pPr>
      <w:r>
        <w:rPr>
          <w:rFonts w:ascii="Arial" w:cs="Arial" w:eastAsia="Arial" w:hAnsi="Arial"/>
          <w:sz w:val="19"/>
          <w:szCs w:val="19"/>
          <w:color w:val="auto"/>
        </w:rPr>
        <w:t xml:space="preserve">Generally, if you transfer your Common Stock in a qualifying disposition </w:t>
      </w:r>
      <w:r>
        <w:rPr>
          <w:rFonts w:ascii="Arial" w:cs="Arial" w:eastAsia="Arial" w:hAnsi="Arial"/>
          <w:sz w:val="19"/>
          <w:szCs w:val="19"/>
          <w:i w:val="1"/>
          <w:iCs w:val="1"/>
          <w:color w:val="auto"/>
        </w:rPr>
        <w:t>(i.e</w:t>
      </w:r>
      <w:r>
        <w:rPr>
          <w:rFonts w:ascii="Arial" w:cs="Arial" w:eastAsia="Arial" w:hAnsi="Arial"/>
          <w:sz w:val="19"/>
          <w:szCs w:val="19"/>
          <w:color w:val="auto"/>
        </w:rPr>
        <w:t xml:space="preserve">., after expiration of both time periods described above for a disqualifying disposition), or if you die while owning the Common Stock, then any gain will be characterized as ordinary income only to the extent of the </w:t>
      </w:r>
      <w:r>
        <w:rPr>
          <w:rFonts w:ascii="Arial" w:cs="Arial" w:eastAsia="Arial" w:hAnsi="Arial"/>
          <w:sz w:val="19"/>
          <w:szCs w:val="19"/>
          <w:i w:val="1"/>
          <w:iCs w:val="1"/>
          <w:color w:val="auto"/>
        </w:rPr>
        <w:t>lesser</w:t>
      </w:r>
      <w:r>
        <w:rPr>
          <w:rFonts w:ascii="Arial" w:cs="Arial" w:eastAsia="Arial" w:hAnsi="Arial"/>
          <w:sz w:val="19"/>
          <w:szCs w:val="19"/>
          <w:color w:val="auto"/>
        </w:rPr>
        <w:t xml:space="preserve"> of the gain recognized on the qualifying disposition or an amount equal to the applicable discount from the fair market value of the Common Stock on the first day of the Offering Period in which you purchased the Common Stock. Any recognized gain in excess of the amount characterized as ordinary income will be treated as long-term capital gain.</w:t>
      </w:r>
    </w:p>
    <w:p>
      <w:pPr>
        <w:spacing w:after="0" w:line="168" w:lineRule="exact"/>
        <w:rPr>
          <w:sz w:val="20"/>
          <w:szCs w:val="20"/>
          <w:color w:val="auto"/>
        </w:rPr>
      </w:pPr>
    </w:p>
    <w:p>
      <w:pPr>
        <w:jc w:val="both"/>
        <w:ind w:firstLine="865"/>
        <w:spacing w:after="0" w:line="268" w:lineRule="auto"/>
        <w:rPr>
          <w:sz w:val="20"/>
          <w:szCs w:val="20"/>
          <w:color w:val="auto"/>
        </w:rPr>
      </w:pPr>
      <w:r>
        <w:rPr>
          <w:rFonts w:ascii="Arial" w:cs="Arial" w:eastAsia="Arial" w:hAnsi="Arial"/>
          <w:sz w:val="20"/>
          <w:szCs w:val="20"/>
          <w:color w:val="auto"/>
        </w:rPr>
        <w:t>If you make a qualifying disposition that results in a loss, there will be no recognition of ordinary income and you will have a long-term capital loss equal to the difference between the sale price in the qualifying disposition and the Option Price.</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Disposition of Stock for Tax Purposes</w:t>
      </w:r>
    </w:p>
    <w:p>
      <w:pPr>
        <w:spacing w:after="0" w:line="213" w:lineRule="exact"/>
        <w:rPr>
          <w:sz w:val="20"/>
          <w:szCs w:val="20"/>
          <w:color w:val="auto"/>
        </w:rPr>
      </w:pPr>
    </w:p>
    <w:p>
      <w:pPr>
        <w:jc w:val="both"/>
        <w:ind w:firstLine="865"/>
        <w:spacing w:after="0" w:line="247" w:lineRule="auto"/>
        <w:rPr>
          <w:sz w:val="20"/>
          <w:szCs w:val="20"/>
          <w:color w:val="auto"/>
        </w:rPr>
      </w:pPr>
      <w:r>
        <w:rPr>
          <w:rFonts w:ascii="Arial" w:cs="Arial" w:eastAsia="Arial" w:hAnsi="Arial"/>
          <w:sz w:val="19"/>
          <w:szCs w:val="19"/>
          <w:color w:val="auto"/>
        </w:rPr>
        <w:t>A disposition generally includes any sale, exchange, gift or transfer of legal title. Certain transactions are excluded, including a pledge or a transfer by bequest or inheritance, or certain transfers to a spouse or former spouse incident to a divorce. As this is a complicated area, you should consult your tax advisor for the consequences of your disposition of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Company’s Deduction</w:t>
      </w:r>
    </w:p>
    <w:p>
      <w:pPr>
        <w:spacing w:after="0" w:line="213"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9"/>
          <w:szCs w:val="19"/>
          <w:color w:val="auto"/>
        </w:rPr>
        <w:t>The Company (or any subsidiary of the Company that employs you) is entitled to a tax deduction only to the extent that you recognize ordinary income.</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Tax Consequences</w:t>
      </w:r>
    </w:p>
    <w:p>
      <w:pPr>
        <w:spacing w:after="0" w:line="213"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9"/>
          <w:szCs w:val="19"/>
          <w:color w:val="auto"/>
        </w:rPr>
        <w:t>The Company will be entitled to deduct from other compensation payable to you of any sums required by federal, state or other tax law to be withheld with respect to the purchase of Common Stock under the Plan or any sale of such Common Stock.</w:t>
      </w:r>
    </w:p>
    <w:p>
      <w:pPr>
        <w:spacing w:after="0" w:line="179" w:lineRule="exact"/>
        <w:rPr>
          <w:sz w:val="20"/>
          <w:szCs w:val="20"/>
          <w:color w:val="auto"/>
        </w:rPr>
      </w:pPr>
    </w:p>
    <w:p>
      <w:pPr>
        <w:jc w:val="both"/>
        <w:ind w:firstLine="865"/>
        <w:spacing w:after="0" w:line="316" w:lineRule="auto"/>
        <w:rPr>
          <w:sz w:val="20"/>
          <w:szCs w:val="20"/>
          <w:color w:val="auto"/>
        </w:rPr>
      </w:pPr>
      <w:r>
        <w:rPr>
          <w:rFonts w:ascii="Arial" w:cs="Arial" w:eastAsia="Arial" w:hAnsi="Arial"/>
          <w:sz w:val="17"/>
          <w:szCs w:val="17"/>
          <w:color w:val="auto"/>
        </w:rPr>
        <w:t>The Company recommends that you consult your personal tax advisors with respect to the federal, foreign (if applicable), state and local tax aspects of rights granted under the Plan, the exercise of such rights and any subsequent dispositions of Common Stock acquired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US-DOCS\126472695.1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49530</wp:posOffset>
            </wp:positionV>
            <wp:extent cx="7182485" cy="412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4">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76" w:name="page177"/>
    <w:bookmarkEnd w:id="176"/>
    <w:p>
      <w:pPr>
        <w:ind w:left="1660"/>
        <w:spacing w:after="0"/>
        <w:rPr>
          <w:sz w:val="20"/>
          <w:szCs w:val="20"/>
          <w:color w:val="auto"/>
        </w:rPr>
      </w:pPr>
      <w:r>
        <w:rPr>
          <w:rFonts w:ascii="Arial" w:cs="Arial" w:eastAsia="Arial" w:hAnsi="Arial"/>
          <w:sz w:val="19"/>
          <w:szCs w:val="19"/>
          <w:b w:val="1"/>
          <w:bCs w:val="1"/>
          <w:color w:val="auto"/>
        </w:rPr>
        <w:t>ADDENDUM REGARDING CERTAIN NON-UNITED STATES TAX CONSEQUENCES</w:t>
      </w:r>
    </w:p>
    <w:p>
      <w:pPr>
        <w:spacing w:after="0" w:line="204" w:lineRule="exact"/>
        <w:rPr>
          <w:sz w:val="20"/>
          <w:szCs w:val="20"/>
          <w:color w:val="auto"/>
        </w:rPr>
      </w:pPr>
    </w:p>
    <w:p>
      <w:pPr>
        <w:jc w:val="both"/>
        <w:ind w:firstLine="865"/>
        <w:spacing w:after="0" w:line="254" w:lineRule="auto"/>
        <w:rPr>
          <w:sz w:val="20"/>
          <w:szCs w:val="20"/>
          <w:color w:val="auto"/>
        </w:rPr>
      </w:pPr>
      <w:r>
        <w:rPr>
          <w:rFonts w:ascii="Arial" w:cs="Arial" w:eastAsia="Arial" w:hAnsi="Arial"/>
          <w:sz w:val="18"/>
          <w:szCs w:val="18"/>
          <w:color w:val="auto"/>
        </w:rPr>
        <w:t>The following is a general summary under current law of the material income tax consequences to certain foreign (outside of the United States) tax-resident participants in the Plan. This summary deals with general tax principles that apply and is provided only for general information. Tax laws are complex and subject to change and may vary depending upon individual circumstances and from locality to locality. This Addendum does not discuss all aspects of income taxation that may be relevant to participants in light of their personal investment circumstances. This Addendum is not intended to address the tax implications for participants who work in more than one country over the period between grant and exercise of rights under the Plan. Additionally, some aspects of the tax consequences on rights granted under the Plan are dependent on the relationship between the Company and its local subsidiary located in the country in which you reside. This relationship may change in the future and this information therefore may be subject to change.</w:t>
      </w:r>
    </w:p>
    <w:p>
      <w:pPr>
        <w:spacing w:after="0" w:line="187"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9"/>
          <w:szCs w:val="19"/>
          <w:color w:val="auto"/>
        </w:rPr>
        <w:t>This summarized tax information is not tax advice. You are advised to consult your own advisor as to the specific tax consequences of participating in the Plan.</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BAHRAIN</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Grant of Option</w:t>
      </w:r>
    </w:p>
    <w:p>
      <w:pPr>
        <w:spacing w:after="0" w:line="98"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9"/>
          <w:szCs w:val="19"/>
          <w:color w:val="auto"/>
        </w:rPr>
        <w:t>You will generally not recognize taxable income on the date we grant a purchase right to you under the Plan (</w:t>
      </w:r>
      <w:r>
        <w:rPr>
          <w:rFonts w:ascii="Arial" w:cs="Arial" w:eastAsia="Arial" w:hAnsi="Arial"/>
          <w:sz w:val="19"/>
          <w:szCs w:val="19"/>
          <w:i w:val="1"/>
          <w:iCs w:val="1"/>
          <w:color w:val="auto"/>
        </w:rPr>
        <w:t>i.e.</w:t>
      </w:r>
      <w:r>
        <w:rPr>
          <w:rFonts w:ascii="Arial" w:cs="Arial" w:eastAsia="Arial" w:hAnsi="Arial"/>
          <w:sz w:val="19"/>
          <w:szCs w:val="19"/>
          <w:color w:val="auto"/>
        </w:rPr>
        <w:t>, the first trading day of the offering period), nor will we be entitled to a deduction at that time.</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Exercise of Option</w:t>
      </w:r>
    </w:p>
    <w:p>
      <w:pPr>
        <w:spacing w:after="0" w:line="213" w:lineRule="exact"/>
        <w:rPr>
          <w:sz w:val="20"/>
          <w:szCs w:val="20"/>
          <w:color w:val="auto"/>
        </w:rPr>
      </w:pPr>
    </w:p>
    <w:p>
      <w:pPr>
        <w:jc w:val="both"/>
        <w:ind w:firstLine="865"/>
        <w:spacing w:after="0" w:line="243" w:lineRule="auto"/>
        <w:rPr>
          <w:sz w:val="20"/>
          <w:szCs w:val="20"/>
          <w:color w:val="auto"/>
        </w:rPr>
      </w:pPr>
      <w:r>
        <w:rPr>
          <w:rFonts w:ascii="Arial" w:cs="Arial" w:eastAsia="Arial" w:hAnsi="Arial"/>
          <w:sz w:val="19"/>
          <w:szCs w:val="19"/>
          <w:color w:val="auto"/>
        </w:rPr>
        <w:t>You most likely will not recognize taxable income on the date you exercise a purchase right (</w:t>
      </w:r>
      <w:r>
        <w:rPr>
          <w:rFonts w:ascii="Arial" w:cs="Arial" w:eastAsia="Arial" w:hAnsi="Arial"/>
          <w:sz w:val="19"/>
          <w:szCs w:val="19"/>
          <w:i w:val="1"/>
          <w:iCs w:val="1"/>
          <w:color w:val="auto"/>
        </w:rPr>
        <w:t>i.e.,</w:t>
      </w:r>
      <w:r>
        <w:rPr>
          <w:rFonts w:ascii="Arial" w:cs="Arial" w:eastAsia="Arial" w:hAnsi="Arial"/>
          <w:sz w:val="19"/>
          <w:szCs w:val="19"/>
          <w:color w:val="auto"/>
        </w:rPr>
        <w:t xml:space="preserve"> the last trading day of each offering period) as, generally, income tax does not apply to the purchase right. At the time of exercise of the purchase rights, it is unclear (although unlikely) whether you will be subject to social insurance contributions as your equity award is not part of your salary on the difference (or spread) between the fair market value of the shares on the date of exercise and the purchase price.</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Tax Payment and Filing Obligations</w:t>
      </w:r>
    </w:p>
    <w:p>
      <w:pPr>
        <w:spacing w:after="0" w:line="9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Assuming income tax does not apply to your purchase of the shares, you are not required to report anything on your tax returns.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Subsequent Sale of Common Stock</w:t>
      </w:r>
    </w:p>
    <w:p>
      <w:pPr>
        <w:spacing w:after="0" w:line="213" w:lineRule="exact"/>
        <w:rPr>
          <w:sz w:val="20"/>
          <w:szCs w:val="20"/>
          <w:color w:val="auto"/>
        </w:rPr>
      </w:pPr>
    </w:p>
    <w:p>
      <w:pPr>
        <w:ind w:left="860"/>
        <w:spacing w:after="0"/>
        <w:rPr>
          <w:sz w:val="20"/>
          <w:szCs w:val="20"/>
          <w:color w:val="auto"/>
        </w:rPr>
      </w:pPr>
      <w:r>
        <w:rPr>
          <w:rFonts w:ascii="Arial" w:cs="Arial" w:eastAsia="Arial" w:hAnsi="Arial"/>
          <w:sz w:val="19"/>
          <w:szCs w:val="19"/>
          <w:color w:val="auto"/>
        </w:rPr>
        <w:t>Any subsequent sale of the shares of Common Stock will, in general, not be subject to any additional tax.</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Deduction</w:t>
      </w:r>
    </w:p>
    <w:p>
      <w:pPr>
        <w:spacing w:after="0" w:line="213" w:lineRule="exact"/>
        <w:rPr>
          <w:sz w:val="20"/>
          <w:szCs w:val="20"/>
          <w:color w:val="auto"/>
        </w:rPr>
      </w:pPr>
    </w:p>
    <w:p>
      <w:pPr>
        <w:ind w:left="860"/>
        <w:spacing w:after="0"/>
        <w:rPr>
          <w:sz w:val="20"/>
          <w:szCs w:val="20"/>
          <w:color w:val="auto"/>
        </w:rPr>
      </w:pPr>
      <w:r>
        <w:rPr>
          <w:rFonts w:ascii="Arial" w:cs="Arial" w:eastAsia="Arial" w:hAnsi="Arial"/>
          <w:sz w:val="17"/>
          <w:szCs w:val="17"/>
          <w:color w:val="auto"/>
        </w:rPr>
        <w:t>In most cases, no income tax applies to the purchase rights, so the Company and your local subsidiary are not entitled to any deductions.</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Company Reporting Obligations</w:t>
      </w:r>
    </w:p>
    <w:p>
      <w:pPr>
        <w:spacing w:after="0" w:line="98" w:lineRule="exact"/>
        <w:rPr>
          <w:sz w:val="20"/>
          <w:szCs w:val="20"/>
          <w:color w:val="auto"/>
        </w:rPr>
      </w:pPr>
    </w:p>
    <w:p>
      <w:pPr>
        <w:jc w:val="both"/>
        <w:ind w:firstLine="865"/>
        <w:spacing w:after="0" w:line="247" w:lineRule="auto"/>
        <w:rPr>
          <w:sz w:val="20"/>
          <w:szCs w:val="20"/>
          <w:color w:val="auto"/>
        </w:rPr>
      </w:pPr>
      <w:r>
        <w:rPr>
          <w:rFonts w:ascii="Arial" w:cs="Arial" w:eastAsia="Arial" w:hAnsi="Arial"/>
          <w:sz w:val="19"/>
          <w:szCs w:val="19"/>
          <w:color w:val="auto"/>
        </w:rPr>
        <w:t>To the extent you recognize taxable income for the discount you receive when you purchase shares, we are required to report each time purchase rights are exercised, however, it is unlikely income tax will be recognized by you, so withholding and reporting by the Company is unlikely to be required.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US-DOCS\126472695.1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49530</wp:posOffset>
            </wp:positionV>
            <wp:extent cx="7182485" cy="412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77" w:name="page178"/>
    <w:bookmarkEnd w:id="177"/>
    <w:p>
      <w:pPr>
        <w:spacing w:after="0"/>
        <w:rPr>
          <w:sz w:val="20"/>
          <w:szCs w:val="20"/>
          <w:color w:val="auto"/>
        </w:rPr>
      </w:pPr>
      <w:r>
        <w:rPr>
          <w:rFonts w:ascii="Arial" w:cs="Arial" w:eastAsia="Arial" w:hAnsi="Arial"/>
          <w:sz w:val="19"/>
          <w:szCs w:val="19"/>
          <w:b w:val="1"/>
          <w:bCs w:val="1"/>
          <w:u w:val="single" w:color="auto"/>
          <w:color w:val="auto"/>
        </w:rPr>
        <w:t>CANADA</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Nature of Plan</w:t>
      </w:r>
    </w:p>
    <w:p>
      <w:pPr>
        <w:spacing w:after="0" w:line="213" w:lineRule="exact"/>
        <w:rPr>
          <w:sz w:val="20"/>
          <w:szCs w:val="20"/>
          <w:color w:val="auto"/>
        </w:rPr>
      </w:pPr>
    </w:p>
    <w:p>
      <w:pPr>
        <w:ind w:right="200" w:firstLine="859"/>
        <w:spacing w:after="0" w:line="257" w:lineRule="auto"/>
        <w:rPr>
          <w:sz w:val="20"/>
          <w:szCs w:val="20"/>
          <w:color w:val="auto"/>
        </w:rPr>
      </w:pPr>
      <w:r>
        <w:rPr>
          <w:rFonts w:ascii="Arial" w:cs="Arial" w:eastAsia="Arial" w:hAnsi="Arial"/>
          <w:sz w:val="19"/>
          <w:szCs w:val="19"/>
          <w:color w:val="auto"/>
        </w:rPr>
        <w:t>The Plan is an employee stock purchase plan or “ESPP”. For greater certainty, it should be noted that the Plan will be treated as an ESPP in Canada regardless of the references in the Plan to the grant of “options”.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Grant of Option</w:t>
      </w:r>
    </w:p>
    <w:p>
      <w:pPr>
        <w:spacing w:after="0" w:line="213" w:lineRule="exact"/>
        <w:rPr>
          <w:sz w:val="20"/>
          <w:szCs w:val="20"/>
          <w:color w:val="auto"/>
        </w:rPr>
      </w:pPr>
    </w:p>
    <w:p>
      <w:pPr>
        <w:ind w:right="500" w:firstLine="865"/>
        <w:spacing w:after="0" w:line="257" w:lineRule="auto"/>
        <w:rPr>
          <w:sz w:val="20"/>
          <w:szCs w:val="20"/>
          <w:color w:val="auto"/>
        </w:rPr>
      </w:pPr>
      <w:r>
        <w:rPr>
          <w:rFonts w:ascii="Arial" w:cs="Arial" w:eastAsia="Arial" w:hAnsi="Arial"/>
          <w:sz w:val="19"/>
          <w:szCs w:val="19"/>
          <w:color w:val="auto"/>
        </w:rPr>
        <w:t>You will generally not recognize taxable income on grant of an option to you under the Plan (</w:t>
      </w:r>
      <w:r>
        <w:rPr>
          <w:rFonts w:ascii="Arial" w:cs="Arial" w:eastAsia="Arial" w:hAnsi="Arial"/>
          <w:sz w:val="19"/>
          <w:szCs w:val="19"/>
          <w:i w:val="1"/>
          <w:iCs w:val="1"/>
          <w:color w:val="auto"/>
        </w:rPr>
        <w:t>i.e.</w:t>
      </w:r>
      <w:r>
        <w:rPr>
          <w:rFonts w:ascii="Arial" w:cs="Arial" w:eastAsia="Arial" w:hAnsi="Arial"/>
          <w:sz w:val="19"/>
          <w:szCs w:val="19"/>
          <w:color w:val="auto"/>
        </w:rPr>
        <w:t>, the first trading day of the offering period), nor will we be entitled to a deduction at that time.</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Exercise of Option</w:t>
      </w:r>
    </w:p>
    <w:p>
      <w:pPr>
        <w:spacing w:after="0" w:line="213" w:lineRule="exact"/>
        <w:rPr>
          <w:sz w:val="20"/>
          <w:szCs w:val="20"/>
          <w:color w:val="auto"/>
        </w:rPr>
      </w:pPr>
    </w:p>
    <w:p>
      <w:pPr>
        <w:ind w:left="860"/>
        <w:spacing w:after="0"/>
        <w:rPr>
          <w:sz w:val="20"/>
          <w:szCs w:val="20"/>
          <w:color w:val="auto"/>
        </w:rPr>
      </w:pPr>
      <w:r>
        <w:rPr>
          <w:rFonts w:ascii="Arial" w:cs="Arial" w:eastAsia="Arial" w:hAnsi="Arial"/>
          <w:sz w:val="17"/>
          <w:szCs w:val="17"/>
          <w:color w:val="auto"/>
        </w:rPr>
        <w:t>You will generally recognize taxable income on the date you exercise the purchase right (</w:t>
      </w:r>
      <w:r>
        <w:rPr>
          <w:rFonts w:ascii="Arial" w:cs="Arial" w:eastAsia="Arial" w:hAnsi="Arial"/>
          <w:sz w:val="17"/>
          <w:szCs w:val="17"/>
          <w:i w:val="1"/>
          <w:iCs w:val="1"/>
          <w:color w:val="auto"/>
        </w:rPr>
        <w:t>i.e.</w:t>
      </w:r>
      <w:r>
        <w:rPr>
          <w:rFonts w:ascii="Arial" w:cs="Arial" w:eastAsia="Arial" w:hAnsi="Arial"/>
          <w:sz w:val="17"/>
          <w:szCs w:val="17"/>
          <w:color w:val="auto"/>
        </w:rPr>
        <w:t>, the last trading day of each offering period)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 an amount equal to the difference between the market value of the shares of Common Stock on that day and the exercise price (</w:t>
      </w:r>
      <w:r>
        <w:rPr>
          <w:rFonts w:ascii="Arial" w:cs="Arial" w:eastAsia="Arial" w:hAnsi="Arial"/>
          <w:sz w:val="18"/>
          <w:szCs w:val="18"/>
          <w:i w:val="1"/>
          <w:iCs w:val="1"/>
          <w:color w:val="auto"/>
        </w:rPr>
        <w:t>i.e.</w:t>
      </w:r>
      <w:r>
        <w:rPr>
          <w:rFonts w:ascii="Arial" w:cs="Arial" w:eastAsia="Arial" w:hAnsi="Arial"/>
          <w:sz w:val="18"/>
          <w:szCs w:val="18"/>
          <w:color w:val="auto"/>
        </w:rPr>
        <w:t>,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discount). You will also be subject to Canada Pension Plan (“</w:t>
      </w:r>
      <w:r>
        <w:rPr>
          <w:rFonts w:ascii="Arial" w:cs="Arial" w:eastAsia="Arial" w:hAnsi="Arial"/>
          <w:sz w:val="17"/>
          <w:szCs w:val="17"/>
          <w:b w:val="1"/>
          <w:bCs w:val="1"/>
          <w:i w:val="1"/>
          <w:iCs w:val="1"/>
          <w:color w:val="auto"/>
        </w:rPr>
        <w:t>CPP</w:t>
      </w:r>
      <w:r>
        <w:rPr>
          <w:rFonts w:ascii="Arial" w:cs="Arial" w:eastAsia="Arial" w:hAnsi="Arial"/>
          <w:sz w:val="17"/>
          <w:szCs w:val="17"/>
          <w:color w:val="auto"/>
        </w:rPr>
        <w:t>”) contributions on this amount (to the extent the annual limit has not been reached)</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and other applicable payroll taxes.</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Tax Payment and Filing Obligations</w:t>
      </w:r>
    </w:p>
    <w:p>
      <w:pPr>
        <w:spacing w:after="0" w:line="98" w:lineRule="exact"/>
        <w:rPr>
          <w:sz w:val="20"/>
          <w:szCs w:val="20"/>
          <w:color w:val="auto"/>
        </w:rPr>
      </w:pPr>
    </w:p>
    <w:p>
      <w:pPr>
        <w:ind w:right="140" w:firstLine="865"/>
        <w:spacing w:after="0" w:line="330" w:lineRule="auto"/>
        <w:rPr>
          <w:sz w:val="20"/>
          <w:szCs w:val="20"/>
          <w:color w:val="auto"/>
        </w:rPr>
      </w:pPr>
      <w:r>
        <w:rPr>
          <w:rFonts w:ascii="Arial" w:cs="Arial" w:eastAsia="Arial" w:hAnsi="Arial"/>
          <w:sz w:val="15"/>
          <w:szCs w:val="15"/>
          <w:color w:val="auto"/>
        </w:rPr>
        <w:t>Prior to the exercise date of the purchase right under the Plan (i.e., the last trading day of each offering period), you must make arrangements satisfactory to your employer, including your payment in cash, to satisfy any tax withholding obligations and CPP contributions (to the extent the annual limit has not been reached) that arise under applicable law with respect to the exercise of the purchase rights. Your employer may withhold income tax and other statutory deductions from other amounts payable to you. Different deductions will apply if options are settled in cash.</w:t>
      </w:r>
    </w:p>
    <w:p>
      <w:pPr>
        <w:spacing w:after="0" w:line="129" w:lineRule="exact"/>
        <w:rPr>
          <w:sz w:val="20"/>
          <w:szCs w:val="20"/>
          <w:color w:val="auto"/>
        </w:rPr>
      </w:pPr>
    </w:p>
    <w:p>
      <w:pPr>
        <w:ind w:firstLine="433"/>
        <w:spacing w:after="0" w:line="247" w:lineRule="auto"/>
        <w:rPr>
          <w:sz w:val="20"/>
          <w:szCs w:val="20"/>
          <w:color w:val="auto"/>
        </w:rPr>
      </w:pPr>
      <w:r>
        <w:rPr>
          <w:rFonts w:ascii="Arial" w:cs="Arial" w:eastAsia="Arial" w:hAnsi="Arial"/>
          <w:sz w:val="19"/>
          <w:szCs w:val="19"/>
          <w:color w:val="auto"/>
        </w:rPr>
        <w:t>In addition, the amount of your taxable income will be reported to the Canada Revenue Agency on the exercise date of the purchase right. These amounts will also be reflected on the T4 slip that will be filed with the Canada Revenue Agency, with a copy given to you, before the last day of February following the year in which the taxable event takes place.</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Subsequent Sale of Common Stock</w:t>
      </w:r>
    </w:p>
    <w:p>
      <w:pPr>
        <w:spacing w:after="0" w:line="213" w:lineRule="exact"/>
        <w:rPr>
          <w:sz w:val="20"/>
          <w:szCs w:val="20"/>
          <w:color w:val="auto"/>
        </w:rPr>
      </w:pPr>
    </w:p>
    <w:p>
      <w:pPr>
        <w:ind w:right="80" w:firstLine="430"/>
        <w:spacing w:after="0"/>
        <w:rPr>
          <w:sz w:val="20"/>
          <w:szCs w:val="20"/>
          <w:color w:val="auto"/>
        </w:rPr>
      </w:pPr>
      <w:r>
        <w:rPr>
          <w:rFonts w:ascii="Arial" w:cs="Arial" w:eastAsia="Arial" w:hAnsi="Arial"/>
          <w:sz w:val="19"/>
          <w:szCs w:val="19"/>
          <w:color w:val="auto"/>
        </w:rPr>
        <w:t>If you later sell shares acquired under the Non-423 Plan, you will realize a capital gain (or loss) on the difference between the proceeds you receive from the sale of shares acquired in connection with the Plan and your adjusted cost basis in the shares (generally the fair market value of the shares on the acquisition date, plus any brokerage fees, converted into Canadian dollars at a rate acceptable to the Canada Revenue Agency). You will be subject to income tax at your marginal income tax rate on one-half of any capital gains realized. One-half of any loss arising on the sale of the shares (including any brokerage fees) may be deducted from any taxable capital gain for the year, the previous three taxation years or any subsequent year.</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9"/>
          <w:szCs w:val="19"/>
          <w:color w:val="auto"/>
        </w:rPr>
        <w:t>It your responsibility to report and pay any taxes resulting from the sale of shares.</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Deduction</w:t>
      </w:r>
    </w:p>
    <w:p>
      <w:pPr>
        <w:spacing w:after="0" w:line="98" w:lineRule="exact"/>
        <w:rPr>
          <w:sz w:val="20"/>
          <w:szCs w:val="20"/>
          <w:color w:val="auto"/>
        </w:rPr>
      </w:pPr>
    </w:p>
    <w:p>
      <w:pPr>
        <w:ind w:left="860"/>
        <w:spacing w:after="0"/>
        <w:rPr>
          <w:sz w:val="20"/>
          <w:szCs w:val="20"/>
          <w:color w:val="auto"/>
        </w:rPr>
      </w:pPr>
      <w:r>
        <w:rPr>
          <w:rFonts w:ascii="Arial" w:cs="Arial" w:eastAsia="Arial" w:hAnsi="Arial"/>
          <w:sz w:val="17"/>
          <w:szCs w:val="17"/>
          <w:color w:val="auto"/>
        </w:rPr>
        <w:t>Your employer will generally be not entitled to a tax deduction for stock-settled awards, subject to prescribed legal requirements for</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deduction.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US-DOCS\126472695.1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49530</wp:posOffset>
            </wp:positionV>
            <wp:extent cx="7182485" cy="412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6">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20"/>
          </w:cols>
          <w:pgMar w:left="320" w:top="575" w:right="359" w:bottom="1440" w:gutter="0" w:footer="0" w:header="0"/>
        </w:sectPr>
      </w:pPr>
    </w:p>
    <w:bookmarkStart w:id="178" w:name="page179"/>
    <w:bookmarkEnd w:id="178"/>
    <w:p>
      <w:pPr>
        <w:spacing w:after="0"/>
        <w:rPr>
          <w:sz w:val="20"/>
          <w:szCs w:val="20"/>
          <w:color w:val="auto"/>
        </w:rPr>
      </w:pPr>
      <w:r>
        <w:rPr>
          <w:rFonts w:ascii="Arial" w:cs="Arial" w:eastAsia="Arial" w:hAnsi="Arial"/>
          <w:sz w:val="19"/>
          <w:szCs w:val="19"/>
          <w:b w:val="1"/>
          <w:bCs w:val="1"/>
          <w:i w:val="1"/>
          <w:iCs w:val="1"/>
          <w:color w:val="auto"/>
        </w:rPr>
        <w:t>Company Reporting Obligations</w:t>
      </w:r>
    </w:p>
    <w:p>
      <w:pPr>
        <w:spacing w:after="0" w:line="98" w:lineRule="exact"/>
        <w:rPr>
          <w:sz w:val="20"/>
          <w:szCs w:val="20"/>
          <w:color w:val="auto"/>
        </w:rPr>
      </w:pPr>
    </w:p>
    <w:p>
      <w:pPr>
        <w:jc w:val="both"/>
        <w:ind w:firstLine="865"/>
        <w:spacing w:after="0" w:line="247" w:lineRule="auto"/>
        <w:rPr>
          <w:sz w:val="20"/>
          <w:szCs w:val="20"/>
          <w:color w:val="auto"/>
        </w:rPr>
      </w:pPr>
      <w:r>
        <w:rPr>
          <w:rFonts w:ascii="Arial" w:cs="Arial" w:eastAsia="Arial" w:hAnsi="Arial"/>
          <w:sz w:val="19"/>
          <w:szCs w:val="19"/>
          <w:color w:val="auto"/>
        </w:rPr>
        <w:t xml:space="preserve">We are obligated to report all income and taxable benefits you receive during a calendar year and are committed to meeting our reporting and withholding obligations under the </w:t>
      </w:r>
      <w:r>
        <w:rPr>
          <w:rFonts w:ascii="Arial" w:cs="Arial" w:eastAsia="Arial" w:hAnsi="Arial"/>
          <w:sz w:val="19"/>
          <w:szCs w:val="19"/>
          <w:i w:val="1"/>
          <w:iCs w:val="1"/>
          <w:color w:val="auto"/>
        </w:rPr>
        <w:t>Income Tax Act</w:t>
      </w:r>
      <w:r>
        <w:rPr>
          <w:rFonts w:ascii="Arial" w:cs="Arial" w:eastAsia="Arial" w:hAnsi="Arial"/>
          <w:sz w:val="19"/>
          <w:szCs w:val="19"/>
          <w:color w:val="auto"/>
        </w:rPr>
        <w:t xml:space="preserve"> (Canada). We will notify and file a T4 slip with the Canada Revenue Agency before the last day of February following the year in which you exercise the Purchase Right.</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DENMARK</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Grant of Option</w:t>
      </w:r>
    </w:p>
    <w:p>
      <w:pPr>
        <w:spacing w:after="0" w:line="213"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9"/>
          <w:szCs w:val="19"/>
          <w:color w:val="auto"/>
        </w:rPr>
        <w:t>You will generally not recognize taxable income on the date we grant a purchase right to you under the Plan (</w:t>
      </w:r>
      <w:r>
        <w:rPr>
          <w:rFonts w:ascii="Arial" w:cs="Arial" w:eastAsia="Arial" w:hAnsi="Arial"/>
          <w:sz w:val="19"/>
          <w:szCs w:val="19"/>
          <w:i w:val="1"/>
          <w:iCs w:val="1"/>
          <w:color w:val="auto"/>
        </w:rPr>
        <w:t>i.e.</w:t>
      </w:r>
      <w:r>
        <w:rPr>
          <w:rFonts w:ascii="Arial" w:cs="Arial" w:eastAsia="Arial" w:hAnsi="Arial"/>
          <w:sz w:val="19"/>
          <w:szCs w:val="19"/>
          <w:color w:val="auto"/>
        </w:rPr>
        <w:t>, the first trading day of the offering period), nor will we be entitled to a deduction at that time.</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Exercise of Option</w:t>
      </w:r>
    </w:p>
    <w:p>
      <w:pPr>
        <w:spacing w:after="0" w:line="213" w:lineRule="exact"/>
        <w:rPr>
          <w:sz w:val="20"/>
          <w:szCs w:val="20"/>
          <w:color w:val="auto"/>
        </w:rPr>
      </w:pPr>
    </w:p>
    <w:p>
      <w:pPr>
        <w:jc w:val="both"/>
        <w:ind w:firstLine="865"/>
        <w:spacing w:after="0" w:line="243" w:lineRule="auto"/>
        <w:rPr>
          <w:sz w:val="20"/>
          <w:szCs w:val="20"/>
          <w:color w:val="auto"/>
        </w:rPr>
      </w:pPr>
      <w:r>
        <w:rPr>
          <w:rFonts w:ascii="Arial" w:cs="Arial" w:eastAsia="Arial" w:hAnsi="Arial"/>
          <w:sz w:val="19"/>
          <w:szCs w:val="19"/>
          <w:color w:val="auto"/>
        </w:rPr>
        <w:t>You will recognize taxable income on the date you exercise a purchase right (</w:t>
      </w:r>
      <w:r>
        <w:rPr>
          <w:rFonts w:ascii="Arial" w:cs="Arial" w:eastAsia="Arial" w:hAnsi="Arial"/>
          <w:sz w:val="19"/>
          <w:szCs w:val="19"/>
          <w:i w:val="1"/>
          <w:iCs w:val="1"/>
          <w:color w:val="auto"/>
        </w:rPr>
        <w:t>i.e.,</w:t>
      </w:r>
      <w:r>
        <w:rPr>
          <w:rFonts w:ascii="Arial" w:cs="Arial" w:eastAsia="Arial" w:hAnsi="Arial"/>
          <w:sz w:val="19"/>
          <w:szCs w:val="19"/>
          <w:color w:val="auto"/>
        </w:rPr>
        <w:t xml:space="preserve"> the last trading day of each offering period) an amount equal to the excess of the fair market value of the Common Stock on the date of exercise over the purchase price paid for the shares. Such acquisition of shares of Common Stock will trigger wage tax and social security contributions (to the extent you have not already exceeded the applicable contribution ceiling).</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Tax Payment and Filing Obligations</w:t>
      </w:r>
    </w:p>
    <w:p>
      <w:pPr>
        <w:spacing w:after="0" w:line="213" w:lineRule="exact"/>
        <w:rPr>
          <w:sz w:val="20"/>
          <w:szCs w:val="20"/>
          <w:color w:val="auto"/>
        </w:rPr>
      </w:pPr>
    </w:p>
    <w:p>
      <w:pPr>
        <w:ind w:left="860"/>
        <w:spacing w:after="0"/>
        <w:rPr>
          <w:sz w:val="20"/>
          <w:szCs w:val="20"/>
          <w:color w:val="auto"/>
        </w:rPr>
      </w:pPr>
      <w:r>
        <w:rPr>
          <w:rFonts w:ascii="Arial" w:cs="Arial" w:eastAsia="Arial" w:hAnsi="Arial"/>
          <w:sz w:val="19"/>
          <w:szCs w:val="19"/>
          <w:color w:val="auto"/>
        </w:rPr>
        <w:t>You are required to report any taxable events you have under the Plan.</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Subsequent Sale of Common Stock</w:t>
      </w:r>
    </w:p>
    <w:p>
      <w:pPr>
        <w:spacing w:after="0" w:line="213" w:lineRule="exact"/>
        <w:rPr>
          <w:sz w:val="20"/>
          <w:szCs w:val="20"/>
          <w:color w:val="auto"/>
        </w:rPr>
      </w:pPr>
    </w:p>
    <w:p>
      <w:pPr>
        <w:ind w:left="860"/>
        <w:spacing w:after="0"/>
        <w:rPr>
          <w:sz w:val="20"/>
          <w:szCs w:val="20"/>
          <w:color w:val="auto"/>
        </w:rPr>
      </w:pPr>
      <w:r>
        <w:rPr>
          <w:rFonts w:ascii="Arial" w:cs="Arial" w:eastAsia="Arial" w:hAnsi="Arial"/>
          <w:sz w:val="19"/>
          <w:szCs w:val="19"/>
          <w:color w:val="auto"/>
        </w:rPr>
        <w:t>Any subsequent sale of the shares of Common Stock will, in general, be subject to a separate tax.</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Deduction</w:t>
      </w:r>
    </w:p>
    <w:p>
      <w:pPr>
        <w:spacing w:after="0" w:line="213"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9"/>
          <w:szCs w:val="19"/>
          <w:color w:val="auto"/>
        </w:rPr>
        <w:t xml:space="preserve">A corporation tax deduction will only be available for the local subsidiary if the costs of the arrangement, </w:t>
      </w:r>
      <w:r>
        <w:rPr>
          <w:rFonts w:ascii="Arial" w:cs="Arial" w:eastAsia="Arial" w:hAnsi="Arial"/>
          <w:sz w:val="19"/>
          <w:szCs w:val="19"/>
          <w:i w:val="1"/>
          <w:iCs w:val="1"/>
          <w:color w:val="auto"/>
        </w:rPr>
        <w:t>i.e.</w:t>
      </w:r>
      <w:r>
        <w:rPr>
          <w:rFonts w:ascii="Arial" w:cs="Arial" w:eastAsia="Arial" w:hAnsi="Arial"/>
          <w:sz w:val="19"/>
          <w:szCs w:val="19"/>
          <w:color w:val="auto"/>
        </w:rPr>
        <w:t>, the discount, are recharged to the local subsidiary and documented.</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Company Reporting Obligations</w:t>
      </w:r>
    </w:p>
    <w:p>
      <w:pPr>
        <w:spacing w:after="0" w:line="213"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We have an annual reporting requirement for awards granted under the Plan.</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FRANCE</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Grant of Option</w:t>
      </w:r>
    </w:p>
    <w:p>
      <w:pPr>
        <w:spacing w:after="0" w:line="98"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9"/>
          <w:szCs w:val="19"/>
          <w:color w:val="auto"/>
        </w:rPr>
        <w:t>You will generally not recognize taxable income on the date we grant a purchase right to you under the Plan (</w:t>
      </w:r>
      <w:r>
        <w:rPr>
          <w:rFonts w:ascii="Arial" w:cs="Arial" w:eastAsia="Arial" w:hAnsi="Arial"/>
          <w:sz w:val="19"/>
          <w:szCs w:val="19"/>
          <w:i w:val="1"/>
          <w:iCs w:val="1"/>
          <w:color w:val="auto"/>
        </w:rPr>
        <w:t>i.e.</w:t>
      </w:r>
      <w:r>
        <w:rPr>
          <w:rFonts w:ascii="Arial" w:cs="Arial" w:eastAsia="Arial" w:hAnsi="Arial"/>
          <w:sz w:val="19"/>
          <w:szCs w:val="19"/>
          <w:color w:val="auto"/>
        </w:rPr>
        <w:t>, the first trading day of the offering period), nor will we be entitled to a deduction at that time.</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Exercise of Option</w:t>
      </w:r>
    </w:p>
    <w:p>
      <w:pPr>
        <w:spacing w:after="0" w:line="213" w:lineRule="exact"/>
        <w:rPr>
          <w:sz w:val="20"/>
          <w:szCs w:val="20"/>
          <w:color w:val="auto"/>
        </w:rPr>
      </w:pPr>
    </w:p>
    <w:p>
      <w:pPr>
        <w:jc w:val="both"/>
        <w:ind w:firstLine="865"/>
        <w:spacing w:after="0" w:line="247" w:lineRule="auto"/>
        <w:rPr>
          <w:sz w:val="20"/>
          <w:szCs w:val="20"/>
          <w:color w:val="auto"/>
        </w:rPr>
      </w:pPr>
      <w:r>
        <w:rPr>
          <w:rFonts w:ascii="Arial" w:cs="Arial" w:eastAsia="Arial" w:hAnsi="Arial"/>
          <w:sz w:val="19"/>
          <w:szCs w:val="19"/>
          <w:color w:val="auto"/>
        </w:rPr>
        <w:t>You will recognize taxable income on the date you exercise a purchase right (</w:t>
      </w:r>
      <w:r>
        <w:rPr>
          <w:rFonts w:ascii="Arial" w:cs="Arial" w:eastAsia="Arial" w:hAnsi="Arial"/>
          <w:sz w:val="19"/>
          <w:szCs w:val="19"/>
          <w:i w:val="1"/>
          <w:iCs w:val="1"/>
          <w:color w:val="auto"/>
        </w:rPr>
        <w:t>i.e.,</w:t>
      </w:r>
      <w:r>
        <w:rPr>
          <w:rFonts w:ascii="Arial" w:cs="Arial" w:eastAsia="Arial" w:hAnsi="Arial"/>
          <w:sz w:val="19"/>
          <w:szCs w:val="19"/>
          <w:color w:val="auto"/>
        </w:rPr>
        <w:t xml:space="preserve"> the last trading day of each offering period) an amount equal to the excess of the fair market value of the Common Stock on the date of exercise over the purchase price paid for the shares and be subject to income tax at progressive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US-DOCS\126472695.1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49530</wp:posOffset>
            </wp:positionV>
            <wp:extent cx="7182485" cy="412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7">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79" w:name="page180"/>
    <w:bookmarkEnd w:id="179"/>
    <w:p>
      <w:pPr>
        <w:spacing w:after="0"/>
        <w:rPr>
          <w:sz w:val="20"/>
          <w:szCs w:val="20"/>
          <w:color w:val="auto"/>
        </w:rPr>
      </w:pPr>
      <w:r>
        <w:rPr>
          <w:rFonts w:ascii="Arial" w:cs="Arial" w:eastAsia="Arial" w:hAnsi="Arial"/>
          <w:sz w:val="19"/>
          <w:szCs w:val="19"/>
          <w:color w:val="auto"/>
        </w:rPr>
        <w:t>rates up to 45% plus additional social security contributions. This amount is also subject to withholding by your employer.</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Tax Payment and Filing Obligations</w:t>
      </w:r>
    </w:p>
    <w:p>
      <w:pPr>
        <w:spacing w:after="0" w:line="98"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9"/>
          <w:szCs w:val="19"/>
          <w:color w:val="auto"/>
        </w:rPr>
        <w:t>You are required to report on your annual income tax return (1) any gain you receive on the sale of shares acquired under the Plan and (2) any dividends you receive while holding the shares.</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Subsequent Sale of Shares of Common Stock</w:t>
      </w:r>
    </w:p>
    <w:p>
      <w:pPr>
        <w:spacing w:after="0" w:line="213" w:lineRule="exact"/>
        <w:rPr>
          <w:sz w:val="20"/>
          <w:szCs w:val="20"/>
          <w:color w:val="auto"/>
        </w:rPr>
      </w:pPr>
    </w:p>
    <w:p>
      <w:pPr>
        <w:jc w:val="both"/>
        <w:ind w:firstLine="865"/>
        <w:spacing w:after="0" w:line="267" w:lineRule="auto"/>
        <w:rPr>
          <w:sz w:val="20"/>
          <w:szCs w:val="20"/>
          <w:color w:val="auto"/>
        </w:rPr>
      </w:pPr>
      <w:r>
        <w:rPr>
          <w:rFonts w:ascii="Arial" w:cs="Arial" w:eastAsia="Arial" w:hAnsi="Arial"/>
          <w:sz w:val="18"/>
          <w:szCs w:val="18"/>
          <w:color w:val="auto"/>
        </w:rPr>
        <w:t>Upon the subsequent sale of the shares of Common Stock, you will recognize capital gain subject to income tax at progressive rates up to 45% plus additional social taxes and, if applicable, to the exceptional income tax for high earners at a rate of 3% or 4%. The taxable gain is reduced by a progressive allowance depending on the holding period 50% after two years, 65% after eight years).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Deduction</w:t>
      </w:r>
    </w:p>
    <w:p>
      <w:pPr>
        <w:spacing w:after="0" w:line="213"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9"/>
          <w:szCs w:val="19"/>
          <w:color w:val="auto"/>
        </w:rPr>
        <w:t xml:space="preserve">A corporation tax deduction will be available for the local subsidiary if the costs of the arrangement, </w:t>
      </w:r>
      <w:r>
        <w:rPr>
          <w:rFonts w:ascii="Arial" w:cs="Arial" w:eastAsia="Arial" w:hAnsi="Arial"/>
          <w:sz w:val="19"/>
          <w:szCs w:val="19"/>
          <w:i w:val="1"/>
          <w:iCs w:val="1"/>
          <w:color w:val="auto"/>
        </w:rPr>
        <w:t>i.e.</w:t>
      </w:r>
      <w:r>
        <w:rPr>
          <w:rFonts w:ascii="Arial" w:cs="Arial" w:eastAsia="Arial" w:hAnsi="Arial"/>
          <w:sz w:val="19"/>
          <w:szCs w:val="19"/>
          <w:color w:val="auto"/>
        </w:rPr>
        <w:t>, the discount, are recharged to the local subsidiary.</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Company Reporting Obligations</w:t>
      </w:r>
    </w:p>
    <w:p>
      <w:pPr>
        <w:spacing w:after="0" w:line="98" w:lineRule="exact"/>
        <w:rPr>
          <w:sz w:val="20"/>
          <w:szCs w:val="20"/>
          <w:color w:val="auto"/>
        </w:rPr>
      </w:pPr>
    </w:p>
    <w:p>
      <w:pPr>
        <w:ind w:right="200" w:firstLine="865"/>
        <w:spacing w:after="0" w:line="257" w:lineRule="auto"/>
        <w:rPr>
          <w:sz w:val="20"/>
          <w:szCs w:val="20"/>
          <w:color w:val="auto"/>
        </w:rPr>
      </w:pPr>
      <w:r>
        <w:rPr>
          <w:rFonts w:ascii="Arial" w:cs="Arial" w:eastAsia="Arial" w:hAnsi="Arial"/>
          <w:sz w:val="19"/>
          <w:szCs w:val="19"/>
          <w:color w:val="auto"/>
        </w:rPr>
        <w:t>To the extent you recognize income for the discount you receive when you purchase shares, we are required to report each time purchase rights are exercised, including for each employee the calculation of taxable basis.</w:t>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GERMANY</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Grant of Option</w:t>
      </w:r>
    </w:p>
    <w:p>
      <w:pPr>
        <w:spacing w:after="0" w:line="98"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9"/>
          <w:szCs w:val="19"/>
          <w:color w:val="auto"/>
        </w:rPr>
        <w:t>You will generally not recognize taxable income on the date we grant a purchase right to you under the Plan (</w:t>
      </w:r>
      <w:r>
        <w:rPr>
          <w:rFonts w:ascii="Arial" w:cs="Arial" w:eastAsia="Arial" w:hAnsi="Arial"/>
          <w:sz w:val="19"/>
          <w:szCs w:val="19"/>
          <w:i w:val="1"/>
          <w:iCs w:val="1"/>
          <w:color w:val="auto"/>
        </w:rPr>
        <w:t>i.e.</w:t>
      </w:r>
      <w:r>
        <w:rPr>
          <w:rFonts w:ascii="Arial" w:cs="Arial" w:eastAsia="Arial" w:hAnsi="Arial"/>
          <w:sz w:val="19"/>
          <w:szCs w:val="19"/>
          <w:color w:val="auto"/>
        </w:rPr>
        <w:t>, the first trading day of the offering period), nor will we be entitled to a deduction at that time.</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Exercise of Option</w:t>
      </w:r>
    </w:p>
    <w:p>
      <w:pPr>
        <w:spacing w:after="0" w:line="213" w:lineRule="exact"/>
        <w:rPr>
          <w:sz w:val="20"/>
          <w:szCs w:val="20"/>
          <w:color w:val="auto"/>
        </w:rPr>
      </w:pPr>
    </w:p>
    <w:p>
      <w:pPr>
        <w:jc w:val="both"/>
        <w:ind w:firstLine="865"/>
        <w:spacing w:after="0" w:line="281" w:lineRule="auto"/>
        <w:rPr>
          <w:sz w:val="20"/>
          <w:szCs w:val="20"/>
          <w:color w:val="auto"/>
        </w:rPr>
      </w:pPr>
      <w:r>
        <w:rPr>
          <w:rFonts w:ascii="Arial" w:cs="Arial" w:eastAsia="Arial" w:hAnsi="Arial"/>
          <w:sz w:val="17"/>
          <w:szCs w:val="17"/>
          <w:color w:val="auto"/>
        </w:rPr>
        <w:t>You will recognize taxable income on the date you exercise a purchase right (</w:t>
      </w:r>
      <w:r>
        <w:rPr>
          <w:rFonts w:ascii="Arial" w:cs="Arial" w:eastAsia="Arial" w:hAnsi="Arial"/>
          <w:sz w:val="17"/>
          <w:szCs w:val="17"/>
          <w:i w:val="1"/>
          <w:iCs w:val="1"/>
          <w:color w:val="auto"/>
        </w:rPr>
        <w:t>i.e.,</w:t>
      </w:r>
      <w:r>
        <w:rPr>
          <w:rFonts w:ascii="Arial" w:cs="Arial" w:eastAsia="Arial" w:hAnsi="Arial"/>
          <w:sz w:val="17"/>
          <w:szCs w:val="17"/>
          <w:color w:val="auto"/>
        </w:rPr>
        <w:t xml:space="preserve"> the last trading day of each offering period) an amount equal to the excess of the fair market value of the Common Stock on the date of exercise over the purchase price paid for the shares. Such acquisition of shares of Common Stock will trigger wage tax and social security contributions (to the extent you have not already exceeded the applicable contribution ceiling). This also applies even where you are subject to disposal restrictions for a certain holding period.</w:t>
      </w:r>
    </w:p>
    <w:p>
      <w:pPr>
        <w:spacing w:after="0" w:line="162" w:lineRule="exact"/>
        <w:rPr>
          <w:sz w:val="20"/>
          <w:szCs w:val="20"/>
          <w:color w:val="auto"/>
        </w:rPr>
      </w:pPr>
    </w:p>
    <w:p>
      <w:pPr>
        <w:jc w:val="both"/>
        <w:ind w:firstLine="865"/>
        <w:spacing w:after="0" w:line="243" w:lineRule="auto"/>
        <w:rPr>
          <w:sz w:val="20"/>
          <w:szCs w:val="20"/>
          <w:color w:val="auto"/>
        </w:rPr>
      </w:pPr>
      <w:r>
        <w:rPr>
          <w:rFonts w:ascii="Arial" w:cs="Arial" w:eastAsia="Arial" w:hAnsi="Arial"/>
          <w:sz w:val="19"/>
          <w:szCs w:val="19"/>
          <w:color w:val="auto"/>
        </w:rPr>
        <w:t>Income tax rates vary from 14% to 45%. A 5.5% solidarity surcharge applies on any income tax due by taxpayers. An 8% to 9% charge will also apply on any income tax due by taxpayers who are members of a church eligible to collect church tax. All such taxes and charges will, in principle, be withheld by the employer (local German company) from the gross salary for the month in which the shares have been transferred into the deposit of the employee and become due by the tenth day of the following month.</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Tax Payment and Filing Obligations</w:t>
      </w:r>
    </w:p>
    <w:p>
      <w:pPr>
        <w:spacing w:after="0" w:line="98"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9"/>
          <w:szCs w:val="19"/>
          <w:color w:val="auto"/>
        </w:rPr>
        <w:t>You are required to report on your annual income tax return (1) any gain you receive on the sale of shares acquired under the Plan and (2) any dividends you receive while holding the shares.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US-DOCS\126472695.1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49530</wp:posOffset>
            </wp:positionV>
            <wp:extent cx="7182485" cy="412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80" w:name="page181"/>
    <w:bookmarkEnd w:id="180"/>
    <w:p>
      <w:pPr>
        <w:spacing w:after="0"/>
        <w:rPr>
          <w:sz w:val="20"/>
          <w:szCs w:val="20"/>
          <w:color w:val="auto"/>
        </w:rPr>
      </w:pPr>
      <w:r>
        <w:rPr>
          <w:rFonts w:ascii="Arial" w:cs="Arial" w:eastAsia="Arial" w:hAnsi="Arial"/>
          <w:sz w:val="19"/>
          <w:szCs w:val="19"/>
          <w:b w:val="1"/>
          <w:bCs w:val="1"/>
          <w:i w:val="1"/>
          <w:iCs w:val="1"/>
          <w:color w:val="auto"/>
        </w:rPr>
        <w:t>Subsequent Sale of Common Stock</w:t>
      </w:r>
    </w:p>
    <w:p>
      <w:pPr>
        <w:spacing w:after="0" w:line="213"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9"/>
          <w:szCs w:val="19"/>
          <w:color w:val="auto"/>
        </w:rPr>
        <w:t xml:space="preserve">Any subsequent sale of the shares of Common Stock will, in general, be subject to a separate tax rate of 25% (so-called flat tax, </w:t>
      </w:r>
      <w:r>
        <w:rPr>
          <w:rFonts w:ascii="Arial" w:cs="Arial" w:eastAsia="Arial" w:hAnsi="Arial"/>
          <w:sz w:val="19"/>
          <w:szCs w:val="19"/>
          <w:i w:val="1"/>
          <w:iCs w:val="1"/>
          <w:color w:val="auto"/>
        </w:rPr>
        <w:t>Abgeltungsteuer</w:t>
      </w:r>
      <w:r>
        <w:rPr>
          <w:rFonts w:ascii="Arial" w:cs="Arial" w:eastAsia="Arial" w:hAnsi="Arial"/>
          <w:sz w:val="19"/>
          <w:szCs w:val="19"/>
          <w:color w:val="auto"/>
        </w:rPr>
        <w:t>), plus 5.5% solidarity surcharge thereon and, if applicable, church tax.</w:t>
      </w:r>
    </w:p>
    <w:p>
      <w:pPr>
        <w:spacing w:after="0" w:line="179" w:lineRule="exact"/>
        <w:rPr>
          <w:sz w:val="20"/>
          <w:szCs w:val="20"/>
          <w:color w:val="auto"/>
        </w:rPr>
      </w:pPr>
    </w:p>
    <w:p>
      <w:pPr>
        <w:jc w:val="both"/>
        <w:ind w:firstLine="865"/>
        <w:spacing w:after="0" w:line="345" w:lineRule="auto"/>
        <w:rPr>
          <w:sz w:val="20"/>
          <w:szCs w:val="20"/>
          <w:color w:val="auto"/>
        </w:rPr>
      </w:pPr>
      <w:r>
        <w:rPr>
          <w:rFonts w:ascii="Arial" w:cs="Arial" w:eastAsia="Arial" w:hAnsi="Arial"/>
          <w:sz w:val="15"/>
          <w:szCs w:val="15"/>
          <w:color w:val="auto"/>
        </w:rPr>
        <w:t>The flat tax regime should, however, not apply if any point in time during the five years preceding the sale you have held a stake representing 1% or more directly or indirectly of the share capital of the Company. In this case, the so-called part-income system applies, according to which 40% of the capital gains are tax exempt and the remaining 60% of the capital gains are subject to tax at the employee’s personal income tax rate.</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Deduction</w:t>
      </w:r>
    </w:p>
    <w:p>
      <w:pPr>
        <w:spacing w:after="0" w:line="213"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9"/>
          <w:szCs w:val="19"/>
          <w:color w:val="auto"/>
        </w:rPr>
        <w:t xml:space="preserve">A corporation tax deduction will only be available for the German subsidiary if the costs of the arrangement, </w:t>
      </w:r>
      <w:r>
        <w:rPr>
          <w:rFonts w:ascii="Arial" w:cs="Arial" w:eastAsia="Arial" w:hAnsi="Arial"/>
          <w:sz w:val="19"/>
          <w:szCs w:val="19"/>
          <w:i w:val="1"/>
          <w:iCs w:val="1"/>
          <w:color w:val="auto"/>
        </w:rPr>
        <w:t>i.e.</w:t>
      </w:r>
      <w:r>
        <w:rPr>
          <w:rFonts w:ascii="Arial" w:cs="Arial" w:eastAsia="Arial" w:hAnsi="Arial"/>
          <w:sz w:val="19"/>
          <w:szCs w:val="19"/>
          <w:color w:val="auto"/>
        </w:rPr>
        <w:t>, the discount, are recharged to the German subsidiary and documented.</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HONG KONG</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Grant of Option</w:t>
      </w:r>
    </w:p>
    <w:p>
      <w:pPr>
        <w:spacing w:after="0" w:line="98" w:lineRule="exact"/>
        <w:rPr>
          <w:sz w:val="20"/>
          <w:szCs w:val="20"/>
          <w:color w:val="auto"/>
        </w:rPr>
      </w:pPr>
    </w:p>
    <w:p>
      <w:pPr>
        <w:ind w:right="260" w:firstLine="865"/>
        <w:spacing w:after="0" w:line="257" w:lineRule="auto"/>
        <w:rPr>
          <w:sz w:val="20"/>
          <w:szCs w:val="20"/>
          <w:color w:val="auto"/>
        </w:rPr>
      </w:pPr>
      <w:r>
        <w:rPr>
          <w:rFonts w:ascii="Arial" w:cs="Arial" w:eastAsia="Arial" w:hAnsi="Arial"/>
          <w:sz w:val="19"/>
          <w:szCs w:val="19"/>
          <w:color w:val="auto"/>
        </w:rPr>
        <w:t>You will generally not recognize taxable income on the date we grant a purchase right to you under the Plan (</w:t>
      </w:r>
      <w:r>
        <w:rPr>
          <w:rFonts w:ascii="Arial" w:cs="Arial" w:eastAsia="Arial" w:hAnsi="Arial"/>
          <w:sz w:val="19"/>
          <w:szCs w:val="19"/>
          <w:i w:val="1"/>
          <w:iCs w:val="1"/>
          <w:color w:val="auto"/>
        </w:rPr>
        <w:t>i.e.</w:t>
      </w:r>
      <w:r>
        <w:rPr>
          <w:rFonts w:ascii="Arial" w:cs="Arial" w:eastAsia="Arial" w:hAnsi="Arial"/>
          <w:sz w:val="19"/>
          <w:szCs w:val="19"/>
          <w:color w:val="auto"/>
        </w:rPr>
        <w:t>, the first trading day of the offering period), nor will we be entitled to a deduction at that time.</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Exercise of Option</w:t>
      </w:r>
    </w:p>
    <w:p>
      <w:pPr>
        <w:spacing w:after="0" w:line="98" w:lineRule="exact"/>
        <w:rPr>
          <w:sz w:val="20"/>
          <w:szCs w:val="20"/>
          <w:color w:val="auto"/>
        </w:rPr>
      </w:pPr>
    </w:p>
    <w:p>
      <w:pPr>
        <w:jc w:val="both"/>
        <w:ind w:right="60" w:firstLine="865"/>
        <w:spacing w:after="0" w:line="247" w:lineRule="auto"/>
        <w:rPr>
          <w:sz w:val="20"/>
          <w:szCs w:val="20"/>
          <w:color w:val="auto"/>
        </w:rPr>
      </w:pPr>
      <w:r>
        <w:rPr>
          <w:rFonts w:ascii="Arial" w:cs="Arial" w:eastAsia="Arial" w:hAnsi="Arial"/>
          <w:sz w:val="19"/>
          <w:szCs w:val="19"/>
          <w:color w:val="auto"/>
        </w:rPr>
        <w:t>You will recognize taxable income on the date you exercise a purchase right (</w:t>
      </w:r>
      <w:r>
        <w:rPr>
          <w:rFonts w:ascii="Arial" w:cs="Arial" w:eastAsia="Arial" w:hAnsi="Arial"/>
          <w:sz w:val="19"/>
          <w:szCs w:val="19"/>
          <w:i w:val="1"/>
          <w:iCs w:val="1"/>
          <w:color w:val="auto"/>
        </w:rPr>
        <w:t>i.e.,</w:t>
      </w:r>
      <w:r>
        <w:rPr>
          <w:rFonts w:ascii="Arial" w:cs="Arial" w:eastAsia="Arial" w:hAnsi="Arial"/>
          <w:sz w:val="19"/>
          <w:szCs w:val="19"/>
          <w:color w:val="auto"/>
        </w:rPr>
        <w:t xml:space="preserve"> the last trading day of each offering period). Income tax is charged on the amount equal to the excess of the fair market value of the Common Stock on the date of exercise over the purchase price paid for the shares at a sliding rate of tax.</w:t>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Tax Payment and Filing Obligations</w:t>
      </w:r>
    </w:p>
    <w:p>
      <w:pPr>
        <w:spacing w:after="0" w:line="98" w:lineRule="exact"/>
        <w:rPr>
          <w:sz w:val="20"/>
          <w:szCs w:val="20"/>
          <w:color w:val="auto"/>
        </w:rPr>
      </w:pPr>
    </w:p>
    <w:p>
      <w:pPr>
        <w:ind w:left="860"/>
        <w:spacing w:after="0"/>
        <w:rPr>
          <w:sz w:val="20"/>
          <w:szCs w:val="20"/>
          <w:color w:val="auto"/>
        </w:rPr>
      </w:pPr>
      <w:r>
        <w:rPr>
          <w:rFonts w:ascii="Arial" w:cs="Arial" w:eastAsia="Arial" w:hAnsi="Arial"/>
          <w:sz w:val="15"/>
          <w:szCs w:val="15"/>
          <w:color w:val="auto"/>
        </w:rPr>
        <w:t>You are required to report the benefit received by you as income on the exercise of options in your tax return for the year of assessment of</w:t>
      </w:r>
    </w:p>
    <w:p>
      <w:pPr>
        <w:spacing w:after="0" w:line="59" w:lineRule="exact"/>
        <w:rPr>
          <w:sz w:val="20"/>
          <w:szCs w:val="20"/>
          <w:color w:val="auto"/>
        </w:rPr>
      </w:pPr>
    </w:p>
    <w:p>
      <w:pPr>
        <w:spacing w:after="0"/>
        <w:rPr>
          <w:sz w:val="20"/>
          <w:szCs w:val="20"/>
          <w:color w:val="auto"/>
        </w:rPr>
      </w:pPr>
      <w:r>
        <w:rPr>
          <w:rFonts w:ascii="Arial" w:cs="Arial" w:eastAsia="Arial" w:hAnsi="Arial"/>
          <w:sz w:val="19"/>
          <w:szCs w:val="19"/>
          <w:color w:val="auto"/>
        </w:rPr>
        <w:t>its receipt.</w:t>
      </w:r>
    </w:p>
    <w:p>
      <w:pPr>
        <w:spacing w:after="0" w:line="82" w:lineRule="exact"/>
        <w:rPr>
          <w:sz w:val="20"/>
          <w:szCs w:val="20"/>
          <w:color w:val="auto"/>
        </w:rPr>
      </w:pPr>
    </w:p>
    <w:p>
      <w:pPr>
        <w:ind w:left="860"/>
        <w:spacing w:after="0"/>
        <w:rPr>
          <w:sz w:val="20"/>
          <w:szCs w:val="20"/>
          <w:color w:val="auto"/>
        </w:rPr>
      </w:pPr>
      <w:r>
        <w:rPr>
          <w:rFonts w:ascii="Arial" w:cs="Arial" w:eastAsia="Arial" w:hAnsi="Arial"/>
          <w:sz w:val="19"/>
          <w:szCs w:val="19"/>
          <w:color w:val="auto"/>
        </w:rPr>
        <w:t>Payment of tax arising on your income is your responsibility.</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Subsequent Sale of Common Stock</w:t>
      </w:r>
    </w:p>
    <w:p>
      <w:pPr>
        <w:spacing w:after="0" w:line="9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There is no tax imposed upon any subsequent capital gain arising from a subsequent sale of your shares of Common Stock.</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Deduction</w:t>
      </w:r>
    </w:p>
    <w:p>
      <w:pPr>
        <w:spacing w:after="0" w:line="98" w:lineRule="exact"/>
        <w:rPr>
          <w:sz w:val="20"/>
          <w:szCs w:val="20"/>
          <w:color w:val="auto"/>
        </w:rPr>
      </w:pPr>
    </w:p>
    <w:p>
      <w:pPr>
        <w:ind w:left="860"/>
        <w:spacing w:after="0"/>
        <w:rPr>
          <w:sz w:val="20"/>
          <w:szCs w:val="20"/>
          <w:color w:val="auto"/>
        </w:rPr>
      </w:pPr>
      <w:r>
        <w:rPr>
          <w:rFonts w:ascii="Arial" w:cs="Arial" w:eastAsia="Arial" w:hAnsi="Arial"/>
          <w:sz w:val="17"/>
          <w:szCs w:val="17"/>
          <w:color w:val="auto"/>
        </w:rPr>
        <w:t>Your employer will generally be entitled to a tax deduction for certain recharged costs, subject to prescribed requirements for deduction.</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Company Reporting Obligations</w:t>
      </w:r>
    </w:p>
    <w:p>
      <w:pPr>
        <w:spacing w:after="0" w:line="98" w:lineRule="exact"/>
        <w:rPr>
          <w:sz w:val="20"/>
          <w:szCs w:val="20"/>
          <w:color w:val="auto"/>
        </w:rPr>
      </w:pPr>
    </w:p>
    <w:p>
      <w:pPr>
        <w:ind w:right="360" w:firstLine="865"/>
        <w:spacing w:after="0" w:line="257" w:lineRule="auto"/>
        <w:rPr>
          <w:sz w:val="20"/>
          <w:szCs w:val="20"/>
          <w:color w:val="auto"/>
        </w:rPr>
      </w:pPr>
      <w:r>
        <w:rPr>
          <w:rFonts w:ascii="Arial" w:cs="Arial" w:eastAsia="Arial" w:hAnsi="Arial"/>
          <w:sz w:val="19"/>
          <w:szCs w:val="19"/>
          <w:color w:val="auto"/>
        </w:rPr>
        <w:t>Annual reporting of the purchase rights awarded to you under the Plan is required to be included in the salaries tax return filed by your employer with the Inland Revenue Department.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US-DOCS\126472695.1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49530</wp:posOffset>
            </wp:positionV>
            <wp:extent cx="7182485" cy="412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81" w:name="page182"/>
    <w:bookmarkEnd w:id="181"/>
    <w:p>
      <w:pPr>
        <w:jc w:val="both"/>
        <w:ind w:firstLine="865"/>
        <w:spacing w:after="0" w:line="390" w:lineRule="auto"/>
        <w:rPr>
          <w:sz w:val="20"/>
          <w:szCs w:val="20"/>
          <w:color w:val="auto"/>
        </w:rPr>
      </w:pPr>
      <w:r>
        <w:rPr>
          <w:rFonts w:ascii="Arial" w:cs="Arial" w:eastAsia="Arial" w:hAnsi="Arial"/>
          <w:sz w:val="15"/>
          <w:szCs w:val="15"/>
          <w:color w:val="auto"/>
        </w:rPr>
        <w:t>Annual reporting of the benefits received by you as income on the exercise of purchase rights in your tax return for the year of assessment of its receipt under the Plan is required to be included in the salaries tax return filed by the employer with the Inland Revenue Department.</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ISRAEL</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Grant of Option</w:t>
      </w:r>
    </w:p>
    <w:p>
      <w:pPr>
        <w:spacing w:after="0" w:line="213"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9"/>
          <w:szCs w:val="19"/>
          <w:color w:val="auto"/>
        </w:rPr>
        <w:t>You will generally not recognize taxable income on the date we grant a purchase right to you under the Plan (</w:t>
      </w:r>
      <w:r>
        <w:rPr>
          <w:rFonts w:ascii="Arial" w:cs="Arial" w:eastAsia="Arial" w:hAnsi="Arial"/>
          <w:sz w:val="19"/>
          <w:szCs w:val="19"/>
          <w:i w:val="1"/>
          <w:iCs w:val="1"/>
          <w:color w:val="auto"/>
        </w:rPr>
        <w:t>i.e.</w:t>
      </w:r>
      <w:r>
        <w:rPr>
          <w:rFonts w:ascii="Arial" w:cs="Arial" w:eastAsia="Arial" w:hAnsi="Arial"/>
          <w:sz w:val="19"/>
          <w:szCs w:val="19"/>
          <w:color w:val="auto"/>
        </w:rPr>
        <w:t>, the first trading day of the offering period), nor will we be entitled to a deduction at that time.</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Exercise of Option and Subsequent Sale of Common Stock</w:t>
      </w:r>
    </w:p>
    <w:p>
      <w:pPr>
        <w:spacing w:after="0" w:line="213" w:lineRule="exact"/>
        <w:rPr>
          <w:sz w:val="20"/>
          <w:szCs w:val="20"/>
          <w:color w:val="auto"/>
        </w:rPr>
      </w:pPr>
    </w:p>
    <w:p>
      <w:pPr>
        <w:jc w:val="both"/>
        <w:ind w:firstLine="865"/>
        <w:spacing w:after="0" w:line="241" w:lineRule="auto"/>
        <w:rPr>
          <w:sz w:val="20"/>
          <w:szCs w:val="20"/>
          <w:color w:val="auto"/>
        </w:rPr>
      </w:pPr>
      <w:r>
        <w:rPr>
          <w:rFonts w:ascii="Arial" w:cs="Arial" w:eastAsia="Arial" w:hAnsi="Arial"/>
          <w:sz w:val="19"/>
          <w:szCs w:val="19"/>
          <w:color w:val="auto"/>
        </w:rPr>
        <w:t>Your purchase of shares under the Plan will be considered as purchased under Section 102 of the Israeli Income Tax Ordinance, 5721-1961, without a trustee. This means that your taxable event will occur at the time you sell shares obtained upon exercise of your rights under the Plan, and not upon the grant or exercise of such rights. The income will be considered employment income and will be taxed at marginal employment income rates based on your sale proceeds (minus the purchase price you paid). National insurance and health tax applicable to employment-related income will also apply, including an employer contribution.</w:t>
      </w:r>
    </w:p>
    <w:p>
      <w:pPr>
        <w:spacing w:after="0" w:line="196" w:lineRule="exact"/>
        <w:rPr>
          <w:sz w:val="20"/>
          <w:szCs w:val="20"/>
          <w:color w:val="auto"/>
        </w:rPr>
      </w:pPr>
    </w:p>
    <w:p>
      <w:pPr>
        <w:jc w:val="both"/>
        <w:ind w:firstLine="865"/>
        <w:spacing w:after="0" w:line="290" w:lineRule="auto"/>
        <w:rPr>
          <w:sz w:val="20"/>
          <w:szCs w:val="20"/>
          <w:color w:val="auto"/>
        </w:rPr>
      </w:pPr>
      <w:r>
        <w:rPr>
          <w:rFonts w:ascii="Arial" w:cs="Arial" w:eastAsia="Arial" w:hAnsi="Arial"/>
          <w:sz w:val="17"/>
          <w:szCs w:val="17"/>
          <w:color w:val="auto"/>
        </w:rPr>
        <w:t>It may be possible to apply for a tax ruling providing for the taxable event to be at the time of purchase rather than the sale of shares. In this case, marginal rates would apply to the difference between the purchase price you paid for the shares and the fair market value of shares on the exercise date, while a capital gains tax rate would apply to any increase in value of shares between the purchase and sale.</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Deduction</w:t>
      </w:r>
    </w:p>
    <w:p>
      <w:pPr>
        <w:spacing w:after="0" w:line="98" w:lineRule="exact"/>
        <w:rPr>
          <w:sz w:val="20"/>
          <w:szCs w:val="20"/>
          <w:color w:val="auto"/>
        </w:rPr>
      </w:pPr>
    </w:p>
    <w:p>
      <w:pPr>
        <w:ind w:left="860"/>
        <w:spacing w:after="0"/>
        <w:rPr>
          <w:sz w:val="20"/>
          <w:szCs w:val="20"/>
          <w:color w:val="auto"/>
        </w:rPr>
      </w:pPr>
      <w:r>
        <w:rPr>
          <w:rFonts w:ascii="Arial" w:cs="Arial" w:eastAsia="Arial" w:hAnsi="Arial"/>
          <w:sz w:val="19"/>
          <w:szCs w:val="19"/>
          <w:color w:val="auto"/>
        </w:rPr>
        <w:t>No expense is deductible by your employer in connection with your participation in the Plan or subsequent sale of shares.</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Company Reporting Obligations</w:t>
      </w:r>
    </w:p>
    <w:p>
      <w:pPr>
        <w:spacing w:after="0" w:line="98"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9"/>
          <w:szCs w:val="19"/>
          <w:color w:val="auto"/>
        </w:rPr>
        <w:t>Your employer will be subject to reporting and withholding requirements at the time of your taxable event. You are required to provide the Company with a security to ensure payment of applicable taxes.</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KUWAIT</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Grant of Option</w:t>
      </w:r>
    </w:p>
    <w:p>
      <w:pPr>
        <w:spacing w:after="0" w:line="98"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9"/>
          <w:szCs w:val="19"/>
          <w:color w:val="auto"/>
        </w:rPr>
        <w:t>You will generally not recognize taxable income on the date we grant a purchase right to you under the Plan (i.e., the first trading day of the offering period), nor will we be entitled to a deduction at that time.</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Exercise of Option</w:t>
      </w:r>
    </w:p>
    <w:p>
      <w:pPr>
        <w:spacing w:after="0" w:line="213" w:lineRule="exact"/>
        <w:rPr>
          <w:sz w:val="20"/>
          <w:szCs w:val="20"/>
          <w:color w:val="auto"/>
        </w:rPr>
      </w:pPr>
    </w:p>
    <w:p>
      <w:pPr>
        <w:jc w:val="both"/>
        <w:ind w:firstLine="865"/>
        <w:spacing w:after="0" w:line="243" w:lineRule="auto"/>
        <w:rPr>
          <w:sz w:val="20"/>
          <w:szCs w:val="20"/>
          <w:color w:val="auto"/>
        </w:rPr>
      </w:pPr>
      <w:r>
        <w:rPr>
          <w:rFonts w:ascii="Arial" w:cs="Arial" w:eastAsia="Arial" w:hAnsi="Arial"/>
          <w:sz w:val="19"/>
          <w:szCs w:val="19"/>
          <w:color w:val="auto"/>
        </w:rPr>
        <w:t>You most likely will not recognize taxable income on the date you exercise a purchase right (i.e., the last trading day of each offering period) as, generally, income tax does not apply to the purchase right. At the time of exercise of the purchase rights, it is unclear (although unlikely) whether you will be subject to social insurance contributions as your equity award is not part of your salary on the difference (or spread) between the fair market value of the shares on the date of exercise and the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US-DOCS\126472695.1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49530</wp:posOffset>
            </wp:positionV>
            <wp:extent cx="7182485" cy="412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0">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82" w:name="page183"/>
    <w:bookmarkEnd w:id="182"/>
    <w:p>
      <w:pPr>
        <w:spacing w:after="0"/>
        <w:rPr>
          <w:sz w:val="20"/>
          <w:szCs w:val="20"/>
          <w:color w:val="auto"/>
        </w:rPr>
      </w:pPr>
      <w:r>
        <w:rPr>
          <w:rFonts w:ascii="Arial" w:cs="Arial" w:eastAsia="Arial" w:hAnsi="Arial"/>
          <w:sz w:val="19"/>
          <w:szCs w:val="19"/>
          <w:b w:val="1"/>
          <w:bCs w:val="1"/>
          <w:i w:val="1"/>
          <w:iCs w:val="1"/>
          <w:color w:val="auto"/>
        </w:rPr>
        <w:t>Tax Payment and Filing Obligations</w:t>
      </w:r>
    </w:p>
    <w:p>
      <w:pPr>
        <w:spacing w:after="0" w:line="9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Assuming income tax does not apply to your purchase of the shares, you are not required to report anything on your tax returns.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Subsequent Sale of Common Stock</w:t>
      </w:r>
    </w:p>
    <w:p>
      <w:pPr>
        <w:spacing w:after="0" w:line="197" w:lineRule="exact"/>
        <w:rPr>
          <w:sz w:val="20"/>
          <w:szCs w:val="20"/>
          <w:color w:val="auto"/>
        </w:rPr>
      </w:pPr>
    </w:p>
    <w:p>
      <w:pPr>
        <w:ind w:left="860"/>
        <w:spacing w:after="0"/>
        <w:rPr>
          <w:sz w:val="20"/>
          <w:szCs w:val="20"/>
          <w:color w:val="auto"/>
        </w:rPr>
      </w:pPr>
      <w:r>
        <w:rPr>
          <w:rFonts w:ascii="Arial" w:cs="Arial" w:eastAsia="Arial" w:hAnsi="Arial"/>
          <w:sz w:val="19"/>
          <w:szCs w:val="19"/>
          <w:color w:val="auto"/>
        </w:rPr>
        <w:t>Any subsequent sale of the shares of Common Stock will, in general, not be subject to any additional tax.</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Deduction</w:t>
      </w:r>
    </w:p>
    <w:p>
      <w:pPr>
        <w:spacing w:after="0" w:line="213" w:lineRule="exact"/>
        <w:rPr>
          <w:sz w:val="20"/>
          <w:szCs w:val="20"/>
          <w:color w:val="auto"/>
        </w:rPr>
      </w:pPr>
    </w:p>
    <w:p>
      <w:pPr>
        <w:ind w:left="860"/>
        <w:spacing w:after="0"/>
        <w:rPr>
          <w:sz w:val="20"/>
          <w:szCs w:val="20"/>
          <w:color w:val="auto"/>
        </w:rPr>
      </w:pPr>
      <w:r>
        <w:rPr>
          <w:rFonts w:ascii="Arial" w:cs="Arial" w:eastAsia="Arial" w:hAnsi="Arial"/>
          <w:sz w:val="17"/>
          <w:szCs w:val="17"/>
          <w:color w:val="auto"/>
        </w:rPr>
        <w:t>In most cases, no income tax applies to the purchase rights, so the Company and your local subsidiary are not entitled to any deductions.</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Company Reporting Obligations</w:t>
      </w:r>
    </w:p>
    <w:p>
      <w:pPr>
        <w:spacing w:after="0" w:line="98" w:lineRule="exact"/>
        <w:rPr>
          <w:sz w:val="20"/>
          <w:szCs w:val="20"/>
          <w:color w:val="auto"/>
        </w:rPr>
      </w:pPr>
    </w:p>
    <w:p>
      <w:pPr>
        <w:jc w:val="both"/>
        <w:ind w:firstLine="865"/>
        <w:spacing w:after="0" w:line="247" w:lineRule="auto"/>
        <w:rPr>
          <w:sz w:val="20"/>
          <w:szCs w:val="20"/>
          <w:color w:val="auto"/>
        </w:rPr>
      </w:pPr>
      <w:r>
        <w:rPr>
          <w:rFonts w:ascii="Arial" w:cs="Arial" w:eastAsia="Arial" w:hAnsi="Arial"/>
          <w:sz w:val="19"/>
          <w:szCs w:val="19"/>
          <w:color w:val="auto"/>
        </w:rPr>
        <w:t>To the extent you recognize taxable income for the discount you receive when you purchase shares, we are required to report each time purchase rights are exercised, however, it is unlikely income tax will be recognized by you, so withholding and reporting by the Company is unlikely to be required.</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MEXICO</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Grant of Option</w:t>
      </w:r>
    </w:p>
    <w:p>
      <w:pPr>
        <w:spacing w:after="0" w:line="200"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9"/>
          <w:szCs w:val="19"/>
          <w:color w:val="auto"/>
        </w:rPr>
        <w:t>You will not recognize taxable income on the date we grant a purchase right to you under the Plan (</w:t>
      </w:r>
      <w:r>
        <w:rPr>
          <w:rFonts w:ascii="Arial" w:cs="Arial" w:eastAsia="Arial" w:hAnsi="Arial"/>
          <w:sz w:val="19"/>
          <w:szCs w:val="19"/>
          <w:i w:val="1"/>
          <w:iCs w:val="1"/>
          <w:color w:val="auto"/>
        </w:rPr>
        <w:t>i.e.</w:t>
      </w:r>
      <w:r>
        <w:rPr>
          <w:rFonts w:ascii="Arial" w:cs="Arial" w:eastAsia="Arial" w:hAnsi="Arial"/>
          <w:sz w:val="19"/>
          <w:szCs w:val="19"/>
          <w:color w:val="auto"/>
        </w:rPr>
        <w:t>, the first trading day of the offering period), nor will we be entitled to a deduction at that time.</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Exercise of Option</w:t>
      </w:r>
    </w:p>
    <w:p>
      <w:pPr>
        <w:spacing w:after="0" w:line="200"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9"/>
          <w:szCs w:val="19"/>
          <w:color w:val="auto"/>
        </w:rPr>
        <w:t>The tax treatment upon exercise of your purchase right is subject to varying interpretations. We recommend that you consult your personal tax advisor to determine which interpretation is best suited to your particular situation.</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19"/>
          <w:szCs w:val="19"/>
          <w:i w:val="1"/>
          <w:iCs w:val="1"/>
          <w:color w:val="auto"/>
        </w:rPr>
        <w:t>Interpretation A:</w:t>
      </w:r>
    </w:p>
    <w:p>
      <w:pPr>
        <w:spacing w:after="0" w:line="200" w:lineRule="exact"/>
        <w:rPr>
          <w:sz w:val="20"/>
          <w:szCs w:val="20"/>
          <w:color w:val="auto"/>
        </w:rPr>
      </w:pPr>
    </w:p>
    <w:p>
      <w:pPr>
        <w:jc w:val="both"/>
        <w:ind w:firstLine="865"/>
        <w:spacing w:after="0" w:line="247" w:lineRule="auto"/>
        <w:rPr>
          <w:sz w:val="20"/>
          <w:szCs w:val="20"/>
          <w:color w:val="auto"/>
        </w:rPr>
      </w:pPr>
      <w:r>
        <w:rPr>
          <w:rFonts w:ascii="Arial" w:cs="Arial" w:eastAsia="Arial" w:hAnsi="Arial"/>
          <w:sz w:val="19"/>
          <w:szCs w:val="19"/>
          <w:color w:val="auto"/>
        </w:rPr>
        <w:t>You will recognize taxable income on the date you exercise the purchase right under the Plan (i.e., the last trading day of each offering period). The amount of the taxable income you will recognize, on a per share basis, will be the difference between (1) the purchase price that you pay for the shares and (2) the fair market value of the shares at the time of purchase.</w:t>
      </w:r>
    </w:p>
    <w:p>
      <w:pPr>
        <w:spacing w:after="0" w:line="175"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9"/>
          <w:szCs w:val="19"/>
          <w:color w:val="auto"/>
        </w:rPr>
        <w:t>The income you recognize on the last trading day of each offering period will be subject to social security contributions and personal income tax.</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9"/>
          <w:szCs w:val="19"/>
          <w:i w:val="1"/>
          <w:iCs w:val="1"/>
          <w:color w:val="auto"/>
        </w:rPr>
        <w:t>Interpretation B:</w:t>
      </w:r>
    </w:p>
    <w:p>
      <w:pPr>
        <w:spacing w:after="0" w:line="98" w:lineRule="exact"/>
        <w:rPr>
          <w:sz w:val="20"/>
          <w:szCs w:val="20"/>
          <w:color w:val="auto"/>
        </w:rPr>
      </w:pPr>
    </w:p>
    <w:p>
      <w:pPr>
        <w:jc w:val="both"/>
        <w:ind w:firstLine="865"/>
        <w:spacing w:after="0" w:line="285" w:lineRule="auto"/>
        <w:rPr>
          <w:sz w:val="20"/>
          <w:szCs w:val="20"/>
          <w:color w:val="auto"/>
        </w:rPr>
      </w:pPr>
      <w:r>
        <w:rPr>
          <w:rFonts w:ascii="Arial" w:cs="Arial" w:eastAsia="Arial" w:hAnsi="Arial"/>
          <w:sz w:val="18"/>
          <w:szCs w:val="18"/>
          <w:color w:val="auto"/>
        </w:rPr>
        <w:t>You will not recognize taxable income on the date you exercise the purchase right under the Plan (i.e., the last trading day of each offering period). The taxation is deferred until such time as you dispose of your shares (see “Subsequent Sale of Common Stock”).</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Tax Payment and Filing Obligations</w:t>
      </w:r>
    </w:p>
    <w:p>
      <w:pPr>
        <w:spacing w:after="0" w:line="98"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9"/>
          <w:szCs w:val="19"/>
          <w:color w:val="auto"/>
        </w:rPr>
        <w:t>You are required to file an annual income tax return if (1) you have income other than the salary you receive, (2) you choose to file, (3) you quit your job or (4) you have income from foreign sources.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US-DOCS\126472695.1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49530</wp:posOffset>
            </wp:positionV>
            <wp:extent cx="7182485" cy="412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1">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83" w:name="page184"/>
    <w:bookmarkEnd w:id="183"/>
    <w:p>
      <w:pPr>
        <w:spacing w:after="0"/>
        <w:rPr>
          <w:sz w:val="20"/>
          <w:szCs w:val="20"/>
          <w:color w:val="auto"/>
        </w:rPr>
      </w:pPr>
      <w:r>
        <w:rPr>
          <w:rFonts w:ascii="Arial" w:cs="Arial" w:eastAsia="Arial" w:hAnsi="Arial"/>
          <w:sz w:val="19"/>
          <w:szCs w:val="19"/>
          <w:b w:val="1"/>
          <w:bCs w:val="1"/>
          <w:i w:val="1"/>
          <w:iCs w:val="1"/>
          <w:color w:val="auto"/>
        </w:rPr>
        <w:t>Subsequent Sale of Common Stock</w:t>
      </w:r>
    </w:p>
    <w:p>
      <w:pPr>
        <w:spacing w:after="0" w:line="98" w:lineRule="exact"/>
        <w:rPr>
          <w:sz w:val="20"/>
          <w:szCs w:val="20"/>
          <w:color w:val="auto"/>
        </w:rPr>
      </w:pPr>
    </w:p>
    <w:p>
      <w:pPr>
        <w:ind w:left="860"/>
        <w:spacing w:after="0"/>
        <w:rPr>
          <w:sz w:val="20"/>
          <w:szCs w:val="20"/>
          <w:color w:val="auto"/>
        </w:rPr>
      </w:pPr>
      <w:r>
        <w:rPr>
          <w:rFonts w:ascii="Arial" w:cs="Arial" w:eastAsia="Arial" w:hAnsi="Arial"/>
          <w:sz w:val="19"/>
          <w:szCs w:val="19"/>
          <w:color w:val="auto"/>
        </w:rPr>
        <w:t>You will recognize capital gain on the sale of shares of Common Stock acquired under the Plan.</w:t>
      </w:r>
    </w:p>
    <w:p>
      <w:pPr>
        <w:spacing w:after="0" w:line="98" w:lineRule="exact"/>
        <w:rPr>
          <w:sz w:val="20"/>
          <w:szCs w:val="20"/>
          <w:color w:val="auto"/>
        </w:rPr>
      </w:pPr>
    </w:p>
    <w:p>
      <w:pPr>
        <w:jc w:val="both"/>
        <w:ind w:firstLine="865"/>
        <w:spacing w:after="0" w:line="247" w:lineRule="auto"/>
        <w:rPr>
          <w:sz w:val="20"/>
          <w:szCs w:val="20"/>
          <w:color w:val="auto"/>
        </w:rPr>
      </w:pPr>
      <w:r>
        <w:rPr>
          <w:rFonts w:ascii="Arial" w:cs="Arial" w:eastAsia="Arial" w:hAnsi="Arial"/>
          <w:sz w:val="19"/>
          <w:szCs w:val="19"/>
          <w:color w:val="auto"/>
        </w:rPr>
        <w:t>If you recognized income consistent with “Exercise of Option – Interpretation A,” then the capital gain will be the amount of the sale price of the shares sold by you less the sum of (1) the discount you received when you purchased shares and (2) the purchase price that you paid for the shares.</w:t>
      </w:r>
    </w:p>
    <w:p>
      <w:pPr>
        <w:spacing w:after="0" w:line="73"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9"/>
          <w:szCs w:val="19"/>
          <w:color w:val="auto"/>
        </w:rPr>
        <w:t>If you recognized income consistent with “Exercise of Option – Interpretation B,” then the capital gain will be the amount of the sale price of the shares sold by you less the purchase price that you paid for the shares.</w:t>
      </w:r>
    </w:p>
    <w:p>
      <w:pPr>
        <w:spacing w:after="0" w:line="65"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The capital gains you realize will be subject to income tax at your marginal income tax rate.</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Deduction</w:t>
      </w:r>
    </w:p>
    <w:p>
      <w:pPr>
        <w:spacing w:after="0" w:line="98" w:lineRule="exact"/>
        <w:rPr>
          <w:sz w:val="20"/>
          <w:szCs w:val="20"/>
          <w:color w:val="auto"/>
        </w:rPr>
      </w:pPr>
    </w:p>
    <w:p>
      <w:pPr>
        <w:jc w:val="both"/>
        <w:ind w:left="440" w:firstLine="831"/>
        <w:spacing w:after="0" w:line="243" w:lineRule="auto"/>
        <w:rPr>
          <w:sz w:val="20"/>
          <w:szCs w:val="20"/>
          <w:color w:val="auto"/>
        </w:rPr>
      </w:pPr>
      <w:r>
        <w:rPr>
          <w:rFonts w:ascii="Arial" w:cs="Arial" w:eastAsia="Arial" w:hAnsi="Arial"/>
          <w:sz w:val="19"/>
          <w:szCs w:val="19"/>
          <w:color w:val="auto"/>
        </w:rPr>
        <w:t>We (or any subsidiary of ours that employs you) may be entitled to a tax deduction to the extent you recognize ordinary income for the discount you receive when you purchase shares of Common Stock. In addition, we (or any subsidiary of ours that employs you) may be entitled to a tax deduction for any social security contributions that we pay as a result of the income you recognize in connection with the discount you receive when you purchase shares of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Company Reporting Obligations</w:t>
      </w:r>
    </w:p>
    <w:p>
      <w:pPr>
        <w:spacing w:after="0" w:line="98"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9"/>
          <w:szCs w:val="19"/>
          <w:color w:val="auto"/>
        </w:rPr>
        <w:t>We must notify the tax authorities when purchase rights under the Plan are exercised or released to the extent you recognize ordinary income for the discount you receive when you purchase shares of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OMAN</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Grant of Option</w:t>
      </w:r>
    </w:p>
    <w:p>
      <w:pPr>
        <w:spacing w:after="0" w:line="98"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9"/>
          <w:szCs w:val="19"/>
          <w:color w:val="auto"/>
        </w:rPr>
        <w:t>You will generally not recognize taxable income on the date we grant a purchase right to you under the Plan (</w:t>
      </w:r>
      <w:r>
        <w:rPr>
          <w:rFonts w:ascii="Arial" w:cs="Arial" w:eastAsia="Arial" w:hAnsi="Arial"/>
          <w:sz w:val="19"/>
          <w:szCs w:val="19"/>
          <w:i w:val="1"/>
          <w:iCs w:val="1"/>
          <w:color w:val="auto"/>
        </w:rPr>
        <w:t>i.e.</w:t>
      </w:r>
      <w:r>
        <w:rPr>
          <w:rFonts w:ascii="Arial" w:cs="Arial" w:eastAsia="Arial" w:hAnsi="Arial"/>
          <w:sz w:val="19"/>
          <w:szCs w:val="19"/>
          <w:color w:val="auto"/>
        </w:rPr>
        <w:t>, the first trading day of the offering period), nor will we be entitled to a deduction at that time.</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Exercise of Option</w:t>
      </w:r>
    </w:p>
    <w:p>
      <w:pPr>
        <w:spacing w:after="0" w:line="213" w:lineRule="exact"/>
        <w:rPr>
          <w:sz w:val="20"/>
          <w:szCs w:val="20"/>
          <w:color w:val="auto"/>
        </w:rPr>
      </w:pPr>
    </w:p>
    <w:p>
      <w:pPr>
        <w:jc w:val="both"/>
        <w:ind w:firstLine="865"/>
        <w:spacing w:after="0" w:line="243" w:lineRule="auto"/>
        <w:rPr>
          <w:sz w:val="20"/>
          <w:szCs w:val="20"/>
          <w:color w:val="auto"/>
        </w:rPr>
      </w:pPr>
      <w:r>
        <w:rPr>
          <w:rFonts w:ascii="Arial" w:cs="Arial" w:eastAsia="Arial" w:hAnsi="Arial"/>
          <w:sz w:val="19"/>
          <w:szCs w:val="19"/>
          <w:color w:val="auto"/>
        </w:rPr>
        <w:t>You most likely will not recognize taxable income on the date you exercise a purchase right (</w:t>
      </w:r>
      <w:r>
        <w:rPr>
          <w:rFonts w:ascii="Arial" w:cs="Arial" w:eastAsia="Arial" w:hAnsi="Arial"/>
          <w:sz w:val="19"/>
          <w:szCs w:val="19"/>
          <w:i w:val="1"/>
          <w:iCs w:val="1"/>
          <w:color w:val="auto"/>
        </w:rPr>
        <w:t>i.e.,</w:t>
      </w:r>
      <w:r>
        <w:rPr>
          <w:rFonts w:ascii="Arial" w:cs="Arial" w:eastAsia="Arial" w:hAnsi="Arial"/>
          <w:sz w:val="19"/>
          <w:szCs w:val="19"/>
          <w:color w:val="auto"/>
        </w:rPr>
        <w:t xml:space="preserve"> the last trading day of each offering period) as, generally, income tax does not apply to the purchase right. At the time of exercise of the purchase rights, it is unclear (although unlikely) whether you will be subject to social insurance contributions as your equity award is not part of your salary on the difference (or spread) between the fair market value of the shares on the date of exercise and the purchase price.</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Tax Payment and Filing Obligations</w:t>
      </w:r>
    </w:p>
    <w:p>
      <w:pPr>
        <w:spacing w:after="0" w:line="9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Assuming income tax does not apply to your purchase of the shares, you are not required to report anything on your tax returns.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Subsequent Sale of Common Stock</w:t>
      </w:r>
    </w:p>
    <w:p>
      <w:pPr>
        <w:spacing w:after="0" w:line="213" w:lineRule="exact"/>
        <w:rPr>
          <w:sz w:val="20"/>
          <w:szCs w:val="20"/>
          <w:color w:val="auto"/>
        </w:rPr>
      </w:pPr>
    </w:p>
    <w:p>
      <w:pPr>
        <w:ind w:left="860"/>
        <w:spacing w:after="0"/>
        <w:rPr>
          <w:sz w:val="20"/>
          <w:szCs w:val="20"/>
          <w:color w:val="auto"/>
        </w:rPr>
      </w:pPr>
      <w:r>
        <w:rPr>
          <w:rFonts w:ascii="Arial" w:cs="Arial" w:eastAsia="Arial" w:hAnsi="Arial"/>
          <w:sz w:val="19"/>
          <w:szCs w:val="19"/>
          <w:color w:val="auto"/>
        </w:rPr>
        <w:t>Any subsequent sale of the shares of Common Stock will, in general, not be subject to any additional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US-DOCS\126472695.1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49530</wp:posOffset>
            </wp:positionV>
            <wp:extent cx="7182485" cy="412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84" w:name="page185"/>
    <w:bookmarkEnd w:id="184"/>
    <w:p>
      <w:pPr>
        <w:spacing w:after="0"/>
        <w:rPr>
          <w:sz w:val="20"/>
          <w:szCs w:val="20"/>
          <w:color w:val="auto"/>
        </w:rPr>
      </w:pPr>
      <w:r>
        <w:rPr>
          <w:rFonts w:ascii="Arial" w:cs="Arial" w:eastAsia="Arial" w:hAnsi="Arial"/>
          <w:sz w:val="19"/>
          <w:szCs w:val="19"/>
          <w:b w:val="1"/>
          <w:bCs w:val="1"/>
          <w:i w:val="1"/>
          <w:iCs w:val="1"/>
          <w:color w:val="auto"/>
        </w:rPr>
        <w:t>Our Deduction</w:t>
      </w:r>
    </w:p>
    <w:p>
      <w:pPr>
        <w:spacing w:after="0" w:line="213" w:lineRule="exact"/>
        <w:rPr>
          <w:sz w:val="20"/>
          <w:szCs w:val="20"/>
          <w:color w:val="auto"/>
        </w:rPr>
      </w:pPr>
    </w:p>
    <w:p>
      <w:pPr>
        <w:ind w:left="860"/>
        <w:spacing w:after="0"/>
        <w:rPr>
          <w:sz w:val="20"/>
          <w:szCs w:val="20"/>
          <w:color w:val="auto"/>
        </w:rPr>
      </w:pPr>
      <w:r>
        <w:rPr>
          <w:rFonts w:ascii="Arial" w:cs="Arial" w:eastAsia="Arial" w:hAnsi="Arial"/>
          <w:sz w:val="17"/>
          <w:szCs w:val="17"/>
          <w:color w:val="auto"/>
        </w:rPr>
        <w:t>In most cases, no income tax applies to the purchase rights, so the Company and your local subsidiary are not entitled to any deductions.</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Company Reporting Obligations</w:t>
      </w:r>
    </w:p>
    <w:p>
      <w:pPr>
        <w:spacing w:after="0" w:line="98" w:lineRule="exact"/>
        <w:rPr>
          <w:sz w:val="20"/>
          <w:szCs w:val="20"/>
          <w:color w:val="auto"/>
        </w:rPr>
      </w:pPr>
    </w:p>
    <w:p>
      <w:pPr>
        <w:jc w:val="both"/>
        <w:ind w:firstLine="865"/>
        <w:spacing w:after="0" w:line="247" w:lineRule="auto"/>
        <w:rPr>
          <w:sz w:val="20"/>
          <w:szCs w:val="20"/>
          <w:color w:val="auto"/>
        </w:rPr>
      </w:pPr>
      <w:r>
        <w:rPr>
          <w:rFonts w:ascii="Arial" w:cs="Arial" w:eastAsia="Arial" w:hAnsi="Arial"/>
          <w:sz w:val="19"/>
          <w:szCs w:val="19"/>
          <w:color w:val="auto"/>
        </w:rPr>
        <w:t>To the extent you recognize taxable income for the discount you receive when you purchase shares, we are required to report each time purchase rights are exercised, however, it is unlikely income tax will be recognized by you, so withholding and reporting by the Company is unlikely to be required.</w:t>
      </w:r>
    </w:p>
    <w:p>
      <w:pPr>
        <w:spacing w:after="0" w:line="28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QATAR</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Grant of Option</w:t>
      </w:r>
    </w:p>
    <w:p>
      <w:pPr>
        <w:spacing w:after="0" w:line="98"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9"/>
          <w:szCs w:val="19"/>
          <w:color w:val="auto"/>
        </w:rPr>
        <w:t>You will generally not recognize taxable income on the date we grant a purchase right to you under the Plan (</w:t>
      </w:r>
      <w:r>
        <w:rPr>
          <w:rFonts w:ascii="Arial" w:cs="Arial" w:eastAsia="Arial" w:hAnsi="Arial"/>
          <w:sz w:val="19"/>
          <w:szCs w:val="19"/>
          <w:i w:val="1"/>
          <w:iCs w:val="1"/>
          <w:color w:val="auto"/>
        </w:rPr>
        <w:t>i.e.</w:t>
      </w:r>
      <w:r>
        <w:rPr>
          <w:rFonts w:ascii="Arial" w:cs="Arial" w:eastAsia="Arial" w:hAnsi="Arial"/>
          <w:sz w:val="19"/>
          <w:szCs w:val="19"/>
          <w:color w:val="auto"/>
        </w:rPr>
        <w:t>, the first trading day of the offering period), nor will we be entitled to a deduction at that time.</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Exercise of Option</w:t>
      </w:r>
    </w:p>
    <w:p>
      <w:pPr>
        <w:spacing w:after="0" w:line="213" w:lineRule="exact"/>
        <w:rPr>
          <w:sz w:val="20"/>
          <w:szCs w:val="20"/>
          <w:color w:val="auto"/>
        </w:rPr>
      </w:pPr>
    </w:p>
    <w:p>
      <w:pPr>
        <w:jc w:val="both"/>
        <w:ind w:firstLine="865"/>
        <w:spacing w:after="0" w:line="243" w:lineRule="auto"/>
        <w:rPr>
          <w:sz w:val="20"/>
          <w:szCs w:val="20"/>
          <w:color w:val="auto"/>
        </w:rPr>
      </w:pPr>
      <w:r>
        <w:rPr>
          <w:rFonts w:ascii="Arial" w:cs="Arial" w:eastAsia="Arial" w:hAnsi="Arial"/>
          <w:sz w:val="19"/>
          <w:szCs w:val="19"/>
          <w:color w:val="auto"/>
        </w:rPr>
        <w:t>You most likely will not recognize taxable income on the date you exercise a purchase right (</w:t>
      </w:r>
      <w:r>
        <w:rPr>
          <w:rFonts w:ascii="Arial" w:cs="Arial" w:eastAsia="Arial" w:hAnsi="Arial"/>
          <w:sz w:val="19"/>
          <w:szCs w:val="19"/>
          <w:i w:val="1"/>
          <w:iCs w:val="1"/>
          <w:color w:val="auto"/>
        </w:rPr>
        <w:t>i.e.,</w:t>
      </w:r>
      <w:r>
        <w:rPr>
          <w:rFonts w:ascii="Arial" w:cs="Arial" w:eastAsia="Arial" w:hAnsi="Arial"/>
          <w:sz w:val="19"/>
          <w:szCs w:val="19"/>
          <w:color w:val="auto"/>
        </w:rPr>
        <w:t xml:space="preserve"> the last trading day of each offering period) as, generally, income tax does not apply to the purchase right. At the time of exercise of the purchase rights, it is unclear (although unlikely) whether you will be subject to social insurance contributions as your equity award is not part of your salary on the difference (or spread) between the fair market value of the shares on the date of exercise and the purchase price.</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Tax Payment and Filing Obligations</w:t>
      </w:r>
    </w:p>
    <w:p>
      <w:pPr>
        <w:spacing w:after="0" w:line="9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Assuming income tax does not apply to your purchase of the shares, you are not required to report anything on your tax returns.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Subsequent Sale of Common Stock</w:t>
      </w:r>
    </w:p>
    <w:p>
      <w:pPr>
        <w:spacing w:after="0" w:line="213" w:lineRule="exact"/>
        <w:rPr>
          <w:sz w:val="20"/>
          <w:szCs w:val="20"/>
          <w:color w:val="auto"/>
        </w:rPr>
      </w:pPr>
    </w:p>
    <w:p>
      <w:pPr>
        <w:ind w:left="860"/>
        <w:spacing w:after="0"/>
        <w:rPr>
          <w:sz w:val="20"/>
          <w:szCs w:val="20"/>
          <w:color w:val="auto"/>
        </w:rPr>
      </w:pPr>
      <w:r>
        <w:rPr>
          <w:rFonts w:ascii="Arial" w:cs="Arial" w:eastAsia="Arial" w:hAnsi="Arial"/>
          <w:sz w:val="19"/>
          <w:szCs w:val="19"/>
          <w:color w:val="auto"/>
        </w:rPr>
        <w:t>Any subsequent sale of the shares of Common Stock will, in general, not be subject to any additional tax.</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Deduction</w:t>
      </w:r>
    </w:p>
    <w:p>
      <w:pPr>
        <w:spacing w:after="0" w:line="213" w:lineRule="exact"/>
        <w:rPr>
          <w:sz w:val="20"/>
          <w:szCs w:val="20"/>
          <w:color w:val="auto"/>
        </w:rPr>
      </w:pPr>
    </w:p>
    <w:p>
      <w:pPr>
        <w:ind w:left="860"/>
        <w:spacing w:after="0"/>
        <w:rPr>
          <w:sz w:val="20"/>
          <w:szCs w:val="20"/>
          <w:color w:val="auto"/>
        </w:rPr>
      </w:pPr>
      <w:r>
        <w:rPr>
          <w:rFonts w:ascii="Arial" w:cs="Arial" w:eastAsia="Arial" w:hAnsi="Arial"/>
          <w:sz w:val="17"/>
          <w:szCs w:val="17"/>
          <w:color w:val="auto"/>
        </w:rPr>
        <w:t>In most cases, no income tax applies to the purchase rights, so the Company and your local subsidiary are not entitled to any deductions.</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Company Reporting Obligations</w:t>
      </w:r>
    </w:p>
    <w:p>
      <w:pPr>
        <w:spacing w:after="0" w:line="98" w:lineRule="exact"/>
        <w:rPr>
          <w:sz w:val="20"/>
          <w:szCs w:val="20"/>
          <w:color w:val="auto"/>
        </w:rPr>
      </w:pPr>
    </w:p>
    <w:p>
      <w:pPr>
        <w:jc w:val="both"/>
        <w:ind w:firstLine="865"/>
        <w:spacing w:after="0" w:line="247" w:lineRule="auto"/>
        <w:rPr>
          <w:sz w:val="20"/>
          <w:szCs w:val="20"/>
          <w:color w:val="auto"/>
        </w:rPr>
      </w:pPr>
      <w:r>
        <w:rPr>
          <w:rFonts w:ascii="Arial" w:cs="Arial" w:eastAsia="Arial" w:hAnsi="Arial"/>
          <w:sz w:val="19"/>
          <w:szCs w:val="19"/>
          <w:color w:val="auto"/>
        </w:rPr>
        <w:t>To the extent you recognize taxable income for the discount you receive when you purchase shares, we are required to report each time purchase rights are exercised, however, it is unlikely income tax will be recognized by you, so withholding and reporting by the Company is unlikely to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color w:val="auto"/>
        </w:rPr>
        <w:t>US-DOCS\126472695.1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49530</wp:posOffset>
            </wp:positionV>
            <wp:extent cx="7182485" cy="412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85" w:name="page186"/>
    <w:bookmarkEnd w:id="185"/>
    <w:p>
      <w:pPr>
        <w:spacing w:after="0"/>
        <w:rPr>
          <w:sz w:val="20"/>
          <w:szCs w:val="20"/>
          <w:color w:val="auto"/>
        </w:rPr>
      </w:pPr>
      <w:r>
        <w:rPr>
          <w:rFonts w:ascii="Arial" w:cs="Arial" w:eastAsia="Arial" w:hAnsi="Arial"/>
          <w:sz w:val="19"/>
          <w:szCs w:val="19"/>
          <w:b w:val="1"/>
          <w:bCs w:val="1"/>
          <w:u w:val="single" w:color="auto"/>
          <w:color w:val="auto"/>
        </w:rPr>
        <w:t>SINGAPORE</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Grant of Option</w:t>
      </w:r>
    </w:p>
    <w:p>
      <w:pPr>
        <w:spacing w:after="0" w:line="200"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9"/>
          <w:szCs w:val="19"/>
          <w:color w:val="auto"/>
        </w:rPr>
        <w:t>You will generally not recognize taxable income on the date we grant a purchase right to you under the Plan (</w:t>
      </w:r>
      <w:r>
        <w:rPr>
          <w:rFonts w:ascii="Arial" w:cs="Arial" w:eastAsia="Arial" w:hAnsi="Arial"/>
          <w:sz w:val="19"/>
          <w:szCs w:val="19"/>
          <w:i w:val="1"/>
          <w:iCs w:val="1"/>
          <w:color w:val="auto"/>
        </w:rPr>
        <w:t>i.e.,</w:t>
      </w:r>
      <w:r>
        <w:rPr>
          <w:rFonts w:ascii="Arial" w:cs="Arial" w:eastAsia="Arial" w:hAnsi="Arial"/>
          <w:sz w:val="19"/>
          <w:szCs w:val="19"/>
          <w:color w:val="auto"/>
        </w:rPr>
        <w:t xml:space="preserve"> the first trading day of the offering period), nor will we be entitled to a deduction at that time.</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Exercise of Option</w:t>
      </w:r>
    </w:p>
    <w:p>
      <w:pPr>
        <w:spacing w:after="0" w:line="200" w:lineRule="exact"/>
        <w:rPr>
          <w:sz w:val="20"/>
          <w:szCs w:val="20"/>
          <w:color w:val="auto"/>
        </w:rPr>
      </w:pPr>
    </w:p>
    <w:p>
      <w:pPr>
        <w:jc w:val="both"/>
        <w:ind w:firstLine="865"/>
        <w:spacing w:after="0" w:line="281" w:lineRule="auto"/>
        <w:rPr>
          <w:sz w:val="20"/>
          <w:szCs w:val="20"/>
          <w:color w:val="auto"/>
        </w:rPr>
      </w:pPr>
      <w:r>
        <w:rPr>
          <w:rFonts w:ascii="Arial" w:cs="Arial" w:eastAsia="Arial" w:hAnsi="Arial"/>
          <w:sz w:val="17"/>
          <w:szCs w:val="17"/>
          <w:color w:val="auto"/>
        </w:rPr>
        <w:t>You will recognize taxable income on the date you exercise a purchase right (</w:t>
      </w:r>
      <w:r>
        <w:rPr>
          <w:rFonts w:ascii="Arial" w:cs="Arial" w:eastAsia="Arial" w:hAnsi="Arial"/>
          <w:sz w:val="17"/>
          <w:szCs w:val="17"/>
          <w:i w:val="1"/>
          <w:iCs w:val="1"/>
          <w:color w:val="auto"/>
        </w:rPr>
        <w:t>i.e.,</w:t>
      </w:r>
      <w:r>
        <w:rPr>
          <w:rFonts w:ascii="Arial" w:cs="Arial" w:eastAsia="Arial" w:hAnsi="Arial"/>
          <w:sz w:val="17"/>
          <w:szCs w:val="17"/>
          <w:color w:val="auto"/>
        </w:rPr>
        <w:t xml:space="preserve"> the last trading day of each offering period) in an amount equal to the excess of the open market value of the Common Stock on the date of exercise over the purchase price paid for the shares. The Inland Revenue Authority of Singapore may use the net asset value of the Common Stock, less any amount paid for the shares, as the basis for determining the gains or profits if it is not possible to determine the gains or profits based on the price of the Common Stock in the open market.</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Subsequent Sale of Common Stock</w:t>
      </w:r>
    </w:p>
    <w:p>
      <w:pPr>
        <w:spacing w:after="0" w:line="200" w:lineRule="exact"/>
        <w:rPr>
          <w:sz w:val="20"/>
          <w:szCs w:val="20"/>
          <w:color w:val="auto"/>
        </w:rPr>
      </w:pPr>
    </w:p>
    <w:p>
      <w:pPr>
        <w:jc w:val="both"/>
        <w:ind w:firstLine="865"/>
        <w:spacing w:after="0" w:line="261" w:lineRule="auto"/>
        <w:rPr>
          <w:sz w:val="20"/>
          <w:szCs w:val="20"/>
          <w:color w:val="auto"/>
        </w:rPr>
      </w:pPr>
      <w:r>
        <w:rPr>
          <w:rFonts w:ascii="Arial" w:cs="Arial" w:eastAsia="Arial" w:hAnsi="Arial"/>
          <w:sz w:val="18"/>
          <w:szCs w:val="18"/>
          <w:color w:val="auto"/>
        </w:rPr>
        <w:t>There is no capital gains tax in Singapore. Any subsequent sale of the Common Stock will only be taxable if the gains or profits are of income or revenue in nature. The question of whether the gains or profits are revenue or capital in nature depends on your individual circumstances, in particular, whether you are in the business of trading in shares. In determining trading intention, the Inland Revenue Authority of Singapore will take into account the circumstances leading to the sale of the Common Stock and any history of trading in shares.</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Deduction</w:t>
      </w:r>
    </w:p>
    <w:p>
      <w:pPr>
        <w:spacing w:after="0" w:line="200" w:lineRule="exact"/>
        <w:rPr>
          <w:sz w:val="20"/>
          <w:szCs w:val="20"/>
          <w:color w:val="auto"/>
        </w:rPr>
      </w:pPr>
    </w:p>
    <w:p>
      <w:pPr>
        <w:ind w:left="860"/>
        <w:spacing w:after="0"/>
        <w:rPr>
          <w:sz w:val="20"/>
          <w:szCs w:val="20"/>
          <w:color w:val="auto"/>
        </w:rPr>
      </w:pPr>
      <w:r>
        <w:rPr>
          <w:rFonts w:ascii="Arial" w:cs="Arial" w:eastAsia="Arial" w:hAnsi="Arial"/>
          <w:sz w:val="19"/>
          <w:szCs w:val="19"/>
          <w:color w:val="auto"/>
        </w:rPr>
        <w:t>Your employer may be entitled to a tax deduction if certain prescribed requirements for deduction are met.</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Company Reporting Obligations</w:t>
      </w:r>
    </w:p>
    <w:p>
      <w:pPr>
        <w:spacing w:after="0" w:line="200" w:lineRule="exact"/>
        <w:rPr>
          <w:sz w:val="20"/>
          <w:szCs w:val="20"/>
          <w:color w:val="auto"/>
        </w:rPr>
      </w:pPr>
    </w:p>
    <w:p>
      <w:pPr>
        <w:jc w:val="both"/>
        <w:ind w:firstLine="865"/>
        <w:spacing w:after="0" w:line="290" w:lineRule="auto"/>
        <w:rPr>
          <w:sz w:val="20"/>
          <w:szCs w:val="20"/>
          <w:color w:val="auto"/>
        </w:rPr>
      </w:pPr>
      <w:r>
        <w:rPr>
          <w:rFonts w:ascii="Arial" w:cs="Arial" w:eastAsia="Arial" w:hAnsi="Arial"/>
          <w:sz w:val="17"/>
          <w:szCs w:val="17"/>
          <w:color w:val="auto"/>
        </w:rPr>
        <w:t>When preparing the annual salary form to be issued to you (Form IR8A) for the year of assessment in respect of the year in which the gains or profits from the exercise of an option is taxable, we will need to provide details of your gains or profits from the exercise of the Purchase Right under the Plan (Appendix 8B to Form IR8A). The deadline for preparing Form IR8A is by the 1st of March each year of assessment.</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UNITED ARAB EMIRATES</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Grant of Option</w:t>
      </w:r>
    </w:p>
    <w:p>
      <w:pPr>
        <w:spacing w:after="0" w:line="98"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9"/>
          <w:szCs w:val="19"/>
          <w:color w:val="auto"/>
        </w:rPr>
        <w:t>You will generally not recognize taxable income on the date we grant a purchase right to you under the Plan (</w:t>
      </w:r>
      <w:r>
        <w:rPr>
          <w:rFonts w:ascii="Arial" w:cs="Arial" w:eastAsia="Arial" w:hAnsi="Arial"/>
          <w:sz w:val="19"/>
          <w:szCs w:val="19"/>
          <w:i w:val="1"/>
          <w:iCs w:val="1"/>
          <w:color w:val="auto"/>
        </w:rPr>
        <w:t>i.e.</w:t>
      </w:r>
      <w:r>
        <w:rPr>
          <w:rFonts w:ascii="Arial" w:cs="Arial" w:eastAsia="Arial" w:hAnsi="Arial"/>
          <w:sz w:val="19"/>
          <w:szCs w:val="19"/>
          <w:color w:val="auto"/>
        </w:rPr>
        <w:t>, the first trading day of the offering period), nor will we be entitled to a deduction at that time.</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Exercise of Option</w:t>
      </w:r>
    </w:p>
    <w:p>
      <w:pPr>
        <w:spacing w:after="0" w:line="213" w:lineRule="exact"/>
        <w:rPr>
          <w:sz w:val="20"/>
          <w:szCs w:val="20"/>
          <w:color w:val="auto"/>
        </w:rPr>
      </w:pPr>
    </w:p>
    <w:p>
      <w:pPr>
        <w:jc w:val="both"/>
        <w:ind w:firstLine="865"/>
        <w:spacing w:after="0" w:line="243" w:lineRule="auto"/>
        <w:rPr>
          <w:sz w:val="20"/>
          <w:szCs w:val="20"/>
          <w:color w:val="auto"/>
        </w:rPr>
      </w:pPr>
      <w:r>
        <w:rPr>
          <w:rFonts w:ascii="Arial" w:cs="Arial" w:eastAsia="Arial" w:hAnsi="Arial"/>
          <w:sz w:val="19"/>
          <w:szCs w:val="19"/>
          <w:color w:val="auto"/>
        </w:rPr>
        <w:t>You most likely will not recognize taxable income on the date you exercise a purchase right (</w:t>
      </w:r>
      <w:r>
        <w:rPr>
          <w:rFonts w:ascii="Arial" w:cs="Arial" w:eastAsia="Arial" w:hAnsi="Arial"/>
          <w:sz w:val="19"/>
          <w:szCs w:val="19"/>
          <w:i w:val="1"/>
          <w:iCs w:val="1"/>
          <w:color w:val="auto"/>
        </w:rPr>
        <w:t>i.e.,</w:t>
      </w:r>
      <w:r>
        <w:rPr>
          <w:rFonts w:ascii="Arial" w:cs="Arial" w:eastAsia="Arial" w:hAnsi="Arial"/>
          <w:sz w:val="19"/>
          <w:szCs w:val="19"/>
          <w:color w:val="auto"/>
        </w:rPr>
        <w:t xml:space="preserve"> the last trading day of each offering period) as, generally, income tax does not apply to the purchase right. At the time of exercise of the purchase rights, it is unclear (although unlikely) whether you will be subject to social insurance contributions as your equity award is not part of your salary on the difference (or spread) between the fair market value of the shares on the date of exercise and the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US-DOCS\126472695.1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49530</wp:posOffset>
            </wp:positionV>
            <wp:extent cx="7182485" cy="412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4">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86" w:name="page187"/>
    <w:bookmarkEnd w:id="186"/>
    <w:p>
      <w:pPr>
        <w:spacing w:after="0"/>
        <w:rPr>
          <w:sz w:val="20"/>
          <w:szCs w:val="20"/>
          <w:color w:val="auto"/>
        </w:rPr>
      </w:pPr>
      <w:r>
        <w:rPr>
          <w:rFonts w:ascii="Arial" w:cs="Arial" w:eastAsia="Arial" w:hAnsi="Arial"/>
          <w:sz w:val="19"/>
          <w:szCs w:val="19"/>
          <w:b w:val="1"/>
          <w:bCs w:val="1"/>
          <w:i w:val="1"/>
          <w:iCs w:val="1"/>
          <w:color w:val="auto"/>
        </w:rPr>
        <w:t>Tax Payment and Filing Obligations</w:t>
      </w:r>
    </w:p>
    <w:p>
      <w:pPr>
        <w:spacing w:after="0" w:line="9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Assuming income tax does not apply to your purchase of the shares, you are not required to report anything on your tax returns.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Subsequent Sale of Common Stock</w:t>
      </w:r>
    </w:p>
    <w:p>
      <w:pPr>
        <w:spacing w:after="0" w:line="213" w:lineRule="exact"/>
        <w:rPr>
          <w:sz w:val="20"/>
          <w:szCs w:val="20"/>
          <w:color w:val="auto"/>
        </w:rPr>
      </w:pPr>
    </w:p>
    <w:p>
      <w:pPr>
        <w:ind w:left="860"/>
        <w:spacing w:after="0"/>
        <w:rPr>
          <w:sz w:val="20"/>
          <w:szCs w:val="20"/>
          <w:color w:val="auto"/>
        </w:rPr>
      </w:pPr>
      <w:r>
        <w:rPr>
          <w:rFonts w:ascii="Arial" w:cs="Arial" w:eastAsia="Arial" w:hAnsi="Arial"/>
          <w:sz w:val="19"/>
          <w:szCs w:val="19"/>
          <w:color w:val="auto"/>
        </w:rPr>
        <w:t>Any subsequent sale of the shares of Common Stock will, in general, not be subject to any additional tax.</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Deduction</w:t>
      </w:r>
    </w:p>
    <w:p>
      <w:pPr>
        <w:spacing w:after="0" w:line="213" w:lineRule="exact"/>
        <w:rPr>
          <w:sz w:val="20"/>
          <w:szCs w:val="20"/>
          <w:color w:val="auto"/>
        </w:rPr>
      </w:pPr>
    </w:p>
    <w:p>
      <w:pPr>
        <w:ind w:left="860"/>
        <w:spacing w:after="0"/>
        <w:rPr>
          <w:sz w:val="20"/>
          <w:szCs w:val="20"/>
          <w:color w:val="auto"/>
        </w:rPr>
      </w:pPr>
      <w:r>
        <w:rPr>
          <w:rFonts w:ascii="Arial" w:cs="Arial" w:eastAsia="Arial" w:hAnsi="Arial"/>
          <w:sz w:val="17"/>
          <w:szCs w:val="17"/>
          <w:color w:val="auto"/>
        </w:rPr>
        <w:t>In most cases, no income tax applies to the purchase rights, so the Company and your local subsidiary are not entitled to any deductions.</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Company Reporting Obligations</w:t>
      </w:r>
    </w:p>
    <w:p>
      <w:pPr>
        <w:spacing w:after="0" w:line="98" w:lineRule="exact"/>
        <w:rPr>
          <w:sz w:val="20"/>
          <w:szCs w:val="20"/>
          <w:color w:val="auto"/>
        </w:rPr>
      </w:pPr>
    </w:p>
    <w:p>
      <w:pPr>
        <w:jc w:val="both"/>
        <w:ind w:firstLine="865"/>
        <w:spacing w:after="0" w:line="247" w:lineRule="auto"/>
        <w:rPr>
          <w:sz w:val="20"/>
          <w:szCs w:val="20"/>
          <w:color w:val="auto"/>
        </w:rPr>
      </w:pPr>
      <w:r>
        <w:rPr>
          <w:rFonts w:ascii="Arial" w:cs="Arial" w:eastAsia="Arial" w:hAnsi="Arial"/>
          <w:sz w:val="19"/>
          <w:szCs w:val="19"/>
          <w:color w:val="auto"/>
        </w:rPr>
        <w:t>To the extent you recognize taxable income for the discount you receive when you purchase shares, we are required to report each time purchase rights are exercised, however, it is unlikely income tax will be recognized by you, so withholding and reporting by the Company is unlikely to be required.</w:t>
      </w:r>
    </w:p>
    <w:p>
      <w:pPr>
        <w:spacing w:after="0" w:line="38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UNITED KINGDOM</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Grant of Option</w:t>
      </w:r>
    </w:p>
    <w:p>
      <w:pPr>
        <w:spacing w:after="0" w:line="200"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9"/>
          <w:szCs w:val="19"/>
          <w:color w:val="auto"/>
        </w:rPr>
        <w:t>You will generally not recognize taxable income on the date we grant a purchase right to you under the Plan (</w:t>
      </w:r>
      <w:r>
        <w:rPr>
          <w:rFonts w:ascii="Arial" w:cs="Arial" w:eastAsia="Arial" w:hAnsi="Arial"/>
          <w:sz w:val="19"/>
          <w:szCs w:val="19"/>
          <w:i w:val="1"/>
          <w:iCs w:val="1"/>
          <w:color w:val="auto"/>
        </w:rPr>
        <w:t>i.e.,</w:t>
      </w:r>
      <w:r>
        <w:rPr>
          <w:rFonts w:ascii="Arial" w:cs="Arial" w:eastAsia="Arial" w:hAnsi="Arial"/>
          <w:sz w:val="19"/>
          <w:szCs w:val="19"/>
          <w:color w:val="auto"/>
        </w:rPr>
        <w:t xml:space="preserve"> the first trading day of the offering period), nor will we be entitled to a deduction at that time.</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Exercise of Option</w:t>
      </w:r>
    </w:p>
    <w:p>
      <w:pPr>
        <w:spacing w:after="0" w:line="200" w:lineRule="exact"/>
        <w:rPr>
          <w:sz w:val="20"/>
          <w:szCs w:val="20"/>
          <w:color w:val="auto"/>
        </w:rPr>
      </w:pPr>
    </w:p>
    <w:p>
      <w:pPr>
        <w:jc w:val="both"/>
        <w:ind w:firstLine="865"/>
        <w:spacing w:after="0" w:line="256" w:lineRule="auto"/>
        <w:rPr>
          <w:sz w:val="20"/>
          <w:szCs w:val="20"/>
          <w:color w:val="auto"/>
        </w:rPr>
      </w:pPr>
      <w:r>
        <w:rPr>
          <w:rFonts w:ascii="Arial" w:cs="Arial" w:eastAsia="Arial" w:hAnsi="Arial"/>
          <w:sz w:val="18"/>
          <w:szCs w:val="18"/>
          <w:color w:val="auto"/>
        </w:rPr>
        <w:t>On the understanding that, no later than 14 days from the date on which you acquire shares of Common Stock under the Plan, you enter into an election to disapply the effect of all restrictions attaching to those shares (pursuant to s431 of the Income Tax (Earnings and Pensions) Act 2003), you will recognize taxable income on the date you exercise a purchase right (</w:t>
      </w:r>
      <w:r>
        <w:rPr>
          <w:rFonts w:ascii="Arial" w:cs="Arial" w:eastAsia="Arial" w:hAnsi="Arial"/>
          <w:sz w:val="18"/>
          <w:szCs w:val="18"/>
          <w:i w:val="1"/>
          <w:iCs w:val="1"/>
          <w:color w:val="auto"/>
        </w:rPr>
        <w:t>i.e.,</w:t>
      </w:r>
      <w:r>
        <w:rPr>
          <w:rFonts w:ascii="Arial" w:cs="Arial" w:eastAsia="Arial" w:hAnsi="Arial"/>
          <w:sz w:val="18"/>
          <w:szCs w:val="18"/>
          <w:color w:val="auto"/>
        </w:rPr>
        <w:t xml:space="preserve"> the last trading day of each offering period) in an amount equal to the excess of the fair market value of the Common Stock on the date of exercise over the purchase price paid for the shares. Your basis in the shares of Common Stock received upon exercise, for purposes of determining your gain or loss on subsequent dispositions of the shares, generally will be the fair market value of the shares of Common Stock on the date of exercise.</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The income tax due will be levied at your marginal rate of income tax (being 20%, 40% or 45%).</w:t>
      </w:r>
    </w:p>
    <w:p>
      <w:pPr>
        <w:spacing w:after="0" w:line="213"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9"/>
          <w:szCs w:val="19"/>
          <w:color w:val="auto"/>
        </w:rPr>
        <w:t>The income tax due on acquisition will be met through the Pay As You Earn (PAYE) system, and there will be commensurate liabilities to pay employee’s Class 1 National Insurance.</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Subsequent Sale of Common Stock</w:t>
      </w:r>
    </w:p>
    <w:p>
      <w:pPr>
        <w:spacing w:after="0" w:line="200" w:lineRule="exact"/>
        <w:rPr>
          <w:sz w:val="20"/>
          <w:szCs w:val="20"/>
          <w:color w:val="auto"/>
        </w:rPr>
      </w:pPr>
    </w:p>
    <w:p>
      <w:pPr>
        <w:jc w:val="both"/>
        <w:ind w:firstLine="865"/>
        <w:spacing w:after="0" w:line="316" w:lineRule="auto"/>
        <w:rPr>
          <w:sz w:val="20"/>
          <w:szCs w:val="20"/>
          <w:color w:val="auto"/>
        </w:rPr>
      </w:pPr>
      <w:r>
        <w:rPr>
          <w:rFonts w:ascii="Arial" w:cs="Arial" w:eastAsia="Arial" w:hAnsi="Arial"/>
          <w:sz w:val="17"/>
          <w:szCs w:val="17"/>
          <w:color w:val="auto"/>
        </w:rPr>
        <w:t>Upon your subsequent sale of the shares of Common Stock acquired under the, you will recognize a capital gain or loss. Capital gains tax may arise when you sell your shares of Common Stock if they have increased in value since the time the purchase rights were exercised.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US-DOCS\126472695.1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49530</wp:posOffset>
            </wp:positionV>
            <wp:extent cx="7182485" cy="412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87" w:name="page188"/>
    <w:bookmarkEnd w:id="187"/>
    <w:p>
      <w:pPr>
        <w:spacing w:after="0"/>
        <w:rPr>
          <w:sz w:val="20"/>
          <w:szCs w:val="20"/>
          <w:color w:val="auto"/>
        </w:rPr>
      </w:pPr>
      <w:r>
        <w:rPr>
          <w:rFonts w:ascii="Arial" w:cs="Arial" w:eastAsia="Arial" w:hAnsi="Arial"/>
          <w:sz w:val="19"/>
          <w:szCs w:val="19"/>
          <w:b w:val="1"/>
          <w:bCs w:val="1"/>
          <w:i w:val="1"/>
          <w:iCs w:val="1"/>
          <w:color w:val="auto"/>
        </w:rPr>
        <w:t>Our Deduction</w:t>
      </w:r>
    </w:p>
    <w:p>
      <w:pPr>
        <w:spacing w:after="0" w:line="200" w:lineRule="exact"/>
        <w:rPr>
          <w:sz w:val="20"/>
          <w:szCs w:val="20"/>
          <w:color w:val="auto"/>
        </w:rPr>
      </w:pPr>
    </w:p>
    <w:p>
      <w:pPr>
        <w:jc w:val="both"/>
        <w:ind w:firstLine="865"/>
        <w:spacing w:after="0" w:line="243" w:lineRule="auto"/>
        <w:rPr>
          <w:sz w:val="20"/>
          <w:szCs w:val="20"/>
          <w:color w:val="auto"/>
        </w:rPr>
      </w:pPr>
      <w:r>
        <w:rPr>
          <w:rFonts w:ascii="Arial" w:cs="Arial" w:eastAsia="Arial" w:hAnsi="Arial"/>
          <w:sz w:val="19"/>
          <w:szCs w:val="19"/>
          <w:color w:val="auto"/>
        </w:rPr>
        <w:t>If the local UK employer reimburses the Company for costs in relation to the Plan and documents the reimbursement, it generally may take a tax deduction for the costs of the Plan as a salary expense. Alternatively, provided certain conditions are met, the employer may be entitled to statutory corporation tax relief for any difference between the market value of the shares of Common Stock at the time of acquisition and the amount paid for the shares.</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Company Reporting Obligations</w:t>
      </w:r>
    </w:p>
    <w:p>
      <w:pPr>
        <w:spacing w:after="0" w:line="200" w:lineRule="exact"/>
        <w:rPr>
          <w:sz w:val="20"/>
          <w:szCs w:val="20"/>
          <w:color w:val="auto"/>
        </w:rPr>
      </w:pPr>
    </w:p>
    <w:p>
      <w:pPr>
        <w:jc w:val="both"/>
        <w:ind w:firstLine="865"/>
        <w:spacing w:after="0" w:line="316" w:lineRule="auto"/>
        <w:rPr>
          <w:sz w:val="20"/>
          <w:szCs w:val="20"/>
          <w:color w:val="auto"/>
        </w:rPr>
      </w:pPr>
      <w:r>
        <w:rPr>
          <w:rFonts w:ascii="Arial" w:cs="Arial" w:eastAsia="Arial" w:hAnsi="Arial"/>
          <w:sz w:val="17"/>
          <w:szCs w:val="17"/>
          <w:color w:val="auto"/>
        </w:rPr>
        <w:t>We must notify HMRC when purchase rights under the Plan are granted, exercised or released. This notification is made by us through our online PAYE reporting platform by 6 July following the end of the tax year in which the purchase rights are granted, exercised or released.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US-DOCS\126472695.1</w:t>
      </w:r>
    </w:p>
    <w:p>
      <w:pPr>
        <w:sectPr>
          <w:pgSz w:w="11900" w:h="16838" w:orient="portrait"/>
          <w:cols w:equalWidth="0" w:num="1">
            <w:col w:w="11240"/>
          </w:cols>
          <w:pgMar w:left="320" w:top="579" w:right="339" w:bottom="1440" w:gutter="0" w:footer="0" w:header="0"/>
        </w:sectPr>
      </w:pPr>
    </w:p>
    <w:bookmarkStart w:id="188" w:name="page189"/>
    <w:bookmarkEnd w:id="188"/>
    <w:p>
      <w:pPr>
        <w:ind w:left="10140"/>
        <w:spacing w:after="0"/>
        <w:rPr>
          <w:sz w:val="20"/>
          <w:szCs w:val="20"/>
          <w:color w:val="auto"/>
        </w:rPr>
      </w:pPr>
      <w:r>
        <w:rPr>
          <w:rFonts w:ascii="Arial" w:cs="Arial" w:eastAsia="Arial" w:hAnsi="Arial"/>
          <w:sz w:val="19"/>
          <w:szCs w:val="19"/>
          <w:color w:val="auto"/>
        </w:rPr>
        <w:t>Exhibit 10.24</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PARSONS CORPORATION</w:t>
      </w:r>
    </w:p>
    <w:p>
      <w:pPr>
        <w:jc w:val="center"/>
        <w:spacing w:after="0"/>
        <w:rPr>
          <w:sz w:val="20"/>
          <w:szCs w:val="20"/>
          <w:color w:val="auto"/>
        </w:rPr>
      </w:pPr>
      <w:r>
        <w:rPr>
          <w:rFonts w:ascii="Arial" w:cs="Arial" w:eastAsia="Arial" w:hAnsi="Arial"/>
          <w:sz w:val="19"/>
          <w:szCs w:val="19"/>
          <w:b w:val="1"/>
          <w:bCs w:val="1"/>
          <w:color w:val="auto"/>
        </w:rPr>
        <w:t>EMPLOYEE STOCK PURCHASE PLAN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OFFERING DOCUMENT FOR SPECIAL OFFERING PERIOD</w:t>
      </w:r>
    </w:p>
    <w:p>
      <w:pPr>
        <w:spacing w:after="0" w:line="21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This document (this “</w:t>
      </w:r>
      <w:r>
        <w:rPr>
          <w:rFonts w:ascii="Arial" w:cs="Arial" w:eastAsia="Arial" w:hAnsi="Arial"/>
          <w:sz w:val="17"/>
          <w:szCs w:val="17"/>
          <w:u w:val="single" w:color="auto"/>
          <w:color w:val="auto"/>
        </w:rPr>
        <w:t>Offering Document</w:t>
      </w:r>
      <w:r>
        <w:rPr>
          <w:rFonts w:ascii="Arial" w:cs="Arial" w:eastAsia="Arial" w:hAnsi="Arial"/>
          <w:sz w:val="17"/>
          <w:szCs w:val="17"/>
          <w:color w:val="auto"/>
        </w:rPr>
        <w:t>”) is hereby adopted by the Compensation Committee of the Board of Directors of Parsons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its capacity as administrator of the Parsons Corporation Employee Stock Purchase Plan (the “</w:t>
      </w:r>
      <w:r>
        <w:rPr>
          <w:rFonts w:ascii="Arial" w:cs="Arial" w:eastAsia="Arial" w:hAnsi="Arial"/>
          <w:sz w:val="17"/>
          <w:szCs w:val="17"/>
          <w:u w:val="single" w:color="auto"/>
          <w:color w:val="auto"/>
        </w:rPr>
        <w:t>ESPP</w:t>
      </w:r>
      <w:r>
        <w:rPr>
          <w:rFonts w:ascii="Arial" w:cs="Arial" w:eastAsia="Arial" w:hAnsi="Arial"/>
          <w:sz w:val="17"/>
          <w:szCs w:val="17"/>
          <w:color w:val="auto"/>
        </w:rPr>
        <w:t>”) and is hereby incorporated by reference into and made a part of the ESPP. Defined terms used herein without definition shall have the meanings specified in the ESPP.</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This Offering Document shall apply with respect to only the “Special Offering” under the ESPP during the “Special Offering Period” (each as defined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80" w:type="dxa"/>
            <w:vAlign w:val="bottom"/>
          </w:tcPr>
          <w:p>
            <w:pPr>
              <w:spacing w:after="0"/>
              <w:rPr>
                <w:sz w:val="20"/>
                <w:szCs w:val="20"/>
                <w:color w:val="auto"/>
              </w:rPr>
            </w:pPr>
            <w:r>
              <w:rPr>
                <w:rFonts w:ascii="Arial" w:cs="Arial" w:eastAsia="Arial" w:hAnsi="Arial"/>
                <w:sz w:val="19"/>
                <w:szCs w:val="19"/>
                <w:b w:val="1"/>
                <w:bCs w:val="1"/>
                <w:color w:val="auto"/>
              </w:rPr>
              <w:t>Special Offering Period:</w:t>
            </w:r>
          </w:p>
        </w:tc>
        <w:tc>
          <w:tcPr>
            <w:tcW w:w="6060" w:type="dxa"/>
            <w:vAlign w:val="bottom"/>
            <w:gridSpan w:val="5"/>
          </w:tcPr>
          <w:p>
            <w:pPr>
              <w:spacing w:after="0"/>
              <w:rPr>
                <w:sz w:val="20"/>
                <w:szCs w:val="20"/>
                <w:color w:val="auto"/>
              </w:rPr>
            </w:pPr>
            <w:r>
              <w:rPr>
                <w:rFonts w:ascii="Arial" w:cs="Arial" w:eastAsia="Arial" w:hAnsi="Arial"/>
                <w:sz w:val="19"/>
                <w:szCs w:val="19"/>
                <w:color w:val="auto"/>
                <w:w w:val="92"/>
              </w:rPr>
              <w:t>The “Special Offering” shall be implemented by a single Offering Period of two</w:t>
            </w:r>
          </w:p>
        </w:tc>
      </w:tr>
      <w:tr>
        <w:trPr>
          <w:trHeight w:val="216"/>
        </w:trPr>
        <w:tc>
          <w:tcPr>
            <w:tcW w:w="5180" w:type="dxa"/>
            <w:vAlign w:val="bottom"/>
          </w:tcPr>
          <w:p>
            <w:pPr>
              <w:spacing w:after="0"/>
              <w:rPr>
                <w:sz w:val="18"/>
                <w:szCs w:val="18"/>
                <w:color w:val="auto"/>
              </w:rPr>
            </w:pPr>
          </w:p>
        </w:tc>
        <w:tc>
          <w:tcPr>
            <w:tcW w:w="6060" w:type="dxa"/>
            <w:vAlign w:val="bottom"/>
            <w:gridSpan w:val="5"/>
          </w:tcPr>
          <w:p>
            <w:pPr>
              <w:spacing w:after="0" w:line="215" w:lineRule="exact"/>
              <w:rPr>
                <w:sz w:val="20"/>
                <w:szCs w:val="20"/>
                <w:color w:val="auto"/>
              </w:rPr>
            </w:pPr>
            <w:r>
              <w:rPr>
                <w:rFonts w:ascii="Arial" w:cs="Arial" w:eastAsia="Arial" w:hAnsi="Arial"/>
                <w:sz w:val="19"/>
                <w:szCs w:val="19"/>
                <w:color w:val="auto"/>
                <w:w w:val="90"/>
              </w:rPr>
              <w:t>months in length commencing on November 1, 2021, and ending on December</w:t>
            </w:r>
          </w:p>
        </w:tc>
      </w:tr>
      <w:tr>
        <w:trPr>
          <w:trHeight w:val="194"/>
        </w:trPr>
        <w:tc>
          <w:tcPr>
            <w:tcW w:w="5180" w:type="dxa"/>
            <w:vAlign w:val="bottom"/>
          </w:tcPr>
          <w:p>
            <w:pPr>
              <w:spacing w:after="0"/>
              <w:rPr>
                <w:sz w:val="16"/>
                <w:szCs w:val="16"/>
                <w:color w:val="auto"/>
              </w:rPr>
            </w:pPr>
          </w:p>
        </w:tc>
        <w:tc>
          <w:tcPr>
            <w:tcW w:w="6060" w:type="dxa"/>
            <w:vAlign w:val="bottom"/>
            <w:gridSpan w:val="5"/>
          </w:tcPr>
          <w:p>
            <w:pPr>
              <w:spacing w:after="0" w:line="194" w:lineRule="exact"/>
              <w:rPr>
                <w:sz w:val="20"/>
                <w:szCs w:val="20"/>
                <w:color w:val="auto"/>
              </w:rPr>
            </w:pPr>
            <w:r>
              <w:rPr>
                <w:rFonts w:ascii="Arial" w:cs="Arial" w:eastAsia="Arial" w:hAnsi="Arial"/>
                <w:sz w:val="19"/>
                <w:szCs w:val="19"/>
                <w:color w:val="auto"/>
                <w:w w:val="99"/>
              </w:rPr>
              <w:t>31, 2021 (the “Special Offering Period”).  November 1, 2021 shall be the</w:t>
            </w:r>
          </w:p>
        </w:tc>
      </w:tr>
      <w:tr>
        <w:trPr>
          <w:trHeight w:val="20"/>
        </w:trPr>
        <w:tc>
          <w:tcPr>
            <w:tcW w:w="5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6060" w:type="dxa"/>
            <w:vAlign w:val="bottom"/>
            <w:gridSpan w:val="5"/>
          </w:tcPr>
          <w:p>
            <w:pPr>
              <w:spacing w:after="0" w:line="217" w:lineRule="exact"/>
              <w:rPr>
                <w:sz w:val="20"/>
                <w:szCs w:val="20"/>
                <w:color w:val="auto"/>
              </w:rPr>
            </w:pPr>
            <w:r>
              <w:rPr>
                <w:rFonts w:ascii="Arial" w:cs="Arial" w:eastAsia="Arial" w:hAnsi="Arial"/>
                <w:sz w:val="19"/>
                <w:szCs w:val="19"/>
                <w:color w:val="auto"/>
                <w:w w:val="95"/>
              </w:rPr>
              <w:t>“Enrollment Date’ under the ESPP for purposes of the Special Offering and</w:t>
            </w:r>
          </w:p>
        </w:tc>
      </w:tr>
      <w:tr>
        <w:trPr>
          <w:trHeight w:val="216"/>
        </w:trPr>
        <w:tc>
          <w:tcPr>
            <w:tcW w:w="5180" w:type="dxa"/>
            <w:vAlign w:val="bottom"/>
          </w:tcPr>
          <w:p>
            <w:pPr>
              <w:spacing w:after="0"/>
              <w:rPr>
                <w:sz w:val="18"/>
                <w:szCs w:val="18"/>
                <w:color w:val="auto"/>
              </w:rPr>
            </w:pPr>
          </w:p>
        </w:tc>
        <w:tc>
          <w:tcPr>
            <w:tcW w:w="6060" w:type="dxa"/>
            <w:vAlign w:val="bottom"/>
            <w:gridSpan w:val="5"/>
          </w:tcPr>
          <w:p>
            <w:pPr>
              <w:spacing w:after="0" w:line="215" w:lineRule="exact"/>
              <w:rPr>
                <w:sz w:val="20"/>
                <w:szCs w:val="20"/>
                <w:color w:val="auto"/>
              </w:rPr>
            </w:pPr>
            <w:r>
              <w:rPr>
                <w:rFonts w:ascii="Arial" w:cs="Arial" w:eastAsia="Arial" w:hAnsi="Arial"/>
                <w:sz w:val="19"/>
                <w:szCs w:val="19"/>
                <w:color w:val="auto"/>
                <w:w w:val="88"/>
              </w:rPr>
              <w:t>December 31, 2021 shall be the “Exercise Date” under the ESPP for purposes of</w:t>
            </w:r>
          </w:p>
        </w:tc>
      </w:tr>
      <w:tr>
        <w:trPr>
          <w:trHeight w:val="238"/>
        </w:trPr>
        <w:tc>
          <w:tcPr>
            <w:tcW w:w="5180" w:type="dxa"/>
            <w:vAlign w:val="bottom"/>
          </w:tcPr>
          <w:p>
            <w:pPr>
              <w:spacing w:after="0"/>
              <w:rPr>
                <w:sz w:val="20"/>
                <w:szCs w:val="20"/>
                <w:color w:val="auto"/>
              </w:rPr>
            </w:pPr>
          </w:p>
        </w:tc>
        <w:tc>
          <w:tcPr>
            <w:tcW w:w="6060" w:type="dxa"/>
            <w:vAlign w:val="bottom"/>
            <w:gridSpan w:val="5"/>
          </w:tcPr>
          <w:p>
            <w:pPr>
              <w:spacing w:after="0"/>
              <w:rPr>
                <w:sz w:val="20"/>
                <w:szCs w:val="20"/>
                <w:color w:val="auto"/>
              </w:rPr>
            </w:pPr>
            <w:r>
              <w:rPr>
                <w:rFonts w:ascii="Arial" w:cs="Arial" w:eastAsia="Arial" w:hAnsi="Arial"/>
                <w:sz w:val="19"/>
                <w:szCs w:val="19"/>
                <w:color w:val="auto"/>
              </w:rPr>
              <w:t>the Special Offering.</w:t>
            </w:r>
          </w:p>
        </w:tc>
      </w:tr>
      <w:tr>
        <w:trPr>
          <w:trHeight w:val="409"/>
        </w:trPr>
        <w:tc>
          <w:tcPr>
            <w:tcW w:w="5180" w:type="dxa"/>
            <w:vAlign w:val="bottom"/>
          </w:tcPr>
          <w:p>
            <w:pPr>
              <w:spacing w:after="0"/>
              <w:rPr>
                <w:sz w:val="24"/>
                <w:szCs w:val="24"/>
                <w:color w:val="auto"/>
              </w:rPr>
            </w:pPr>
          </w:p>
        </w:tc>
        <w:tc>
          <w:tcPr>
            <w:tcW w:w="6060" w:type="dxa"/>
            <w:vAlign w:val="bottom"/>
            <w:gridSpan w:val="5"/>
          </w:tcPr>
          <w:p>
            <w:pPr>
              <w:spacing w:after="0"/>
              <w:rPr>
                <w:sz w:val="20"/>
                <w:szCs w:val="20"/>
                <w:color w:val="auto"/>
              </w:rPr>
            </w:pPr>
            <w:r>
              <w:rPr>
                <w:rFonts w:ascii="Arial" w:cs="Arial" w:eastAsia="Arial" w:hAnsi="Arial"/>
                <w:sz w:val="19"/>
                <w:szCs w:val="19"/>
                <w:color w:val="auto"/>
              </w:rPr>
              <w:t>The Special  Offering  will be a separate Offering under the Section 423</w:t>
            </w:r>
          </w:p>
        </w:tc>
      </w:tr>
      <w:tr>
        <w:trPr>
          <w:trHeight w:val="238"/>
        </w:trPr>
        <w:tc>
          <w:tcPr>
            <w:tcW w:w="5180" w:type="dxa"/>
            <w:vAlign w:val="bottom"/>
          </w:tcPr>
          <w:p>
            <w:pPr>
              <w:spacing w:after="0"/>
              <w:rPr>
                <w:sz w:val="20"/>
                <w:szCs w:val="20"/>
                <w:color w:val="auto"/>
              </w:rPr>
            </w:pPr>
          </w:p>
        </w:tc>
        <w:tc>
          <w:tcPr>
            <w:tcW w:w="6060" w:type="dxa"/>
            <w:vAlign w:val="bottom"/>
            <w:gridSpan w:val="5"/>
          </w:tcPr>
          <w:p>
            <w:pPr>
              <w:spacing w:after="0"/>
              <w:rPr>
                <w:sz w:val="20"/>
                <w:szCs w:val="20"/>
                <w:color w:val="auto"/>
              </w:rPr>
            </w:pPr>
            <w:r>
              <w:rPr>
                <w:rFonts w:ascii="Arial" w:cs="Arial" w:eastAsia="Arial" w:hAnsi="Arial"/>
                <w:sz w:val="19"/>
                <w:szCs w:val="19"/>
                <w:color w:val="auto"/>
              </w:rPr>
              <w:t>Component of the ESPP.</w:t>
            </w:r>
          </w:p>
        </w:tc>
      </w:tr>
      <w:tr>
        <w:trPr>
          <w:trHeight w:val="409"/>
        </w:trPr>
        <w:tc>
          <w:tcPr>
            <w:tcW w:w="5180" w:type="dxa"/>
            <w:vAlign w:val="bottom"/>
          </w:tcPr>
          <w:p>
            <w:pPr>
              <w:spacing w:after="0"/>
              <w:rPr>
                <w:sz w:val="24"/>
                <w:szCs w:val="24"/>
                <w:color w:val="auto"/>
              </w:rPr>
            </w:pPr>
          </w:p>
        </w:tc>
        <w:tc>
          <w:tcPr>
            <w:tcW w:w="6060" w:type="dxa"/>
            <w:vAlign w:val="bottom"/>
            <w:gridSpan w:val="5"/>
          </w:tcPr>
          <w:p>
            <w:pPr>
              <w:ind w:left="20"/>
              <w:spacing w:after="0"/>
              <w:rPr>
                <w:sz w:val="20"/>
                <w:szCs w:val="20"/>
                <w:color w:val="auto"/>
              </w:rPr>
            </w:pPr>
            <w:r>
              <w:rPr>
                <w:rFonts w:ascii="Arial" w:cs="Arial" w:eastAsia="Arial" w:hAnsi="Arial"/>
                <w:sz w:val="19"/>
                <w:szCs w:val="19"/>
                <w:color w:val="auto"/>
                <w:w w:val="87"/>
              </w:rPr>
              <w:t>The Special Offering shall be treated as a separate and distinct Offering under the</w:t>
            </w:r>
          </w:p>
        </w:tc>
      </w:tr>
      <w:tr>
        <w:trPr>
          <w:trHeight w:val="216"/>
        </w:trPr>
        <w:tc>
          <w:tcPr>
            <w:tcW w:w="5180" w:type="dxa"/>
            <w:vAlign w:val="bottom"/>
          </w:tcPr>
          <w:p>
            <w:pPr>
              <w:spacing w:after="0"/>
              <w:rPr>
                <w:sz w:val="18"/>
                <w:szCs w:val="18"/>
                <w:color w:val="auto"/>
              </w:rPr>
            </w:pPr>
          </w:p>
        </w:tc>
        <w:tc>
          <w:tcPr>
            <w:tcW w:w="6060" w:type="dxa"/>
            <w:vAlign w:val="bottom"/>
            <w:gridSpan w:val="5"/>
          </w:tcPr>
          <w:p>
            <w:pPr>
              <w:ind w:left="20"/>
              <w:spacing w:after="0" w:line="215" w:lineRule="exact"/>
              <w:rPr>
                <w:sz w:val="20"/>
                <w:szCs w:val="20"/>
                <w:color w:val="auto"/>
              </w:rPr>
            </w:pPr>
            <w:r>
              <w:rPr>
                <w:rFonts w:ascii="Arial" w:cs="Arial" w:eastAsia="Arial" w:hAnsi="Arial"/>
                <w:sz w:val="19"/>
                <w:szCs w:val="19"/>
                <w:color w:val="auto"/>
                <w:w w:val="97"/>
              </w:rPr>
              <w:t>ESPP, and the provisions of the ESPP will separately apply to the Special</w:t>
            </w:r>
          </w:p>
        </w:tc>
      </w:tr>
      <w:tr>
        <w:trPr>
          <w:trHeight w:val="238"/>
        </w:trPr>
        <w:tc>
          <w:tcPr>
            <w:tcW w:w="5180" w:type="dxa"/>
            <w:vAlign w:val="bottom"/>
          </w:tcPr>
          <w:p>
            <w:pPr>
              <w:spacing w:after="0"/>
              <w:rPr>
                <w:sz w:val="20"/>
                <w:szCs w:val="20"/>
                <w:color w:val="auto"/>
              </w:rPr>
            </w:pPr>
          </w:p>
        </w:tc>
        <w:tc>
          <w:tcPr>
            <w:tcW w:w="6060" w:type="dxa"/>
            <w:vAlign w:val="bottom"/>
            <w:gridSpan w:val="5"/>
          </w:tcPr>
          <w:p>
            <w:pPr>
              <w:ind w:left="20"/>
              <w:spacing w:after="0"/>
              <w:rPr>
                <w:sz w:val="20"/>
                <w:szCs w:val="20"/>
                <w:color w:val="auto"/>
              </w:rPr>
            </w:pPr>
            <w:r>
              <w:rPr>
                <w:rFonts w:ascii="Arial" w:cs="Arial" w:eastAsia="Arial" w:hAnsi="Arial"/>
                <w:sz w:val="19"/>
                <w:szCs w:val="19"/>
                <w:color w:val="auto"/>
              </w:rPr>
              <w:t>Offering.</w:t>
            </w:r>
          </w:p>
        </w:tc>
      </w:tr>
      <w:tr>
        <w:trPr>
          <w:trHeight w:val="396"/>
        </w:trPr>
        <w:tc>
          <w:tcPr>
            <w:tcW w:w="5180" w:type="dxa"/>
            <w:vAlign w:val="bottom"/>
          </w:tcPr>
          <w:p>
            <w:pPr>
              <w:spacing w:after="0"/>
              <w:rPr>
                <w:sz w:val="20"/>
                <w:szCs w:val="20"/>
                <w:color w:val="auto"/>
              </w:rPr>
            </w:pPr>
            <w:r>
              <w:rPr>
                <w:rFonts w:ascii="Arial" w:cs="Arial" w:eastAsia="Arial" w:hAnsi="Arial"/>
                <w:sz w:val="19"/>
                <w:szCs w:val="19"/>
                <w:b w:val="1"/>
                <w:bCs w:val="1"/>
                <w:color w:val="auto"/>
              </w:rPr>
              <w:t>Eligibility Requirements:</w:t>
            </w:r>
          </w:p>
        </w:tc>
        <w:tc>
          <w:tcPr>
            <w:tcW w:w="6060" w:type="dxa"/>
            <w:vAlign w:val="bottom"/>
            <w:gridSpan w:val="5"/>
          </w:tcPr>
          <w:p>
            <w:pPr>
              <w:spacing w:after="0"/>
              <w:rPr>
                <w:sz w:val="20"/>
                <w:szCs w:val="20"/>
                <w:color w:val="auto"/>
              </w:rPr>
            </w:pPr>
            <w:r>
              <w:rPr>
                <w:rFonts w:ascii="Arial" w:cs="Arial" w:eastAsia="Arial" w:hAnsi="Arial"/>
                <w:sz w:val="19"/>
                <w:szCs w:val="19"/>
                <w:color w:val="auto"/>
              </w:rPr>
              <w:t>Only Eligible Employees of BlackHorse Solutions, Inc. and the following</w:t>
            </w:r>
          </w:p>
        </w:tc>
      </w:tr>
      <w:tr>
        <w:trPr>
          <w:trHeight w:val="194"/>
        </w:trPr>
        <w:tc>
          <w:tcPr>
            <w:tcW w:w="5180" w:type="dxa"/>
            <w:vAlign w:val="bottom"/>
          </w:tcPr>
          <w:p>
            <w:pPr>
              <w:spacing w:after="0"/>
              <w:rPr>
                <w:sz w:val="16"/>
                <w:szCs w:val="16"/>
                <w:color w:val="auto"/>
              </w:rPr>
            </w:pPr>
          </w:p>
        </w:tc>
        <w:tc>
          <w:tcPr>
            <w:tcW w:w="6060" w:type="dxa"/>
            <w:vAlign w:val="bottom"/>
            <w:gridSpan w:val="5"/>
          </w:tcPr>
          <w:p>
            <w:pPr>
              <w:spacing w:after="0" w:line="194" w:lineRule="exact"/>
              <w:rPr>
                <w:sz w:val="20"/>
                <w:szCs w:val="20"/>
                <w:color w:val="auto"/>
              </w:rPr>
            </w:pPr>
            <w:r>
              <w:rPr>
                <w:rFonts w:ascii="Arial" w:cs="Arial" w:eastAsia="Arial" w:hAnsi="Arial"/>
                <w:sz w:val="19"/>
                <w:szCs w:val="19"/>
                <w:color w:val="auto"/>
                <w:w w:val="95"/>
              </w:rPr>
              <w:t>Subsidiary  Corporations  of  BlackHorse  Solutions,  Inc.  (the  “BlackHorse</w:t>
            </w:r>
          </w:p>
        </w:tc>
      </w:tr>
      <w:tr>
        <w:trPr>
          <w:trHeight w:val="20"/>
        </w:trPr>
        <w:tc>
          <w:tcPr>
            <w:tcW w:w="51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196"/>
        </w:trPr>
        <w:tc>
          <w:tcPr>
            <w:tcW w:w="5180" w:type="dxa"/>
            <w:vAlign w:val="bottom"/>
          </w:tcPr>
          <w:p>
            <w:pPr>
              <w:spacing w:after="0"/>
              <w:rPr>
                <w:sz w:val="17"/>
                <w:szCs w:val="17"/>
                <w:color w:val="auto"/>
              </w:rPr>
            </w:pPr>
          </w:p>
        </w:tc>
        <w:tc>
          <w:tcPr>
            <w:tcW w:w="6060" w:type="dxa"/>
            <w:vAlign w:val="bottom"/>
            <w:gridSpan w:val="5"/>
          </w:tcPr>
          <w:p>
            <w:pPr>
              <w:spacing w:after="0" w:line="195" w:lineRule="exact"/>
              <w:rPr>
                <w:sz w:val="20"/>
                <w:szCs w:val="20"/>
                <w:color w:val="auto"/>
              </w:rPr>
            </w:pPr>
            <w:r>
              <w:rPr>
                <w:rFonts w:ascii="Arial" w:cs="Arial" w:eastAsia="Arial" w:hAnsi="Arial"/>
                <w:sz w:val="19"/>
                <w:szCs w:val="19"/>
                <w:color w:val="auto"/>
                <w:w w:val="90"/>
              </w:rPr>
              <w:t>Participating Companies”) shall be eligible to participate in the Special Offering,</w:t>
            </w:r>
          </w:p>
        </w:tc>
      </w:tr>
      <w:tr>
        <w:trPr>
          <w:trHeight w:val="20"/>
        </w:trPr>
        <w:tc>
          <w:tcPr>
            <w:tcW w:w="5180" w:type="dxa"/>
            <w:vAlign w:val="bottom"/>
          </w:tcPr>
          <w:p>
            <w:pPr>
              <w:spacing w:after="0" w:line="20" w:lineRule="exact"/>
              <w:rPr>
                <w:sz w:val="1"/>
                <w:szCs w:val="1"/>
                <w:color w:val="auto"/>
              </w:rPr>
            </w:pPr>
          </w:p>
        </w:tc>
        <w:tc>
          <w:tcPr>
            <w:tcW w:w="1840" w:type="dxa"/>
            <w:vAlign w:val="bottom"/>
            <w:gridSpan w:val="2"/>
            <w:shd w:val="clear" w:color="auto" w:fill="000000"/>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r>
      <w:tr>
        <w:trPr>
          <w:trHeight w:val="239"/>
        </w:trPr>
        <w:tc>
          <w:tcPr>
            <w:tcW w:w="5180" w:type="dxa"/>
            <w:vAlign w:val="bottom"/>
          </w:tcPr>
          <w:p>
            <w:pPr>
              <w:spacing w:after="0"/>
              <w:rPr>
                <w:sz w:val="20"/>
                <w:szCs w:val="20"/>
                <w:color w:val="auto"/>
              </w:rPr>
            </w:pPr>
          </w:p>
        </w:tc>
        <w:tc>
          <w:tcPr>
            <w:tcW w:w="6060" w:type="dxa"/>
            <w:vAlign w:val="bottom"/>
            <w:gridSpan w:val="5"/>
          </w:tcPr>
          <w:p>
            <w:pPr>
              <w:spacing w:after="0"/>
              <w:rPr>
                <w:sz w:val="20"/>
                <w:szCs w:val="20"/>
                <w:color w:val="auto"/>
              </w:rPr>
            </w:pPr>
            <w:r>
              <w:rPr>
                <w:rFonts w:ascii="Arial" w:cs="Arial" w:eastAsia="Arial" w:hAnsi="Arial"/>
                <w:sz w:val="19"/>
                <w:szCs w:val="19"/>
                <w:color w:val="auto"/>
                <w:w w:val="97"/>
              </w:rPr>
              <w:t>provided they meet the other eligibility requirements set forth in the ESPP:</w:t>
            </w:r>
          </w:p>
        </w:tc>
      </w:tr>
      <w:tr>
        <w:trPr>
          <w:trHeight w:val="405"/>
        </w:trPr>
        <w:tc>
          <w:tcPr>
            <w:tcW w:w="5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20" w:type="dxa"/>
            <w:vAlign w:val="bottom"/>
            <w:gridSpan w:val="3"/>
          </w:tcPr>
          <w:p>
            <w:pPr>
              <w:jc w:val="center"/>
              <w:ind w:right="1820"/>
              <w:spacing w:after="0"/>
              <w:rPr>
                <w:sz w:val="20"/>
                <w:szCs w:val="20"/>
                <w:color w:val="auto"/>
              </w:rPr>
            </w:pPr>
            <w:r>
              <w:rPr>
                <w:rFonts w:ascii="Arial" w:cs="Arial" w:eastAsia="Arial" w:hAnsi="Arial"/>
                <w:sz w:val="19"/>
                <w:szCs w:val="19"/>
                <w:b w:val="1"/>
                <w:bCs w:val="1"/>
                <w:color w:val="auto"/>
                <w:w w:val="88"/>
              </w:rPr>
              <w:t>BlackHorse Solutions, Inc.</w:t>
            </w:r>
          </w:p>
        </w:tc>
      </w:tr>
      <w:tr>
        <w:trPr>
          <w:trHeight w:val="242"/>
        </w:trPr>
        <w:tc>
          <w:tcPr>
            <w:tcW w:w="5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20" w:type="dxa"/>
            <w:vAlign w:val="bottom"/>
            <w:gridSpan w:val="3"/>
          </w:tcPr>
          <w:p>
            <w:pPr>
              <w:jc w:val="center"/>
              <w:ind w:right="1820"/>
              <w:spacing w:after="0"/>
              <w:rPr>
                <w:sz w:val="20"/>
                <w:szCs w:val="20"/>
                <w:color w:val="auto"/>
              </w:rPr>
            </w:pPr>
            <w:r>
              <w:rPr>
                <w:rFonts w:ascii="Arial" w:cs="Arial" w:eastAsia="Arial" w:hAnsi="Arial"/>
                <w:sz w:val="19"/>
                <w:szCs w:val="19"/>
                <w:b w:val="1"/>
                <w:bCs w:val="1"/>
                <w:color w:val="auto"/>
                <w:w w:val="87"/>
              </w:rPr>
              <w:t>[Others to come]</w:t>
            </w:r>
            <w:r>
              <w:rPr>
                <w:rFonts w:ascii="Arial" w:cs="Arial" w:eastAsia="Arial" w:hAnsi="Arial"/>
                <w:sz w:val="15"/>
                <w:szCs w:val="15"/>
                <w:b w:val="1"/>
                <w:bCs w:val="1"/>
                <w:color w:val="auto"/>
                <w:w w:val="87"/>
              </w:rPr>
              <w:t>1</w:t>
            </w:r>
          </w:p>
        </w:tc>
      </w:tr>
      <w:tr>
        <w:trPr>
          <w:trHeight w:val="409"/>
        </w:trPr>
        <w:tc>
          <w:tcPr>
            <w:tcW w:w="5180" w:type="dxa"/>
            <w:vAlign w:val="bottom"/>
          </w:tcPr>
          <w:p>
            <w:pPr>
              <w:spacing w:after="0"/>
              <w:rPr>
                <w:sz w:val="24"/>
                <w:szCs w:val="24"/>
                <w:color w:val="auto"/>
              </w:rPr>
            </w:pPr>
          </w:p>
        </w:tc>
        <w:tc>
          <w:tcPr>
            <w:tcW w:w="6060" w:type="dxa"/>
            <w:vAlign w:val="bottom"/>
            <w:gridSpan w:val="5"/>
          </w:tcPr>
          <w:p>
            <w:pPr>
              <w:ind w:left="20"/>
              <w:spacing w:after="0"/>
              <w:rPr>
                <w:sz w:val="20"/>
                <w:szCs w:val="20"/>
                <w:color w:val="auto"/>
              </w:rPr>
            </w:pPr>
            <w:r>
              <w:rPr>
                <w:rFonts w:ascii="Arial" w:cs="Arial" w:eastAsia="Arial" w:hAnsi="Arial"/>
                <w:sz w:val="19"/>
                <w:szCs w:val="19"/>
                <w:color w:val="auto"/>
                <w:w w:val="96"/>
              </w:rPr>
              <w:t>For the Special Offering, the following eligibility requirements shall apply to</w:t>
            </w:r>
          </w:p>
        </w:tc>
      </w:tr>
      <w:tr>
        <w:trPr>
          <w:trHeight w:val="216"/>
        </w:trPr>
        <w:tc>
          <w:tcPr>
            <w:tcW w:w="5180" w:type="dxa"/>
            <w:vAlign w:val="bottom"/>
          </w:tcPr>
          <w:p>
            <w:pPr>
              <w:spacing w:after="0"/>
              <w:rPr>
                <w:sz w:val="18"/>
                <w:szCs w:val="18"/>
                <w:color w:val="auto"/>
              </w:rPr>
            </w:pPr>
          </w:p>
        </w:tc>
        <w:tc>
          <w:tcPr>
            <w:tcW w:w="6060" w:type="dxa"/>
            <w:vAlign w:val="bottom"/>
            <w:gridSpan w:val="5"/>
          </w:tcPr>
          <w:p>
            <w:pPr>
              <w:ind w:left="20"/>
              <w:spacing w:after="0" w:line="215" w:lineRule="exact"/>
              <w:rPr>
                <w:sz w:val="20"/>
                <w:szCs w:val="20"/>
                <w:color w:val="auto"/>
              </w:rPr>
            </w:pPr>
            <w:r>
              <w:rPr>
                <w:rFonts w:ascii="Arial" w:cs="Arial" w:eastAsia="Arial" w:hAnsi="Arial"/>
                <w:sz w:val="19"/>
                <w:szCs w:val="19"/>
                <w:color w:val="auto"/>
                <w:w w:val="99"/>
              </w:rPr>
              <w:t>determine who is an “Eligible Employee” of the BlackHorse Participating</w:t>
            </w:r>
          </w:p>
        </w:tc>
      </w:tr>
      <w:tr>
        <w:trPr>
          <w:trHeight w:val="216"/>
        </w:trPr>
        <w:tc>
          <w:tcPr>
            <w:tcW w:w="5180" w:type="dxa"/>
            <w:vAlign w:val="bottom"/>
          </w:tcPr>
          <w:p>
            <w:pPr>
              <w:spacing w:after="0"/>
              <w:rPr>
                <w:sz w:val="18"/>
                <w:szCs w:val="18"/>
                <w:color w:val="auto"/>
              </w:rPr>
            </w:pPr>
          </w:p>
        </w:tc>
        <w:tc>
          <w:tcPr>
            <w:tcW w:w="6060" w:type="dxa"/>
            <w:vAlign w:val="bottom"/>
            <w:gridSpan w:val="5"/>
          </w:tcPr>
          <w:p>
            <w:pPr>
              <w:ind w:left="20"/>
              <w:spacing w:after="0" w:line="215" w:lineRule="exact"/>
              <w:rPr>
                <w:sz w:val="20"/>
                <w:szCs w:val="20"/>
                <w:color w:val="auto"/>
              </w:rPr>
            </w:pPr>
            <w:r>
              <w:rPr>
                <w:rFonts w:ascii="Arial" w:cs="Arial" w:eastAsia="Arial" w:hAnsi="Arial"/>
                <w:sz w:val="19"/>
                <w:szCs w:val="19"/>
                <w:color w:val="auto"/>
                <w:w w:val="91"/>
              </w:rPr>
              <w:t>Companies for purposes of the Special Offering Period, in addition to the other</w:t>
            </w:r>
          </w:p>
        </w:tc>
      </w:tr>
      <w:tr>
        <w:trPr>
          <w:trHeight w:val="238"/>
        </w:trPr>
        <w:tc>
          <w:tcPr>
            <w:tcW w:w="5180" w:type="dxa"/>
            <w:vAlign w:val="bottom"/>
          </w:tcPr>
          <w:p>
            <w:pPr>
              <w:spacing w:after="0"/>
              <w:rPr>
                <w:sz w:val="20"/>
                <w:szCs w:val="20"/>
                <w:color w:val="auto"/>
              </w:rPr>
            </w:pPr>
          </w:p>
        </w:tc>
        <w:tc>
          <w:tcPr>
            <w:tcW w:w="6060" w:type="dxa"/>
            <w:vAlign w:val="bottom"/>
            <w:gridSpan w:val="5"/>
          </w:tcPr>
          <w:p>
            <w:pPr>
              <w:ind w:left="20"/>
              <w:spacing w:after="0"/>
              <w:rPr>
                <w:sz w:val="20"/>
                <w:szCs w:val="20"/>
                <w:color w:val="auto"/>
              </w:rPr>
            </w:pPr>
            <w:r>
              <w:rPr>
                <w:rFonts w:ascii="Arial" w:cs="Arial" w:eastAsia="Arial" w:hAnsi="Arial"/>
                <w:sz w:val="19"/>
                <w:szCs w:val="19"/>
                <w:color w:val="auto"/>
              </w:rPr>
              <w:t>eligibility requirements set forth in the ESPP:</w:t>
            </w:r>
          </w:p>
        </w:tc>
      </w:tr>
    </w:tbl>
    <w:p>
      <w:pPr>
        <w:spacing w:after="0" w:line="333" w:lineRule="exact"/>
        <w:rPr>
          <w:sz w:val="20"/>
          <w:szCs w:val="20"/>
          <w:color w:val="auto"/>
        </w:rPr>
      </w:pPr>
    </w:p>
    <w:p>
      <w:pPr>
        <w:ind w:left="220" w:hanging="219"/>
        <w:spacing w:after="0" w:line="257" w:lineRule="auto"/>
        <w:tabs>
          <w:tab w:leader="none" w:pos="220" w:val="left"/>
        </w:tabs>
        <w:numPr>
          <w:ilvl w:val="0"/>
          <w:numId w:val="96"/>
        </w:numPr>
        <w:rPr>
          <w:rFonts w:ascii="Arial" w:cs="Arial" w:eastAsia="Arial" w:hAnsi="Arial"/>
          <w:sz w:val="16"/>
          <w:szCs w:val="16"/>
          <w:color w:val="auto"/>
        </w:rPr>
      </w:pPr>
      <w:r>
        <w:rPr>
          <w:rFonts w:ascii="Arial" w:cs="Arial" w:eastAsia="Arial" w:hAnsi="Arial"/>
          <w:sz w:val="19"/>
          <w:szCs w:val="19"/>
          <w:color w:val="auto"/>
        </w:rPr>
        <w:t>List to include BlackHorse Solutions, Inc. and its corporate subsidiaries (or disregarded entities). Note that all corporate subsidiaries under BlackHorse Solutions, Inc. must be eligible to participate in the Special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-294005</wp:posOffset>
            </wp:positionV>
            <wp:extent cx="142494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6">
                      <a:extLst>
                        <a:ext uri="{28A0092B-C50C-407E-A947-70E740481C1C}"/>
                      </a:extLst>
                    </a:blip>
                    <a:srcRect/>
                    <a:stretch>
                      <a:fillRect/>
                    </a:stretch>
                  </pic:blipFill>
                  <pic:spPr bwMode="auto">
                    <a:xfrm>
                      <a:off x="0" y="0"/>
                      <a:ext cx="1424940" cy="8255"/>
                    </a:xfrm>
                    <a:prstGeom prst="rect">
                      <a:avLst/>
                    </a:prstGeom>
                    <a:noFill/>
                  </pic:spPr>
                </pic:pic>
              </a:graphicData>
            </a:graphic>
          </wp:anchor>
        </w:drawing>
      </w:r>
    </w:p>
    <w:p>
      <w:pPr>
        <w:spacing w:after="0" w:line="116" w:lineRule="exact"/>
        <w:rPr>
          <w:sz w:val="20"/>
          <w:szCs w:val="20"/>
          <w:color w:val="auto"/>
        </w:rPr>
      </w:pPr>
    </w:p>
    <w:p>
      <w:pPr>
        <w:ind w:left="860"/>
        <w:spacing w:after="0"/>
        <w:rPr>
          <w:sz w:val="20"/>
          <w:szCs w:val="20"/>
          <w:color w:val="auto"/>
        </w:rPr>
      </w:pPr>
      <w:r>
        <w:rPr>
          <w:rFonts w:ascii="Arial" w:cs="Arial" w:eastAsia="Arial" w:hAnsi="Arial"/>
          <w:sz w:val="20"/>
          <w:szCs w:val="20"/>
          <w:color w:val="auto"/>
        </w:rPr>
        <w:t>1</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US-DOCS\126472731.1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49530</wp:posOffset>
            </wp:positionV>
            <wp:extent cx="7182485" cy="412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7">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89" w:name="page190"/>
    <w:bookmarkEnd w:id="189"/>
    <w:p>
      <w:pPr>
        <w:ind w:left="5180"/>
        <w:spacing w:after="0"/>
        <w:rPr>
          <w:sz w:val="20"/>
          <w:szCs w:val="20"/>
          <w:color w:val="auto"/>
        </w:rPr>
      </w:pPr>
      <w:r>
        <w:rPr>
          <w:rFonts w:ascii="Arial" w:cs="Arial" w:eastAsia="Arial" w:hAnsi="Arial"/>
          <w:sz w:val="15"/>
          <w:szCs w:val="15"/>
          <w:color w:val="auto"/>
        </w:rPr>
        <w:t>(a)</w:t>
      </w:r>
    </w:p>
    <w:p>
      <w:pPr>
        <w:spacing w:after="0" w:line="20" w:lineRule="exact"/>
        <w:rPr>
          <w:sz w:val="20"/>
          <w:szCs w:val="20"/>
          <w:color w:val="auto"/>
        </w:rPr>
      </w:pPr>
      <w:r>
        <w:rPr>
          <w:sz w:val="20"/>
          <w:szCs w:val="20"/>
          <w:color w:val="auto"/>
        </w:rPr>
        <w:br w:type="column"/>
      </w:r>
    </w:p>
    <w:p>
      <w:pPr>
        <w:jc w:val="both"/>
        <w:spacing w:after="0" w:line="243" w:lineRule="auto"/>
        <w:rPr>
          <w:sz w:val="20"/>
          <w:szCs w:val="20"/>
          <w:color w:val="auto"/>
        </w:rPr>
      </w:pPr>
      <w:r>
        <w:rPr>
          <w:rFonts w:ascii="Arial" w:cs="Arial" w:eastAsia="Arial" w:hAnsi="Arial"/>
          <w:sz w:val="19"/>
          <w:szCs w:val="19"/>
          <w:color w:val="auto"/>
        </w:rPr>
        <w:t>an Employee will not be an Eligible Employee for the Special Offering Period unless such Employee has been an Employee of any BlackHorse Participating Company for at least five months prior to November 1, 2021;</w:t>
      </w:r>
    </w:p>
    <w:p>
      <w:pPr>
        <w:spacing w:after="0" w:line="193" w:lineRule="exact"/>
        <w:rPr>
          <w:sz w:val="20"/>
          <w:szCs w:val="20"/>
          <w:color w:val="auto"/>
        </w:rPr>
      </w:pPr>
    </w:p>
    <w:p>
      <w:pPr>
        <w:sectPr>
          <w:pgSz w:w="11900" w:h="16838" w:orient="portrait"/>
          <w:cols w:equalWidth="0" w:num="2">
            <w:col w:w="5380" w:space="660"/>
            <w:col w:w="5200"/>
          </w:cols>
          <w:pgMar w:left="320" w:top="326" w:right="339" w:bottom="1440" w:gutter="0" w:footer="0" w:header="0"/>
        </w:sectPr>
      </w:pPr>
    </w:p>
    <w:p>
      <w:pPr>
        <w:ind w:left="518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jc w:val="both"/>
        <w:spacing w:after="0" w:line="247" w:lineRule="auto"/>
        <w:rPr>
          <w:sz w:val="20"/>
          <w:szCs w:val="20"/>
          <w:color w:val="auto"/>
        </w:rPr>
      </w:pPr>
      <w:r>
        <w:rPr>
          <w:rFonts w:ascii="Arial" w:cs="Arial" w:eastAsia="Arial" w:hAnsi="Arial"/>
          <w:sz w:val="19"/>
          <w:szCs w:val="19"/>
          <w:color w:val="auto"/>
        </w:rPr>
        <w:t>any Employee whose customary employment with any BlackHorse Participating Company is less than 17.5 hours per week shall not be an Eligible Employee; and</w:t>
      </w:r>
    </w:p>
    <w:p>
      <w:pPr>
        <w:spacing w:after="0" w:line="188" w:lineRule="exact"/>
        <w:rPr>
          <w:sz w:val="20"/>
          <w:szCs w:val="20"/>
          <w:color w:val="auto"/>
        </w:rPr>
      </w:pPr>
    </w:p>
    <w:p>
      <w:pPr>
        <w:sectPr>
          <w:pgSz w:w="11900" w:h="16838" w:orient="portrait"/>
          <w:cols w:equalWidth="0" w:num="2">
            <w:col w:w="5400" w:space="640"/>
            <w:col w:w="5200"/>
          </w:cols>
          <w:pgMar w:left="320" w:top="326" w:right="339" w:bottom="1440" w:gutter="0" w:footer="0" w:header="0"/>
          <w:type w:val="continuous"/>
        </w:sectPr>
      </w:pPr>
    </w:p>
    <w:p>
      <w:pPr>
        <w:ind w:left="5180"/>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jc w:val="both"/>
        <w:spacing w:after="0" w:line="247" w:lineRule="auto"/>
        <w:rPr>
          <w:sz w:val="20"/>
          <w:szCs w:val="20"/>
          <w:color w:val="auto"/>
        </w:rPr>
      </w:pPr>
      <w:r>
        <w:rPr>
          <w:rFonts w:ascii="Arial" w:cs="Arial" w:eastAsia="Arial" w:hAnsi="Arial"/>
          <w:sz w:val="19"/>
          <w:szCs w:val="19"/>
          <w:color w:val="auto"/>
        </w:rPr>
        <w:t>any Employee whose customary employment with any BlackHorse Participating Company is for less than five months per calendar year shall not be an Eligible Employee.</w:t>
      </w:r>
    </w:p>
    <w:p>
      <w:pPr>
        <w:spacing w:after="0" w:line="171" w:lineRule="exact"/>
        <w:rPr>
          <w:sz w:val="20"/>
          <w:szCs w:val="20"/>
          <w:color w:val="auto"/>
        </w:rPr>
      </w:pPr>
    </w:p>
    <w:p>
      <w:pPr>
        <w:sectPr>
          <w:pgSz w:w="11900" w:h="16838" w:orient="portrait"/>
          <w:cols w:equalWidth="0" w:num="2">
            <w:col w:w="5380" w:space="660"/>
            <w:col w:w="5200"/>
          </w:cols>
          <w:pgMar w:left="320" w:top="326" w:right="3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Other Terms and Conditions: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Except as provided in this Offering Document, the other terms and conditions of</w:t>
      </w:r>
    </w:p>
    <w:p>
      <w:pPr>
        <w:spacing w:after="0" w:line="42" w:lineRule="exact"/>
        <w:rPr>
          <w:sz w:val="20"/>
          <w:szCs w:val="20"/>
          <w:color w:val="auto"/>
        </w:rPr>
      </w:pPr>
    </w:p>
    <w:p>
      <w:pPr>
        <w:sectPr>
          <w:pgSz w:w="11900" w:h="16838" w:orient="portrait"/>
          <w:cols w:equalWidth="0" w:num="2">
            <w:col w:w="4460" w:space="720"/>
            <w:col w:w="6060"/>
          </w:cols>
          <w:pgMar w:left="320" w:top="326" w:right="339" w:bottom="1440" w:gutter="0" w:footer="0" w:header="0"/>
          <w:type w:val="continuous"/>
        </w:sectPr>
      </w:pPr>
    </w:p>
    <w:p>
      <w:pPr>
        <w:ind w:left="5180"/>
        <w:spacing w:after="0" w:line="236" w:lineRule="auto"/>
        <w:rPr>
          <w:sz w:val="20"/>
          <w:szCs w:val="20"/>
          <w:color w:val="auto"/>
        </w:rPr>
      </w:pPr>
      <w:r>
        <w:rPr>
          <w:rFonts w:ascii="Arial" w:cs="Arial" w:eastAsia="Arial" w:hAnsi="Arial"/>
          <w:sz w:val="19"/>
          <w:szCs w:val="19"/>
          <w:color w:val="auto"/>
        </w:rPr>
        <w:t>the Special Offering and the Special Offering Period shall be as provided in the ESPP.</w:t>
      </w:r>
    </w:p>
    <w:p>
      <w:pPr>
        <w:spacing w:after="0" w:line="18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 Participant may participate in only one Offering Period at a given time.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 * * *</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2</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US-DOCS\126472731.1</w:t>
      </w:r>
    </w:p>
    <w:p>
      <w:pPr>
        <w:sectPr>
          <w:pgSz w:w="11900" w:h="16838" w:orient="portrait"/>
          <w:cols w:equalWidth="0" w:num="1">
            <w:col w:w="11240"/>
          </w:cols>
          <w:pgMar w:left="320" w:top="326" w:right="339" w:bottom="1440" w:gutter="0" w:footer="0" w:header="0"/>
          <w:type w:val="continuous"/>
        </w:sectPr>
      </w:pPr>
    </w:p>
    <w:bookmarkStart w:id="190" w:name="page191"/>
    <w:bookmarkEnd w:id="190"/>
    <w:p>
      <w:pPr>
        <w:jc w:val="right"/>
        <w:spacing w:after="0"/>
        <w:rPr>
          <w:sz w:val="20"/>
          <w:szCs w:val="20"/>
          <w:color w:val="auto"/>
        </w:rPr>
      </w:pPr>
      <w:r>
        <w:rPr>
          <w:rFonts w:ascii="Arial" w:cs="Arial" w:eastAsia="Arial" w:hAnsi="Arial"/>
          <w:sz w:val="19"/>
          <w:szCs w:val="19"/>
          <w:color w:val="auto"/>
        </w:rPr>
        <w:t>Exhibit 10.25</w:t>
      </w:r>
    </w:p>
    <w:tbl>
      <w:tblPr>
        <w:tblLayout w:type="fixed"/>
        <w:tblInd w:w="10" w:type="dxa"/>
        <w:tblCellMar>
          <w:top w:w="0" w:type="dxa"/>
          <w:left w:w="0" w:type="dxa"/>
          <w:bottom w:w="0" w:type="dxa"/>
          <w:right w:w="0" w:type="dxa"/>
        </w:tblCellMar>
      </w:tblPr>
      <w:tr>
        <w:trPr>
          <w:trHeight w:val="208"/>
        </w:trPr>
        <w:tc>
          <w:tcPr>
            <w:tcW w:w="4620" w:type="dxa"/>
            <w:vAlign w:val="bottom"/>
          </w:tcPr>
          <w:p>
            <w:pPr>
              <w:spacing w:after="0"/>
              <w:rPr>
                <w:sz w:val="18"/>
                <w:szCs w:val="18"/>
                <w:color w:val="auto"/>
              </w:rPr>
            </w:pPr>
          </w:p>
        </w:tc>
        <w:tc>
          <w:tcPr>
            <w:tcW w:w="6620" w:type="dxa"/>
            <w:vAlign w:val="bottom"/>
            <w:gridSpan w:val="2"/>
          </w:tcPr>
          <w:p>
            <w:pPr>
              <w:jc w:val="center"/>
              <w:ind w:right="4524"/>
              <w:spacing w:after="0" w:line="208" w:lineRule="exact"/>
              <w:rPr>
                <w:sz w:val="20"/>
                <w:szCs w:val="20"/>
                <w:color w:val="auto"/>
              </w:rPr>
            </w:pPr>
            <w:r>
              <w:rPr>
                <w:rFonts w:ascii="Arial" w:cs="Arial" w:eastAsia="Arial" w:hAnsi="Arial"/>
                <w:sz w:val="19"/>
                <w:szCs w:val="19"/>
                <w:b w:val="1"/>
                <w:bCs w:val="1"/>
                <w:color w:val="auto"/>
                <w:w w:val="87"/>
              </w:rPr>
              <w:t>Parsons Corporation</w:t>
            </w:r>
          </w:p>
        </w:tc>
      </w:tr>
      <w:tr>
        <w:trPr>
          <w:trHeight w:val="216"/>
        </w:trPr>
        <w:tc>
          <w:tcPr>
            <w:tcW w:w="11240" w:type="dxa"/>
            <w:vAlign w:val="bottom"/>
            <w:gridSpan w:val="3"/>
          </w:tcPr>
          <w:p>
            <w:pPr>
              <w:jc w:val="center"/>
              <w:spacing w:after="0" w:line="215" w:lineRule="exact"/>
              <w:rPr>
                <w:sz w:val="20"/>
                <w:szCs w:val="20"/>
                <w:color w:val="auto"/>
              </w:rPr>
            </w:pPr>
            <w:r>
              <w:rPr>
                <w:rFonts w:ascii="Arial" w:cs="Arial" w:eastAsia="Arial" w:hAnsi="Arial"/>
                <w:sz w:val="19"/>
                <w:szCs w:val="19"/>
                <w:b w:val="1"/>
                <w:bCs w:val="1"/>
                <w:color w:val="auto"/>
                <w:w w:val="86"/>
              </w:rPr>
              <w:t>Employee Stock Purchase Plan</w:t>
            </w:r>
          </w:p>
        </w:tc>
      </w:tr>
      <w:tr>
        <w:trPr>
          <w:trHeight w:val="242"/>
        </w:trPr>
        <w:tc>
          <w:tcPr>
            <w:tcW w:w="4620" w:type="dxa"/>
            <w:vAlign w:val="bottom"/>
          </w:tcPr>
          <w:p>
            <w:pPr>
              <w:spacing w:after="0"/>
              <w:rPr>
                <w:sz w:val="21"/>
                <w:szCs w:val="21"/>
                <w:color w:val="auto"/>
              </w:rPr>
            </w:pPr>
          </w:p>
        </w:tc>
        <w:tc>
          <w:tcPr>
            <w:tcW w:w="6620" w:type="dxa"/>
            <w:vAlign w:val="bottom"/>
            <w:gridSpan w:val="2"/>
          </w:tcPr>
          <w:p>
            <w:pPr>
              <w:jc w:val="center"/>
              <w:ind w:right="4524"/>
              <w:spacing w:after="0"/>
              <w:rPr>
                <w:sz w:val="20"/>
                <w:szCs w:val="20"/>
                <w:color w:val="auto"/>
              </w:rPr>
            </w:pPr>
            <w:r>
              <w:rPr>
                <w:rFonts w:ascii="Arial" w:cs="Arial" w:eastAsia="Arial" w:hAnsi="Arial"/>
                <w:sz w:val="19"/>
                <w:szCs w:val="19"/>
                <w:b w:val="1"/>
                <w:bCs w:val="1"/>
                <w:color w:val="auto"/>
                <w:w w:val="88"/>
              </w:rPr>
              <w:t>Participating Companies</w:t>
            </w:r>
          </w:p>
        </w:tc>
      </w:tr>
      <w:tr>
        <w:trPr>
          <w:trHeight w:val="210"/>
        </w:trPr>
        <w:tc>
          <w:tcPr>
            <w:tcW w:w="46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560" w:type="dxa"/>
            <w:vAlign w:val="bottom"/>
            <w:tcBorders>
              <w:bottom w:val="single" w:sz="8" w:color="auto"/>
            </w:tcBorders>
          </w:tcPr>
          <w:p>
            <w:pPr>
              <w:spacing w:after="0"/>
              <w:rPr>
                <w:sz w:val="18"/>
                <w:szCs w:val="18"/>
                <w:color w:val="auto"/>
              </w:rPr>
            </w:pPr>
          </w:p>
        </w:tc>
      </w:tr>
      <w:tr>
        <w:trPr>
          <w:trHeight w:val="183"/>
        </w:trPr>
        <w:tc>
          <w:tcPr>
            <w:tcW w:w="462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5"/>
                <w:szCs w:val="15"/>
                <w:b w:val="1"/>
                <w:bCs w:val="1"/>
                <w:color w:val="auto"/>
              </w:rPr>
              <w:t>Section 423 Component Participating Companies</w:t>
            </w:r>
          </w:p>
        </w:tc>
        <w:tc>
          <w:tcPr>
            <w:tcW w:w="1060" w:type="dxa"/>
            <w:vAlign w:val="bottom"/>
            <w:tcBorders>
              <w:bottom w:val="single" w:sz="8" w:color="auto"/>
              <w:right w:val="single" w:sz="8" w:color="auto"/>
            </w:tcBorders>
          </w:tcPr>
          <w:p>
            <w:pPr>
              <w:spacing w:after="0"/>
              <w:rPr>
                <w:sz w:val="15"/>
                <w:szCs w:val="15"/>
                <w:color w:val="auto"/>
              </w:rPr>
            </w:pPr>
          </w:p>
        </w:tc>
        <w:tc>
          <w:tcPr>
            <w:tcW w:w="5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Employee Jurisdictions</w:t>
            </w:r>
          </w:p>
        </w:tc>
      </w:tr>
      <w:tr>
        <w:trPr>
          <w:trHeight w:val="183"/>
        </w:trPr>
        <w:tc>
          <w:tcPr>
            <w:tcW w:w="4620" w:type="dxa"/>
            <w:vAlign w:val="bottom"/>
            <w:tcBorders>
              <w:left w:val="single" w:sz="8" w:color="auto"/>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5560" w:type="dxa"/>
            <w:vAlign w:val="bottom"/>
            <w:tcBorders>
              <w:bottom w:val="single" w:sz="8" w:color="auto"/>
              <w:right w:val="single" w:sz="8" w:color="auto"/>
            </w:tcBorders>
          </w:tcPr>
          <w:p>
            <w:pPr>
              <w:spacing w:after="0"/>
              <w:rPr>
                <w:sz w:val="15"/>
                <w:szCs w:val="15"/>
                <w:color w:val="auto"/>
              </w:rPr>
            </w:pPr>
          </w:p>
        </w:tc>
      </w:tr>
      <w:tr>
        <w:trPr>
          <w:trHeight w:val="183"/>
        </w:trPr>
        <w:tc>
          <w:tcPr>
            <w:tcW w:w="462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5"/>
                <w:szCs w:val="15"/>
                <w:color w:val="auto"/>
              </w:rPr>
              <w:t>Parsons Corporation (Corp)</w:t>
            </w:r>
          </w:p>
        </w:tc>
        <w:tc>
          <w:tcPr>
            <w:tcW w:w="1060" w:type="dxa"/>
            <w:vAlign w:val="bottom"/>
            <w:tcBorders>
              <w:bottom w:val="single" w:sz="8" w:color="auto"/>
              <w:right w:val="single" w:sz="8" w:color="auto"/>
            </w:tcBorders>
          </w:tcPr>
          <w:p>
            <w:pPr>
              <w:spacing w:after="0"/>
              <w:rPr>
                <w:sz w:val="15"/>
                <w:szCs w:val="15"/>
                <w:color w:val="auto"/>
              </w:rPr>
            </w:pPr>
          </w:p>
        </w:tc>
        <w:tc>
          <w:tcPr>
            <w:tcW w:w="5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US</w:t>
            </w:r>
          </w:p>
        </w:tc>
      </w:tr>
      <w:tr>
        <w:trPr>
          <w:trHeight w:val="183"/>
        </w:trPr>
        <w:tc>
          <w:tcPr>
            <w:tcW w:w="462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5"/>
                <w:szCs w:val="15"/>
                <w:color w:val="auto"/>
              </w:rPr>
              <w:t>Parsons Services Company (Corp)</w:t>
            </w:r>
          </w:p>
        </w:tc>
        <w:tc>
          <w:tcPr>
            <w:tcW w:w="1060" w:type="dxa"/>
            <w:vAlign w:val="bottom"/>
            <w:tcBorders>
              <w:bottom w:val="single" w:sz="8" w:color="auto"/>
              <w:right w:val="single" w:sz="8" w:color="auto"/>
            </w:tcBorders>
          </w:tcPr>
          <w:p>
            <w:pPr>
              <w:spacing w:after="0"/>
              <w:rPr>
                <w:sz w:val="15"/>
                <w:szCs w:val="15"/>
                <w:color w:val="auto"/>
              </w:rPr>
            </w:pPr>
          </w:p>
        </w:tc>
        <w:tc>
          <w:tcPr>
            <w:tcW w:w="5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US</w:t>
            </w:r>
          </w:p>
        </w:tc>
      </w:tr>
      <w:tr>
        <w:trPr>
          <w:trHeight w:val="183"/>
        </w:trPr>
        <w:tc>
          <w:tcPr>
            <w:tcW w:w="462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5"/>
                <w:szCs w:val="15"/>
                <w:color w:val="auto"/>
              </w:rPr>
              <w:t>Parsons Government Services, Inc. (Corp)</w:t>
            </w:r>
          </w:p>
        </w:tc>
        <w:tc>
          <w:tcPr>
            <w:tcW w:w="1060" w:type="dxa"/>
            <w:vAlign w:val="bottom"/>
            <w:tcBorders>
              <w:bottom w:val="single" w:sz="8" w:color="auto"/>
              <w:right w:val="single" w:sz="8" w:color="auto"/>
            </w:tcBorders>
          </w:tcPr>
          <w:p>
            <w:pPr>
              <w:spacing w:after="0"/>
              <w:rPr>
                <w:sz w:val="15"/>
                <w:szCs w:val="15"/>
                <w:color w:val="auto"/>
              </w:rPr>
            </w:pPr>
          </w:p>
        </w:tc>
        <w:tc>
          <w:tcPr>
            <w:tcW w:w="5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US</w:t>
            </w:r>
          </w:p>
        </w:tc>
      </w:tr>
      <w:tr>
        <w:trPr>
          <w:trHeight w:val="183"/>
        </w:trPr>
        <w:tc>
          <w:tcPr>
            <w:tcW w:w="4620" w:type="dxa"/>
            <w:vAlign w:val="bottom"/>
            <w:tcBorders>
              <w:left w:val="single" w:sz="8" w:color="auto"/>
              <w:bottom w:val="single" w:sz="8" w:color="auto"/>
            </w:tcBorders>
          </w:tcPr>
          <w:p>
            <w:pPr>
              <w:ind w:left="400"/>
              <w:spacing w:after="0"/>
              <w:rPr>
                <w:sz w:val="20"/>
                <w:szCs w:val="20"/>
                <w:color w:val="auto"/>
              </w:rPr>
            </w:pPr>
            <w:r>
              <w:rPr>
                <w:rFonts w:ascii="Arial" w:cs="Arial" w:eastAsia="Arial" w:hAnsi="Arial"/>
                <w:sz w:val="15"/>
                <w:szCs w:val="15"/>
                <w:color w:val="auto"/>
              </w:rPr>
              <w:t>•OG Systems, LLC (DE)</w:t>
            </w:r>
          </w:p>
        </w:tc>
        <w:tc>
          <w:tcPr>
            <w:tcW w:w="1060" w:type="dxa"/>
            <w:vAlign w:val="bottom"/>
            <w:tcBorders>
              <w:bottom w:val="single" w:sz="8" w:color="auto"/>
              <w:right w:val="single" w:sz="8" w:color="auto"/>
            </w:tcBorders>
          </w:tcPr>
          <w:p>
            <w:pPr>
              <w:spacing w:after="0"/>
              <w:rPr>
                <w:sz w:val="15"/>
                <w:szCs w:val="15"/>
                <w:color w:val="auto"/>
              </w:rPr>
            </w:pPr>
          </w:p>
        </w:tc>
        <w:tc>
          <w:tcPr>
            <w:tcW w:w="5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US</w:t>
            </w:r>
          </w:p>
        </w:tc>
      </w:tr>
      <w:tr>
        <w:trPr>
          <w:trHeight w:val="183"/>
        </w:trPr>
        <w:tc>
          <w:tcPr>
            <w:tcW w:w="4620" w:type="dxa"/>
            <w:vAlign w:val="bottom"/>
            <w:tcBorders>
              <w:left w:val="single" w:sz="8" w:color="auto"/>
              <w:bottom w:val="single" w:sz="8" w:color="auto"/>
            </w:tcBorders>
          </w:tcPr>
          <w:p>
            <w:pPr>
              <w:ind w:left="400"/>
              <w:spacing w:after="0"/>
              <w:rPr>
                <w:sz w:val="20"/>
                <w:szCs w:val="20"/>
                <w:color w:val="auto"/>
              </w:rPr>
            </w:pPr>
            <w:r>
              <w:rPr>
                <w:rFonts w:ascii="Arial" w:cs="Arial" w:eastAsia="Arial" w:hAnsi="Arial"/>
                <w:sz w:val="15"/>
                <w:szCs w:val="15"/>
                <w:color w:val="auto"/>
              </w:rPr>
              <w:t>•Williams Electric Company, Inc. (Corp)</w:t>
            </w:r>
          </w:p>
        </w:tc>
        <w:tc>
          <w:tcPr>
            <w:tcW w:w="1060" w:type="dxa"/>
            <w:vAlign w:val="bottom"/>
            <w:tcBorders>
              <w:bottom w:val="single" w:sz="8" w:color="auto"/>
              <w:right w:val="single" w:sz="8" w:color="auto"/>
            </w:tcBorders>
          </w:tcPr>
          <w:p>
            <w:pPr>
              <w:spacing w:after="0"/>
              <w:rPr>
                <w:sz w:val="15"/>
                <w:szCs w:val="15"/>
                <w:color w:val="auto"/>
              </w:rPr>
            </w:pPr>
          </w:p>
        </w:tc>
        <w:tc>
          <w:tcPr>
            <w:tcW w:w="5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US</w:t>
            </w:r>
          </w:p>
        </w:tc>
      </w:tr>
      <w:tr>
        <w:trPr>
          <w:trHeight w:val="183"/>
        </w:trPr>
        <w:tc>
          <w:tcPr>
            <w:tcW w:w="4620" w:type="dxa"/>
            <w:vAlign w:val="bottom"/>
            <w:tcBorders>
              <w:left w:val="single" w:sz="8" w:color="auto"/>
              <w:bottom w:val="single" w:sz="8" w:color="auto"/>
            </w:tcBorders>
          </w:tcPr>
          <w:p>
            <w:pPr>
              <w:ind w:left="400"/>
              <w:spacing w:after="0"/>
              <w:rPr>
                <w:sz w:val="20"/>
                <w:szCs w:val="20"/>
                <w:color w:val="auto"/>
              </w:rPr>
            </w:pPr>
            <w:r>
              <w:rPr>
                <w:rFonts w:ascii="Arial" w:cs="Arial" w:eastAsia="Arial" w:hAnsi="Arial"/>
                <w:sz w:val="15"/>
                <w:szCs w:val="15"/>
                <w:color w:val="auto"/>
              </w:rPr>
              <w:t>•Parsons Secure Solutions Inc. (Corp)</w:t>
            </w:r>
          </w:p>
        </w:tc>
        <w:tc>
          <w:tcPr>
            <w:tcW w:w="1060" w:type="dxa"/>
            <w:vAlign w:val="bottom"/>
            <w:tcBorders>
              <w:bottom w:val="single" w:sz="8" w:color="auto"/>
              <w:right w:val="single" w:sz="8" w:color="auto"/>
            </w:tcBorders>
          </w:tcPr>
          <w:p>
            <w:pPr>
              <w:spacing w:after="0"/>
              <w:rPr>
                <w:sz w:val="15"/>
                <w:szCs w:val="15"/>
                <w:color w:val="auto"/>
              </w:rPr>
            </w:pPr>
          </w:p>
        </w:tc>
        <w:tc>
          <w:tcPr>
            <w:tcW w:w="5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US</w:t>
            </w:r>
          </w:p>
        </w:tc>
      </w:tr>
      <w:tr>
        <w:trPr>
          <w:trHeight w:val="183"/>
        </w:trPr>
        <w:tc>
          <w:tcPr>
            <w:tcW w:w="4620" w:type="dxa"/>
            <w:vAlign w:val="bottom"/>
            <w:tcBorders>
              <w:left w:val="single" w:sz="8" w:color="auto"/>
              <w:bottom w:val="single" w:sz="8" w:color="auto"/>
            </w:tcBorders>
          </w:tcPr>
          <w:p>
            <w:pPr>
              <w:ind w:left="400"/>
              <w:spacing w:after="0"/>
              <w:rPr>
                <w:sz w:val="20"/>
                <w:szCs w:val="20"/>
                <w:color w:val="auto"/>
              </w:rPr>
            </w:pPr>
            <w:r>
              <w:rPr>
                <w:rFonts w:ascii="Arial" w:cs="Arial" w:eastAsia="Arial" w:hAnsi="Arial"/>
                <w:sz w:val="15"/>
                <w:szCs w:val="15"/>
                <w:color w:val="auto"/>
              </w:rPr>
              <w:t>•Polaris Alpha LLC (DE)</w:t>
            </w:r>
          </w:p>
        </w:tc>
        <w:tc>
          <w:tcPr>
            <w:tcW w:w="1060" w:type="dxa"/>
            <w:vAlign w:val="bottom"/>
            <w:tcBorders>
              <w:bottom w:val="single" w:sz="8" w:color="auto"/>
              <w:right w:val="single" w:sz="8" w:color="auto"/>
            </w:tcBorders>
          </w:tcPr>
          <w:p>
            <w:pPr>
              <w:spacing w:after="0"/>
              <w:rPr>
                <w:sz w:val="15"/>
                <w:szCs w:val="15"/>
                <w:color w:val="auto"/>
              </w:rPr>
            </w:pPr>
          </w:p>
        </w:tc>
        <w:tc>
          <w:tcPr>
            <w:tcW w:w="5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US</w:t>
            </w:r>
          </w:p>
        </w:tc>
      </w:tr>
      <w:tr>
        <w:trPr>
          <w:trHeight w:val="183"/>
        </w:trPr>
        <w:tc>
          <w:tcPr>
            <w:tcW w:w="4620" w:type="dxa"/>
            <w:vAlign w:val="bottom"/>
            <w:tcBorders>
              <w:left w:val="single" w:sz="8" w:color="auto"/>
              <w:bottom w:val="single" w:sz="8" w:color="auto"/>
            </w:tcBorders>
          </w:tcPr>
          <w:p>
            <w:pPr>
              <w:ind w:left="1020"/>
              <w:spacing w:after="0" w:line="183" w:lineRule="exact"/>
              <w:rPr>
                <w:sz w:val="20"/>
                <w:szCs w:val="20"/>
                <w:color w:val="auto"/>
              </w:rPr>
            </w:pPr>
            <w:r>
              <w:rPr>
                <w:rFonts w:ascii="Courier New" w:cs="Courier New" w:eastAsia="Courier New" w:hAnsi="Courier New"/>
                <w:sz w:val="15"/>
                <w:szCs w:val="15"/>
                <w:color w:val="auto"/>
              </w:rPr>
              <w:t>o</w:t>
            </w:r>
            <w:r>
              <w:rPr>
                <w:rFonts w:ascii="Arial" w:cs="Arial" w:eastAsia="Arial" w:hAnsi="Arial"/>
                <w:sz w:val="15"/>
                <w:szCs w:val="15"/>
                <w:color w:val="auto"/>
              </w:rPr>
              <w:t>Fourth Dimension Engineering LLC (DE)</w:t>
            </w:r>
          </w:p>
        </w:tc>
        <w:tc>
          <w:tcPr>
            <w:tcW w:w="1060" w:type="dxa"/>
            <w:vAlign w:val="bottom"/>
            <w:tcBorders>
              <w:bottom w:val="single" w:sz="8" w:color="auto"/>
              <w:right w:val="single" w:sz="8" w:color="auto"/>
            </w:tcBorders>
          </w:tcPr>
          <w:p>
            <w:pPr>
              <w:spacing w:after="0"/>
              <w:rPr>
                <w:sz w:val="15"/>
                <w:szCs w:val="15"/>
                <w:color w:val="auto"/>
              </w:rPr>
            </w:pPr>
          </w:p>
        </w:tc>
        <w:tc>
          <w:tcPr>
            <w:tcW w:w="5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US</w:t>
            </w:r>
          </w:p>
        </w:tc>
      </w:tr>
      <w:tr>
        <w:trPr>
          <w:trHeight w:val="183"/>
        </w:trPr>
        <w:tc>
          <w:tcPr>
            <w:tcW w:w="4620" w:type="dxa"/>
            <w:vAlign w:val="bottom"/>
            <w:tcBorders>
              <w:left w:val="single" w:sz="8" w:color="auto"/>
              <w:bottom w:val="single" w:sz="8" w:color="auto"/>
            </w:tcBorders>
          </w:tcPr>
          <w:p>
            <w:pPr>
              <w:ind w:left="1020"/>
              <w:spacing w:after="0" w:line="183" w:lineRule="exact"/>
              <w:rPr>
                <w:sz w:val="20"/>
                <w:szCs w:val="20"/>
                <w:color w:val="auto"/>
              </w:rPr>
            </w:pPr>
            <w:r>
              <w:rPr>
                <w:rFonts w:ascii="Courier New" w:cs="Courier New" w:eastAsia="Courier New" w:hAnsi="Courier New"/>
                <w:sz w:val="15"/>
                <w:szCs w:val="15"/>
                <w:color w:val="auto"/>
                <w:w w:val="96"/>
              </w:rPr>
              <w:t>o</w:t>
            </w:r>
            <w:r>
              <w:rPr>
                <w:rFonts w:ascii="Arial" w:cs="Arial" w:eastAsia="Arial" w:hAnsi="Arial"/>
                <w:sz w:val="15"/>
                <w:szCs w:val="15"/>
                <w:color w:val="auto"/>
                <w:w w:val="96"/>
              </w:rPr>
              <w:t>Intelligent Software Solutions Global Limited (UK) (DE)</w:t>
            </w:r>
          </w:p>
        </w:tc>
        <w:tc>
          <w:tcPr>
            <w:tcW w:w="1060" w:type="dxa"/>
            <w:vAlign w:val="bottom"/>
            <w:tcBorders>
              <w:bottom w:val="single" w:sz="8" w:color="auto"/>
              <w:right w:val="single" w:sz="8" w:color="auto"/>
            </w:tcBorders>
          </w:tcPr>
          <w:p>
            <w:pPr>
              <w:spacing w:after="0"/>
              <w:rPr>
                <w:sz w:val="15"/>
                <w:szCs w:val="15"/>
                <w:color w:val="auto"/>
              </w:rPr>
            </w:pPr>
          </w:p>
        </w:tc>
        <w:tc>
          <w:tcPr>
            <w:tcW w:w="5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UK</w:t>
            </w:r>
          </w:p>
        </w:tc>
      </w:tr>
      <w:tr>
        <w:trPr>
          <w:trHeight w:val="183"/>
        </w:trPr>
        <w:tc>
          <w:tcPr>
            <w:tcW w:w="4620" w:type="dxa"/>
            <w:vAlign w:val="bottom"/>
            <w:tcBorders>
              <w:left w:val="single" w:sz="8" w:color="auto"/>
              <w:bottom w:val="single" w:sz="8" w:color="auto"/>
            </w:tcBorders>
          </w:tcPr>
          <w:p>
            <w:pPr>
              <w:ind w:left="1020"/>
              <w:spacing w:after="0" w:line="183" w:lineRule="exact"/>
              <w:rPr>
                <w:sz w:val="20"/>
                <w:szCs w:val="20"/>
                <w:color w:val="auto"/>
              </w:rPr>
            </w:pPr>
            <w:r>
              <w:rPr>
                <w:rFonts w:ascii="Courier New" w:cs="Courier New" w:eastAsia="Courier New" w:hAnsi="Courier New"/>
                <w:sz w:val="15"/>
                <w:szCs w:val="15"/>
                <w:color w:val="auto"/>
              </w:rPr>
              <w:t>o</w:t>
            </w:r>
            <w:r>
              <w:rPr>
                <w:rFonts w:ascii="Arial" w:cs="Arial" w:eastAsia="Arial" w:hAnsi="Arial"/>
                <w:sz w:val="15"/>
                <w:szCs w:val="15"/>
                <w:color w:val="auto"/>
              </w:rPr>
              <w:t>Polaris Alpha Advanced Systems (Corp)</w:t>
            </w:r>
          </w:p>
        </w:tc>
        <w:tc>
          <w:tcPr>
            <w:tcW w:w="1060" w:type="dxa"/>
            <w:vAlign w:val="bottom"/>
            <w:tcBorders>
              <w:bottom w:val="single" w:sz="8" w:color="auto"/>
              <w:right w:val="single" w:sz="8" w:color="auto"/>
            </w:tcBorders>
          </w:tcPr>
          <w:p>
            <w:pPr>
              <w:spacing w:after="0"/>
              <w:rPr>
                <w:sz w:val="15"/>
                <w:szCs w:val="15"/>
                <w:color w:val="auto"/>
              </w:rPr>
            </w:pPr>
          </w:p>
        </w:tc>
        <w:tc>
          <w:tcPr>
            <w:tcW w:w="5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US</w:t>
            </w:r>
          </w:p>
        </w:tc>
      </w:tr>
      <w:tr>
        <w:trPr>
          <w:trHeight w:val="183"/>
        </w:trPr>
        <w:tc>
          <w:tcPr>
            <w:tcW w:w="4620" w:type="dxa"/>
            <w:vAlign w:val="bottom"/>
            <w:tcBorders>
              <w:left w:val="single" w:sz="8" w:color="auto"/>
              <w:bottom w:val="single" w:sz="8" w:color="auto"/>
            </w:tcBorders>
          </w:tcPr>
          <w:p>
            <w:pPr>
              <w:ind w:left="1020"/>
              <w:spacing w:after="0" w:line="183" w:lineRule="exact"/>
              <w:rPr>
                <w:sz w:val="20"/>
                <w:szCs w:val="20"/>
                <w:color w:val="auto"/>
              </w:rPr>
            </w:pPr>
            <w:r>
              <w:rPr>
                <w:rFonts w:ascii="Courier New" w:cs="Courier New" w:eastAsia="Courier New" w:hAnsi="Courier New"/>
                <w:sz w:val="15"/>
                <w:szCs w:val="15"/>
                <w:color w:val="auto"/>
              </w:rPr>
              <w:t>o</w:t>
            </w:r>
            <w:r>
              <w:rPr>
                <w:rFonts w:ascii="Arial" w:cs="Arial" w:eastAsia="Arial" w:hAnsi="Arial"/>
                <w:sz w:val="15"/>
                <w:szCs w:val="15"/>
                <w:color w:val="auto"/>
              </w:rPr>
              <w:t>Polaris Alpha Cybertechnology, LLC (DE)</w:t>
            </w:r>
          </w:p>
        </w:tc>
        <w:tc>
          <w:tcPr>
            <w:tcW w:w="1060" w:type="dxa"/>
            <w:vAlign w:val="bottom"/>
            <w:tcBorders>
              <w:bottom w:val="single" w:sz="8" w:color="auto"/>
              <w:right w:val="single" w:sz="8" w:color="auto"/>
            </w:tcBorders>
          </w:tcPr>
          <w:p>
            <w:pPr>
              <w:spacing w:after="0"/>
              <w:rPr>
                <w:sz w:val="15"/>
                <w:szCs w:val="15"/>
                <w:color w:val="auto"/>
              </w:rPr>
            </w:pPr>
          </w:p>
        </w:tc>
        <w:tc>
          <w:tcPr>
            <w:tcW w:w="5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US</w:t>
            </w:r>
          </w:p>
        </w:tc>
      </w:tr>
      <w:tr>
        <w:trPr>
          <w:trHeight w:val="183"/>
        </w:trPr>
        <w:tc>
          <w:tcPr>
            <w:tcW w:w="4620" w:type="dxa"/>
            <w:vAlign w:val="bottom"/>
            <w:tcBorders>
              <w:left w:val="single" w:sz="8" w:color="auto"/>
              <w:bottom w:val="single" w:sz="8" w:color="auto"/>
            </w:tcBorders>
          </w:tcPr>
          <w:p>
            <w:pPr>
              <w:ind w:left="1020"/>
              <w:spacing w:after="0" w:line="183" w:lineRule="exact"/>
              <w:rPr>
                <w:sz w:val="20"/>
                <w:szCs w:val="20"/>
                <w:color w:val="auto"/>
              </w:rPr>
            </w:pPr>
            <w:r>
              <w:rPr>
                <w:rFonts w:ascii="Courier New" w:cs="Courier New" w:eastAsia="Courier New" w:hAnsi="Courier New"/>
                <w:sz w:val="15"/>
                <w:szCs w:val="15"/>
                <w:color w:val="auto"/>
              </w:rPr>
              <w:t>o</w:t>
            </w:r>
            <w:r>
              <w:rPr>
                <w:rFonts w:ascii="Arial" w:cs="Arial" w:eastAsia="Arial" w:hAnsi="Arial"/>
                <w:sz w:val="15"/>
                <w:szCs w:val="15"/>
                <w:color w:val="auto"/>
              </w:rPr>
              <w:t>Solidyn Solutions LLC (DE)</w:t>
            </w:r>
          </w:p>
        </w:tc>
        <w:tc>
          <w:tcPr>
            <w:tcW w:w="1060" w:type="dxa"/>
            <w:vAlign w:val="bottom"/>
            <w:tcBorders>
              <w:bottom w:val="single" w:sz="8" w:color="auto"/>
              <w:right w:val="single" w:sz="8" w:color="auto"/>
            </w:tcBorders>
          </w:tcPr>
          <w:p>
            <w:pPr>
              <w:spacing w:after="0"/>
              <w:rPr>
                <w:sz w:val="15"/>
                <w:szCs w:val="15"/>
                <w:color w:val="auto"/>
              </w:rPr>
            </w:pPr>
          </w:p>
        </w:tc>
        <w:tc>
          <w:tcPr>
            <w:tcW w:w="5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US</w:t>
            </w:r>
          </w:p>
        </w:tc>
      </w:tr>
      <w:tr>
        <w:trPr>
          <w:trHeight w:val="183"/>
        </w:trPr>
        <w:tc>
          <w:tcPr>
            <w:tcW w:w="4620" w:type="dxa"/>
            <w:vAlign w:val="bottom"/>
            <w:tcBorders>
              <w:left w:val="single" w:sz="8" w:color="auto"/>
              <w:bottom w:val="single" w:sz="8" w:color="auto"/>
            </w:tcBorders>
          </w:tcPr>
          <w:p>
            <w:pPr>
              <w:ind w:left="400"/>
              <w:spacing w:after="0"/>
              <w:rPr>
                <w:sz w:val="20"/>
                <w:szCs w:val="20"/>
                <w:color w:val="auto"/>
              </w:rPr>
            </w:pPr>
            <w:r>
              <w:rPr>
                <w:rFonts w:ascii="Arial" w:cs="Arial" w:eastAsia="Arial" w:hAnsi="Arial"/>
                <w:sz w:val="15"/>
                <w:szCs w:val="15"/>
                <w:color w:val="auto"/>
              </w:rPr>
              <w:t>•PTSI Managed Services Inc. (Corp)</w:t>
            </w:r>
          </w:p>
        </w:tc>
        <w:tc>
          <w:tcPr>
            <w:tcW w:w="1060" w:type="dxa"/>
            <w:vAlign w:val="bottom"/>
            <w:tcBorders>
              <w:bottom w:val="single" w:sz="8" w:color="auto"/>
              <w:right w:val="single" w:sz="8" w:color="auto"/>
            </w:tcBorders>
          </w:tcPr>
          <w:p>
            <w:pPr>
              <w:spacing w:after="0"/>
              <w:rPr>
                <w:sz w:val="15"/>
                <w:szCs w:val="15"/>
                <w:color w:val="auto"/>
              </w:rPr>
            </w:pPr>
          </w:p>
        </w:tc>
        <w:tc>
          <w:tcPr>
            <w:tcW w:w="5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US</w:t>
            </w:r>
          </w:p>
        </w:tc>
      </w:tr>
      <w:tr>
        <w:trPr>
          <w:trHeight w:val="183"/>
        </w:trPr>
        <w:tc>
          <w:tcPr>
            <w:tcW w:w="4620" w:type="dxa"/>
            <w:vAlign w:val="bottom"/>
            <w:tcBorders>
              <w:left w:val="single" w:sz="8" w:color="auto"/>
              <w:bottom w:val="single" w:sz="8" w:color="auto"/>
            </w:tcBorders>
          </w:tcPr>
          <w:p>
            <w:pPr>
              <w:ind w:left="400"/>
              <w:spacing w:after="0"/>
              <w:rPr>
                <w:sz w:val="20"/>
                <w:szCs w:val="20"/>
                <w:color w:val="auto"/>
              </w:rPr>
            </w:pPr>
            <w:r>
              <w:rPr>
                <w:rFonts w:ascii="Arial" w:cs="Arial" w:eastAsia="Arial" w:hAnsi="Arial"/>
                <w:sz w:val="15"/>
                <w:szCs w:val="15"/>
                <w:color w:val="auto"/>
              </w:rPr>
              <w:t>•Parsons Technical Services, Inc. (Corp)</w:t>
            </w:r>
          </w:p>
        </w:tc>
        <w:tc>
          <w:tcPr>
            <w:tcW w:w="1060" w:type="dxa"/>
            <w:vAlign w:val="bottom"/>
            <w:tcBorders>
              <w:bottom w:val="single" w:sz="8" w:color="auto"/>
              <w:right w:val="single" w:sz="8" w:color="auto"/>
            </w:tcBorders>
          </w:tcPr>
          <w:p>
            <w:pPr>
              <w:spacing w:after="0"/>
              <w:rPr>
                <w:sz w:val="15"/>
                <w:szCs w:val="15"/>
                <w:color w:val="auto"/>
              </w:rPr>
            </w:pPr>
          </w:p>
        </w:tc>
        <w:tc>
          <w:tcPr>
            <w:tcW w:w="5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US</w:t>
            </w:r>
          </w:p>
        </w:tc>
      </w:tr>
      <w:tr>
        <w:trPr>
          <w:trHeight w:val="183"/>
        </w:trPr>
        <w:tc>
          <w:tcPr>
            <w:tcW w:w="4620" w:type="dxa"/>
            <w:vAlign w:val="bottom"/>
            <w:tcBorders>
              <w:left w:val="single" w:sz="8" w:color="auto"/>
              <w:bottom w:val="single" w:sz="8" w:color="auto"/>
            </w:tcBorders>
          </w:tcPr>
          <w:p>
            <w:pPr>
              <w:ind w:left="400"/>
              <w:spacing w:after="0"/>
              <w:rPr>
                <w:sz w:val="20"/>
                <w:szCs w:val="20"/>
                <w:color w:val="auto"/>
              </w:rPr>
            </w:pPr>
            <w:r>
              <w:rPr>
                <w:rFonts w:ascii="Arial" w:cs="Arial" w:eastAsia="Arial" w:hAnsi="Arial"/>
                <w:sz w:val="15"/>
                <w:szCs w:val="15"/>
                <w:color w:val="auto"/>
              </w:rPr>
              <w:t>•Parsons Project Services Inc. (Corp)</w:t>
            </w:r>
          </w:p>
        </w:tc>
        <w:tc>
          <w:tcPr>
            <w:tcW w:w="1060" w:type="dxa"/>
            <w:vAlign w:val="bottom"/>
            <w:tcBorders>
              <w:bottom w:val="single" w:sz="8" w:color="auto"/>
              <w:right w:val="single" w:sz="8" w:color="auto"/>
            </w:tcBorders>
          </w:tcPr>
          <w:p>
            <w:pPr>
              <w:spacing w:after="0"/>
              <w:rPr>
                <w:sz w:val="15"/>
                <w:szCs w:val="15"/>
                <w:color w:val="auto"/>
              </w:rPr>
            </w:pPr>
          </w:p>
        </w:tc>
        <w:tc>
          <w:tcPr>
            <w:tcW w:w="5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US</w:t>
            </w:r>
          </w:p>
        </w:tc>
      </w:tr>
      <w:tr>
        <w:trPr>
          <w:trHeight w:val="183"/>
        </w:trPr>
        <w:tc>
          <w:tcPr>
            <w:tcW w:w="4620" w:type="dxa"/>
            <w:vAlign w:val="bottom"/>
            <w:tcBorders>
              <w:left w:val="single" w:sz="8" w:color="auto"/>
              <w:bottom w:val="single" w:sz="8" w:color="auto"/>
            </w:tcBorders>
          </w:tcPr>
          <w:p>
            <w:pPr>
              <w:ind w:left="400"/>
              <w:spacing w:after="0"/>
              <w:rPr>
                <w:sz w:val="20"/>
                <w:szCs w:val="20"/>
                <w:color w:val="auto"/>
              </w:rPr>
            </w:pPr>
            <w:r>
              <w:rPr>
                <w:rFonts w:ascii="Arial" w:cs="Arial" w:eastAsia="Arial" w:hAnsi="Arial"/>
                <w:sz w:val="15"/>
                <w:szCs w:val="15"/>
                <w:color w:val="auto"/>
              </w:rPr>
              <w:t>•Parsons Government Services International Inc. (Corp)</w:t>
            </w:r>
          </w:p>
        </w:tc>
        <w:tc>
          <w:tcPr>
            <w:tcW w:w="1060" w:type="dxa"/>
            <w:vAlign w:val="bottom"/>
            <w:tcBorders>
              <w:bottom w:val="single" w:sz="8" w:color="auto"/>
              <w:right w:val="single" w:sz="8" w:color="auto"/>
            </w:tcBorders>
          </w:tcPr>
          <w:p>
            <w:pPr>
              <w:spacing w:after="0"/>
              <w:rPr>
                <w:sz w:val="15"/>
                <w:szCs w:val="15"/>
                <w:color w:val="auto"/>
              </w:rPr>
            </w:pPr>
          </w:p>
        </w:tc>
        <w:tc>
          <w:tcPr>
            <w:tcW w:w="5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US</w:t>
            </w:r>
          </w:p>
        </w:tc>
      </w:tr>
      <w:tr>
        <w:trPr>
          <w:trHeight w:val="183"/>
        </w:trPr>
        <w:tc>
          <w:tcPr>
            <w:tcW w:w="4620" w:type="dxa"/>
            <w:vAlign w:val="bottom"/>
            <w:tcBorders>
              <w:left w:val="single" w:sz="8" w:color="auto"/>
              <w:bottom w:val="single" w:sz="8" w:color="auto"/>
            </w:tcBorders>
          </w:tcPr>
          <w:p>
            <w:pPr>
              <w:ind w:left="400"/>
              <w:spacing w:after="0"/>
              <w:rPr>
                <w:sz w:val="20"/>
                <w:szCs w:val="20"/>
                <w:color w:val="auto"/>
              </w:rPr>
            </w:pPr>
            <w:r>
              <w:rPr>
                <w:rFonts w:ascii="Arial" w:cs="Arial" w:eastAsia="Arial" w:hAnsi="Arial"/>
                <w:sz w:val="15"/>
                <w:szCs w:val="15"/>
                <w:color w:val="auto"/>
              </w:rPr>
              <w:t>•QRC, LLC (DE)</w:t>
            </w:r>
          </w:p>
        </w:tc>
        <w:tc>
          <w:tcPr>
            <w:tcW w:w="1060" w:type="dxa"/>
            <w:vAlign w:val="bottom"/>
            <w:tcBorders>
              <w:bottom w:val="single" w:sz="8" w:color="auto"/>
              <w:right w:val="single" w:sz="8" w:color="auto"/>
            </w:tcBorders>
          </w:tcPr>
          <w:p>
            <w:pPr>
              <w:spacing w:after="0"/>
              <w:rPr>
                <w:sz w:val="15"/>
                <w:szCs w:val="15"/>
                <w:color w:val="auto"/>
              </w:rPr>
            </w:pPr>
          </w:p>
        </w:tc>
        <w:tc>
          <w:tcPr>
            <w:tcW w:w="5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US</w:t>
            </w:r>
          </w:p>
        </w:tc>
      </w:tr>
      <w:tr>
        <w:trPr>
          <w:trHeight w:val="183"/>
        </w:trPr>
        <w:tc>
          <w:tcPr>
            <w:tcW w:w="4620" w:type="dxa"/>
            <w:vAlign w:val="bottom"/>
            <w:tcBorders>
              <w:left w:val="single" w:sz="8" w:color="auto"/>
              <w:bottom w:val="single" w:sz="8" w:color="auto"/>
            </w:tcBorders>
          </w:tcPr>
          <w:p>
            <w:pPr>
              <w:ind w:left="400"/>
              <w:spacing w:after="0"/>
              <w:rPr>
                <w:sz w:val="20"/>
                <w:szCs w:val="20"/>
                <w:color w:val="auto"/>
              </w:rPr>
            </w:pPr>
            <w:r>
              <w:rPr>
                <w:rFonts w:ascii="Arial" w:cs="Arial" w:eastAsia="Arial" w:hAnsi="Arial"/>
                <w:sz w:val="15"/>
                <w:szCs w:val="15"/>
                <w:color w:val="auto"/>
              </w:rPr>
              <w:t>•BlackHorse Solutions Inc. (Corp)</w:t>
            </w:r>
          </w:p>
        </w:tc>
        <w:tc>
          <w:tcPr>
            <w:tcW w:w="1060" w:type="dxa"/>
            <w:vAlign w:val="bottom"/>
            <w:tcBorders>
              <w:bottom w:val="single" w:sz="8" w:color="auto"/>
              <w:right w:val="single" w:sz="8" w:color="auto"/>
            </w:tcBorders>
          </w:tcPr>
          <w:p>
            <w:pPr>
              <w:spacing w:after="0"/>
              <w:rPr>
                <w:sz w:val="15"/>
                <w:szCs w:val="15"/>
                <w:color w:val="auto"/>
              </w:rPr>
            </w:pPr>
          </w:p>
        </w:tc>
        <w:tc>
          <w:tcPr>
            <w:tcW w:w="5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US</w:t>
            </w:r>
          </w:p>
        </w:tc>
      </w:tr>
      <w:tr>
        <w:trPr>
          <w:trHeight w:val="183"/>
        </w:trPr>
        <w:tc>
          <w:tcPr>
            <w:tcW w:w="462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5"/>
                <w:szCs w:val="15"/>
                <w:color w:val="auto"/>
              </w:rPr>
              <w:t>Parsons Construction Group Inc. (Corp)</w:t>
            </w:r>
          </w:p>
        </w:tc>
        <w:tc>
          <w:tcPr>
            <w:tcW w:w="1060" w:type="dxa"/>
            <w:vAlign w:val="bottom"/>
            <w:tcBorders>
              <w:bottom w:val="single" w:sz="8" w:color="auto"/>
              <w:right w:val="single" w:sz="8" w:color="auto"/>
            </w:tcBorders>
          </w:tcPr>
          <w:p>
            <w:pPr>
              <w:spacing w:after="0"/>
              <w:rPr>
                <w:sz w:val="15"/>
                <w:szCs w:val="15"/>
                <w:color w:val="auto"/>
              </w:rPr>
            </w:pPr>
          </w:p>
        </w:tc>
        <w:tc>
          <w:tcPr>
            <w:tcW w:w="5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US</w:t>
            </w:r>
          </w:p>
        </w:tc>
      </w:tr>
      <w:tr>
        <w:trPr>
          <w:trHeight w:val="183"/>
        </w:trPr>
        <w:tc>
          <w:tcPr>
            <w:tcW w:w="4620" w:type="dxa"/>
            <w:vAlign w:val="bottom"/>
            <w:tcBorders>
              <w:left w:val="single" w:sz="8" w:color="auto"/>
              <w:bottom w:val="single" w:sz="8" w:color="auto"/>
            </w:tcBorders>
          </w:tcPr>
          <w:p>
            <w:pPr>
              <w:ind w:left="400"/>
              <w:spacing w:after="0"/>
              <w:rPr>
                <w:sz w:val="20"/>
                <w:szCs w:val="20"/>
                <w:color w:val="auto"/>
              </w:rPr>
            </w:pPr>
            <w:r>
              <w:rPr>
                <w:rFonts w:ascii="Arial" w:cs="Arial" w:eastAsia="Arial" w:hAnsi="Arial"/>
                <w:sz w:val="15"/>
                <w:szCs w:val="15"/>
                <w:color w:val="auto"/>
              </w:rPr>
              <w:t>•Parsons Construction Craft Services, Inc. (Corp)</w:t>
            </w:r>
          </w:p>
        </w:tc>
        <w:tc>
          <w:tcPr>
            <w:tcW w:w="1060" w:type="dxa"/>
            <w:vAlign w:val="bottom"/>
            <w:tcBorders>
              <w:bottom w:val="single" w:sz="8" w:color="auto"/>
              <w:right w:val="single" w:sz="8" w:color="auto"/>
            </w:tcBorders>
          </w:tcPr>
          <w:p>
            <w:pPr>
              <w:spacing w:after="0"/>
              <w:rPr>
                <w:sz w:val="15"/>
                <w:szCs w:val="15"/>
                <w:color w:val="auto"/>
              </w:rPr>
            </w:pPr>
          </w:p>
        </w:tc>
        <w:tc>
          <w:tcPr>
            <w:tcW w:w="5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US</w:t>
            </w:r>
          </w:p>
        </w:tc>
      </w:tr>
      <w:tr>
        <w:trPr>
          <w:trHeight w:val="183"/>
        </w:trPr>
        <w:tc>
          <w:tcPr>
            <w:tcW w:w="4620" w:type="dxa"/>
            <w:vAlign w:val="bottom"/>
            <w:tcBorders>
              <w:left w:val="single" w:sz="8" w:color="auto"/>
              <w:bottom w:val="single" w:sz="8" w:color="auto"/>
            </w:tcBorders>
          </w:tcPr>
          <w:p>
            <w:pPr>
              <w:ind w:left="400"/>
              <w:spacing w:after="0"/>
              <w:rPr>
                <w:sz w:val="20"/>
                <w:szCs w:val="20"/>
                <w:color w:val="auto"/>
              </w:rPr>
            </w:pPr>
            <w:r>
              <w:rPr>
                <w:rFonts w:ascii="Arial" w:cs="Arial" w:eastAsia="Arial" w:hAnsi="Arial"/>
                <w:sz w:val="15"/>
                <w:szCs w:val="15"/>
                <w:color w:val="auto"/>
              </w:rPr>
              <w:t>•Parsons Transportation Group, Inc. (Corp)</w:t>
            </w:r>
          </w:p>
        </w:tc>
        <w:tc>
          <w:tcPr>
            <w:tcW w:w="1060" w:type="dxa"/>
            <w:vAlign w:val="bottom"/>
            <w:tcBorders>
              <w:bottom w:val="single" w:sz="8" w:color="auto"/>
              <w:right w:val="single" w:sz="8" w:color="auto"/>
            </w:tcBorders>
          </w:tcPr>
          <w:p>
            <w:pPr>
              <w:spacing w:after="0"/>
              <w:rPr>
                <w:sz w:val="15"/>
                <w:szCs w:val="15"/>
                <w:color w:val="auto"/>
              </w:rPr>
            </w:pPr>
          </w:p>
        </w:tc>
        <w:tc>
          <w:tcPr>
            <w:tcW w:w="5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US/Turkey</w:t>
            </w:r>
          </w:p>
        </w:tc>
      </w:tr>
      <w:tr>
        <w:trPr>
          <w:trHeight w:val="183"/>
        </w:trPr>
        <w:tc>
          <w:tcPr>
            <w:tcW w:w="462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5"/>
                <w:szCs w:val="15"/>
                <w:color w:val="auto"/>
              </w:rPr>
              <w:t>PE&amp;I (Corp)</w:t>
            </w:r>
          </w:p>
        </w:tc>
        <w:tc>
          <w:tcPr>
            <w:tcW w:w="1060" w:type="dxa"/>
            <w:vAlign w:val="bottom"/>
            <w:tcBorders>
              <w:bottom w:val="single" w:sz="8" w:color="auto"/>
              <w:right w:val="single" w:sz="8" w:color="auto"/>
            </w:tcBorders>
          </w:tcPr>
          <w:p>
            <w:pPr>
              <w:spacing w:after="0"/>
              <w:rPr>
                <w:sz w:val="15"/>
                <w:szCs w:val="15"/>
                <w:color w:val="auto"/>
              </w:rPr>
            </w:pPr>
          </w:p>
        </w:tc>
        <w:tc>
          <w:tcPr>
            <w:tcW w:w="5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Non-Employer</w:t>
            </w:r>
          </w:p>
        </w:tc>
      </w:tr>
      <w:tr>
        <w:trPr>
          <w:trHeight w:val="183"/>
        </w:trPr>
        <w:tc>
          <w:tcPr>
            <w:tcW w:w="4620" w:type="dxa"/>
            <w:vAlign w:val="bottom"/>
            <w:tcBorders>
              <w:left w:val="single" w:sz="8" w:color="auto"/>
              <w:bottom w:val="single" w:sz="8" w:color="auto"/>
            </w:tcBorders>
          </w:tcPr>
          <w:p>
            <w:pPr>
              <w:ind w:left="400"/>
              <w:spacing w:after="0"/>
              <w:rPr>
                <w:sz w:val="20"/>
                <w:szCs w:val="20"/>
                <w:color w:val="auto"/>
              </w:rPr>
            </w:pPr>
            <w:r>
              <w:rPr>
                <w:rFonts w:ascii="Arial" w:cs="Arial" w:eastAsia="Arial" w:hAnsi="Arial"/>
                <w:sz w:val="15"/>
                <w:szCs w:val="15"/>
                <w:color w:val="auto"/>
              </w:rPr>
              <w:t>•Parsons Patco Inc. (Corp)</w:t>
            </w:r>
          </w:p>
        </w:tc>
        <w:tc>
          <w:tcPr>
            <w:tcW w:w="1060" w:type="dxa"/>
            <w:vAlign w:val="bottom"/>
            <w:tcBorders>
              <w:bottom w:val="single" w:sz="8" w:color="auto"/>
              <w:right w:val="single" w:sz="8" w:color="auto"/>
            </w:tcBorders>
          </w:tcPr>
          <w:p>
            <w:pPr>
              <w:spacing w:after="0"/>
              <w:rPr>
                <w:sz w:val="15"/>
                <w:szCs w:val="15"/>
                <w:color w:val="auto"/>
              </w:rPr>
            </w:pPr>
          </w:p>
        </w:tc>
        <w:tc>
          <w:tcPr>
            <w:tcW w:w="5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US</w:t>
            </w:r>
          </w:p>
        </w:tc>
      </w:tr>
      <w:tr>
        <w:trPr>
          <w:trHeight w:val="183"/>
        </w:trPr>
        <w:tc>
          <w:tcPr>
            <w:tcW w:w="462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5"/>
                <w:szCs w:val="15"/>
                <w:color w:val="auto"/>
              </w:rPr>
              <w:t>Parsons International Limited (NV) (Corp)</w:t>
            </w:r>
          </w:p>
        </w:tc>
        <w:tc>
          <w:tcPr>
            <w:tcW w:w="1060" w:type="dxa"/>
            <w:vAlign w:val="bottom"/>
            <w:tcBorders>
              <w:bottom w:val="single" w:sz="8" w:color="auto"/>
              <w:right w:val="single" w:sz="8" w:color="auto"/>
            </w:tcBorders>
          </w:tcPr>
          <w:p>
            <w:pPr>
              <w:spacing w:after="0"/>
              <w:rPr>
                <w:sz w:val="15"/>
                <w:szCs w:val="15"/>
                <w:color w:val="auto"/>
              </w:rPr>
            </w:pPr>
          </w:p>
        </w:tc>
        <w:tc>
          <w:tcPr>
            <w:tcW w:w="5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US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US-DOCS\110441353.3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49530</wp:posOffset>
            </wp:positionV>
            <wp:extent cx="7182485" cy="412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1" w:name="page192"/>
    <w:bookmarkEnd w:id="191"/>
    <w:tbl>
      <w:tblPr>
        <w:tblLayout w:type="fixed"/>
        <w:tblInd w:w="10" w:type="dxa"/>
        <w:tblCellMar>
          <w:top w:w="0" w:type="dxa"/>
          <w:left w:w="0" w:type="dxa"/>
          <w:bottom w:w="0" w:type="dxa"/>
          <w:right w:w="0" w:type="dxa"/>
        </w:tblCellMar>
      </w:tblPr>
      <w:tr>
        <w:trPr>
          <w:trHeight w:val="218"/>
        </w:trPr>
        <w:tc>
          <w:tcPr>
            <w:tcW w:w="11240" w:type="dxa"/>
            <w:vAlign w:val="bottom"/>
            <w:gridSpan w:val="2"/>
          </w:tcPr>
          <w:p>
            <w:pPr>
              <w:jc w:val="center"/>
              <w:spacing w:after="0"/>
              <w:rPr>
                <w:sz w:val="20"/>
                <w:szCs w:val="20"/>
                <w:color w:val="auto"/>
              </w:rPr>
            </w:pPr>
            <w:r>
              <w:rPr>
                <w:rFonts w:ascii="Arial" w:cs="Arial" w:eastAsia="Arial" w:hAnsi="Arial"/>
                <w:sz w:val="19"/>
                <w:szCs w:val="19"/>
                <w:b w:val="1"/>
                <w:bCs w:val="1"/>
                <w:color w:val="auto"/>
                <w:w w:val="87"/>
              </w:rPr>
              <w:t>Parsons Corporation</w:t>
            </w:r>
          </w:p>
        </w:tc>
      </w:tr>
      <w:tr>
        <w:trPr>
          <w:trHeight w:val="216"/>
        </w:trPr>
        <w:tc>
          <w:tcPr>
            <w:tcW w:w="11240" w:type="dxa"/>
            <w:vAlign w:val="bottom"/>
            <w:gridSpan w:val="2"/>
          </w:tcPr>
          <w:p>
            <w:pPr>
              <w:jc w:val="center"/>
              <w:spacing w:after="0" w:line="215" w:lineRule="exact"/>
              <w:rPr>
                <w:sz w:val="20"/>
                <w:szCs w:val="20"/>
                <w:color w:val="auto"/>
              </w:rPr>
            </w:pPr>
            <w:r>
              <w:rPr>
                <w:rFonts w:ascii="Arial" w:cs="Arial" w:eastAsia="Arial" w:hAnsi="Arial"/>
                <w:sz w:val="19"/>
                <w:szCs w:val="19"/>
                <w:b w:val="1"/>
                <w:bCs w:val="1"/>
                <w:color w:val="auto"/>
                <w:w w:val="86"/>
              </w:rPr>
              <w:t>Employee Stock Purchase Plan</w:t>
            </w:r>
          </w:p>
        </w:tc>
      </w:tr>
      <w:tr>
        <w:trPr>
          <w:trHeight w:val="242"/>
        </w:trPr>
        <w:tc>
          <w:tcPr>
            <w:tcW w:w="11240" w:type="dxa"/>
            <w:vAlign w:val="bottom"/>
            <w:gridSpan w:val="2"/>
          </w:tcPr>
          <w:p>
            <w:pPr>
              <w:jc w:val="center"/>
              <w:spacing w:after="0"/>
              <w:rPr>
                <w:sz w:val="20"/>
                <w:szCs w:val="20"/>
                <w:color w:val="auto"/>
              </w:rPr>
            </w:pPr>
            <w:r>
              <w:rPr>
                <w:rFonts w:ascii="Arial" w:cs="Arial" w:eastAsia="Arial" w:hAnsi="Arial"/>
                <w:sz w:val="19"/>
                <w:szCs w:val="19"/>
                <w:b w:val="1"/>
                <w:bCs w:val="1"/>
                <w:color w:val="auto"/>
                <w:w w:val="88"/>
              </w:rPr>
              <w:t>Participating Companies</w:t>
            </w:r>
          </w:p>
        </w:tc>
      </w:tr>
      <w:tr>
        <w:trPr>
          <w:trHeight w:val="210"/>
        </w:trPr>
        <w:tc>
          <w:tcPr>
            <w:tcW w:w="5680" w:type="dxa"/>
            <w:vAlign w:val="bottom"/>
            <w:tcBorders>
              <w:bottom w:val="single" w:sz="8" w:color="auto"/>
            </w:tcBorders>
          </w:tcPr>
          <w:p>
            <w:pPr>
              <w:spacing w:after="0"/>
              <w:rPr>
                <w:sz w:val="18"/>
                <w:szCs w:val="18"/>
                <w:color w:val="auto"/>
              </w:rPr>
            </w:pPr>
          </w:p>
        </w:tc>
        <w:tc>
          <w:tcPr>
            <w:tcW w:w="5560" w:type="dxa"/>
            <w:vAlign w:val="bottom"/>
            <w:tcBorders>
              <w:bottom w:val="single" w:sz="8" w:color="auto"/>
            </w:tcBorders>
          </w:tcPr>
          <w:p>
            <w:pPr>
              <w:spacing w:after="0"/>
              <w:rPr>
                <w:sz w:val="18"/>
                <w:szCs w:val="18"/>
                <w:color w:val="auto"/>
              </w:rPr>
            </w:pPr>
          </w:p>
        </w:tc>
      </w:tr>
      <w:tr>
        <w:trPr>
          <w:trHeight w:val="183"/>
        </w:trPr>
        <w:tc>
          <w:tcPr>
            <w:tcW w:w="5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Non-Section 423 Component Participating Companies</w:t>
            </w:r>
          </w:p>
        </w:tc>
        <w:tc>
          <w:tcPr>
            <w:tcW w:w="5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b w:val="1"/>
                <w:bCs w:val="1"/>
                <w:color w:val="auto"/>
              </w:rPr>
              <w:t>Employee Jurisdictions</w:t>
            </w:r>
          </w:p>
        </w:tc>
      </w:tr>
      <w:tr>
        <w:trPr>
          <w:trHeight w:val="183"/>
        </w:trPr>
        <w:tc>
          <w:tcPr>
            <w:tcW w:w="5680" w:type="dxa"/>
            <w:vAlign w:val="bottom"/>
            <w:tcBorders>
              <w:left w:val="single" w:sz="8" w:color="auto"/>
              <w:bottom w:val="single" w:sz="8" w:color="auto"/>
              <w:right w:val="single" w:sz="8" w:color="auto"/>
            </w:tcBorders>
          </w:tcPr>
          <w:p>
            <w:pPr>
              <w:spacing w:after="0"/>
              <w:rPr>
                <w:sz w:val="15"/>
                <w:szCs w:val="15"/>
                <w:color w:val="auto"/>
              </w:rPr>
            </w:pPr>
          </w:p>
        </w:tc>
        <w:tc>
          <w:tcPr>
            <w:tcW w:w="5560" w:type="dxa"/>
            <w:vAlign w:val="bottom"/>
            <w:tcBorders>
              <w:bottom w:val="single" w:sz="8" w:color="auto"/>
              <w:right w:val="single" w:sz="8" w:color="auto"/>
            </w:tcBorders>
          </w:tcPr>
          <w:p>
            <w:pPr>
              <w:spacing w:after="0"/>
              <w:rPr>
                <w:sz w:val="15"/>
                <w:szCs w:val="15"/>
                <w:color w:val="auto"/>
              </w:rPr>
            </w:pPr>
          </w:p>
        </w:tc>
      </w:tr>
      <w:tr>
        <w:trPr>
          <w:trHeight w:val="183"/>
        </w:trPr>
        <w:tc>
          <w:tcPr>
            <w:tcW w:w="5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Parcan Inc. (Corp)</w:t>
            </w:r>
          </w:p>
        </w:tc>
        <w:tc>
          <w:tcPr>
            <w:tcW w:w="5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Canada</w:t>
            </w:r>
          </w:p>
        </w:tc>
      </w:tr>
      <w:tr>
        <w:trPr>
          <w:trHeight w:val="183"/>
        </w:trPr>
        <w:tc>
          <w:tcPr>
            <w:tcW w:w="5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Parsons Inc. (Corp)</w:t>
            </w:r>
          </w:p>
        </w:tc>
        <w:tc>
          <w:tcPr>
            <w:tcW w:w="5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Canada</w:t>
            </w:r>
          </w:p>
        </w:tc>
      </w:tr>
      <w:tr>
        <w:trPr>
          <w:trHeight w:val="183"/>
        </w:trPr>
        <w:tc>
          <w:tcPr>
            <w:tcW w:w="5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Entities Under Parsons Middle East Ltd. (Corp):</w:t>
            </w:r>
          </w:p>
        </w:tc>
        <w:tc>
          <w:tcPr>
            <w:tcW w:w="5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Non-Employer</w:t>
            </w:r>
          </w:p>
        </w:tc>
      </w:tr>
      <w:tr>
        <w:trPr>
          <w:trHeight w:val="183"/>
        </w:trPr>
        <w:tc>
          <w:tcPr>
            <w:tcW w:w="5680" w:type="dxa"/>
            <w:vAlign w:val="bottom"/>
            <w:tcBorders>
              <w:left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5"/>
                <w:szCs w:val="15"/>
                <w:color w:val="auto"/>
              </w:rPr>
              <w:t>•Parsons Global Services, Ltd. (DE)</w:t>
            </w:r>
          </w:p>
        </w:tc>
        <w:tc>
          <w:tcPr>
            <w:tcW w:w="5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Co-Employer with local entities in Bahrain, Kuwait, Qatar, UAE</w:t>
            </w:r>
          </w:p>
        </w:tc>
      </w:tr>
      <w:tr>
        <w:trPr>
          <w:trHeight w:val="183"/>
        </w:trPr>
        <w:tc>
          <w:tcPr>
            <w:tcW w:w="5680" w:type="dxa"/>
            <w:vAlign w:val="bottom"/>
            <w:tcBorders>
              <w:left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5"/>
                <w:szCs w:val="15"/>
                <w:color w:val="auto"/>
              </w:rPr>
              <w:t>•Parsons International Ltd. (Corp)</w:t>
            </w:r>
          </w:p>
        </w:tc>
        <w:tc>
          <w:tcPr>
            <w:tcW w:w="5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Singapore, Qatar, UAE</w:t>
            </w:r>
          </w:p>
        </w:tc>
      </w:tr>
      <w:tr>
        <w:trPr>
          <w:trHeight w:val="183"/>
        </w:trPr>
        <w:tc>
          <w:tcPr>
            <w:tcW w:w="5680" w:type="dxa"/>
            <w:vAlign w:val="bottom"/>
            <w:tcBorders>
              <w:left w:val="single" w:sz="8" w:color="auto"/>
              <w:bottom w:val="single" w:sz="8" w:color="auto"/>
              <w:right w:val="single" w:sz="8" w:color="auto"/>
            </w:tcBorders>
          </w:tcPr>
          <w:p>
            <w:pPr>
              <w:ind w:left="1020"/>
              <w:spacing w:after="0" w:line="183" w:lineRule="exact"/>
              <w:rPr>
                <w:sz w:val="20"/>
                <w:szCs w:val="20"/>
                <w:color w:val="auto"/>
              </w:rPr>
            </w:pPr>
            <w:r>
              <w:rPr>
                <w:rFonts w:ascii="Courier New" w:cs="Courier New" w:eastAsia="Courier New" w:hAnsi="Courier New"/>
                <w:sz w:val="15"/>
                <w:szCs w:val="15"/>
                <w:color w:val="auto"/>
              </w:rPr>
              <w:t>o</w:t>
            </w:r>
            <w:r>
              <w:rPr>
                <w:rFonts w:ascii="Arial" w:cs="Arial" w:eastAsia="Arial" w:hAnsi="Arial"/>
                <w:sz w:val="15"/>
                <w:szCs w:val="15"/>
                <w:color w:val="auto"/>
              </w:rPr>
              <w:t>Parsons Int’l &amp; Co. LLC (Corp) (owned 51% by PIL)</w:t>
            </w:r>
          </w:p>
        </w:tc>
        <w:tc>
          <w:tcPr>
            <w:tcW w:w="5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Oman</w:t>
            </w:r>
          </w:p>
        </w:tc>
      </w:tr>
      <w:tr>
        <w:trPr>
          <w:trHeight w:val="183"/>
        </w:trPr>
        <w:tc>
          <w:tcPr>
            <w:tcW w:w="5680" w:type="dxa"/>
            <w:vAlign w:val="bottom"/>
            <w:tcBorders>
              <w:left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5"/>
                <w:szCs w:val="15"/>
                <w:color w:val="auto"/>
              </w:rPr>
              <w:t>•Parsons Overseas Limited Inc. (Corp)</w:t>
            </w:r>
          </w:p>
        </w:tc>
        <w:tc>
          <w:tcPr>
            <w:tcW w:w="5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UAE</w:t>
            </w:r>
          </w:p>
        </w:tc>
      </w:tr>
      <w:tr>
        <w:trPr>
          <w:trHeight w:val="183"/>
        </w:trPr>
        <w:tc>
          <w:tcPr>
            <w:tcW w:w="5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Delcan International Corp (Corp)</w:t>
            </w:r>
          </w:p>
        </w:tc>
        <w:tc>
          <w:tcPr>
            <w:tcW w:w="5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Hong Kong</w:t>
            </w:r>
          </w:p>
        </w:tc>
      </w:tr>
      <w:tr>
        <w:trPr>
          <w:trHeight w:val="175"/>
        </w:trPr>
        <w:tc>
          <w:tcPr>
            <w:tcW w:w="56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Parsons Group International Limited - UK (Partnership) (owned 51% by Parsons</w:t>
            </w:r>
          </w:p>
        </w:tc>
        <w:tc>
          <w:tcPr>
            <w:tcW w:w="55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Denmark (Danish Branch)</w:t>
            </w:r>
          </w:p>
        </w:tc>
      </w:tr>
      <w:tr>
        <w:trPr>
          <w:trHeight w:val="190"/>
        </w:trPr>
        <w:tc>
          <w:tcPr>
            <w:tcW w:w="56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Transportation Group, Inc. and 49% by Parsons Government Services, Inc.)</w:t>
            </w:r>
          </w:p>
        </w:tc>
        <w:tc>
          <w:tcPr>
            <w:tcW w:w="55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France (French Branch)</w:t>
            </w:r>
          </w:p>
        </w:tc>
      </w:tr>
      <w:tr>
        <w:trPr>
          <w:trHeight w:val="190"/>
        </w:trPr>
        <w:tc>
          <w:tcPr>
            <w:tcW w:w="5680" w:type="dxa"/>
            <w:vAlign w:val="bottom"/>
            <w:tcBorders>
              <w:left w:val="single" w:sz="8" w:color="auto"/>
              <w:right w:val="single" w:sz="8" w:color="auto"/>
            </w:tcBorders>
          </w:tcPr>
          <w:p>
            <w:pPr>
              <w:spacing w:after="0"/>
              <w:rPr>
                <w:sz w:val="16"/>
                <w:szCs w:val="16"/>
                <w:color w:val="auto"/>
              </w:rPr>
            </w:pPr>
          </w:p>
        </w:tc>
        <w:tc>
          <w:tcPr>
            <w:tcW w:w="55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Germany (German Branch)</w:t>
            </w:r>
          </w:p>
        </w:tc>
      </w:tr>
      <w:tr>
        <w:trPr>
          <w:trHeight w:val="190"/>
        </w:trPr>
        <w:tc>
          <w:tcPr>
            <w:tcW w:w="5680" w:type="dxa"/>
            <w:vAlign w:val="bottom"/>
            <w:tcBorders>
              <w:left w:val="single" w:sz="8" w:color="auto"/>
              <w:right w:val="single" w:sz="8" w:color="auto"/>
            </w:tcBorders>
          </w:tcPr>
          <w:p>
            <w:pPr>
              <w:spacing w:after="0"/>
              <w:rPr>
                <w:sz w:val="16"/>
                <w:szCs w:val="16"/>
                <w:color w:val="auto"/>
              </w:rPr>
            </w:pPr>
          </w:p>
        </w:tc>
        <w:tc>
          <w:tcPr>
            <w:tcW w:w="55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Belgium (works in Germany)</w:t>
            </w:r>
          </w:p>
        </w:tc>
      </w:tr>
      <w:tr>
        <w:trPr>
          <w:trHeight w:val="190"/>
        </w:trPr>
        <w:tc>
          <w:tcPr>
            <w:tcW w:w="5680" w:type="dxa"/>
            <w:vAlign w:val="bottom"/>
            <w:tcBorders>
              <w:left w:val="single" w:sz="8" w:color="auto"/>
              <w:right w:val="single" w:sz="8" w:color="auto"/>
            </w:tcBorders>
          </w:tcPr>
          <w:p>
            <w:pPr>
              <w:spacing w:after="0"/>
              <w:rPr>
                <w:sz w:val="16"/>
                <w:szCs w:val="16"/>
                <w:color w:val="auto"/>
              </w:rPr>
            </w:pPr>
          </w:p>
        </w:tc>
        <w:tc>
          <w:tcPr>
            <w:tcW w:w="55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UK (works in Germany)</w:t>
            </w:r>
          </w:p>
        </w:tc>
      </w:tr>
      <w:tr>
        <w:trPr>
          <w:trHeight w:val="195"/>
        </w:trPr>
        <w:tc>
          <w:tcPr>
            <w:tcW w:w="5680" w:type="dxa"/>
            <w:vAlign w:val="bottom"/>
            <w:tcBorders>
              <w:left w:val="single" w:sz="8" w:color="auto"/>
              <w:bottom w:val="single" w:sz="8" w:color="auto"/>
              <w:right w:val="single" w:sz="8" w:color="auto"/>
            </w:tcBorders>
          </w:tcPr>
          <w:p>
            <w:pPr>
              <w:spacing w:after="0"/>
              <w:rPr>
                <w:sz w:val="16"/>
                <w:szCs w:val="16"/>
                <w:color w:val="auto"/>
              </w:rPr>
            </w:pPr>
          </w:p>
        </w:tc>
        <w:tc>
          <w:tcPr>
            <w:tcW w:w="5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Nigeria (works in Germany)</w:t>
            </w:r>
          </w:p>
        </w:tc>
      </w:tr>
      <w:tr>
        <w:trPr>
          <w:trHeight w:val="759"/>
        </w:trPr>
        <w:tc>
          <w:tcPr>
            <w:tcW w:w="5680" w:type="dxa"/>
            <w:vAlign w:val="bottom"/>
          </w:tcPr>
          <w:p>
            <w:pPr>
              <w:spacing w:after="0"/>
              <w:rPr>
                <w:sz w:val="20"/>
                <w:szCs w:val="20"/>
                <w:color w:val="auto"/>
              </w:rPr>
            </w:pPr>
            <w:r>
              <w:rPr>
                <w:rFonts w:ascii="Arial" w:cs="Arial" w:eastAsia="Arial" w:hAnsi="Arial"/>
                <w:sz w:val="14"/>
                <w:szCs w:val="14"/>
                <w:color w:val="auto"/>
              </w:rPr>
              <w:t>US-DOCS\110441353.3</w:t>
            </w:r>
          </w:p>
        </w:tc>
        <w:tc>
          <w:tcPr>
            <w:tcW w:w="5560" w:type="dxa"/>
            <w:vAlign w:val="bottom"/>
          </w:tcPr>
          <w:p>
            <w:pPr>
              <w:spacing w:after="0"/>
              <w:rPr>
                <w:sz w:val="24"/>
                <w:szCs w:val="24"/>
                <w:color w:val="auto"/>
              </w:rPr>
            </w:pPr>
          </w:p>
        </w:tc>
      </w:tr>
    </w:tbl>
    <w:p>
      <w:pPr>
        <w:sectPr>
          <w:pgSz w:w="11900" w:h="16838" w:orient="portrait"/>
          <w:cols w:equalWidth="0" w:num="1">
            <w:col w:w="11240"/>
          </w:cols>
          <w:pgMar w:left="320" w:top="331" w:right="339" w:bottom="1440" w:gutter="0" w:footer="0" w:header="0"/>
        </w:sectPr>
      </w:pPr>
    </w:p>
    <w:bookmarkStart w:id="192" w:name="page193"/>
    <w:bookmarkEnd w:id="192"/>
    <w:p>
      <w:pPr>
        <w:spacing w:after="0"/>
        <w:rPr>
          <w:sz w:val="20"/>
          <w:szCs w:val="20"/>
          <w:color w:val="auto"/>
        </w:rPr>
      </w:pPr>
      <w:r>
        <w:rPr>
          <w:rFonts w:ascii="Arial" w:cs="Arial" w:eastAsia="Arial" w:hAnsi="Arial"/>
          <w:sz w:val="20"/>
          <w:szCs w:val="20"/>
          <w:color w:val="auto"/>
        </w:rPr>
        <w:t>Exhibit 10.28</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PARSONS CORPORATION</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CHANGE IN CONTROL SEVERANCE AGREEMENT</w:t>
      </w:r>
    </w:p>
    <w:p>
      <w:pPr>
        <w:spacing w:after="0" w:line="382"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 xml:space="preserve">THIS CHANGE IN CONTROL SEVERANCE AGREEMENT </w:t>
      </w:r>
      <w:r>
        <w:rPr>
          <w:rFonts w:ascii="Arial" w:cs="Arial" w:eastAsia="Arial" w:hAnsi="Arial"/>
          <w:sz w:val="19"/>
          <w:szCs w:val="19"/>
          <w:color w:val="auto"/>
        </w:rPr>
        <w:t>(this “Agreement”) is made and entered into on this ____</w:t>
      </w:r>
    </w:p>
    <w:p>
      <w:pPr>
        <w:spacing w:after="0" w:line="32" w:lineRule="exact"/>
        <w:rPr>
          <w:sz w:val="20"/>
          <w:szCs w:val="20"/>
          <w:color w:val="auto"/>
        </w:rPr>
      </w:pPr>
    </w:p>
    <w:p>
      <w:pPr>
        <w:ind w:right="260"/>
        <w:spacing w:after="0" w:line="249" w:lineRule="auto"/>
        <w:rPr>
          <w:sz w:val="20"/>
          <w:szCs w:val="20"/>
          <w:color w:val="auto"/>
        </w:rPr>
      </w:pPr>
      <w:r>
        <w:rPr>
          <w:rFonts w:ascii="Arial" w:cs="Arial" w:eastAsia="Arial" w:hAnsi="Arial"/>
          <w:sz w:val="20"/>
          <w:szCs w:val="20"/>
          <w:color w:val="auto"/>
        </w:rPr>
        <w:t>day of August 2021 (the “Effective Date”), by and between Parsons Corporation, a Delaware corporation (hereinafter referred to as the “Company”) and Carey Smith (the “Executive”).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RECITALS</w:t>
      </w:r>
    </w:p>
    <w:p>
      <w:pPr>
        <w:spacing w:after="0" w:line="205" w:lineRule="exact"/>
        <w:rPr>
          <w:sz w:val="20"/>
          <w:szCs w:val="20"/>
          <w:color w:val="auto"/>
        </w:rPr>
      </w:pPr>
    </w:p>
    <w:p>
      <w:pPr>
        <w:ind w:right="60" w:firstLine="865"/>
        <w:spacing w:after="0" w:line="324" w:lineRule="auto"/>
        <w:rPr>
          <w:sz w:val="20"/>
          <w:szCs w:val="20"/>
          <w:color w:val="auto"/>
        </w:rPr>
      </w:pPr>
      <w:r>
        <w:rPr>
          <w:rFonts w:ascii="Arial" w:cs="Arial" w:eastAsia="Arial" w:hAnsi="Arial"/>
          <w:sz w:val="18"/>
          <w:szCs w:val="18"/>
          <w:color w:val="auto"/>
        </w:rPr>
        <w:t>The Compensation Committee of the Board of Directors of Parsons Corporation (the “Committee”) and the Board of Directors have approved the Company’s entering into this Agreement with the Executive. The Executive is a key executive of the Company.</w:t>
      </w:r>
    </w:p>
    <w:p>
      <w:pPr>
        <w:spacing w:after="0" w:line="100" w:lineRule="exact"/>
        <w:rPr>
          <w:sz w:val="20"/>
          <w:szCs w:val="20"/>
          <w:color w:val="auto"/>
        </w:rPr>
      </w:pPr>
    </w:p>
    <w:p>
      <w:pPr>
        <w:jc w:val="both"/>
        <w:ind w:right="40" w:firstLine="865"/>
        <w:spacing w:after="0" w:line="284" w:lineRule="auto"/>
        <w:rPr>
          <w:sz w:val="20"/>
          <w:szCs w:val="20"/>
          <w:color w:val="auto"/>
        </w:rPr>
      </w:pPr>
      <w:r>
        <w:rPr>
          <w:rFonts w:ascii="Arial" w:cs="Arial" w:eastAsia="Arial" w:hAnsi="Arial"/>
          <w:sz w:val="18"/>
          <w:szCs w:val="18"/>
          <w:color w:val="auto"/>
        </w:rPr>
        <w:t>Should the possibility of a Change in Control (as defined below) arise, the Committee believes it imperative that the Company should be able to rely upon the Executive to continue in his or her position, and that the Company should be able to receive and rely upon the Executive’s advice, if requested, as to the best interests of the Company and its shareholders without concern that the Executive might be distracted by the personal uncertainties and risks created by the possibility of a Change in Control.</w:t>
      </w:r>
    </w:p>
    <w:p>
      <w:pPr>
        <w:spacing w:after="0" w:line="136" w:lineRule="exact"/>
        <w:rPr>
          <w:sz w:val="20"/>
          <w:szCs w:val="20"/>
          <w:color w:val="auto"/>
        </w:rPr>
      </w:pPr>
    </w:p>
    <w:p>
      <w:pPr>
        <w:ind w:right="20" w:firstLine="865"/>
        <w:spacing w:after="0" w:line="248" w:lineRule="auto"/>
        <w:rPr>
          <w:sz w:val="20"/>
          <w:szCs w:val="20"/>
          <w:color w:val="auto"/>
        </w:rPr>
      </w:pPr>
      <w:r>
        <w:rPr>
          <w:rFonts w:ascii="Arial" w:cs="Arial" w:eastAsia="Arial" w:hAnsi="Arial"/>
          <w:sz w:val="20"/>
          <w:szCs w:val="20"/>
          <w:color w:val="auto"/>
        </w:rPr>
        <w:t>Should the possibility of a Change in Control arise, in addition to his or her regular duties, the Executive may be called upon to assist in the assessment of such a possible Change in Control upon the Company’s shareholders, advise management and the Board of Directors as to whether such a Change in Control would be in the best interests of the Company and its shareholders, and to take such other actions as the Board of Directors might determine to be appropriate.</w:t>
      </w:r>
    </w:p>
    <w:p>
      <w:pPr>
        <w:spacing w:after="0" w:line="161" w:lineRule="exact"/>
        <w:rPr>
          <w:sz w:val="20"/>
          <w:szCs w:val="20"/>
          <w:color w:val="auto"/>
        </w:rPr>
      </w:pPr>
    </w:p>
    <w:p>
      <w:pPr>
        <w:ind w:firstLine="865"/>
        <w:spacing w:after="0" w:line="266"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to assure the Company that it will have the continued dedication of the Executive and the availability of</w:t>
      </w:r>
      <w:r>
        <w:rPr>
          <w:rFonts w:ascii="Arial" w:cs="Arial" w:eastAsia="Arial" w:hAnsi="Arial"/>
          <w:sz w:val="19"/>
          <w:szCs w:val="19"/>
          <w:b w:val="1"/>
          <w:bCs w:val="1"/>
          <w:color w:val="auto"/>
        </w:rPr>
        <w:t xml:space="preserve"> </w:t>
      </w:r>
      <w:r>
        <w:rPr>
          <w:rFonts w:ascii="Arial" w:cs="Arial" w:eastAsia="Arial" w:hAnsi="Arial"/>
          <w:sz w:val="19"/>
          <w:szCs w:val="19"/>
          <w:color w:val="auto"/>
        </w:rPr>
        <w:t>his or her advice and counsel notwithstanding the possibility, threat, or occurrence of a Change in Control, and to induce the Executive to remain in the employ of the Company in the face of these circumstances and for other good and valuable consideration, the receipt and adequacy of which are hereby acknowledged, the Company and the Executive agree as follows: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I</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CERTAIN DEFINITIONS</w:t>
      </w:r>
    </w:p>
    <w:p>
      <w:pPr>
        <w:spacing w:after="0" w:line="183" w:lineRule="exact"/>
        <w:rPr>
          <w:sz w:val="20"/>
          <w:szCs w:val="20"/>
          <w:color w:val="auto"/>
        </w:rPr>
      </w:pPr>
    </w:p>
    <w:p>
      <w:pPr>
        <w:ind w:right="540" w:firstLine="865"/>
        <w:spacing w:after="0" w:line="268" w:lineRule="auto"/>
        <w:rPr>
          <w:sz w:val="20"/>
          <w:szCs w:val="20"/>
          <w:color w:val="auto"/>
        </w:rPr>
      </w:pPr>
      <w:r>
        <w:rPr>
          <w:rFonts w:ascii="Arial" w:cs="Arial" w:eastAsia="Arial" w:hAnsi="Arial"/>
          <w:sz w:val="20"/>
          <w:szCs w:val="20"/>
          <w:color w:val="auto"/>
        </w:rPr>
        <w:t>Whenever used in this Agreement, the following terms shall have the meanings set forth below unless the context clearly indicates to the contrary:</w:t>
      </w:r>
    </w:p>
    <w:p>
      <w:pPr>
        <w:spacing w:after="0" w:line="146" w:lineRule="exact"/>
        <w:rPr>
          <w:sz w:val="20"/>
          <w:szCs w:val="20"/>
          <w:color w:val="auto"/>
        </w:rPr>
      </w:pPr>
    </w:p>
    <w:p>
      <w:pPr>
        <w:ind w:left="1720" w:right="360" w:hanging="856"/>
        <w:spacing w:after="0" w:line="268" w:lineRule="auto"/>
        <w:tabs>
          <w:tab w:leader="none" w:pos="17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“Base Salary” means the salary of record paid to the Executive by the Company as annual salary (whether or not deferred), but excludes amounts received under incentive or other bonus plans.</w:t>
      </w:r>
    </w:p>
    <w:p>
      <w:pPr>
        <w:spacing w:after="0" w:line="323"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sectPr>
      </w:pPr>
    </w:p>
    <w:bookmarkStart w:id="193" w:name="page194"/>
    <w:bookmarkEnd w:id="193"/>
    <w:p>
      <w:pPr>
        <w:ind w:left="860" w:right="880" w:hanging="856"/>
        <w:spacing w:after="0" w:line="268" w:lineRule="auto"/>
        <w:tabs>
          <w:tab w:leader="none" w:pos="860" w:val="left"/>
        </w:tabs>
        <w:numPr>
          <w:ilvl w:val="0"/>
          <w:numId w:val="98"/>
        </w:numPr>
        <w:rPr>
          <w:rFonts w:ascii="Arial" w:cs="Arial" w:eastAsia="Arial" w:hAnsi="Arial"/>
          <w:sz w:val="20"/>
          <w:szCs w:val="20"/>
          <w:color w:val="auto"/>
        </w:rPr>
      </w:pPr>
      <w:r>
        <w:rPr>
          <w:rFonts w:ascii="Arial" w:cs="Arial" w:eastAsia="Arial" w:hAnsi="Arial"/>
          <w:sz w:val="20"/>
          <w:szCs w:val="20"/>
          <w:color w:val="auto"/>
        </w:rPr>
        <w:t>“Beneficial Owner” shall have the meaning ascribed to such term in Rule 13d-3 of the General Rules and Regulations under the Exchange Act.</w:t>
      </w:r>
    </w:p>
    <w:p>
      <w:pPr>
        <w:spacing w:after="0" w:line="145" w:lineRule="exact"/>
        <w:rPr>
          <w:rFonts w:ascii="Arial" w:cs="Arial" w:eastAsia="Arial" w:hAnsi="Arial"/>
          <w:sz w:val="20"/>
          <w:szCs w:val="20"/>
          <w:color w:val="auto"/>
        </w:rPr>
      </w:pPr>
    </w:p>
    <w:p>
      <w:pPr>
        <w:ind w:left="860" w:right="140" w:hanging="856"/>
        <w:spacing w:after="0" w:line="268" w:lineRule="auto"/>
        <w:tabs>
          <w:tab w:leader="none" w:pos="860" w:val="left"/>
        </w:tabs>
        <w:numPr>
          <w:ilvl w:val="0"/>
          <w:numId w:val="98"/>
        </w:numPr>
        <w:rPr>
          <w:rFonts w:ascii="Arial" w:cs="Arial" w:eastAsia="Arial" w:hAnsi="Arial"/>
          <w:sz w:val="20"/>
          <w:szCs w:val="20"/>
          <w:color w:val="auto"/>
        </w:rPr>
      </w:pPr>
      <w:r>
        <w:rPr>
          <w:rFonts w:ascii="Arial" w:cs="Arial" w:eastAsia="Arial" w:hAnsi="Arial"/>
          <w:sz w:val="20"/>
          <w:szCs w:val="20"/>
          <w:color w:val="auto"/>
        </w:rPr>
        <w:t>“Beneficiary” means the persons or entities designated or deemed designated by the Executive pursuant to Section 9.3.</w:t>
      </w:r>
    </w:p>
    <w:p>
      <w:pPr>
        <w:spacing w:after="0" w:line="145" w:lineRule="exact"/>
        <w:rPr>
          <w:rFonts w:ascii="Arial" w:cs="Arial" w:eastAsia="Arial" w:hAnsi="Arial"/>
          <w:sz w:val="20"/>
          <w:szCs w:val="20"/>
          <w:color w:val="auto"/>
        </w:rPr>
      </w:pPr>
    </w:p>
    <w:p>
      <w:pPr>
        <w:ind w:left="860" w:hanging="856"/>
        <w:spacing w:after="0"/>
        <w:tabs>
          <w:tab w:leader="none" w:pos="860" w:val="left"/>
        </w:tabs>
        <w:numPr>
          <w:ilvl w:val="0"/>
          <w:numId w:val="98"/>
        </w:numPr>
        <w:rPr>
          <w:rFonts w:ascii="Arial" w:cs="Arial" w:eastAsia="Arial" w:hAnsi="Arial"/>
          <w:sz w:val="20"/>
          <w:szCs w:val="20"/>
          <w:color w:val="auto"/>
        </w:rPr>
      </w:pPr>
      <w:r>
        <w:rPr>
          <w:rFonts w:ascii="Arial" w:cs="Arial" w:eastAsia="Arial" w:hAnsi="Arial"/>
          <w:sz w:val="20"/>
          <w:szCs w:val="20"/>
          <w:color w:val="auto"/>
        </w:rPr>
        <w:t>“Board” means the Board of Directors of the Company.</w:t>
      </w:r>
    </w:p>
    <w:p>
      <w:pPr>
        <w:spacing w:after="0" w:line="201" w:lineRule="exact"/>
        <w:rPr>
          <w:rFonts w:ascii="Arial" w:cs="Arial" w:eastAsia="Arial" w:hAnsi="Arial"/>
          <w:sz w:val="20"/>
          <w:szCs w:val="20"/>
          <w:color w:val="auto"/>
        </w:rPr>
      </w:pPr>
    </w:p>
    <w:p>
      <w:pPr>
        <w:ind w:left="860" w:hanging="856"/>
        <w:spacing w:after="0"/>
        <w:tabs>
          <w:tab w:leader="none" w:pos="860" w:val="left"/>
        </w:tabs>
        <w:numPr>
          <w:ilvl w:val="0"/>
          <w:numId w:val="98"/>
        </w:numPr>
        <w:rPr>
          <w:rFonts w:ascii="Arial" w:cs="Arial" w:eastAsia="Arial" w:hAnsi="Arial"/>
          <w:sz w:val="20"/>
          <w:szCs w:val="20"/>
          <w:color w:val="auto"/>
        </w:rPr>
      </w:pPr>
      <w:r>
        <w:rPr>
          <w:rFonts w:ascii="Arial" w:cs="Arial" w:eastAsia="Arial" w:hAnsi="Arial"/>
          <w:sz w:val="20"/>
          <w:szCs w:val="20"/>
          <w:color w:val="auto"/>
        </w:rPr>
        <w:t>“Cause” means the occurrence of any one or more of the following:</w:t>
      </w:r>
    </w:p>
    <w:p>
      <w:pPr>
        <w:spacing w:after="0" w:line="201" w:lineRule="exact"/>
        <w:rPr>
          <w:rFonts w:ascii="Arial" w:cs="Arial" w:eastAsia="Arial" w:hAnsi="Arial"/>
          <w:sz w:val="20"/>
          <w:szCs w:val="20"/>
          <w:color w:val="auto"/>
        </w:rPr>
      </w:pPr>
    </w:p>
    <w:p>
      <w:pPr>
        <w:ind w:left="1720" w:hanging="854"/>
        <w:spacing w:after="0"/>
        <w:tabs>
          <w:tab w:leader="none" w:pos="1720" w:val="left"/>
        </w:tabs>
        <w:numPr>
          <w:ilvl w:val="1"/>
          <w:numId w:val="98"/>
        </w:numPr>
        <w:rPr>
          <w:rFonts w:ascii="Arial" w:cs="Arial" w:eastAsia="Arial" w:hAnsi="Arial"/>
          <w:sz w:val="20"/>
          <w:szCs w:val="20"/>
          <w:color w:val="auto"/>
        </w:rPr>
      </w:pPr>
      <w:r>
        <w:rPr>
          <w:rFonts w:ascii="Arial" w:cs="Arial" w:eastAsia="Arial" w:hAnsi="Arial"/>
          <w:sz w:val="20"/>
          <w:szCs w:val="20"/>
          <w:color w:val="auto"/>
        </w:rPr>
        <w:t>The Executive’s committing an act of fraud or embezzlement upon the Company.</w:t>
      </w:r>
    </w:p>
    <w:p>
      <w:pPr>
        <w:spacing w:after="0" w:line="201" w:lineRule="exact"/>
        <w:rPr>
          <w:rFonts w:ascii="Arial" w:cs="Arial" w:eastAsia="Arial" w:hAnsi="Arial"/>
          <w:sz w:val="20"/>
          <w:szCs w:val="20"/>
          <w:color w:val="auto"/>
        </w:rPr>
      </w:pPr>
    </w:p>
    <w:p>
      <w:pPr>
        <w:ind w:left="1720" w:right="800" w:hanging="854"/>
        <w:spacing w:after="0" w:line="268" w:lineRule="auto"/>
        <w:tabs>
          <w:tab w:leader="none" w:pos="1720" w:val="left"/>
        </w:tabs>
        <w:numPr>
          <w:ilvl w:val="1"/>
          <w:numId w:val="98"/>
        </w:numPr>
        <w:rPr>
          <w:rFonts w:ascii="Arial" w:cs="Arial" w:eastAsia="Arial" w:hAnsi="Arial"/>
          <w:sz w:val="20"/>
          <w:szCs w:val="20"/>
          <w:color w:val="auto"/>
        </w:rPr>
      </w:pPr>
      <w:r>
        <w:rPr>
          <w:rFonts w:ascii="Arial" w:cs="Arial" w:eastAsia="Arial" w:hAnsi="Arial"/>
          <w:sz w:val="20"/>
          <w:szCs w:val="20"/>
          <w:color w:val="auto"/>
        </w:rPr>
        <w:t>The Executive’s conviction of or pleading guilty or nolo contendere to a felony involving fraud, dishonesty or moral turpitude.</w:t>
      </w:r>
    </w:p>
    <w:p>
      <w:pPr>
        <w:spacing w:after="0" w:line="145" w:lineRule="exact"/>
        <w:rPr>
          <w:rFonts w:ascii="Arial" w:cs="Arial" w:eastAsia="Arial" w:hAnsi="Arial"/>
          <w:sz w:val="20"/>
          <w:szCs w:val="20"/>
          <w:color w:val="auto"/>
        </w:rPr>
      </w:pPr>
    </w:p>
    <w:p>
      <w:pPr>
        <w:ind w:left="1720" w:hanging="854"/>
        <w:spacing w:after="0" w:line="253" w:lineRule="auto"/>
        <w:tabs>
          <w:tab w:leader="none" w:pos="1720" w:val="left"/>
        </w:tabs>
        <w:numPr>
          <w:ilvl w:val="1"/>
          <w:numId w:val="98"/>
        </w:numPr>
        <w:rPr>
          <w:rFonts w:ascii="Arial" w:cs="Arial" w:eastAsia="Arial" w:hAnsi="Arial"/>
          <w:sz w:val="20"/>
          <w:szCs w:val="20"/>
          <w:color w:val="auto"/>
        </w:rPr>
      </w:pPr>
      <w:r>
        <w:rPr>
          <w:rFonts w:ascii="Arial" w:cs="Arial" w:eastAsia="Arial" w:hAnsi="Arial"/>
          <w:sz w:val="20"/>
          <w:szCs w:val="20"/>
          <w:color w:val="auto"/>
        </w:rPr>
        <w:t>The Executive’s willful and continued failure to substantially perform material duties which is not remedied in a reasonable period of time after written demand for substantial performances is delivered by the Board.</w:t>
      </w:r>
    </w:p>
    <w:p>
      <w:pPr>
        <w:spacing w:after="0" w:line="160" w:lineRule="exact"/>
        <w:rPr>
          <w:rFonts w:ascii="Arial" w:cs="Arial" w:eastAsia="Arial" w:hAnsi="Arial"/>
          <w:sz w:val="20"/>
          <w:szCs w:val="20"/>
          <w:color w:val="auto"/>
        </w:rPr>
      </w:pPr>
    </w:p>
    <w:p>
      <w:pPr>
        <w:ind w:left="1720" w:hanging="854"/>
        <w:spacing w:after="0"/>
        <w:tabs>
          <w:tab w:leader="none" w:pos="1720" w:val="left"/>
        </w:tabs>
        <w:numPr>
          <w:ilvl w:val="1"/>
          <w:numId w:val="98"/>
        </w:numPr>
        <w:rPr>
          <w:rFonts w:ascii="Arial" w:cs="Arial" w:eastAsia="Arial" w:hAnsi="Arial"/>
          <w:sz w:val="20"/>
          <w:szCs w:val="20"/>
          <w:color w:val="auto"/>
        </w:rPr>
      </w:pPr>
      <w:r>
        <w:rPr>
          <w:rFonts w:ascii="Arial" w:cs="Arial" w:eastAsia="Arial" w:hAnsi="Arial"/>
          <w:sz w:val="20"/>
          <w:szCs w:val="20"/>
          <w:color w:val="auto"/>
        </w:rPr>
        <w:t>The Executive’s material violation of the Company’s Code of Conduct.</w:t>
      </w:r>
    </w:p>
    <w:p>
      <w:pPr>
        <w:spacing w:after="0" w:line="201" w:lineRule="exact"/>
        <w:rPr>
          <w:rFonts w:ascii="Arial" w:cs="Arial" w:eastAsia="Arial" w:hAnsi="Arial"/>
          <w:sz w:val="20"/>
          <w:szCs w:val="20"/>
          <w:color w:val="auto"/>
        </w:rPr>
      </w:pPr>
    </w:p>
    <w:p>
      <w:pPr>
        <w:ind w:left="860" w:right="160" w:hanging="856"/>
        <w:spacing w:after="0" w:line="268" w:lineRule="auto"/>
        <w:tabs>
          <w:tab w:leader="none" w:pos="860" w:val="left"/>
        </w:tabs>
        <w:numPr>
          <w:ilvl w:val="0"/>
          <w:numId w:val="98"/>
        </w:numPr>
        <w:rPr>
          <w:rFonts w:ascii="Arial" w:cs="Arial" w:eastAsia="Arial" w:hAnsi="Arial"/>
          <w:sz w:val="20"/>
          <w:szCs w:val="20"/>
          <w:color w:val="auto"/>
        </w:rPr>
      </w:pPr>
      <w:r>
        <w:rPr>
          <w:rFonts w:ascii="Arial" w:cs="Arial" w:eastAsia="Arial" w:hAnsi="Arial"/>
          <w:sz w:val="20"/>
          <w:szCs w:val="20"/>
          <w:color w:val="auto"/>
        </w:rPr>
        <w:t>“Change in Control” shall mean and include each of the following, and shall be deemed to have occurred as of the first day that any one or more of the following conditions shall have been satisfied:</w:t>
      </w:r>
    </w:p>
    <w:p>
      <w:pPr>
        <w:spacing w:after="0" w:line="145" w:lineRule="exact"/>
        <w:rPr>
          <w:rFonts w:ascii="Arial" w:cs="Arial" w:eastAsia="Arial" w:hAnsi="Arial"/>
          <w:sz w:val="20"/>
          <w:szCs w:val="20"/>
          <w:color w:val="auto"/>
        </w:rPr>
      </w:pPr>
    </w:p>
    <w:p>
      <w:pPr>
        <w:ind w:left="1720" w:right="40" w:hanging="854"/>
        <w:spacing w:after="0" w:line="254" w:lineRule="auto"/>
        <w:tabs>
          <w:tab w:leader="none" w:pos="1720" w:val="left"/>
        </w:tabs>
        <w:numPr>
          <w:ilvl w:val="1"/>
          <w:numId w:val="98"/>
        </w:numPr>
        <w:rPr>
          <w:rFonts w:ascii="Arial" w:cs="Arial" w:eastAsia="Arial" w:hAnsi="Arial"/>
          <w:sz w:val="19"/>
          <w:szCs w:val="19"/>
          <w:color w:val="auto"/>
        </w:rPr>
      </w:pPr>
      <w:r>
        <w:rPr>
          <w:rFonts w:ascii="Arial" w:cs="Arial" w:eastAsia="Arial" w:hAnsi="Arial"/>
          <w:sz w:val="19"/>
          <w:szCs w:val="19"/>
          <w:color w:val="auto"/>
        </w:rPr>
        <w:t xml:space="preserve">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directly or indirectly acquires beneficial ownership (within the meaning of Rules 13d-3 and 13d-5 under the Exchange Act) of securities of the Company possessing more than 50 % of the total combined voting power of the Company’s securities outstanding immediately after such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following acquisitions shall not constitute a Change in Control: (i) any acquisition by the Company or any of its Subsidiaries; (ii) any acquisition by an employee benefit plan maintained by the Company or any of its Subsidiaries, (iii) any acquisition which complies with Sections 1(f)(iii)(1), (2) or (3) of this Article; or (iv) in respect of an Award held by a particular Holder, any acquisition by the Holder or any group of persons including the Holder (or any entity controlled by the Holder or any group of persons including the Holder); or</w:t>
      </w:r>
    </w:p>
    <w:p>
      <w:pPr>
        <w:spacing w:after="0" w:line="166" w:lineRule="exact"/>
        <w:rPr>
          <w:rFonts w:ascii="Arial" w:cs="Arial" w:eastAsia="Arial" w:hAnsi="Arial"/>
          <w:sz w:val="19"/>
          <w:szCs w:val="19"/>
          <w:color w:val="auto"/>
        </w:rPr>
      </w:pPr>
    </w:p>
    <w:p>
      <w:pPr>
        <w:ind w:left="1720" w:hanging="854"/>
        <w:spacing w:after="0"/>
        <w:tabs>
          <w:tab w:leader="none" w:pos="1720" w:val="left"/>
        </w:tabs>
        <w:numPr>
          <w:ilvl w:val="1"/>
          <w:numId w:val="98"/>
        </w:numPr>
        <w:rPr>
          <w:rFonts w:ascii="Arial" w:cs="Arial" w:eastAsia="Arial" w:hAnsi="Arial"/>
          <w:sz w:val="20"/>
          <w:szCs w:val="20"/>
          <w:color w:val="auto"/>
        </w:rPr>
      </w:pPr>
      <w:r>
        <w:rPr>
          <w:rFonts w:ascii="Arial" w:cs="Arial" w:eastAsia="Arial" w:hAnsi="Arial"/>
          <w:sz w:val="20"/>
          <w:szCs w:val="20"/>
          <w:color w:val="auto"/>
        </w:rPr>
        <w:t>The Incumbent Directors cease for any reason to constitute a majority of the Board;</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40005</wp:posOffset>
            </wp:positionV>
            <wp:extent cx="7182485" cy="412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0">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0300"/>
          </w:cols>
          <w:pgMar w:left="1180" w:top="752" w:right="419" w:bottom="1440" w:gutter="0" w:footer="0" w:header="0"/>
        </w:sectPr>
      </w:pPr>
    </w:p>
    <w:bookmarkStart w:id="194" w:name="page195"/>
    <w:bookmarkEnd w:id="194"/>
    <w:p>
      <w:pPr>
        <w:jc w:val="both"/>
        <w:ind w:left="1720" w:hanging="854"/>
        <w:spacing w:after="0" w:line="245" w:lineRule="auto"/>
        <w:tabs>
          <w:tab w:leader="none" w:pos="1720"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spacing w:after="0" w:line="169" w:lineRule="exact"/>
        <w:rPr>
          <w:rFonts w:ascii="Arial" w:cs="Arial" w:eastAsia="Arial" w:hAnsi="Arial"/>
          <w:sz w:val="20"/>
          <w:szCs w:val="20"/>
          <w:color w:val="auto"/>
        </w:rPr>
      </w:pPr>
    </w:p>
    <w:p>
      <w:pPr>
        <w:jc w:val="both"/>
        <w:ind w:left="2480" w:hanging="752"/>
        <w:spacing w:after="0" w:line="274" w:lineRule="auto"/>
        <w:tabs>
          <w:tab w:leader="none" w:pos="24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“Successor Entity”)) directly or indirectly, at least a majority of the combined voting power of the Successor Entity’s outstanding voting securities immediately after the transaction, and</w:t>
      </w:r>
    </w:p>
    <w:p>
      <w:pPr>
        <w:spacing w:after="0" w:line="146" w:lineRule="exact"/>
        <w:rPr>
          <w:rFonts w:ascii="Arial" w:cs="Arial" w:eastAsia="Arial" w:hAnsi="Arial"/>
          <w:sz w:val="18"/>
          <w:szCs w:val="18"/>
          <w:color w:val="auto"/>
        </w:rPr>
      </w:pPr>
    </w:p>
    <w:p>
      <w:pPr>
        <w:jc w:val="both"/>
        <w:ind w:left="2480" w:hanging="752"/>
        <w:spacing w:after="0" w:line="261" w:lineRule="auto"/>
        <w:tabs>
          <w:tab w:leader="none" w:pos="2480" w:val="left"/>
        </w:tabs>
        <w:numPr>
          <w:ilvl w:val="1"/>
          <w:numId w:val="99"/>
        </w:numPr>
        <w:rPr>
          <w:rFonts w:ascii="Arial" w:cs="Arial" w:eastAsia="Arial" w:hAnsi="Arial"/>
          <w:sz w:val="19"/>
          <w:szCs w:val="19"/>
          <w:color w:val="auto"/>
        </w:rPr>
      </w:pPr>
      <w:r>
        <w:rPr>
          <w:rFonts w:ascii="Arial" w:cs="Arial" w:eastAsia="Arial" w:hAnsi="Arial"/>
          <w:sz w:val="19"/>
          <w:szCs w:val="19"/>
          <w:color w:val="auto"/>
        </w:rPr>
        <w:t>after which no person or group beneficially owns voting securities representing 50% or more of the combined voting power of the Successor Entity; provided, however, that no person or group shall be treated for purposes of this Section 1(f)(iii)(2) as beneficially owning 50% or more of the combined voting power of the Successor Entity solely as a result of the voting power held in the Company prior to the consummation of the transaction; and</w:t>
      </w:r>
    </w:p>
    <w:p>
      <w:pPr>
        <w:spacing w:after="0" w:line="155" w:lineRule="exact"/>
        <w:rPr>
          <w:rFonts w:ascii="Arial" w:cs="Arial" w:eastAsia="Arial" w:hAnsi="Arial"/>
          <w:sz w:val="19"/>
          <w:szCs w:val="19"/>
          <w:color w:val="auto"/>
        </w:rPr>
      </w:pPr>
    </w:p>
    <w:p>
      <w:pPr>
        <w:jc w:val="both"/>
        <w:ind w:left="2480" w:hanging="752"/>
        <w:spacing w:after="0" w:line="253" w:lineRule="auto"/>
        <w:tabs>
          <w:tab w:leader="none" w:pos="2480" w:val="left"/>
        </w:tabs>
        <w:numPr>
          <w:ilvl w:val="1"/>
          <w:numId w:val="99"/>
        </w:numPr>
        <w:rPr>
          <w:rFonts w:ascii="Arial" w:cs="Arial" w:eastAsia="Arial" w:hAnsi="Arial"/>
          <w:sz w:val="20"/>
          <w:szCs w:val="20"/>
          <w:color w:val="auto"/>
        </w:rPr>
      </w:pPr>
      <w:r>
        <w:rPr>
          <w:rFonts w:ascii="Arial" w:cs="Arial" w:eastAsia="Arial" w:hAnsi="Arial"/>
          <w:sz w:val="20"/>
          <w:szCs w:val="20"/>
          <w:color w:val="auto"/>
        </w:rPr>
        <w:t>after which at least a majority of the members of the board of directors (or the analogous governing body) of the Successor Entity were Board members at the time of the Board's approval of the execution of the initial agreement providing for such transaction; or</w:t>
      </w:r>
    </w:p>
    <w:p>
      <w:pPr>
        <w:spacing w:after="0" w:line="160" w:lineRule="exact"/>
        <w:rPr>
          <w:rFonts w:ascii="Arial" w:cs="Arial" w:eastAsia="Arial" w:hAnsi="Arial"/>
          <w:sz w:val="20"/>
          <w:szCs w:val="20"/>
          <w:color w:val="auto"/>
        </w:rPr>
      </w:pPr>
    </w:p>
    <w:p>
      <w:pPr>
        <w:ind w:left="1720" w:hanging="854"/>
        <w:spacing w:after="0"/>
        <w:tabs>
          <w:tab w:leader="none" w:pos="17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date which is 10 business days prior to the completion of a liquidation or dissolution of the Company.</w:t>
      </w:r>
    </w:p>
    <w:p>
      <w:pPr>
        <w:spacing w:after="0" w:line="224" w:lineRule="exact"/>
        <w:rPr>
          <w:sz w:val="20"/>
          <w:szCs w:val="20"/>
          <w:color w:val="auto"/>
        </w:rPr>
      </w:pPr>
    </w:p>
    <w:p>
      <w:pPr>
        <w:ind w:left="880"/>
        <w:spacing w:after="0" w:line="244" w:lineRule="auto"/>
        <w:rPr>
          <w:sz w:val="20"/>
          <w:szCs w:val="20"/>
          <w:color w:val="auto"/>
        </w:rPr>
      </w:pPr>
      <w:r>
        <w:rPr>
          <w:rFonts w:ascii="Arial" w:cs="Arial" w:eastAsia="Arial" w:hAnsi="Arial"/>
          <w:sz w:val="20"/>
          <w:szCs w:val="20"/>
          <w:color w:val="auto"/>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(i), (ii), (iii) or (iv)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69" w:lineRule="exact"/>
        <w:rPr>
          <w:sz w:val="20"/>
          <w:szCs w:val="20"/>
          <w:color w:val="auto"/>
        </w:rPr>
      </w:pPr>
    </w:p>
    <w:p>
      <w:pPr>
        <w:ind w:left="880" w:right="360"/>
        <w:spacing w:after="0" w:line="268" w:lineRule="auto"/>
        <w:rPr>
          <w:sz w:val="20"/>
          <w:szCs w:val="20"/>
          <w:color w:val="auto"/>
        </w:rPr>
      </w:pPr>
      <w:r>
        <w:rPr>
          <w:rFonts w:ascii="Arial" w:cs="Arial" w:eastAsia="Arial" w:hAnsi="Arial"/>
          <w:sz w:val="20"/>
          <w:szCs w:val="20"/>
          <w:color w:val="auto"/>
        </w:rPr>
        <w:t>For sake of clarity, a Change in Control will not occur by reason of the Parsons Employee Stock Ownership Plan (the “ESOP”) owning less than fifty percent of</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40005</wp:posOffset>
            </wp:positionV>
            <wp:extent cx="7182485" cy="412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1">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0380"/>
          </w:cols>
          <w:pgMar w:left="1180" w:top="752" w:right="339" w:bottom="1440" w:gutter="0" w:footer="0" w:header="0"/>
        </w:sectPr>
      </w:pPr>
    </w:p>
    <w:bookmarkStart w:id="195" w:name="page196"/>
    <w:bookmarkEnd w:id="195"/>
    <w:p>
      <w:pPr>
        <w:ind w:left="880" w:right="300"/>
        <w:spacing w:after="0" w:line="253" w:lineRule="auto"/>
        <w:rPr>
          <w:sz w:val="20"/>
          <w:szCs w:val="20"/>
          <w:color w:val="auto"/>
        </w:rPr>
      </w:pPr>
      <w:r>
        <w:rPr>
          <w:rFonts w:ascii="Arial" w:cs="Arial" w:eastAsia="Arial" w:hAnsi="Arial"/>
          <w:sz w:val="20"/>
          <w:szCs w:val="20"/>
          <w:color w:val="auto"/>
        </w:rPr>
        <w:t>(50%) of the voting power of the Company’s (or any successor thereto) equity securities due to (A) the ESOP making distributions to participants and their beneficiaries, or (B) the ESOP selling equity securities to the public through underwritten registered public offerings.</w:t>
      </w:r>
    </w:p>
    <w:p>
      <w:pPr>
        <w:spacing w:after="0" w:line="160" w:lineRule="exact"/>
        <w:rPr>
          <w:sz w:val="20"/>
          <w:szCs w:val="20"/>
          <w:color w:val="auto"/>
        </w:rPr>
      </w:pPr>
    </w:p>
    <w:p>
      <w:pPr>
        <w:ind w:left="880" w:right="180"/>
        <w:spacing w:after="0" w:line="261" w:lineRule="auto"/>
        <w:rPr>
          <w:sz w:val="20"/>
          <w:szCs w:val="20"/>
          <w:color w:val="auto"/>
        </w:rPr>
      </w:pPr>
      <w:r>
        <w:rPr>
          <w:rFonts w:ascii="Arial" w:cs="Arial" w:eastAsia="Arial" w:hAnsi="Arial"/>
          <w:sz w:val="19"/>
          <w:szCs w:val="19"/>
          <w:color w:val="auto"/>
        </w:rPr>
        <w:t>The Board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56" w:lineRule="exact"/>
        <w:rPr>
          <w:sz w:val="20"/>
          <w:szCs w:val="20"/>
          <w:color w:val="auto"/>
        </w:rPr>
      </w:pPr>
    </w:p>
    <w:p>
      <w:pPr>
        <w:ind w:left="860" w:hanging="856"/>
        <w:spacing w:after="0"/>
        <w:tabs>
          <w:tab w:leader="none" w:pos="86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“Code” means the United States Internal Revenue Code of 1986, as amended.</w:t>
      </w:r>
    </w:p>
    <w:p>
      <w:pPr>
        <w:spacing w:after="0" w:line="201" w:lineRule="exact"/>
        <w:rPr>
          <w:rFonts w:ascii="Arial" w:cs="Arial" w:eastAsia="Arial" w:hAnsi="Arial"/>
          <w:sz w:val="20"/>
          <w:szCs w:val="20"/>
          <w:color w:val="auto"/>
        </w:rPr>
      </w:pPr>
    </w:p>
    <w:p>
      <w:pPr>
        <w:ind w:left="860" w:hanging="856"/>
        <w:spacing w:after="0"/>
        <w:tabs>
          <w:tab w:leader="none" w:pos="86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“Company” means Parsons Corporation, a Delaware corporation, any successor thereto or acquirer thereof.</w:t>
      </w:r>
    </w:p>
    <w:p>
      <w:pPr>
        <w:spacing w:after="0" w:line="212" w:lineRule="exact"/>
        <w:rPr>
          <w:rFonts w:ascii="Arial" w:cs="Arial" w:eastAsia="Arial" w:hAnsi="Arial"/>
          <w:sz w:val="19"/>
          <w:szCs w:val="19"/>
          <w:color w:val="auto"/>
        </w:rPr>
      </w:pPr>
    </w:p>
    <w:p>
      <w:pPr>
        <w:ind w:left="860" w:right="120" w:hanging="856"/>
        <w:spacing w:after="0" w:line="245" w:lineRule="auto"/>
        <w:tabs>
          <w:tab w:leader="none" w:pos="86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“Disability” means, for all purposes of this Agreement, the incapacity of the Executive, due to injury, illness, disease, or bodily or mental infirmity, to engage in the performance of substantially all of the usual duties of his or her employment by the Company, such Disability to be determined by the Board upon receipt and in reliance on competent medical advice from one (l) or more individuals, selected or approved by the Board, who are qualified to give such professional medical advice.</w:t>
      </w:r>
    </w:p>
    <w:p>
      <w:pPr>
        <w:spacing w:after="0" w:line="169" w:lineRule="exact"/>
        <w:rPr>
          <w:rFonts w:ascii="Arial" w:cs="Arial" w:eastAsia="Arial" w:hAnsi="Arial"/>
          <w:sz w:val="20"/>
          <w:szCs w:val="20"/>
          <w:color w:val="auto"/>
        </w:rPr>
      </w:pPr>
    </w:p>
    <w:p>
      <w:pPr>
        <w:ind w:left="860" w:hanging="856"/>
        <w:spacing w:after="0"/>
        <w:tabs>
          <w:tab w:leader="none" w:pos="86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“Exchange Act” means the United States Securities Exchange Act of 1934, as amended.</w:t>
      </w:r>
    </w:p>
    <w:p>
      <w:pPr>
        <w:spacing w:after="0" w:line="201" w:lineRule="exact"/>
        <w:rPr>
          <w:rFonts w:ascii="Arial" w:cs="Arial" w:eastAsia="Arial" w:hAnsi="Arial"/>
          <w:sz w:val="20"/>
          <w:szCs w:val="20"/>
          <w:color w:val="auto"/>
        </w:rPr>
      </w:pPr>
    </w:p>
    <w:p>
      <w:pPr>
        <w:ind w:left="860" w:right="300" w:hanging="856"/>
        <w:spacing w:after="0" w:line="248" w:lineRule="auto"/>
        <w:tabs>
          <w:tab w:leader="none" w:pos="86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“Good Reason” means, without the Executive’s express written consent, the occurrence of any one or more of the following, unless the action or failure giving rise to such occurrence is withdrawn, reversed or cured by the Company within thirty (30) days of the date of the occurrence, and is not thereafter reinstated by the Company during the term of this Agreement:</w:t>
      </w:r>
    </w:p>
    <w:p>
      <w:pPr>
        <w:spacing w:after="0" w:line="165" w:lineRule="exact"/>
        <w:rPr>
          <w:rFonts w:ascii="Arial" w:cs="Arial" w:eastAsia="Arial" w:hAnsi="Arial"/>
          <w:sz w:val="20"/>
          <w:szCs w:val="20"/>
          <w:color w:val="auto"/>
        </w:rPr>
      </w:pPr>
    </w:p>
    <w:p>
      <w:pPr>
        <w:ind w:left="1720" w:right="260" w:hanging="854"/>
        <w:spacing w:after="0" w:line="272" w:lineRule="auto"/>
        <w:tabs>
          <w:tab w:leader="none" w:pos="1720" w:val="left"/>
        </w:tabs>
        <w:numPr>
          <w:ilvl w:val="1"/>
          <w:numId w:val="100"/>
        </w:numPr>
        <w:rPr>
          <w:rFonts w:ascii="Arial" w:cs="Arial" w:eastAsia="Arial" w:hAnsi="Arial"/>
          <w:sz w:val="19"/>
          <w:szCs w:val="19"/>
          <w:color w:val="auto"/>
        </w:rPr>
      </w:pPr>
      <w:r>
        <w:rPr>
          <w:rFonts w:ascii="Arial" w:cs="Arial" w:eastAsia="Arial" w:hAnsi="Arial"/>
          <w:sz w:val="19"/>
          <w:szCs w:val="19"/>
          <w:color w:val="auto"/>
        </w:rPr>
        <w:t>A material reduction in the nature or status of the Executive’s authorities, duties, and/or responsibilities (when such authorities, duties, and/or responsibilities are viewed in the aggregate) from their level in effect on the day immediately prior to the start of the Protected Period.</w:t>
      </w:r>
    </w:p>
    <w:p>
      <w:pPr>
        <w:spacing w:after="0" w:line="144" w:lineRule="exact"/>
        <w:rPr>
          <w:rFonts w:ascii="Arial" w:cs="Arial" w:eastAsia="Arial" w:hAnsi="Arial"/>
          <w:sz w:val="19"/>
          <w:szCs w:val="19"/>
          <w:color w:val="auto"/>
        </w:rPr>
      </w:pPr>
    </w:p>
    <w:p>
      <w:pPr>
        <w:ind w:left="1720" w:right="220" w:hanging="854"/>
        <w:spacing w:after="0" w:line="268" w:lineRule="auto"/>
        <w:tabs>
          <w:tab w:leader="none" w:pos="1720" w:val="left"/>
        </w:tabs>
        <w:numPr>
          <w:ilvl w:val="1"/>
          <w:numId w:val="100"/>
        </w:numPr>
        <w:rPr>
          <w:rFonts w:ascii="Arial" w:cs="Arial" w:eastAsia="Arial" w:hAnsi="Arial"/>
          <w:sz w:val="20"/>
          <w:szCs w:val="20"/>
          <w:color w:val="auto"/>
        </w:rPr>
      </w:pPr>
      <w:r>
        <w:rPr>
          <w:rFonts w:ascii="Arial" w:cs="Arial" w:eastAsia="Arial" w:hAnsi="Arial"/>
          <w:sz w:val="20"/>
          <w:szCs w:val="20"/>
          <w:color w:val="auto"/>
        </w:rPr>
        <w:t>A reduction by the Company of the Executive’s Base Salary as in effect on the day immediately prior to the start of the Protected Period.</w:t>
      </w:r>
    </w:p>
    <w:p>
      <w:pPr>
        <w:spacing w:after="0" w:line="145" w:lineRule="exact"/>
        <w:rPr>
          <w:rFonts w:ascii="Arial" w:cs="Arial" w:eastAsia="Arial" w:hAnsi="Arial"/>
          <w:sz w:val="20"/>
          <w:szCs w:val="20"/>
          <w:color w:val="auto"/>
        </w:rPr>
      </w:pPr>
    </w:p>
    <w:p>
      <w:pPr>
        <w:ind w:left="1720" w:hanging="854"/>
        <w:spacing w:after="0" w:line="248" w:lineRule="auto"/>
        <w:tabs>
          <w:tab w:leader="none" w:pos="1720" w:val="left"/>
        </w:tabs>
        <w:numPr>
          <w:ilvl w:val="1"/>
          <w:numId w:val="100"/>
        </w:numPr>
        <w:rPr>
          <w:rFonts w:ascii="Arial" w:cs="Arial" w:eastAsia="Arial" w:hAnsi="Arial"/>
          <w:sz w:val="20"/>
          <w:szCs w:val="20"/>
          <w:color w:val="auto"/>
        </w:rPr>
      </w:pPr>
      <w:r>
        <w:rPr>
          <w:rFonts w:ascii="Arial" w:cs="Arial" w:eastAsia="Arial" w:hAnsi="Arial"/>
          <w:sz w:val="20"/>
          <w:szCs w:val="20"/>
          <w:color w:val="auto"/>
        </w:rPr>
        <w:t>A material reduction by the Company of the Executive’s aggregate welfare benefits and/or the value of the incentive programs provided under the Company’s management incentive and/or other short and/or long-term incentive programs, as such benefits and opportunities exist on the day immediately prior to the start of the Protected Period.</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40005</wp:posOffset>
            </wp:positionV>
            <wp:extent cx="7182485" cy="412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0380"/>
          </w:cols>
          <w:pgMar w:left="1180" w:top="752" w:right="339" w:bottom="1440" w:gutter="0" w:footer="0" w:header="0"/>
        </w:sectPr>
      </w:pPr>
    </w:p>
    <w:bookmarkStart w:id="196" w:name="page197"/>
    <w:bookmarkEnd w:id="196"/>
    <w:p>
      <w:pPr>
        <w:ind w:left="1720" w:right="380" w:hanging="854"/>
        <w:spacing w:after="0" w:line="294" w:lineRule="auto"/>
        <w:tabs>
          <w:tab w:leader="none" w:pos="172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The relocation of the Executive’s principal office by the Company more than fifty (50) miles from the location of the Executive’s principal office immediately prior to the start of the Protected Period.</w:t>
      </w:r>
    </w:p>
    <w:p>
      <w:pPr>
        <w:spacing w:after="0" w:line="123" w:lineRule="exact"/>
        <w:rPr>
          <w:rFonts w:ascii="Arial" w:cs="Arial" w:eastAsia="Arial" w:hAnsi="Arial"/>
          <w:sz w:val="19"/>
          <w:szCs w:val="19"/>
          <w:color w:val="auto"/>
        </w:rPr>
      </w:pPr>
    </w:p>
    <w:p>
      <w:pPr>
        <w:ind w:left="1720" w:hanging="854"/>
        <w:spacing w:after="0" w:line="268" w:lineRule="auto"/>
        <w:tabs>
          <w:tab w:leader="none" w:pos="172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Any purported termination by the Company of the Executive’s employment that is not affected pursuant to a Notice of Termination satisfying the requirements of Section 3.4.</w:t>
      </w:r>
    </w:p>
    <w:p>
      <w:pPr>
        <w:spacing w:after="0" w:line="145" w:lineRule="exact"/>
        <w:rPr>
          <w:rFonts w:ascii="Arial" w:cs="Arial" w:eastAsia="Arial" w:hAnsi="Arial"/>
          <w:sz w:val="20"/>
          <w:szCs w:val="20"/>
          <w:color w:val="auto"/>
        </w:rPr>
      </w:pPr>
    </w:p>
    <w:p>
      <w:pPr>
        <w:ind w:left="1720" w:right="340" w:hanging="854"/>
        <w:spacing w:after="0" w:line="324" w:lineRule="auto"/>
        <w:tabs>
          <w:tab w:leader="none" w:pos="17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failure of the Company to obtain an agreement from any successor to the Company to assume and agree to perform the Company’s obligations under this Agreement, as contemplated by Article 8.</w:t>
      </w:r>
    </w:p>
    <w:p>
      <w:pPr>
        <w:spacing w:after="0" w:line="100" w:lineRule="exact"/>
        <w:rPr>
          <w:rFonts w:ascii="Arial" w:cs="Arial" w:eastAsia="Arial" w:hAnsi="Arial"/>
          <w:sz w:val="18"/>
          <w:szCs w:val="18"/>
          <w:color w:val="auto"/>
        </w:rPr>
      </w:pPr>
    </w:p>
    <w:p>
      <w:pPr>
        <w:ind w:left="860" w:right="180" w:hanging="856"/>
        <w:spacing w:after="0" w:line="294" w:lineRule="auto"/>
        <w:tabs>
          <w:tab w:leader="none" w:pos="86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“Person” shall have the meaning ascribed to such term in Section 3(a)(9) of the Exchange Act and used in Sections 13(d) and 14(d) thereof, including a group as contemplated by Sections 13(d)(3) and l4(d)(2) thereof</w:t>
      </w:r>
    </w:p>
    <w:p>
      <w:pPr>
        <w:spacing w:after="0" w:line="123" w:lineRule="exact"/>
        <w:rPr>
          <w:rFonts w:ascii="Arial" w:cs="Arial" w:eastAsia="Arial" w:hAnsi="Arial"/>
          <w:sz w:val="19"/>
          <w:szCs w:val="19"/>
          <w:color w:val="auto"/>
        </w:rPr>
      </w:pPr>
    </w:p>
    <w:p>
      <w:pPr>
        <w:ind w:left="860" w:right="600" w:hanging="856"/>
        <w:spacing w:after="0" w:line="268" w:lineRule="auto"/>
        <w:tabs>
          <w:tab w:leader="none" w:pos="86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“Potential Change in Control” shall be deemed to have occurred as of the first day that any one or more of the following conditions shall have been satisfied:</w:t>
      </w:r>
    </w:p>
    <w:p>
      <w:pPr>
        <w:spacing w:after="0" w:line="145" w:lineRule="exact"/>
        <w:rPr>
          <w:rFonts w:ascii="Arial" w:cs="Arial" w:eastAsia="Arial" w:hAnsi="Arial"/>
          <w:sz w:val="20"/>
          <w:szCs w:val="20"/>
          <w:color w:val="auto"/>
        </w:rPr>
      </w:pPr>
    </w:p>
    <w:p>
      <w:pPr>
        <w:ind w:left="1720" w:right="280" w:hanging="854"/>
        <w:spacing w:after="0" w:line="324" w:lineRule="auto"/>
        <w:tabs>
          <w:tab w:leader="none" w:pos="17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Person announces an intention to take an action that, if consummated, would result in a Change of Control and the Board expresses its good faith belief that such announced intention is serious.</w:t>
      </w:r>
    </w:p>
    <w:p>
      <w:pPr>
        <w:spacing w:after="0" w:line="100" w:lineRule="exact"/>
        <w:rPr>
          <w:rFonts w:ascii="Arial" w:cs="Arial" w:eastAsia="Arial" w:hAnsi="Arial"/>
          <w:sz w:val="18"/>
          <w:szCs w:val="18"/>
          <w:color w:val="auto"/>
        </w:rPr>
      </w:pPr>
    </w:p>
    <w:p>
      <w:pPr>
        <w:ind w:left="1720" w:right="40" w:hanging="854"/>
        <w:spacing w:after="0" w:line="268" w:lineRule="auto"/>
        <w:tabs>
          <w:tab w:leader="none" w:pos="1720" w:val="left"/>
        </w:tabs>
        <w:numPr>
          <w:ilvl w:val="1"/>
          <w:numId w:val="102"/>
        </w:numPr>
        <w:rPr>
          <w:rFonts w:ascii="Arial" w:cs="Arial" w:eastAsia="Arial" w:hAnsi="Arial"/>
          <w:sz w:val="20"/>
          <w:szCs w:val="20"/>
          <w:color w:val="auto"/>
        </w:rPr>
      </w:pPr>
      <w:r>
        <w:rPr>
          <w:rFonts w:ascii="Arial" w:cs="Arial" w:eastAsia="Arial" w:hAnsi="Arial"/>
          <w:sz w:val="20"/>
          <w:szCs w:val="20"/>
          <w:color w:val="auto"/>
        </w:rPr>
        <w:t>The Company or the trustees of the Company’s Employee Stock Ownership Plan enters into an agreement that, if consummated, would result in a Change in Control.</w:t>
      </w:r>
    </w:p>
    <w:p>
      <w:pPr>
        <w:spacing w:after="0" w:line="145" w:lineRule="exact"/>
        <w:rPr>
          <w:rFonts w:ascii="Arial" w:cs="Arial" w:eastAsia="Arial" w:hAnsi="Arial"/>
          <w:sz w:val="20"/>
          <w:szCs w:val="20"/>
          <w:color w:val="auto"/>
        </w:rPr>
      </w:pPr>
    </w:p>
    <w:p>
      <w:pPr>
        <w:ind w:left="1720" w:right="120" w:hanging="854"/>
        <w:spacing w:after="0" w:line="248" w:lineRule="auto"/>
        <w:tabs>
          <w:tab w:leader="none" w:pos="1720" w:val="left"/>
        </w:tabs>
        <w:numPr>
          <w:ilvl w:val="1"/>
          <w:numId w:val="102"/>
        </w:numPr>
        <w:rPr>
          <w:rFonts w:ascii="Arial" w:cs="Arial" w:eastAsia="Arial" w:hAnsi="Arial"/>
          <w:sz w:val="20"/>
          <w:szCs w:val="20"/>
          <w:color w:val="auto"/>
        </w:rPr>
      </w:pPr>
      <w:r>
        <w:rPr>
          <w:rFonts w:ascii="Arial" w:cs="Arial" w:eastAsia="Arial" w:hAnsi="Arial"/>
          <w:sz w:val="20"/>
          <w:szCs w:val="20"/>
          <w:color w:val="auto"/>
        </w:rPr>
        <w:t>Any Person (other than the Company or a trustee or other fiduciary holding securities under an employee benefit plan of the Company) becomes the Beneficial Owner, directly or indirectly, of securities of the Company representing ten percent (10%) or more of the combined voting power of the Company’s then outstanding securities.</w:t>
      </w:r>
    </w:p>
    <w:p>
      <w:pPr>
        <w:spacing w:after="0" w:line="165" w:lineRule="exact"/>
        <w:rPr>
          <w:rFonts w:ascii="Arial" w:cs="Arial" w:eastAsia="Arial" w:hAnsi="Arial"/>
          <w:sz w:val="20"/>
          <w:szCs w:val="20"/>
          <w:color w:val="auto"/>
        </w:rPr>
      </w:pPr>
    </w:p>
    <w:p>
      <w:pPr>
        <w:ind w:left="1720" w:hanging="854"/>
        <w:spacing w:after="0"/>
        <w:tabs>
          <w:tab w:leader="none" w:pos="1720" w:val="left"/>
        </w:tabs>
        <w:numPr>
          <w:ilvl w:val="1"/>
          <w:numId w:val="102"/>
        </w:numPr>
        <w:rPr>
          <w:rFonts w:ascii="Arial" w:cs="Arial" w:eastAsia="Arial" w:hAnsi="Arial"/>
          <w:sz w:val="19"/>
          <w:szCs w:val="19"/>
          <w:color w:val="auto"/>
        </w:rPr>
      </w:pPr>
      <w:r>
        <w:rPr>
          <w:rFonts w:ascii="Arial" w:cs="Arial" w:eastAsia="Arial" w:hAnsi="Arial"/>
          <w:sz w:val="19"/>
          <w:szCs w:val="19"/>
          <w:color w:val="auto"/>
        </w:rPr>
        <w:t>The Board declares that a Potential Change in Control has occurred for purposes of this Agreement.</w:t>
      </w:r>
    </w:p>
    <w:p>
      <w:pPr>
        <w:spacing w:after="0" w:line="212" w:lineRule="exact"/>
        <w:rPr>
          <w:rFonts w:ascii="Arial" w:cs="Arial" w:eastAsia="Arial" w:hAnsi="Arial"/>
          <w:sz w:val="19"/>
          <w:szCs w:val="19"/>
          <w:color w:val="auto"/>
        </w:rPr>
      </w:pPr>
    </w:p>
    <w:p>
      <w:pPr>
        <w:ind w:left="860" w:right="620" w:hanging="856"/>
        <w:spacing w:after="0" w:line="268" w:lineRule="auto"/>
        <w:tabs>
          <w:tab w:leader="none" w:pos="86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“Protected Period” means the period related to a Change in Control commencing on the date of the Change in Control and ending on the date that is eighteen (18) months after the Change in Control.</w:t>
      </w:r>
    </w:p>
    <w:p>
      <w:pPr>
        <w:spacing w:after="0" w:line="145" w:lineRule="exact"/>
        <w:rPr>
          <w:rFonts w:ascii="Arial" w:cs="Arial" w:eastAsia="Arial" w:hAnsi="Arial"/>
          <w:sz w:val="20"/>
          <w:szCs w:val="20"/>
          <w:color w:val="auto"/>
        </w:rPr>
      </w:pPr>
    </w:p>
    <w:p>
      <w:pPr>
        <w:ind w:left="860" w:right="280" w:hanging="856"/>
        <w:spacing w:after="0" w:line="253" w:lineRule="auto"/>
        <w:tabs>
          <w:tab w:leader="none" w:pos="86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“Qualifying Termination Event” means the occurrence, upon a Potential Change of Control, of any of one of the events described in sub-sections (i) and (ii) below, and, the occurrence of any one or more of the following events upon a Change in Control, or within the Protected Period following a Change in Control:</w:t>
      </w:r>
    </w:p>
    <w:p>
      <w:pPr>
        <w:spacing w:after="0" w:line="160" w:lineRule="exact"/>
        <w:rPr>
          <w:rFonts w:ascii="Arial" w:cs="Arial" w:eastAsia="Arial" w:hAnsi="Arial"/>
          <w:sz w:val="20"/>
          <w:szCs w:val="20"/>
          <w:color w:val="auto"/>
        </w:rPr>
      </w:pPr>
    </w:p>
    <w:p>
      <w:pPr>
        <w:ind w:left="1720" w:right="300" w:hanging="854"/>
        <w:spacing w:after="0" w:line="268" w:lineRule="auto"/>
        <w:tabs>
          <w:tab w:leader="none" w:pos="1720" w:val="left"/>
        </w:tabs>
        <w:numPr>
          <w:ilvl w:val="1"/>
          <w:numId w:val="102"/>
        </w:numPr>
        <w:rPr>
          <w:rFonts w:ascii="Arial" w:cs="Arial" w:eastAsia="Arial" w:hAnsi="Arial"/>
          <w:sz w:val="20"/>
          <w:szCs w:val="20"/>
          <w:color w:val="auto"/>
        </w:rPr>
      </w:pPr>
      <w:r>
        <w:rPr>
          <w:rFonts w:ascii="Arial" w:cs="Arial" w:eastAsia="Arial" w:hAnsi="Arial"/>
          <w:sz w:val="20"/>
          <w:szCs w:val="20"/>
          <w:color w:val="auto"/>
        </w:rPr>
        <w:t>A termination of the Executive’s employment at the initiation of the Company, without the Executive’s consent, for reasons other than Cause;</w:t>
      </w: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40005</wp:posOffset>
            </wp:positionV>
            <wp:extent cx="7182485" cy="412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0380"/>
          </w:cols>
          <w:pgMar w:left="1180" w:top="752" w:right="339" w:bottom="1440" w:gutter="0" w:footer="0" w:header="0"/>
        </w:sectPr>
      </w:pPr>
    </w:p>
    <w:bookmarkStart w:id="197" w:name="page198"/>
    <w:bookmarkEnd w:id="197"/>
    <w:p>
      <w:pPr>
        <w:ind w:left="2580" w:hanging="854"/>
        <w:spacing w:after="0"/>
        <w:tabs>
          <w:tab w:leader="none" w:pos="258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 voluntary termination of employment by the Executive for Good Reason;</w:t>
      </w:r>
    </w:p>
    <w:p>
      <w:pPr>
        <w:spacing w:after="0" w:line="201" w:lineRule="exact"/>
        <w:rPr>
          <w:rFonts w:ascii="Arial" w:cs="Arial" w:eastAsia="Arial" w:hAnsi="Arial"/>
          <w:sz w:val="20"/>
          <w:szCs w:val="20"/>
          <w:color w:val="auto"/>
        </w:rPr>
      </w:pPr>
    </w:p>
    <w:p>
      <w:pPr>
        <w:ind w:left="2580" w:right="200" w:hanging="854"/>
        <w:spacing w:after="0" w:line="268" w:lineRule="auto"/>
        <w:tabs>
          <w:tab w:leader="none" w:pos="258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 successor company fails or refuses to assume by written instrument the Company’s obligations under this Agreement, as contemplated by Article 8;</w:t>
      </w:r>
    </w:p>
    <w:p>
      <w:pPr>
        <w:spacing w:after="0" w:line="145" w:lineRule="exact"/>
        <w:rPr>
          <w:rFonts w:ascii="Arial" w:cs="Arial" w:eastAsia="Arial" w:hAnsi="Arial"/>
          <w:sz w:val="20"/>
          <w:szCs w:val="20"/>
          <w:color w:val="auto"/>
        </w:rPr>
      </w:pPr>
    </w:p>
    <w:p>
      <w:pPr>
        <w:ind w:left="2580" w:hanging="854"/>
        <w:spacing w:after="0"/>
        <w:tabs>
          <w:tab w:leader="none" w:pos="25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Company or any successor company repudiates or breaches any of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ARTICLE II</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SERVICES DURING CERTAIN EVENTS</w:t>
      </w:r>
    </w:p>
    <w:p>
      <w:pPr>
        <w:spacing w:after="0" w:line="183" w:lineRule="exact"/>
        <w:rPr>
          <w:sz w:val="20"/>
          <w:szCs w:val="20"/>
          <w:color w:val="auto"/>
        </w:rPr>
      </w:pPr>
    </w:p>
    <w:p>
      <w:pPr>
        <w:ind w:right="20" w:firstLine="865"/>
        <w:spacing w:after="0" w:line="244" w:lineRule="auto"/>
        <w:rPr>
          <w:sz w:val="20"/>
          <w:szCs w:val="20"/>
          <w:color w:val="auto"/>
        </w:rPr>
      </w:pPr>
      <w:r>
        <w:rPr>
          <w:rFonts w:ascii="Arial" w:cs="Arial" w:eastAsia="Arial" w:hAnsi="Arial"/>
          <w:sz w:val="20"/>
          <w:szCs w:val="20"/>
          <w:color w:val="auto"/>
        </w:rPr>
        <w:t>If a Potential Change in Control occurs, the Executive agrees that he or she will not voluntarily leave the employ of the Company and will render services until (a) the Board declares, or otherwise indicates, that the circumstances giving rise to the Potential Change in Control will not result in an actual Change in Control, or (b) if a Change in Control occurs, until six (6) months after the Change in Control; provided, however, that, subject to any right that the Executive may have to benefits hereunder, the Company may terminate the Executive’s employment at any time for any reason, and the Executive may terminate his or her employment at any time for Good Reason.</w:t>
      </w:r>
    </w:p>
    <w:p>
      <w:pPr>
        <w:spacing w:after="0" w:line="200" w:lineRule="exact"/>
        <w:rPr>
          <w:sz w:val="20"/>
          <w:szCs w:val="20"/>
          <w:color w:val="auto"/>
        </w:rPr>
      </w:pPr>
    </w:p>
    <w:p>
      <w:pPr>
        <w:spacing w:after="0" w:line="369" w:lineRule="exact"/>
        <w:rPr>
          <w:sz w:val="20"/>
          <w:szCs w:val="20"/>
          <w:color w:val="auto"/>
        </w:rPr>
      </w:pPr>
    </w:p>
    <w:tbl>
      <w:tblPr>
        <w:tblLayout w:type="fixed"/>
        <w:tblInd w:w="174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7800" w:type="dxa"/>
            <w:vAlign w:val="bottom"/>
          </w:tcPr>
          <w:p>
            <w:pPr>
              <w:jc w:val="center"/>
              <w:ind w:right="2259"/>
              <w:spacing w:after="0"/>
              <w:rPr>
                <w:sz w:val="20"/>
                <w:szCs w:val="20"/>
                <w:color w:val="auto"/>
              </w:rPr>
            </w:pPr>
            <w:r>
              <w:rPr>
                <w:rFonts w:ascii="Arial" w:cs="Arial" w:eastAsia="Arial" w:hAnsi="Arial"/>
                <w:sz w:val="20"/>
                <w:szCs w:val="20"/>
                <w:b w:val="1"/>
                <w:bCs w:val="1"/>
                <w:color w:val="auto"/>
              </w:rPr>
              <w:t>ARTICLE III</w:t>
            </w:r>
          </w:p>
        </w:tc>
      </w:tr>
      <w:tr>
        <w:trPr>
          <w:trHeight w:val="263"/>
        </w:trPr>
        <w:tc>
          <w:tcPr>
            <w:tcW w:w="1160" w:type="dxa"/>
            <w:vAlign w:val="bottom"/>
          </w:tcPr>
          <w:p>
            <w:pPr>
              <w:spacing w:after="0"/>
              <w:rPr>
                <w:sz w:val="22"/>
                <w:szCs w:val="22"/>
                <w:color w:val="auto"/>
              </w:rPr>
            </w:pPr>
          </w:p>
        </w:tc>
        <w:tc>
          <w:tcPr>
            <w:tcW w:w="7800" w:type="dxa"/>
            <w:vAlign w:val="bottom"/>
          </w:tcPr>
          <w:p>
            <w:pPr>
              <w:jc w:val="center"/>
              <w:ind w:right="2239"/>
              <w:spacing w:after="0"/>
              <w:rPr>
                <w:sz w:val="20"/>
                <w:szCs w:val="20"/>
                <w:color w:val="auto"/>
              </w:rPr>
            </w:pPr>
            <w:r>
              <w:rPr>
                <w:rFonts w:ascii="Arial" w:cs="Arial" w:eastAsia="Arial" w:hAnsi="Arial"/>
                <w:sz w:val="20"/>
                <w:szCs w:val="20"/>
                <w:b w:val="1"/>
                <w:bCs w:val="1"/>
                <w:color w:val="auto"/>
              </w:rPr>
              <w:t>SEVERANCE BENEFITS</w:t>
            </w:r>
          </w:p>
        </w:tc>
      </w:tr>
      <w:tr>
        <w:trPr>
          <w:trHeight w:val="419"/>
        </w:trPr>
        <w:tc>
          <w:tcPr>
            <w:tcW w:w="1160" w:type="dxa"/>
            <w:vAlign w:val="bottom"/>
          </w:tcPr>
          <w:p>
            <w:pPr>
              <w:jc w:val="right"/>
              <w:ind w:right="819"/>
              <w:spacing w:after="0"/>
              <w:rPr>
                <w:sz w:val="20"/>
                <w:szCs w:val="20"/>
                <w:color w:val="auto"/>
              </w:rPr>
            </w:pPr>
            <w:r>
              <w:rPr>
                <w:rFonts w:ascii="Arial" w:cs="Arial" w:eastAsia="Arial" w:hAnsi="Arial"/>
                <w:sz w:val="20"/>
                <w:szCs w:val="20"/>
                <w:b w:val="1"/>
                <w:bCs w:val="1"/>
                <w:color w:val="auto"/>
                <w:w w:val="78"/>
              </w:rPr>
              <w:t>3.1</w:t>
            </w:r>
          </w:p>
        </w:tc>
        <w:tc>
          <w:tcPr>
            <w:tcW w:w="7800" w:type="dxa"/>
            <w:vAlign w:val="bottom"/>
          </w:tcPr>
          <w:p>
            <w:pPr>
              <w:ind w:left="900"/>
              <w:spacing w:after="0"/>
              <w:rPr>
                <w:sz w:val="20"/>
                <w:szCs w:val="20"/>
                <w:color w:val="auto"/>
              </w:rPr>
            </w:pPr>
            <w:r>
              <w:rPr>
                <w:rFonts w:ascii="Arial" w:cs="Arial" w:eastAsia="Arial" w:hAnsi="Arial"/>
                <w:sz w:val="20"/>
                <w:szCs w:val="20"/>
                <w:b w:val="1"/>
                <w:bCs w:val="1"/>
                <w:color w:val="auto"/>
                <w:w w:val="91"/>
              </w:rPr>
              <w:t>Right to Severance Benefits</w:t>
            </w:r>
            <w:r>
              <w:rPr>
                <w:rFonts w:ascii="Arial" w:cs="Arial" w:eastAsia="Arial" w:hAnsi="Arial"/>
                <w:sz w:val="20"/>
                <w:szCs w:val="20"/>
                <w:color w:val="auto"/>
                <w:w w:val="91"/>
              </w:rPr>
              <w:t>. The Executive shall be entitled to receive the benefits</w:t>
            </w:r>
          </w:p>
        </w:tc>
      </w:tr>
    </w:tbl>
    <w:p>
      <w:pPr>
        <w:spacing w:after="0" w:line="239" w:lineRule="auto"/>
        <w:rPr>
          <w:sz w:val="20"/>
          <w:szCs w:val="20"/>
          <w:color w:val="auto"/>
        </w:rPr>
      </w:pPr>
      <w:r>
        <w:rPr>
          <w:rFonts w:ascii="Arial" w:cs="Arial" w:eastAsia="Arial" w:hAnsi="Arial"/>
          <w:sz w:val="20"/>
          <w:szCs w:val="20"/>
          <w:color w:val="auto"/>
        </w:rPr>
        <w:t xml:space="preserve">described in Section 3.2 if the Executive incurs a Qualifying Termination Event, provided that the Executive must (a) furnish the Company with written notice of Executive’s exercise of the right to receive such benefits within thirty (30) days of the occurrence of a Qualifying Termination Event and (b) execute and deliver to the Company the Severance Agreement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within fifty (50) days of the Qualifying Termination Event and not revoke it pursuant to any revocation rights afforded by law. If the Executive does not timely execute and deliver to the Company the Severance Agreement, or if the Executive has executed the Severance Agreement but revokes it, no severance benefits shall be paid. If more than one Qualifying Termination Event occurs, such events shall constitute a single Qualifying Termination Event and Executive shall be entitled to receive the benefits provided under Section 3.2 (a) through (d) only once.</w:t>
      </w:r>
    </w:p>
    <w:p>
      <w:pPr>
        <w:spacing w:after="0" w:line="174" w:lineRule="exact"/>
        <w:rPr>
          <w:sz w:val="20"/>
          <w:szCs w:val="20"/>
          <w:color w:val="auto"/>
        </w:rPr>
      </w:pPr>
    </w:p>
    <w:p>
      <w:pPr>
        <w:jc w:val="both"/>
        <w:ind w:right="100" w:firstLine="1729"/>
        <w:spacing w:after="0" w:line="249" w:lineRule="auto"/>
        <w:rPr>
          <w:sz w:val="20"/>
          <w:szCs w:val="20"/>
          <w:color w:val="auto"/>
        </w:rPr>
      </w:pPr>
      <w:r>
        <w:rPr>
          <w:rFonts w:ascii="Arial" w:cs="Arial" w:eastAsia="Arial" w:hAnsi="Arial"/>
          <w:sz w:val="20"/>
          <w:szCs w:val="20"/>
          <w:b w:val="1"/>
          <w:bCs w:val="1"/>
          <w:color w:val="auto"/>
        </w:rPr>
        <w:t>3.2 Severance Benefits</w:t>
      </w:r>
      <w:r>
        <w:rPr>
          <w:rFonts w:ascii="Arial" w:cs="Arial" w:eastAsia="Arial" w:hAnsi="Arial"/>
          <w:sz w:val="20"/>
          <w:szCs w:val="20"/>
          <w:color w:val="auto"/>
        </w:rPr>
        <w:t>. If a Qualifying Termination Event occurs and the Executive satisfies</w:t>
      </w:r>
      <w:r>
        <w:rPr>
          <w:rFonts w:ascii="Arial" w:cs="Arial" w:eastAsia="Arial" w:hAnsi="Arial"/>
          <w:sz w:val="20"/>
          <w:szCs w:val="20"/>
          <w:b w:val="1"/>
          <w:bCs w:val="1"/>
          <w:color w:val="auto"/>
        </w:rPr>
        <w:t xml:space="preserve"> </w:t>
      </w:r>
      <w:r>
        <w:rPr>
          <w:rFonts w:ascii="Arial" w:cs="Arial" w:eastAsia="Arial" w:hAnsi="Arial"/>
          <w:sz w:val="20"/>
          <w:szCs w:val="20"/>
          <w:color w:val="auto"/>
        </w:rPr>
        <w:t>the conditions set forth in Section 3.1 above, the Company will pay the Executive as soon as practicable following his or her satisfaction of such conditions, but in no event more than 2½ months following the Qualifying Termination Event, a non-discounted cash lump sum amount equal to the sum of the following:</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4">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00"/>
          </w:cols>
          <w:pgMar w:left="320" w:top="752" w:right="379" w:bottom="1440" w:gutter="0" w:footer="0" w:header="0"/>
        </w:sectPr>
      </w:pPr>
    </w:p>
    <w:bookmarkStart w:id="198" w:name="page199"/>
    <w:bookmarkEnd w:id="198"/>
    <w:p>
      <w:pPr>
        <w:ind w:left="1720" w:right="860" w:hanging="856"/>
        <w:spacing w:after="0" w:line="268" w:lineRule="auto"/>
        <w:tabs>
          <w:tab w:leader="none" w:pos="172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the Executive’s accrued and unpaid Base Salary and accrued vacation pay through the date of Executive’s termination, pursuant to a Qualifying Termination Event;</w:t>
      </w:r>
    </w:p>
    <w:p>
      <w:pPr>
        <w:spacing w:after="0" w:line="145" w:lineRule="exact"/>
        <w:rPr>
          <w:rFonts w:ascii="Arial" w:cs="Arial" w:eastAsia="Arial" w:hAnsi="Arial"/>
          <w:sz w:val="20"/>
          <w:szCs w:val="20"/>
          <w:color w:val="auto"/>
        </w:rPr>
      </w:pPr>
    </w:p>
    <w:p>
      <w:pPr>
        <w:jc w:val="both"/>
        <w:ind w:left="1720" w:right="80" w:hanging="856"/>
        <w:spacing w:after="0" w:line="245" w:lineRule="auto"/>
        <w:tabs>
          <w:tab w:leader="none" w:pos="172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a pro-rata portion (based on the number of days that elapsed in the calendar year before the Qualifying Termination Event occurred) of the greater of (i) the Executive’s target annual bonus for the year of the Qualifying Termination Event or (ii) the Executive’s annual bonus that would have been paid (as determined by the Board in its discretion) assuming the year ended on the date of the Qualifying Termination Event and based on actual performance through that date;</w:t>
      </w:r>
    </w:p>
    <w:p>
      <w:pPr>
        <w:spacing w:after="0" w:line="169" w:lineRule="exact"/>
        <w:rPr>
          <w:rFonts w:ascii="Arial" w:cs="Arial" w:eastAsia="Arial" w:hAnsi="Arial"/>
          <w:sz w:val="20"/>
          <w:szCs w:val="20"/>
          <w:color w:val="auto"/>
        </w:rPr>
      </w:pPr>
    </w:p>
    <w:p>
      <w:pPr>
        <w:ind w:left="1720" w:right="660" w:hanging="856"/>
        <w:spacing w:after="0" w:line="268" w:lineRule="auto"/>
        <w:tabs>
          <w:tab w:leader="none" w:pos="172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 xml:space="preserve">an amount equal to the highest rate of the Executive’s annualized Base Salary in effect at any time up to and including the Qualifying Termination Event multiplied by </w:t>
      </w:r>
      <w:r>
        <w:rPr>
          <w:rFonts w:ascii="Arial" w:cs="Arial" w:eastAsia="Arial" w:hAnsi="Arial"/>
          <w:sz w:val="20"/>
          <w:szCs w:val="20"/>
          <w:u w:val="single" w:color="auto"/>
          <w:color w:val="auto"/>
        </w:rPr>
        <w:t>two (2)</w:t>
      </w:r>
      <w:r>
        <w:rPr>
          <w:rFonts w:ascii="Arial" w:cs="Arial" w:eastAsia="Arial" w:hAnsi="Arial"/>
          <w:sz w:val="20"/>
          <w:szCs w:val="20"/>
          <w:color w:val="auto"/>
        </w:rPr>
        <w:t>; and</w:t>
      </w:r>
    </w:p>
    <w:p>
      <w:pPr>
        <w:spacing w:after="0" w:line="145" w:lineRule="exact"/>
        <w:rPr>
          <w:rFonts w:ascii="Arial" w:cs="Arial" w:eastAsia="Arial" w:hAnsi="Arial"/>
          <w:sz w:val="20"/>
          <w:szCs w:val="20"/>
          <w:color w:val="auto"/>
        </w:rPr>
      </w:pPr>
    </w:p>
    <w:p>
      <w:pPr>
        <w:ind w:left="1720" w:hanging="856"/>
        <w:spacing w:after="0" w:line="253" w:lineRule="auto"/>
        <w:tabs>
          <w:tab w:leader="none" w:pos="172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 xml:space="preserve">an amount equal to the greater of (i) the Executive’s target annual bonus for the year of the Qualifying Termination Event or (ii) the average of the annual bonuses actually paid to the Executive for the two years preceding the year of the Qualifying Termination Event, multiplied by </w:t>
      </w:r>
      <w:r>
        <w:rPr>
          <w:rFonts w:ascii="Arial" w:cs="Arial" w:eastAsia="Arial" w:hAnsi="Arial"/>
          <w:sz w:val="20"/>
          <w:szCs w:val="20"/>
          <w:u w:val="single" w:color="auto"/>
          <w:color w:val="auto"/>
        </w:rPr>
        <w:t>two (2).</w:t>
      </w:r>
    </w:p>
    <w:p>
      <w:pPr>
        <w:spacing w:after="0" w:line="160" w:lineRule="exact"/>
        <w:rPr>
          <w:sz w:val="20"/>
          <w:szCs w:val="20"/>
          <w:color w:val="auto"/>
        </w:rPr>
      </w:pPr>
    </w:p>
    <w:p>
      <w:pPr>
        <w:ind w:right="40" w:firstLine="865"/>
        <w:spacing w:after="0" w:line="253" w:lineRule="auto"/>
        <w:rPr>
          <w:sz w:val="20"/>
          <w:szCs w:val="20"/>
          <w:color w:val="auto"/>
        </w:rPr>
      </w:pPr>
      <w:r>
        <w:rPr>
          <w:rFonts w:ascii="Arial" w:cs="Arial" w:eastAsia="Arial" w:hAnsi="Arial"/>
          <w:sz w:val="19"/>
          <w:szCs w:val="19"/>
          <w:color w:val="auto"/>
        </w:rPr>
        <w:t xml:space="preserve">In addition to the foregoing, if Executive satisfies the conditions set forth in Section 3.1 above, the Company will pay the Executive as soon as practicable following his or her satisfaction of such conditions, but in no event more that 2½ months following the Qualifying Termination Event, a non-discounted cash lump sum amount equal to the sum of the following: (i) the Company’s estimate of the costs for the Executive’s medical insurance coverage at the level and a cost to the Executive comparable to that provided to the Executive immediately prior to the Qualifying Termination Event for a period of </w:t>
      </w:r>
      <w:r>
        <w:rPr>
          <w:rFonts w:ascii="Arial" w:cs="Arial" w:eastAsia="Arial" w:hAnsi="Arial"/>
          <w:sz w:val="19"/>
          <w:szCs w:val="19"/>
          <w:u w:val="single" w:color="auto"/>
          <w:color w:val="auto"/>
        </w:rPr>
        <w:t>two (2) years</w:t>
      </w:r>
      <w:r>
        <w:rPr>
          <w:rFonts w:ascii="Arial" w:cs="Arial" w:eastAsia="Arial" w:hAnsi="Arial"/>
          <w:sz w:val="19"/>
          <w:szCs w:val="19"/>
          <w:color w:val="auto"/>
        </w:rPr>
        <w:t xml:space="preserve"> following such Qualifying Termination Event (which, in the Company’s discretion, may be based on the applicable COBRA rates); (ii) the Company’s estimate of the costs for the continuation of that level of the Executive’s executive life insurance coverage that is in effect immediately prior to the Qualifying Termination Event for a period of </w:t>
      </w:r>
      <w:r>
        <w:rPr>
          <w:rFonts w:ascii="Arial" w:cs="Arial" w:eastAsia="Arial" w:hAnsi="Arial"/>
          <w:sz w:val="19"/>
          <w:szCs w:val="19"/>
          <w:u w:val="single" w:color="auto"/>
          <w:color w:val="auto"/>
        </w:rPr>
        <w:t>two (2) years</w:t>
      </w:r>
      <w:r>
        <w:rPr>
          <w:rFonts w:ascii="Arial" w:cs="Arial" w:eastAsia="Arial" w:hAnsi="Arial"/>
          <w:sz w:val="19"/>
          <w:szCs w:val="19"/>
          <w:color w:val="auto"/>
        </w:rPr>
        <w:t xml:space="preserve"> following such Qualifying Termination Event, or, if shorter, the period ending on the last day of the level premium rate guarantee period established by the applicable insurer for such coverage; and (iii) the Company’s estimate of the costs for the continuation of the Executive’s executive supplemental disability coverage under the Company’s supplemental disability insurance plan in effect immediately prior to the Qualifying Termination Event for a period of </w:t>
      </w:r>
      <w:r>
        <w:rPr>
          <w:rFonts w:ascii="Arial" w:cs="Arial" w:eastAsia="Arial" w:hAnsi="Arial"/>
          <w:sz w:val="19"/>
          <w:szCs w:val="19"/>
          <w:u w:val="single" w:color="auto"/>
          <w:color w:val="auto"/>
        </w:rPr>
        <w:t>two (2) years</w:t>
      </w:r>
      <w:r>
        <w:rPr>
          <w:rFonts w:ascii="Arial" w:cs="Arial" w:eastAsia="Arial" w:hAnsi="Arial"/>
          <w:sz w:val="19"/>
          <w:szCs w:val="19"/>
          <w:color w:val="auto"/>
        </w:rPr>
        <w:t xml:space="preserve"> following such Qualifying Termination Event (or the date the Executive attains age 65, if earlier), but the cash payment in this clause (iii) will only be paid if the terms of the applicable insurance policy under such disability insurance plan provide that the coverage may be continued following the Qualifying Termination Event and such costs to be estimated using the extent of the coverage allowed under the terms of such policy at a cost to the Company that is no greater than the cost borne by the Company immediately prior to the Qualifying Termination Event.</w:t>
      </w:r>
    </w:p>
    <w:p>
      <w:pPr>
        <w:spacing w:after="0" w:line="169" w:lineRule="exact"/>
        <w:rPr>
          <w:sz w:val="20"/>
          <w:szCs w:val="20"/>
          <w:color w:val="auto"/>
        </w:rPr>
      </w:pPr>
    </w:p>
    <w:p>
      <w:pPr>
        <w:ind w:right="600" w:firstLine="865"/>
        <w:spacing w:after="0" w:line="268" w:lineRule="auto"/>
        <w:rPr>
          <w:sz w:val="20"/>
          <w:szCs w:val="20"/>
          <w:color w:val="auto"/>
        </w:rPr>
      </w:pPr>
      <w:r>
        <w:rPr>
          <w:rFonts w:ascii="Arial" w:cs="Arial" w:eastAsia="Arial" w:hAnsi="Arial"/>
          <w:sz w:val="20"/>
          <w:szCs w:val="20"/>
          <w:color w:val="auto"/>
        </w:rPr>
        <w:t>If the 2½ month period following the Qualifying Termination Event for making the foregoing cash payments spans two calendar years, payment will in all cases be made in the second (later) calendar year.</w:t>
      </w:r>
    </w:p>
    <w:p>
      <w:pPr>
        <w:spacing w:after="0" w:line="12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160"/>
          </w:cols>
          <w:pgMar w:left="320" w:top="752" w:right="419" w:bottom="1440" w:gutter="0" w:footer="0" w:header="0"/>
        </w:sectPr>
      </w:pPr>
    </w:p>
    <w:bookmarkStart w:id="199" w:name="page200"/>
    <w:bookmarkEnd w:id="199"/>
    <w:p>
      <w:pPr>
        <w:ind w:firstLine="865"/>
        <w:spacing w:after="0" w:line="261" w:lineRule="auto"/>
        <w:rPr>
          <w:sz w:val="20"/>
          <w:szCs w:val="20"/>
          <w:color w:val="auto"/>
        </w:rPr>
      </w:pPr>
      <w:r>
        <w:rPr>
          <w:rFonts w:ascii="Arial" w:cs="Arial" w:eastAsia="Arial" w:hAnsi="Arial"/>
          <w:sz w:val="19"/>
          <w:szCs w:val="19"/>
          <w:color w:val="auto"/>
        </w:rPr>
        <w:t>Notwithstanding any provision of this Agreement to the contrary, to the extent that the Company determines that a delay in payment or benefits is required to avoid subjecting the Executive to taxes under Code Section 409A (“Section 409A”), the Executive shall not be entitled to receive any payments of, or benefits that constitute, deferred compensation (as defined in Section 409A) until the earlier of (i) the date which is six (6) months after his or her termination of employment or (ii) the date of his or her death (the “Section 409A Period”), at which time the Company shall pay all delayed payments to the Executive in a lump sum without interest.</w:t>
      </w:r>
    </w:p>
    <w:p>
      <w:pPr>
        <w:spacing w:after="0" w:line="152" w:lineRule="exact"/>
        <w:rPr>
          <w:sz w:val="20"/>
          <w:szCs w:val="20"/>
          <w:color w:val="auto"/>
        </w:rPr>
      </w:pPr>
    </w:p>
    <w:p>
      <w:pPr>
        <w:ind w:right="20" w:firstLine="1729"/>
        <w:spacing w:after="0" w:line="272" w:lineRule="auto"/>
        <w:rPr>
          <w:sz w:val="20"/>
          <w:szCs w:val="20"/>
          <w:color w:val="auto"/>
        </w:rPr>
      </w:pPr>
      <w:r>
        <w:rPr>
          <w:rFonts w:ascii="Arial" w:cs="Arial" w:eastAsia="Arial" w:hAnsi="Arial"/>
          <w:sz w:val="20"/>
          <w:szCs w:val="20"/>
          <w:b w:val="1"/>
          <w:bCs w:val="1"/>
          <w:color w:val="auto"/>
        </w:rPr>
        <w:t>3.3 Termination for Other Reasons</w:t>
      </w:r>
      <w:r>
        <w:rPr>
          <w:rFonts w:ascii="Arial" w:cs="Arial" w:eastAsia="Arial" w:hAnsi="Arial"/>
          <w:sz w:val="20"/>
          <w:szCs w:val="20"/>
          <w:color w:val="auto"/>
        </w:rPr>
        <w:t>. Except as expressly provided below, the Company shall</w:t>
      </w:r>
      <w:r>
        <w:rPr>
          <w:rFonts w:ascii="Arial" w:cs="Arial" w:eastAsia="Arial" w:hAnsi="Arial"/>
          <w:sz w:val="20"/>
          <w:szCs w:val="20"/>
          <w:b w:val="1"/>
          <w:bCs w:val="1"/>
          <w:color w:val="auto"/>
        </w:rPr>
        <w:t xml:space="preserve"> </w:t>
      </w:r>
      <w:r>
        <w:rPr>
          <w:rFonts w:ascii="Arial" w:cs="Arial" w:eastAsia="Arial" w:hAnsi="Arial"/>
          <w:sz w:val="20"/>
          <w:szCs w:val="20"/>
          <w:color w:val="auto"/>
        </w:rPr>
        <w:t>have no obligations (or no further obligations, as the case may be) to the Executive under this Agreement if:</w:t>
      </w:r>
    </w:p>
    <w:p>
      <w:pPr>
        <w:spacing w:after="0" w:line="142" w:lineRule="exact"/>
        <w:rPr>
          <w:sz w:val="20"/>
          <w:szCs w:val="20"/>
          <w:color w:val="auto"/>
        </w:rPr>
      </w:pPr>
    </w:p>
    <w:p>
      <w:pPr>
        <w:ind w:left="1720" w:hanging="856"/>
        <w:spacing w:after="0"/>
        <w:tabs>
          <w:tab w:leader="none" w:pos="172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Executive’s employment is terminated by the Company for Cause;</w:t>
      </w:r>
    </w:p>
    <w:p>
      <w:pPr>
        <w:spacing w:after="0" w:line="201" w:lineRule="exact"/>
        <w:rPr>
          <w:rFonts w:ascii="Arial" w:cs="Arial" w:eastAsia="Arial" w:hAnsi="Arial"/>
          <w:sz w:val="20"/>
          <w:szCs w:val="20"/>
          <w:color w:val="auto"/>
        </w:rPr>
      </w:pPr>
    </w:p>
    <w:p>
      <w:pPr>
        <w:ind w:left="1720" w:right="520" w:hanging="856"/>
        <w:spacing w:after="0" w:line="268" w:lineRule="auto"/>
        <w:tabs>
          <w:tab w:leader="none" w:pos="172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Executive terminates his or her employment with the Company other than for Good Reason during a Protected Period;</w:t>
      </w:r>
    </w:p>
    <w:p>
      <w:pPr>
        <w:spacing w:after="0" w:line="145" w:lineRule="exact"/>
        <w:rPr>
          <w:rFonts w:ascii="Arial" w:cs="Arial" w:eastAsia="Arial" w:hAnsi="Arial"/>
          <w:sz w:val="20"/>
          <w:szCs w:val="20"/>
          <w:color w:val="auto"/>
        </w:rPr>
      </w:pPr>
    </w:p>
    <w:p>
      <w:pPr>
        <w:ind w:left="1720" w:hanging="856"/>
        <w:spacing w:after="0"/>
        <w:tabs>
          <w:tab w:leader="none" w:pos="172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Executive’s employment by the Company terminates due to the Executive’s Disability, retirement or death; or</w:t>
      </w:r>
    </w:p>
    <w:p>
      <w:pPr>
        <w:spacing w:after="0" w:line="212" w:lineRule="exact"/>
        <w:rPr>
          <w:rFonts w:ascii="Arial" w:cs="Arial" w:eastAsia="Arial" w:hAnsi="Arial"/>
          <w:sz w:val="19"/>
          <w:szCs w:val="19"/>
          <w:color w:val="auto"/>
        </w:rPr>
      </w:pPr>
    </w:p>
    <w:p>
      <w:pPr>
        <w:ind w:left="1720" w:right="360" w:hanging="856"/>
        <w:spacing w:after="0" w:line="268" w:lineRule="auto"/>
        <w:tabs>
          <w:tab w:leader="none" w:pos="172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Executive’s employment by the Company is terminated by the Company or the Executive for any reason, if such termination does not occur during a Protected Period.</w:t>
      </w:r>
    </w:p>
    <w:p>
      <w:pPr>
        <w:spacing w:after="0" w:line="145" w:lineRule="exact"/>
        <w:rPr>
          <w:rFonts w:ascii="Arial" w:cs="Arial" w:eastAsia="Arial" w:hAnsi="Arial"/>
          <w:sz w:val="20"/>
          <w:szCs w:val="20"/>
          <w:color w:val="auto"/>
        </w:rPr>
      </w:pPr>
    </w:p>
    <w:p>
      <w:pPr>
        <w:ind w:left="1720" w:right="220" w:hanging="856"/>
        <w:spacing w:after="0" w:line="253" w:lineRule="auto"/>
        <w:tabs>
          <w:tab w:leader="none" w:pos="172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Prior to a Potential Change in Control, Executive ceases to perform services on a full-time basis in either the same position Executive was serving on the Effective Date or a more senior position and as a result the term of this Agreement terminates pursuant to Article VI.</w:t>
      </w:r>
    </w:p>
    <w:p>
      <w:pPr>
        <w:spacing w:after="0" w:line="160" w:lineRule="exact"/>
        <w:rPr>
          <w:sz w:val="20"/>
          <w:szCs w:val="20"/>
          <w:color w:val="auto"/>
        </w:rPr>
      </w:pPr>
    </w:p>
    <w:p>
      <w:pPr>
        <w:jc w:val="both"/>
        <w:ind w:right="100" w:firstLine="865"/>
        <w:spacing w:after="0" w:line="272" w:lineRule="auto"/>
        <w:rPr>
          <w:sz w:val="20"/>
          <w:szCs w:val="20"/>
          <w:color w:val="auto"/>
        </w:rPr>
      </w:pPr>
      <w:r>
        <w:rPr>
          <w:rFonts w:ascii="Arial" w:cs="Arial" w:eastAsia="Arial" w:hAnsi="Arial"/>
          <w:sz w:val="19"/>
          <w:szCs w:val="19"/>
          <w:color w:val="auto"/>
        </w:rPr>
        <w:t>If, during a Protected Period and immediately prior to the Executive’s Disability or retirement, the Executive would have been entitled to terminate employment with the Company for Good Reason, then upon termination of his or her employment for Disability or retirement he shall be deemed to have terminated for Good Reason for purposes of this Agreement.</w:t>
      </w:r>
    </w:p>
    <w:p>
      <w:pPr>
        <w:spacing w:after="0" w:line="145" w:lineRule="exact"/>
        <w:rPr>
          <w:sz w:val="20"/>
          <w:szCs w:val="20"/>
          <w:color w:val="auto"/>
        </w:rPr>
      </w:pPr>
    </w:p>
    <w:p>
      <w:pPr>
        <w:ind w:right="340" w:firstLine="865"/>
        <w:spacing w:after="0" w:line="259" w:lineRule="auto"/>
        <w:rPr>
          <w:sz w:val="20"/>
          <w:szCs w:val="20"/>
          <w:color w:val="auto"/>
        </w:rPr>
      </w:pPr>
      <w:r>
        <w:rPr>
          <w:rFonts w:ascii="Arial" w:cs="Arial" w:eastAsia="Arial" w:hAnsi="Arial"/>
          <w:sz w:val="19"/>
          <w:szCs w:val="19"/>
          <w:color w:val="auto"/>
        </w:rPr>
        <w:t>Notwithstanding anything else contained herein to the contrary, the Executive’s termination of employment on account of reaching the normal retirement age, as such age may be defined from time to time in policies adopted by the Company prior to the commencement of the Protected Period, to the extent such policies are applicable to the Executive immediately prior to the commencement of the Protected Period and to the extent such policies are consistent with applicable law, shall not be a Qualifying Termination Event unless the Executive was otherwise able to terminate employment for Good Reason immediately prior to his or her retirement and his or her retirement occurred during a Protected Period.</w:t>
      </w:r>
    </w:p>
    <w:p>
      <w:pPr>
        <w:spacing w:after="0" w:line="153" w:lineRule="exact"/>
        <w:rPr>
          <w:sz w:val="20"/>
          <w:szCs w:val="20"/>
          <w:color w:val="auto"/>
        </w:rPr>
      </w:pPr>
    </w:p>
    <w:p>
      <w:pPr>
        <w:jc w:val="both"/>
        <w:ind w:right="60" w:firstLine="1729"/>
        <w:spacing w:after="0" w:line="255" w:lineRule="auto"/>
        <w:rPr>
          <w:sz w:val="20"/>
          <w:szCs w:val="20"/>
          <w:color w:val="auto"/>
        </w:rPr>
      </w:pPr>
      <w:r>
        <w:rPr>
          <w:rFonts w:ascii="Arial" w:cs="Arial" w:eastAsia="Arial" w:hAnsi="Arial"/>
          <w:sz w:val="20"/>
          <w:szCs w:val="20"/>
          <w:b w:val="1"/>
          <w:bCs w:val="1"/>
          <w:color w:val="auto"/>
        </w:rPr>
        <w:t>3.4 Notice of Termination</w:t>
      </w:r>
      <w:r>
        <w:rPr>
          <w:rFonts w:ascii="Arial" w:cs="Arial" w:eastAsia="Arial" w:hAnsi="Arial"/>
          <w:sz w:val="20"/>
          <w:szCs w:val="20"/>
          <w:color w:val="auto"/>
        </w:rPr>
        <w:t>. Any termination of the Executive’s employment by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for Cause or by the Executive for Good Reason shall be communicated by Notice of Termination to the other party. For purposes of this Agreement, a “Notice of Termination” shall mean a written notice which shall indicate the specific termination provision</w:t>
      </w:r>
    </w:p>
    <w:p>
      <w:pPr>
        <w:spacing w:after="0" w:line="133"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6">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20"/>
          </w:cols>
          <w:pgMar w:left="320" w:top="752" w:right="359" w:bottom="1440" w:gutter="0" w:footer="0" w:header="0"/>
        </w:sectPr>
      </w:pPr>
    </w:p>
    <w:bookmarkStart w:id="200" w:name="page201"/>
    <w:bookmarkEnd w:id="200"/>
    <w:p>
      <w:pPr>
        <w:ind w:right="380"/>
        <w:spacing w:after="0" w:line="253" w:lineRule="auto"/>
        <w:rPr>
          <w:sz w:val="20"/>
          <w:szCs w:val="20"/>
          <w:color w:val="auto"/>
        </w:rPr>
      </w:pPr>
      <w:r>
        <w:rPr>
          <w:rFonts w:ascii="Arial" w:cs="Arial" w:eastAsia="Arial" w:hAnsi="Arial"/>
          <w:sz w:val="20"/>
          <w:szCs w:val="20"/>
          <w:color w:val="auto"/>
        </w:rPr>
        <w:t>in this Agreement relied upon and shall set forth in reasonable detail the facts and circumstances claimed to provide a basis for termination of the Executive’s employment under the provision so indicated. The Notice of Termination shall be effective on the date specified in Section 9.8 of this Agreement.</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ARTICLE IV</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TAXES</w:t>
      </w:r>
    </w:p>
    <w:p>
      <w:pPr>
        <w:spacing w:after="0" w:line="183" w:lineRule="exact"/>
        <w:rPr>
          <w:sz w:val="20"/>
          <w:szCs w:val="20"/>
          <w:color w:val="auto"/>
        </w:rPr>
      </w:pPr>
    </w:p>
    <w:p>
      <w:pPr>
        <w:ind w:right="60" w:firstLine="865"/>
        <w:spacing w:after="0" w:line="276" w:lineRule="auto"/>
        <w:rPr>
          <w:sz w:val="20"/>
          <w:szCs w:val="20"/>
          <w:color w:val="auto"/>
        </w:rPr>
      </w:pPr>
      <w:r>
        <w:rPr>
          <w:rFonts w:ascii="Arial" w:cs="Arial" w:eastAsia="Arial" w:hAnsi="Arial"/>
          <w:sz w:val="18"/>
          <w:szCs w:val="18"/>
          <w:color w:val="auto"/>
        </w:rPr>
        <w:t>The Company has the right to withhold from any amount otherwise payable to the Executive under or pursuant to this Agreement the amount of any taxes that the Company may legally be required to withhold with respect to such payment (including, without limitation, any United States Federal taxes, and any other state, city, or local taxes). In the event that tax withholding is required with respect to amounts or benefits payable or deliverable by the Company to the Executive and the Company cannot satisfy its tax withholding obligations in the manner described in the preceding sentence, the Company may require the Executive to pay or provide for the payment of such required tax withholding as a condition to the payment or delivery of such amounts or benefits.</w:t>
      </w:r>
    </w:p>
    <w:p>
      <w:pPr>
        <w:spacing w:after="0" w:line="144" w:lineRule="exact"/>
        <w:rPr>
          <w:sz w:val="20"/>
          <w:szCs w:val="20"/>
          <w:color w:val="auto"/>
        </w:rPr>
      </w:pPr>
    </w:p>
    <w:p>
      <w:pPr>
        <w:ind w:right="500" w:firstLine="865"/>
        <w:spacing w:after="0" w:line="268" w:lineRule="auto"/>
        <w:rPr>
          <w:sz w:val="20"/>
          <w:szCs w:val="20"/>
          <w:color w:val="auto"/>
        </w:rPr>
      </w:pPr>
      <w:r>
        <w:rPr>
          <w:rFonts w:ascii="Arial" w:cs="Arial" w:eastAsia="Arial" w:hAnsi="Arial"/>
          <w:sz w:val="20"/>
          <w:szCs w:val="20"/>
          <w:color w:val="auto"/>
        </w:rPr>
        <w:t>The Executive (or his or her Beneficiaries, if applicable) shall be solely responsible for all income and employment taxes arising in connection with this Agreement or benefits hereunder.</w:t>
      </w:r>
    </w:p>
    <w:p>
      <w:pPr>
        <w:spacing w:after="0" w:line="200" w:lineRule="exact"/>
        <w:rPr>
          <w:sz w:val="20"/>
          <w:szCs w:val="20"/>
          <w:color w:val="auto"/>
        </w:rPr>
      </w:pPr>
    </w:p>
    <w:p>
      <w:pPr>
        <w:spacing w:after="0" w:line="346" w:lineRule="exact"/>
        <w:rPr>
          <w:sz w:val="20"/>
          <w:szCs w:val="20"/>
          <w:color w:val="auto"/>
        </w:rPr>
      </w:pPr>
    </w:p>
    <w:tbl>
      <w:tblPr>
        <w:tblLayout w:type="fixed"/>
        <w:tblInd w:w="1740" w:type="dxa"/>
        <w:tblCellMar>
          <w:top w:w="0" w:type="dxa"/>
          <w:left w:w="0" w:type="dxa"/>
          <w:bottom w:w="0" w:type="dxa"/>
          <w:right w:w="0" w:type="dxa"/>
        </w:tblCellMar>
      </w:tblPr>
      <w:tr>
        <w:trPr>
          <w:trHeight w:val="230"/>
        </w:trPr>
        <w:tc>
          <w:tcPr>
            <w:tcW w:w="1040" w:type="dxa"/>
            <w:vAlign w:val="bottom"/>
          </w:tcPr>
          <w:p>
            <w:pPr>
              <w:spacing w:after="0"/>
              <w:rPr>
                <w:sz w:val="19"/>
                <w:szCs w:val="19"/>
                <w:color w:val="auto"/>
              </w:rPr>
            </w:pPr>
          </w:p>
        </w:tc>
        <w:tc>
          <w:tcPr>
            <w:tcW w:w="8300" w:type="dxa"/>
            <w:vAlign w:val="bottom"/>
          </w:tcPr>
          <w:p>
            <w:pPr>
              <w:jc w:val="center"/>
              <w:ind w:right="2519"/>
              <w:spacing w:after="0"/>
              <w:rPr>
                <w:sz w:val="20"/>
                <w:szCs w:val="20"/>
                <w:color w:val="auto"/>
              </w:rPr>
            </w:pPr>
            <w:r>
              <w:rPr>
                <w:rFonts w:ascii="Arial" w:cs="Arial" w:eastAsia="Arial" w:hAnsi="Arial"/>
                <w:sz w:val="20"/>
                <w:szCs w:val="20"/>
                <w:b w:val="1"/>
                <w:bCs w:val="1"/>
                <w:color w:val="auto"/>
              </w:rPr>
              <w:t>ARTICLE V</w:t>
            </w:r>
          </w:p>
        </w:tc>
      </w:tr>
      <w:tr>
        <w:trPr>
          <w:trHeight w:val="263"/>
        </w:trPr>
        <w:tc>
          <w:tcPr>
            <w:tcW w:w="1040" w:type="dxa"/>
            <w:vAlign w:val="bottom"/>
          </w:tcPr>
          <w:p>
            <w:pPr>
              <w:spacing w:after="0"/>
              <w:rPr>
                <w:sz w:val="22"/>
                <w:szCs w:val="22"/>
                <w:color w:val="auto"/>
              </w:rPr>
            </w:pPr>
          </w:p>
        </w:tc>
        <w:tc>
          <w:tcPr>
            <w:tcW w:w="8300" w:type="dxa"/>
            <w:vAlign w:val="bottom"/>
          </w:tcPr>
          <w:p>
            <w:pPr>
              <w:jc w:val="center"/>
              <w:ind w:right="2519"/>
              <w:spacing w:after="0"/>
              <w:rPr>
                <w:sz w:val="20"/>
                <w:szCs w:val="20"/>
                <w:color w:val="auto"/>
              </w:rPr>
            </w:pPr>
            <w:r>
              <w:rPr>
                <w:rFonts w:ascii="Arial" w:cs="Arial" w:eastAsia="Arial" w:hAnsi="Arial"/>
                <w:sz w:val="20"/>
                <w:szCs w:val="20"/>
                <w:b w:val="1"/>
                <w:bCs w:val="1"/>
                <w:color w:val="auto"/>
              </w:rPr>
              <w:t>THE COMPANY’S PAYMENT OBLIGATION</w:t>
            </w:r>
          </w:p>
        </w:tc>
      </w:tr>
      <w:tr>
        <w:trPr>
          <w:trHeight w:val="419"/>
        </w:trPr>
        <w:tc>
          <w:tcPr>
            <w:tcW w:w="1040" w:type="dxa"/>
            <w:vAlign w:val="bottom"/>
          </w:tcPr>
          <w:p>
            <w:pPr>
              <w:jc w:val="right"/>
              <w:ind w:right="699"/>
              <w:spacing w:after="0"/>
              <w:rPr>
                <w:sz w:val="20"/>
                <w:szCs w:val="20"/>
                <w:color w:val="auto"/>
              </w:rPr>
            </w:pPr>
            <w:r>
              <w:rPr>
                <w:rFonts w:ascii="Arial" w:cs="Arial" w:eastAsia="Arial" w:hAnsi="Arial"/>
                <w:sz w:val="20"/>
                <w:szCs w:val="20"/>
                <w:b w:val="1"/>
                <w:bCs w:val="1"/>
                <w:color w:val="auto"/>
                <w:w w:val="78"/>
              </w:rPr>
              <w:t>5.1</w:t>
            </w:r>
          </w:p>
        </w:tc>
        <w:tc>
          <w:tcPr>
            <w:tcW w:w="8300" w:type="dxa"/>
            <w:vAlign w:val="bottom"/>
          </w:tcPr>
          <w:p>
            <w:pPr>
              <w:ind w:left="1020"/>
              <w:spacing w:after="0"/>
              <w:rPr>
                <w:sz w:val="20"/>
                <w:szCs w:val="20"/>
                <w:color w:val="auto"/>
              </w:rPr>
            </w:pPr>
            <w:r>
              <w:rPr>
                <w:rFonts w:ascii="Arial" w:cs="Arial" w:eastAsia="Arial" w:hAnsi="Arial"/>
                <w:sz w:val="20"/>
                <w:szCs w:val="20"/>
                <w:b w:val="1"/>
                <w:bCs w:val="1"/>
                <w:color w:val="auto"/>
                <w:w w:val="92"/>
              </w:rPr>
              <w:t>Payment Obligations Absolute</w:t>
            </w:r>
            <w:r>
              <w:rPr>
                <w:rFonts w:ascii="Arial" w:cs="Arial" w:eastAsia="Arial" w:hAnsi="Arial"/>
                <w:sz w:val="20"/>
                <w:szCs w:val="20"/>
                <w:color w:val="auto"/>
                <w:w w:val="92"/>
              </w:rPr>
              <w:t>. Subject to the Executive’s compliance with Section 9.1</w:t>
            </w:r>
          </w:p>
        </w:tc>
      </w:tr>
    </w:tbl>
    <w:p>
      <w:pPr>
        <w:spacing w:after="0" w:line="269" w:lineRule="auto"/>
        <w:rPr>
          <w:sz w:val="20"/>
          <w:szCs w:val="20"/>
          <w:color w:val="auto"/>
        </w:rPr>
      </w:pPr>
      <w:r>
        <w:rPr>
          <w:rFonts w:ascii="Arial" w:cs="Arial" w:eastAsia="Arial" w:hAnsi="Arial"/>
          <w:sz w:val="18"/>
          <w:szCs w:val="18"/>
          <w:color w:val="auto"/>
        </w:rPr>
        <w:t>and the agreement contemplated thereby, the Company’s obligation to make the payments and the arrangements provided for herein shall be absolute and unconditional, and shall not be affected by any circumstances, including, without limitation, any offset (except an offset for the amount of any debt that is due from Executive to Company for loans, advances or similar items provided by the Company to Executive prior to the date of Executive’s notice to the Company of a Qualifying Termination Event), counterclaim, recoupment, defense, or other right which the Company may have against the Executive or anyone else. All amounts payable by the Company hereunder shall be paid without notice or demand. Each and every payment made hereunder by the Company shall be final, and the Company shall not seek to recover all or any part of such payment from the Executive or from whomsoever may be entitled thereto, for any reasons whatsoever, except as a result of an error in calculating the value of benefits payable under Section 3.2 or as otherwise provided in Article 7 and subject to the Executive’s compliance with Section 9.1 and the agreement contemplated thereby.</w:t>
      </w:r>
    </w:p>
    <w:p>
      <w:pPr>
        <w:spacing w:after="0" w:line="151" w:lineRule="exact"/>
        <w:rPr>
          <w:sz w:val="20"/>
          <w:szCs w:val="20"/>
          <w:color w:val="auto"/>
        </w:rPr>
      </w:pPr>
    </w:p>
    <w:p>
      <w:pPr>
        <w:ind w:right="320" w:firstLine="865"/>
        <w:spacing w:after="0" w:line="272" w:lineRule="auto"/>
        <w:rPr>
          <w:sz w:val="20"/>
          <w:szCs w:val="20"/>
          <w:color w:val="auto"/>
        </w:rPr>
      </w:pPr>
      <w:r>
        <w:rPr>
          <w:rFonts w:ascii="Arial" w:cs="Arial" w:eastAsia="Arial" w:hAnsi="Arial"/>
          <w:sz w:val="19"/>
          <w:szCs w:val="19"/>
          <w:color w:val="auto"/>
        </w:rPr>
        <w:t>The Executive shall not be obligated to seek other employment in mitigation of the amounts payable or arrangements made under any provision of this Agreement, and the obtaining of any such other employment shall in no event effect any reduction of the Company’s obligations to make the payments and arrangements required to be made under this Agreement.</w:t>
      </w:r>
    </w:p>
    <w:p>
      <w:pPr>
        <w:spacing w:after="0" w:line="119"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7">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00"/>
          </w:cols>
          <w:pgMar w:left="320" w:top="752" w:right="379" w:bottom="1440" w:gutter="0" w:footer="0" w:header="0"/>
        </w:sectPr>
      </w:pPr>
    </w:p>
    <w:bookmarkStart w:id="201" w:name="page202"/>
    <w:bookmarkEnd w:id="201"/>
    <w:p>
      <w:pPr>
        <w:ind w:right="60" w:firstLine="1729"/>
        <w:spacing w:after="0" w:line="243" w:lineRule="auto"/>
        <w:rPr>
          <w:sz w:val="20"/>
          <w:szCs w:val="20"/>
          <w:color w:val="auto"/>
        </w:rPr>
      </w:pPr>
      <w:r>
        <w:rPr>
          <w:rFonts w:ascii="Arial" w:cs="Arial" w:eastAsia="Arial" w:hAnsi="Arial"/>
          <w:sz w:val="20"/>
          <w:szCs w:val="20"/>
          <w:b w:val="1"/>
          <w:bCs w:val="1"/>
          <w:color w:val="auto"/>
        </w:rPr>
        <w:t xml:space="preserve">5.2 Unsecured General Creditor. </w:t>
      </w:r>
      <w:r>
        <w:rPr>
          <w:rFonts w:ascii="Arial" w:cs="Arial" w:eastAsia="Arial" w:hAnsi="Arial"/>
          <w:sz w:val="20"/>
          <w:szCs w:val="20"/>
          <w:color w:val="auto"/>
        </w:rPr>
        <w:t>The Executive and his or her Beneficiaries, heirs,</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successors, and assigns shall have no legal or equitable rights, claims, or interest in any specific property or assets of the Company. No assets of the Company shall be held under any trust or held in any way as collateral security for the fulfilling of the obligations of the Company under this Agreement. Any and all of the Company’s assets shall be, and remain, the general unpledged, unrestricted assets of the Company. The Company’s obligation under this Agreement shall be merely that of an unfunded and unsecured promise of the entity to pay money in the future, and the rights of the Executive and his or her Beneficiaries shall be no greater than those of unsecured general creditors. It is the intention of the Company that this Agreement be unfunded for purposes of the Code and for purposes of Title I of the Employee Retirement Income Security Act of 1974, as amended.</w:t>
      </w:r>
    </w:p>
    <w:p>
      <w:pPr>
        <w:spacing w:after="0" w:line="166" w:lineRule="exact"/>
        <w:rPr>
          <w:sz w:val="20"/>
          <w:szCs w:val="20"/>
          <w:color w:val="auto"/>
        </w:rPr>
      </w:pPr>
    </w:p>
    <w:p>
      <w:pPr>
        <w:ind w:right="120" w:firstLine="1729"/>
        <w:spacing w:after="0" w:line="246" w:lineRule="auto"/>
        <w:rPr>
          <w:sz w:val="20"/>
          <w:szCs w:val="20"/>
          <w:color w:val="auto"/>
        </w:rPr>
      </w:pPr>
      <w:r>
        <w:rPr>
          <w:rFonts w:ascii="Arial" w:cs="Arial" w:eastAsia="Arial" w:hAnsi="Arial"/>
          <w:sz w:val="20"/>
          <w:szCs w:val="20"/>
          <w:b w:val="1"/>
          <w:bCs w:val="1"/>
          <w:color w:val="auto"/>
        </w:rPr>
        <w:t>5.3 Pension Plans</w:t>
      </w:r>
      <w:r>
        <w:rPr>
          <w:rFonts w:ascii="Arial" w:cs="Arial" w:eastAsia="Arial" w:hAnsi="Arial"/>
          <w:sz w:val="20"/>
          <w:szCs w:val="20"/>
          <w:color w:val="auto"/>
        </w:rPr>
        <w:t>. All payments, benefits and amounts provided under this Agreement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 in addition to and not in substitution for any pension rights under the Company’s tax-qualified pension plan in which the Executive participates, and any disability, workers’ compensation or other Company benefit plan distribution that the Executive is entitled to, under the terms of any such plan, at the time his or her employment by the Company terminates. Notwithstanding the foregoing, this Agreement shall not create an inference that any duplicate payments shall be required.</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VI</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TERM OF AGREEMENT</w:t>
      </w:r>
    </w:p>
    <w:p>
      <w:pPr>
        <w:spacing w:after="0" w:line="183" w:lineRule="exact"/>
        <w:rPr>
          <w:sz w:val="20"/>
          <w:szCs w:val="20"/>
          <w:color w:val="auto"/>
        </w:rPr>
      </w:pPr>
    </w:p>
    <w:p>
      <w:pPr>
        <w:ind w:firstLine="865"/>
        <w:spacing w:after="0" w:line="242" w:lineRule="auto"/>
        <w:rPr>
          <w:sz w:val="20"/>
          <w:szCs w:val="20"/>
          <w:color w:val="auto"/>
        </w:rPr>
      </w:pPr>
      <w:r>
        <w:rPr>
          <w:rFonts w:ascii="Arial" w:cs="Arial" w:eastAsia="Arial" w:hAnsi="Arial"/>
          <w:sz w:val="20"/>
          <w:szCs w:val="20"/>
          <w:color w:val="auto"/>
        </w:rPr>
        <w:t>This Agreement will commence on the Effective Date and shall continue in effect through the 31</w:t>
      </w:r>
      <w:r>
        <w:rPr>
          <w:rFonts w:ascii="Arial" w:cs="Arial" w:eastAsia="Arial" w:hAnsi="Arial"/>
          <w:sz w:val="17"/>
          <w:szCs w:val="17"/>
          <w:color w:val="auto"/>
        </w:rPr>
        <w:t>st</w:t>
      </w:r>
      <w:r>
        <w:rPr>
          <w:rFonts w:ascii="Arial" w:cs="Arial" w:eastAsia="Arial" w:hAnsi="Arial"/>
          <w:sz w:val="20"/>
          <w:szCs w:val="20"/>
          <w:color w:val="auto"/>
        </w:rPr>
        <w:t xml:space="preserve"> of August 2022. However, at the end of such initial period and, if extended, at the end of each additional year thereafter, the term of this Agreement shall be extended automatically for one (1) additional year, unless the Committee (or the Board) delivers written notice at least six (6) months prior to the end of such term, or extended term, to the Executive, that this Agreement will not be extended. In such case, this Agreement will terminate at the end of the term, or extended term, then in progress. If a Potential Change in Control occurs, the Committee (or the Board) may not give notice that the term of this Agreement will not be extended, or further extended, as the case may be, unless and until the Board declares in good faith that the circumstances giving rise to the Potential Change in Control will not result in an actual Change in Control.</w:t>
      </w:r>
    </w:p>
    <w:p>
      <w:pPr>
        <w:spacing w:after="0" w:line="173" w:lineRule="exact"/>
        <w:rPr>
          <w:sz w:val="20"/>
          <w:szCs w:val="20"/>
          <w:color w:val="auto"/>
        </w:rPr>
      </w:pPr>
    </w:p>
    <w:p>
      <w:pPr>
        <w:ind w:right="80" w:firstLine="865"/>
        <w:spacing w:after="0" w:line="253" w:lineRule="auto"/>
        <w:rPr>
          <w:sz w:val="20"/>
          <w:szCs w:val="20"/>
          <w:color w:val="auto"/>
        </w:rPr>
      </w:pPr>
      <w:r>
        <w:rPr>
          <w:rFonts w:ascii="Arial" w:cs="Arial" w:eastAsia="Arial" w:hAnsi="Arial"/>
          <w:sz w:val="20"/>
          <w:szCs w:val="20"/>
          <w:color w:val="auto"/>
        </w:rPr>
        <w:t>Unless the Board expressly determines that the term of this Agreement shall continue in effect, the term of this Agreement will terminate if, prior to a Potential Change in Control, the Executive ceases to perform services on a full-time basis in either the same position Executive was serving on the Effective Date or a more senior position.</w:t>
      </w:r>
    </w:p>
    <w:p>
      <w:pPr>
        <w:spacing w:after="0" w:line="160" w:lineRule="exact"/>
        <w:rPr>
          <w:sz w:val="20"/>
          <w:szCs w:val="20"/>
          <w:color w:val="auto"/>
        </w:rPr>
      </w:pPr>
    </w:p>
    <w:p>
      <w:pPr>
        <w:jc w:val="both"/>
        <w:ind w:right="200" w:firstLine="865"/>
        <w:spacing w:after="0" w:line="272" w:lineRule="auto"/>
        <w:rPr>
          <w:sz w:val="20"/>
          <w:szCs w:val="20"/>
          <w:color w:val="auto"/>
        </w:rPr>
      </w:pPr>
      <w:r>
        <w:rPr>
          <w:rFonts w:ascii="Arial" w:cs="Arial" w:eastAsia="Arial" w:hAnsi="Arial"/>
          <w:sz w:val="19"/>
          <w:szCs w:val="19"/>
          <w:color w:val="auto"/>
        </w:rPr>
        <w:t>Notwithstanding anything to the contrary in this Agreement, in the event a Change in Control occurs during the initial or any extended term, this Agreement will remain in effect for the longer of: (a) eighteen (18) months beyond the month in which such Change in Control occurred; or (b) if the Executive incurs a Qualifying Termination Event, until all obligations of</w:t>
      </w:r>
    </w:p>
    <w:p>
      <w:pPr>
        <w:spacing w:after="0" w:line="119"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202" w:name="page203"/>
    <w:bookmarkEnd w:id="202"/>
    <w:p>
      <w:pPr>
        <w:spacing w:after="0"/>
        <w:rPr>
          <w:sz w:val="20"/>
          <w:szCs w:val="20"/>
          <w:color w:val="auto"/>
        </w:rPr>
      </w:pPr>
      <w:r>
        <w:rPr>
          <w:rFonts w:ascii="Arial" w:cs="Arial" w:eastAsia="Arial" w:hAnsi="Arial"/>
          <w:sz w:val="20"/>
          <w:szCs w:val="20"/>
          <w:color w:val="auto"/>
        </w:rPr>
        <w:t>the Company hereunder have been fulfilled, and until all benefits required hereunder have been paid to the Executive.</w:t>
      </w:r>
    </w:p>
    <w:p>
      <w:pPr>
        <w:spacing w:after="0" w:line="201" w:lineRule="exact"/>
        <w:rPr>
          <w:sz w:val="20"/>
          <w:szCs w:val="20"/>
          <w:color w:val="auto"/>
        </w:rPr>
      </w:pPr>
    </w:p>
    <w:p>
      <w:pPr>
        <w:ind w:right="160" w:firstLine="865"/>
        <w:spacing w:after="0" w:line="244" w:lineRule="auto"/>
        <w:rPr>
          <w:sz w:val="20"/>
          <w:szCs w:val="20"/>
          <w:color w:val="auto"/>
        </w:rPr>
      </w:pPr>
      <w:r>
        <w:rPr>
          <w:rFonts w:ascii="Arial" w:cs="Arial" w:eastAsia="Arial" w:hAnsi="Arial"/>
          <w:sz w:val="20"/>
          <w:szCs w:val="20"/>
          <w:color w:val="auto"/>
        </w:rPr>
        <w:t>Any subsequent Change in Control (“Subsequent Change in Control”) that occurs during the term shall also continue the term until the later of: (a) the date the term then in effect, at the time of such Subsequent Change in Control, would end; or (b) until all obligations of the Company hereunder have been fulfilled and all benefits required hereunder have been paid to the Executive; provided, however, that if one or more Subsequent Changes in Control occur, such event (or events) shall be considered a Change in Control hereunder, and this Agreement will be applicable thereto only if it, or they, occur during a Protected Period in effect at the time of any Subsequent Change in Control.</w:t>
      </w:r>
    </w:p>
    <w:p>
      <w:pPr>
        <w:spacing w:after="0" w:line="169" w:lineRule="exact"/>
        <w:rPr>
          <w:sz w:val="20"/>
          <w:szCs w:val="20"/>
          <w:color w:val="auto"/>
        </w:rPr>
      </w:pPr>
    </w:p>
    <w:p>
      <w:pPr>
        <w:ind w:right="220" w:firstLine="865"/>
        <w:spacing w:after="0" w:line="253" w:lineRule="auto"/>
        <w:rPr>
          <w:sz w:val="20"/>
          <w:szCs w:val="20"/>
          <w:color w:val="auto"/>
        </w:rPr>
      </w:pPr>
      <w:r>
        <w:rPr>
          <w:rFonts w:ascii="Arial" w:cs="Arial" w:eastAsia="Arial" w:hAnsi="Arial"/>
          <w:sz w:val="20"/>
          <w:szCs w:val="20"/>
          <w:color w:val="auto"/>
        </w:rPr>
        <w:t>Notwithstanding anything herein to the contrary, the Executive shall be entitled to receive the benefits provided in this Agreement one time only under this Agreement, regardless of the number of Changes in Control or Subsequent Changes in Control that may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174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8240" w:type="dxa"/>
            <w:vAlign w:val="bottom"/>
          </w:tcPr>
          <w:p>
            <w:pPr>
              <w:jc w:val="center"/>
              <w:ind w:right="2699"/>
              <w:spacing w:after="0"/>
              <w:rPr>
                <w:sz w:val="20"/>
                <w:szCs w:val="20"/>
                <w:color w:val="auto"/>
              </w:rPr>
            </w:pPr>
            <w:r>
              <w:rPr>
                <w:rFonts w:ascii="Arial" w:cs="Arial" w:eastAsia="Arial" w:hAnsi="Arial"/>
                <w:sz w:val="20"/>
                <w:szCs w:val="20"/>
                <w:b w:val="1"/>
                <w:bCs w:val="1"/>
                <w:color w:val="auto"/>
              </w:rPr>
              <w:t>ARTICLE VII</w:t>
            </w:r>
          </w:p>
        </w:tc>
      </w:tr>
      <w:tr>
        <w:trPr>
          <w:trHeight w:val="263"/>
        </w:trPr>
        <w:tc>
          <w:tcPr>
            <w:tcW w:w="1160" w:type="dxa"/>
            <w:vAlign w:val="bottom"/>
          </w:tcPr>
          <w:p>
            <w:pPr>
              <w:spacing w:after="0"/>
              <w:rPr>
                <w:sz w:val="22"/>
                <w:szCs w:val="22"/>
                <w:color w:val="auto"/>
              </w:rPr>
            </w:pPr>
          </w:p>
        </w:tc>
        <w:tc>
          <w:tcPr>
            <w:tcW w:w="8240" w:type="dxa"/>
            <w:vAlign w:val="bottom"/>
          </w:tcPr>
          <w:p>
            <w:pPr>
              <w:jc w:val="center"/>
              <w:ind w:right="2699"/>
              <w:spacing w:after="0"/>
              <w:rPr>
                <w:sz w:val="20"/>
                <w:szCs w:val="20"/>
                <w:color w:val="auto"/>
              </w:rPr>
            </w:pPr>
            <w:r>
              <w:rPr>
                <w:rFonts w:ascii="Arial" w:cs="Arial" w:eastAsia="Arial" w:hAnsi="Arial"/>
                <w:sz w:val="20"/>
                <w:szCs w:val="20"/>
                <w:b w:val="1"/>
                <w:bCs w:val="1"/>
                <w:color w:val="auto"/>
              </w:rPr>
              <w:t>RESOLUTION OF DISPUTES</w:t>
            </w:r>
          </w:p>
        </w:tc>
      </w:tr>
      <w:tr>
        <w:trPr>
          <w:trHeight w:val="419"/>
        </w:trPr>
        <w:tc>
          <w:tcPr>
            <w:tcW w:w="1160" w:type="dxa"/>
            <w:vAlign w:val="bottom"/>
          </w:tcPr>
          <w:p>
            <w:pPr>
              <w:jc w:val="right"/>
              <w:ind w:right="819"/>
              <w:spacing w:after="0"/>
              <w:rPr>
                <w:sz w:val="20"/>
                <w:szCs w:val="20"/>
                <w:color w:val="auto"/>
              </w:rPr>
            </w:pPr>
            <w:r>
              <w:rPr>
                <w:rFonts w:ascii="Arial" w:cs="Arial" w:eastAsia="Arial" w:hAnsi="Arial"/>
                <w:sz w:val="20"/>
                <w:szCs w:val="20"/>
                <w:b w:val="1"/>
                <w:bCs w:val="1"/>
                <w:color w:val="auto"/>
                <w:w w:val="78"/>
              </w:rPr>
              <w:t>7.1</w:t>
            </w:r>
          </w:p>
        </w:tc>
        <w:tc>
          <w:tcPr>
            <w:tcW w:w="8240" w:type="dxa"/>
            <w:vAlign w:val="bottom"/>
          </w:tcPr>
          <w:p>
            <w:pPr>
              <w:ind w:left="900"/>
              <w:spacing w:after="0"/>
              <w:rPr>
                <w:sz w:val="20"/>
                <w:szCs w:val="20"/>
                <w:color w:val="auto"/>
              </w:rPr>
            </w:pPr>
            <w:r>
              <w:rPr>
                <w:rFonts w:ascii="Arial" w:cs="Arial" w:eastAsia="Arial" w:hAnsi="Arial"/>
                <w:sz w:val="20"/>
                <w:szCs w:val="20"/>
                <w:b w:val="1"/>
                <w:bCs w:val="1"/>
                <w:color w:val="auto"/>
                <w:w w:val="92"/>
              </w:rPr>
              <w:t xml:space="preserve">Arbitration of Claims. </w:t>
            </w:r>
            <w:r>
              <w:rPr>
                <w:rFonts w:ascii="Arial" w:cs="Arial" w:eastAsia="Arial" w:hAnsi="Arial"/>
                <w:sz w:val="20"/>
                <w:szCs w:val="20"/>
                <w:color w:val="auto"/>
                <w:w w:val="92"/>
              </w:rPr>
              <w:t>The Company and the Executive hereby consent to the resolution</w:t>
            </w:r>
          </w:p>
        </w:tc>
      </w:tr>
    </w:tbl>
    <w:p>
      <w:pPr>
        <w:spacing w:after="0"/>
        <w:rPr>
          <w:sz w:val="20"/>
          <w:szCs w:val="20"/>
          <w:color w:val="auto"/>
        </w:rPr>
      </w:pPr>
      <w:r>
        <w:rPr>
          <w:rFonts w:ascii="Arial" w:cs="Arial" w:eastAsia="Arial" w:hAnsi="Arial"/>
          <w:sz w:val="20"/>
          <w:szCs w:val="20"/>
          <w:color w:val="auto"/>
        </w:rPr>
        <w:t>by mandatory and binding arbitration of all claims or controversies arising out of or in connection with this Agreement and/or the Exhibits hereto that the Company may have against the Executive, or that the Executive may have against the Company or against its officers, directors, employees or agents acting in their capacity as such. Each party’s promise to resolve all such claims or controversies by arbitration in accordance with this Agreement, rather than through the courts, is consideration for the other party’s like promise. It is further agreed that the decision of an arbitrator on any issue, dispute, claim or controversy submitted for arbitration shall be final and binding upon the Company and the Executive and that judgment may be entered on the award of the arbitrator in any court having proper jurisdiction.</w:t>
      </w:r>
    </w:p>
    <w:p>
      <w:pPr>
        <w:spacing w:after="0" w:line="172" w:lineRule="exact"/>
        <w:rPr>
          <w:sz w:val="20"/>
          <w:szCs w:val="20"/>
          <w:color w:val="auto"/>
        </w:rPr>
      </w:pPr>
    </w:p>
    <w:p>
      <w:pPr>
        <w:ind w:right="60" w:firstLine="865"/>
        <w:spacing w:after="0" w:line="245" w:lineRule="auto"/>
        <w:rPr>
          <w:sz w:val="20"/>
          <w:szCs w:val="20"/>
          <w:color w:val="auto"/>
        </w:rPr>
      </w:pPr>
      <w:r>
        <w:rPr>
          <w:rFonts w:ascii="Arial" w:cs="Arial" w:eastAsia="Arial" w:hAnsi="Arial"/>
          <w:sz w:val="20"/>
          <w:szCs w:val="20"/>
          <w:color w:val="auto"/>
        </w:rPr>
        <w:t xml:space="preserve">Except as otherwise provided in this procedure or by mutual agreement of the parties, any arbitration shall be before a sole arbitrator (the “Arbitrator’) selected from Judicial Arbitration &amp; Mediation Services, Inc., Los Angeles County, California, or its successor (“JAMS”), or if JAMS is no longer able to supply the arbitrator, such arbitrator shall be selected from the American Arbitration Association, and shall be conducted in accordance with the provisions of California Civil Procedure Code Section 1280 </w:t>
      </w:r>
      <w:r>
        <w:rPr>
          <w:rFonts w:ascii="Arial" w:cs="Arial" w:eastAsia="Arial" w:hAnsi="Arial"/>
          <w:sz w:val="20"/>
          <w:szCs w:val="20"/>
          <w:i w:val="1"/>
          <w:iCs w:val="1"/>
          <w:color w:val="auto"/>
        </w:rPr>
        <w:t>et. seq.</w:t>
      </w:r>
      <w:r>
        <w:rPr>
          <w:rFonts w:ascii="Arial" w:cs="Arial" w:eastAsia="Arial" w:hAnsi="Arial"/>
          <w:sz w:val="20"/>
          <w:szCs w:val="20"/>
          <w:color w:val="auto"/>
        </w:rPr>
        <w:t xml:space="preserve"> as the exclusive remedy of such dispute.</w:t>
      </w:r>
    </w:p>
    <w:p>
      <w:pPr>
        <w:spacing w:after="0" w:line="170" w:lineRule="exact"/>
        <w:rPr>
          <w:sz w:val="20"/>
          <w:szCs w:val="20"/>
          <w:color w:val="auto"/>
        </w:rPr>
      </w:pPr>
    </w:p>
    <w:p>
      <w:pPr>
        <w:ind w:right="100" w:firstLine="865"/>
        <w:spacing w:after="0" w:line="261" w:lineRule="auto"/>
        <w:rPr>
          <w:sz w:val="20"/>
          <w:szCs w:val="20"/>
          <w:color w:val="auto"/>
        </w:rPr>
      </w:pPr>
      <w:r>
        <w:rPr>
          <w:rFonts w:ascii="Arial" w:cs="Arial" w:eastAsia="Arial" w:hAnsi="Arial"/>
          <w:sz w:val="19"/>
          <w:szCs w:val="19"/>
          <w:color w:val="auto"/>
        </w:rPr>
        <w:t>The Arbitrator shall interpret this Agreement, any applicable Company policy or rules and regulations, any applicable substantive law (and the law of remedies, if applicable) of the state in which the claim arose, or applicable federal law. In reaching his or her decision, the Arbitrator shall have no authority to change or modify any lawful Company policy, rule or regulation, or this Agreement. Except as provided in the next paragraph, the Arbitrator, and not any federal, state or local court or agency, shall have exclusive and broad authority to resolve any dispute relating to the interpretation, applicability, enforceability or formation of this</w:t>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203" w:name="page204"/>
    <w:bookmarkEnd w:id="203"/>
    <w:p>
      <w:pPr>
        <w:ind w:right="600"/>
        <w:spacing w:after="0" w:line="253" w:lineRule="auto"/>
        <w:rPr>
          <w:sz w:val="20"/>
          <w:szCs w:val="20"/>
          <w:color w:val="auto"/>
        </w:rPr>
      </w:pPr>
      <w:r>
        <w:rPr>
          <w:rFonts w:ascii="Arial" w:cs="Arial" w:eastAsia="Arial" w:hAnsi="Arial"/>
          <w:sz w:val="20"/>
          <w:szCs w:val="20"/>
          <w:color w:val="auto"/>
        </w:rPr>
        <w:t>Agreement, including but not limited to, any claim that all or any part of this Agreement is voidable. The Arbitrator shall have the authority to decide dispositive motions. Following the completion of the arbitration, the Arbitrator shall issue a written decision disclosing the essential findings and conclusions upon which the award is based.</w:t>
      </w:r>
    </w:p>
    <w:p>
      <w:pPr>
        <w:spacing w:after="0" w:line="160" w:lineRule="exact"/>
        <w:rPr>
          <w:sz w:val="20"/>
          <w:szCs w:val="20"/>
          <w:color w:val="auto"/>
        </w:rPr>
      </w:pPr>
    </w:p>
    <w:p>
      <w:pPr>
        <w:ind w:firstLine="865"/>
        <w:spacing w:after="0" w:line="259" w:lineRule="auto"/>
        <w:rPr>
          <w:sz w:val="20"/>
          <w:szCs w:val="20"/>
          <w:color w:val="auto"/>
        </w:rPr>
      </w:pPr>
      <w:r>
        <w:rPr>
          <w:rFonts w:ascii="Arial" w:cs="Arial" w:eastAsia="Arial" w:hAnsi="Arial"/>
          <w:sz w:val="19"/>
          <w:szCs w:val="19"/>
          <w:color w:val="auto"/>
        </w:rPr>
        <w:t>Notwithstanding the foregoing, provisional injunctive relief may, but need not, be sought by the Executive or the Company in a court of law while arbitration proceedings are pending, and any provisional injunctive relief granted by such court shall remain effective until the matter is finally resolved by the Arbitrator in accordance with the foregoing. Final resolution of any dispute through arbitration may include any remedy or relief which would otherwise be available at law and which the Arbitrator deems just and equitable. The Arbitrator shall have the authority to award full damages as provided by law. Any award or relief granted by the Arbitrator hereunder shall be final and binding on the parties hereto and may be enforced by any court of competent jurisdiction.</w:t>
      </w:r>
    </w:p>
    <w:p>
      <w:pPr>
        <w:spacing w:after="0" w:line="157" w:lineRule="exact"/>
        <w:rPr>
          <w:sz w:val="20"/>
          <w:szCs w:val="20"/>
          <w:color w:val="auto"/>
        </w:rPr>
      </w:pPr>
    </w:p>
    <w:p>
      <w:pPr>
        <w:jc w:val="both"/>
        <w:ind w:right="240" w:firstLine="865"/>
        <w:spacing w:after="0" w:line="272" w:lineRule="auto"/>
        <w:rPr>
          <w:sz w:val="20"/>
          <w:szCs w:val="20"/>
          <w:color w:val="auto"/>
        </w:rPr>
      </w:pPr>
      <w:r>
        <w:rPr>
          <w:rFonts w:ascii="Arial" w:cs="Arial" w:eastAsia="Arial" w:hAnsi="Arial"/>
          <w:sz w:val="19"/>
          <w:szCs w:val="19"/>
          <w:color w:val="auto"/>
        </w:rPr>
        <w:t>The Company shall pay the reasonable fees and expenses of the Arbitrator and a stenographic reporter, if employed, and any other costs associated with the arbitration that are unique to arbitration. Each party shall pay its own legal fees and other expenses and costs incurred with respect to the arbitration as and to the same extent as if the matter were being heard in court.</w:t>
      </w:r>
    </w:p>
    <w:p>
      <w:pPr>
        <w:spacing w:after="0" w:line="200" w:lineRule="exact"/>
        <w:rPr>
          <w:sz w:val="20"/>
          <w:szCs w:val="20"/>
          <w:color w:val="auto"/>
        </w:rPr>
      </w:pPr>
    </w:p>
    <w:p>
      <w:pPr>
        <w:spacing w:after="0" w:line="346" w:lineRule="exact"/>
        <w:rPr>
          <w:sz w:val="20"/>
          <w:szCs w:val="20"/>
          <w:color w:val="auto"/>
        </w:rPr>
      </w:pPr>
    </w:p>
    <w:p>
      <w:pPr>
        <w:ind w:left="4940"/>
        <w:spacing w:after="0"/>
        <w:rPr>
          <w:sz w:val="20"/>
          <w:szCs w:val="20"/>
          <w:color w:val="auto"/>
        </w:rPr>
      </w:pPr>
      <w:r>
        <w:rPr>
          <w:rFonts w:ascii="Arial" w:cs="Arial" w:eastAsia="Arial" w:hAnsi="Arial"/>
          <w:sz w:val="20"/>
          <w:szCs w:val="20"/>
          <w:b w:val="1"/>
          <w:bCs w:val="1"/>
          <w:color w:val="auto"/>
        </w:rPr>
        <w:t>ARTICLE VIII</w:t>
      </w:r>
    </w:p>
    <w:p>
      <w:pPr>
        <w:spacing w:after="0" w:line="20"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SUCCESSORS</w:t>
      </w:r>
    </w:p>
    <w:p>
      <w:pPr>
        <w:spacing w:after="0" w:line="183" w:lineRule="exact"/>
        <w:rPr>
          <w:sz w:val="20"/>
          <w:szCs w:val="20"/>
          <w:color w:val="auto"/>
        </w:rPr>
      </w:pPr>
    </w:p>
    <w:p>
      <w:pPr>
        <w:ind w:right="40" w:firstLine="865"/>
        <w:spacing w:after="0" w:line="243" w:lineRule="auto"/>
        <w:rPr>
          <w:sz w:val="20"/>
          <w:szCs w:val="20"/>
          <w:color w:val="auto"/>
        </w:rPr>
      </w:pPr>
      <w:r>
        <w:rPr>
          <w:rFonts w:ascii="Arial" w:cs="Arial" w:eastAsia="Arial" w:hAnsi="Arial"/>
          <w:sz w:val="20"/>
          <w:szCs w:val="20"/>
          <w:color w:val="auto"/>
        </w:rPr>
        <w:t>The Company will require any successor (whether direct or indirect, by purchase, merger, consolidation, or otherwise) of all or substantially all of the business and/or assets of the Company or of any division or subsidiary thereof (the business and/or assets of which constitute at least fifty-one percent (51%) of the total business and/or assets of the Company) to expressly assume and agree to perform the Company’s obligations under this Agreement in the same manner and to the same extent that the Company would be required to perform them if no such succession had taken place. Failure of the Company to obtain such assumption and agreement in a written instrument prior to the effective date of any such succession shall be a breach of this Agreement and shall entitle the Executive to the benefits provided under this Agreement.</w:t>
      </w:r>
    </w:p>
    <w:p>
      <w:pPr>
        <w:spacing w:after="0" w:line="170" w:lineRule="exact"/>
        <w:rPr>
          <w:sz w:val="20"/>
          <w:szCs w:val="20"/>
          <w:color w:val="auto"/>
        </w:rPr>
      </w:pPr>
    </w:p>
    <w:p>
      <w:pPr>
        <w:ind w:right="20" w:firstLine="865"/>
        <w:spacing w:after="0" w:line="248" w:lineRule="auto"/>
        <w:rPr>
          <w:sz w:val="20"/>
          <w:szCs w:val="20"/>
          <w:color w:val="auto"/>
        </w:rPr>
      </w:pPr>
      <w:r>
        <w:rPr>
          <w:rFonts w:ascii="Arial" w:cs="Arial" w:eastAsia="Arial" w:hAnsi="Arial"/>
          <w:sz w:val="20"/>
          <w:szCs w:val="20"/>
          <w:color w:val="auto"/>
        </w:rPr>
        <w:t>This Agreement shall inure to the benefit of and be enforceable by the Executive’s personal or legal representatives, trustees, executors, administrators, successors, heirs, distributees, devisees, and legatees. If the Executive should die while any amount would still be payable to him hereunder had he continued to live, all such amounts, unless otherwise provided herein, shall be paid to the Executive’s Beneficiary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0">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00"/>
          </w:cols>
          <w:pgMar w:left="320" w:top="752" w:right="379" w:bottom="1440" w:gutter="0" w:footer="0" w:header="0"/>
        </w:sectPr>
      </w:pPr>
    </w:p>
    <w:bookmarkStart w:id="204" w:name="page205"/>
    <w:bookmarkEnd w:id="204"/>
    <w:tbl>
      <w:tblPr>
        <w:tblLayout w:type="fixed"/>
        <w:tblInd w:w="174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8240" w:type="dxa"/>
            <w:vAlign w:val="bottom"/>
          </w:tcPr>
          <w:p>
            <w:pPr>
              <w:jc w:val="center"/>
              <w:ind w:right="2699"/>
              <w:spacing w:after="0"/>
              <w:rPr>
                <w:sz w:val="20"/>
                <w:szCs w:val="20"/>
                <w:color w:val="auto"/>
              </w:rPr>
            </w:pPr>
            <w:r>
              <w:rPr>
                <w:rFonts w:ascii="Arial" w:cs="Arial" w:eastAsia="Arial" w:hAnsi="Arial"/>
                <w:sz w:val="20"/>
                <w:szCs w:val="20"/>
                <w:b w:val="1"/>
                <w:bCs w:val="1"/>
                <w:color w:val="auto"/>
              </w:rPr>
              <w:t>ARTICLE IX</w:t>
            </w:r>
          </w:p>
        </w:tc>
      </w:tr>
      <w:tr>
        <w:trPr>
          <w:trHeight w:val="263"/>
        </w:trPr>
        <w:tc>
          <w:tcPr>
            <w:tcW w:w="1160" w:type="dxa"/>
            <w:vAlign w:val="bottom"/>
          </w:tcPr>
          <w:p>
            <w:pPr>
              <w:spacing w:after="0"/>
              <w:rPr>
                <w:sz w:val="22"/>
                <w:szCs w:val="22"/>
                <w:color w:val="auto"/>
              </w:rPr>
            </w:pPr>
          </w:p>
        </w:tc>
        <w:tc>
          <w:tcPr>
            <w:tcW w:w="8240" w:type="dxa"/>
            <w:vAlign w:val="bottom"/>
          </w:tcPr>
          <w:p>
            <w:pPr>
              <w:jc w:val="center"/>
              <w:ind w:right="2679"/>
              <w:spacing w:after="0"/>
              <w:rPr>
                <w:sz w:val="20"/>
                <w:szCs w:val="20"/>
                <w:color w:val="auto"/>
              </w:rPr>
            </w:pPr>
            <w:r>
              <w:rPr>
                <w:rFonts w:ascii="Arial" w:cs="Arial" w:eastAsia="Arial" w:hAnsi="Arial"/>
                <w:sz w:val="20"/>
                <w:szCs w:val="20"/>
                <w:b w:val="1"/>
                <w:bCs w:val="1"/>
                <w:color w:val="auto"/>
              </w:rPr>
              <w:t>MISCELLANEOUS</w:t>
            </w:r>
          </w:p>
        </w:tc>
      </w:tr>
      <w:tr>
        <w:trPr>
          <w:trHeight w:val="419"/>
        </w:trPr>
        <w:tc>
          <w:tcPr>
            <w:tcW w:w="1160" w:type="dxa"/>
            <w:vAlign w:val="bottom"/>
          </w:tcPr>
          <w:p>
            <w:pPr>
              <w:jc w:val="right"/>
              <w:ind w:right="819"/>
              <w:spacing w:after="0"/>
              <w:rPr>
                <w:sz w:val="20"/>
                <w:szCs w:val="20"/>
                <w:color w:val="auto"/>
              </w:rPr>
            </w:pPr>
            <w:r>
              <w:rPr>
                <w:rFonts w:ascii="Arial" w:cs="Arial" w:eastAsia="Arial" w:hAnsi="Arial"/>
                <w:sz w:val="20"/>
                <w:szCs w:val="20"/>
                <w:b w:val="1"/>
                <w:bCs w:val="1"/>
                <w:color w:val="auto"/>
                <w:w w:val="78"/>
              </w:rPr>
              <w:t>9.1</w:t>
            </w:r>
          </w:p>
        </w:tc>
        <w:tc>
          <w:tcPr>
            <w:tcW w:w="8240" w:type="dxa"/>
            <w:vAlign w:val="bottom"/>
          </w:tcPr>
          <w:p>
            <w:pPr>
              <w:ind w:left="900"/>
              <w:spacing w:after="0"/>
              <w:rPr>
                <w:sz w:val="20"/>
                <w:szCs w:val="20"/>
                <w:color w:val="auto"/>
              </w:rPr>
            </w:pPr>
            <w:r>
              <w:rPr>
                <w:rFonts w:ascii="Arial" w:cs="Arial" w:eastAsia="Arial" w:hAnsi="Arial"/>
                <w:sz w:val="20"/>
                <w:szCs w:val="20"/>
                <w:b w:val="1"/>
                <w:bCs w:val="1"/>
                <w:color w:val="auto"/>
                <w:w w:val="91"/>
              </w:rPr>
              <w:t xml:space="preserve">Release and Agreement. </w:t>
            </w:r>
            <w:r>
              <w:rPr>
                <w:rFonts w:ascii="Arial" w:cs="Arial" w:eastAsia="Arial" w:hAnsi="Arial"/>
                <w:sz w:val="20"/>
                <w:szCs w:val="20"/>
                <w:color w:val="auto"/>
                <w:w w:val="91"/>
              </w:rPr>
              <w:t>Notwithstanding anything else contained herein to the contrary,</w:t>
            </w:r>
          </w:p>
        </w:tc>
      </w:tr>
    </w:tbl>
    <w:p>
      <w:pPr>
        <w:spacing w:after="0" w:line="241" w:lineRule="auto"/>
        <w:rPr>
          <w:sz w:val="20"/>
          <w:szCs w:val="20"/>
          <w:color w:val="auto"/>
        </w:rPr>
      </w:pPr>
      <w:r>
        <w:rPr>
          <w:rFonts w:ascii="Arial" w:cs="Arial" w:eastAsia="Arial" w:hAnsi="Arial"/>
          <w:sz w:val="20"/>
          <w:szCs w:val="20"/>
          <w:color w:val="auto"/>
        </w:rPr>
        <w:t xml:space="preserve">the Company’s obligation to pay benefits hereunder to the Executive is subject to the condition precedent that the Executive execute a valid and effective Severance Agreement in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such other form, which is substantially the same as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as the Committee may require) and such executed agreement is received by the Company and is not revoked by the Executive or otherwise rendered unenforceable by the Executive.</w:t>
      </w:r>
    </w:p>
    <w:p>
      <w:pPr>
        <w:spacing w:after="0" w:line="170" w:lineRule="exact"/>
        <w:rPr>
          <w:sz w:val="20"/>
          <w:szCs w:val="20"/>
          <w:color w:val="auto"/>
        </w:rPr>
      </w:pPr>
    </w:p>
    <w:p>
      <w:pPr>
        <w:ind w:right="40" w:firstLine="1729"/>
        <w:spacing w:after="0" w:line="249" w:lineRule="auto"/>
        <w:rPr>
          <w:sz w:val="20"/>
          <w:szCs w:val="20"/>
          <w:color w:val="auto"/>
        </w:rPr>
      </w:pPr>
      <w:r>
        <w:rPr>
          <w:rFonts w:ascii="Arial" w:cs="Arial" w:eastAsia="Arial" w:hAnsi="Arial"/>
          <w:sz w:val="20"/>
          <w:szCs w:val="20"/>
          <w:b w:val="1"/>
          <w:bCs w:val="1"/>
          <w:color w:val="auto"/>
        </w:rPr>
        <w:t>9.2 Employment Status</w:t>
      </w:r>
      <w:r>
        <w:rPr>
          <w:rFonts w:ascii="Arial" w:cs="Arial" w:eastAsia="Arial" w:hAnsi="Arial"/>
          <w:sz w:val="20"/>
          <w:szCs w:val="20"/>
          <w:color w:val="auto"/>
        </w:rPr>
        <w:t>. The Executive and the Company acknowledge that, except as may</w:t>
      </w:r>
      <w:r>
        <w:rPr>
          <w:rFonts w:ascii="Arial" w:cs="Arial" w:eastAsia="Arial" w:hAnsi="Arial"/>
          <w:sz w:val="20"/>
          <w:szCs w:val="20"/>
          <w:b w:val="1"/>
          <w:bCs w:val="1"/>
          <w:color w:val="auto"/>
        </w:rPr>
        <w:t xml:space="preserve"> </w:t>
      </w:r>
      <w:r>
        <w:rPr>
          <w:rFonts w:ascii="Arial" w:cs="Arial" w:eastAsia="Arial" w:hAnsi="Arial"/>
          <w:sz w:val="20"/>
          <w:szCs w:val="20"/>
          <w:color w:val="auto"/>
        </w:rPr>
        <w:t>be provided under any other written agreement between the Executive and the Company, the employment of the Executive by the Company is “at will,” and may be terminated by either the Executive or the Company at any time, subject to applicable law and subject to the express provisions of Article 2.</w:t>
      </w:r>
    </w:p>
    <w:p>
      <w:pPr>
        <w:spacing w:after="0" w:line="161" w:lineRule="exact"/>
        <w:rPr>
          <w:sz w:val="20"/>
          <w:szCs w:val="20"/>
          <w:color w:val="auto"/>
        </w:rPr>
      </w:pPr>
    </w:p>
    <w:p>
      <w:pPr>
        <w:ind w:right="120" w:firstLine="1729"/>
        <w:spacing w:after="0" w:line="249" w:lineRule="auto"/>
        <w:rPr>
          <w:sz w:val="20"/>
          <w:szCs w:val="20"/>
          <w:color w:val="auto"/>
        </w:rPr>
      </w:pPr>
      <w:r>
        <w:rPr>
          <w:rFonts w:ascii="Arial" w:cs="Arial" w:eastAsia="Arial" w:hAnsi="Arial"/>
          <w:sz w:val="20"/>
          <w:szCs w:val="20"/>
          <w:b w:val="1"/>
          <w:bCs w:val="1"/>
          <w:color w:val="auto"/>
        </w:rPr>
        <w:t>9.3 Beneficiaries</w:t>
      </w:r>
      <w:r>
        <w:rPr>
          <w:rFonts w:ascii="Arial" w:cs="Arial" w:eastAsia="Arial" w:hAnsi="Arial"/>
          <w:sz w:val="20"/>
          <w:szCs w:val="20"/>
          <w:color w:val="auto"/>
        </w:rPr>
        <w:t>. Subject to the other provisions of this Section 9.3, the person or persons</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a trustee, personal representative or other fiduciary) last designated in writing by the Executive in accordance with procedures established by the Committee to receive the benefits specified hereunder in the event of the Executive’s death shall be the Executive’s Beneficiary or Beneficiaries.</w:t>
      </w:r>
    </w:p>
    <w:p>
      <w:pPr>
        <w:spacing w:after="0" w:line="165" w:lineRule="exact"/>
        <w:rPr>
          <w:sz w:val="20"/>
          <w:szCs w:val="20"/>
          <w:color w:val="auto"/>
        </w:rPr>
      </w:pPr>
    </w:p>
    <w:p>
      <w:pPr>
        <w:ind w:right="100" w:firstLine="865"/>
        <w:spacing w:after="0" w:line="253" w:lineRule="auto"/>
        <w:rPr>
          <w:sz w:val="20"/>
          <w:szCs w:val="20"/>
          <w:color w:val="auto"/>
        </w:rPr>
      </w:pPr>
      <w:r>
        <w:rPr>
          <w:rFonts w:ascii="Arial" w:cs="Arial" w:eastAsia="Arial" w:hAnsi="Arial"/>
          <w:sz w:val="20"/>
          <w:szCs w:val="20"/>
          <w:color w:val="auto"/>
        </w:rPr>
        <w:t>No beneficiary designation shall become effective until it is filed with the Committee, and no beneficiary designation of someone other than the Executive’s spouse shall be effective unless such designation is consented to by the Executive’s spouse on a form provided by and in accordance with procedures established by the Committee.</w:t>
      </w:r>
    </w:p>
    <w:p>
      <w:pPr>
        <w:spacing w:after="0" w:line="160" w:lineRule="exact"/>
        <w:rPr>
          <w:sz w:val="20"/>
          <w:szCs w:val="20"/>
          <w:color w:val="auto"/>
        </w:rPr>
      </w:pPr>
    </w:p>
    <w:p>
      <w:pPr>
        <w:ind w:right="20" w:firstLine="865"/>
        <w:spacing w:after="0" w:line="256" w:lineRule="auto"/>
        <w:rPr>
          <w:sz w:val="20"/>
          <w:szCs w:val="20"/>
          <w:color w:val="auto"/>
        </w:rPr>
      </w:pPr>
      <w:r>
        <w:rPr>
          <w:rFonts w:ascii="Arial" w:cs="Arial" w:eastAsia="Arial" w:hAnsi="Arial"/>
          <w:sz w:val="19"/>
          <w:szCs w:val="19"/>
          <w:color w:val="auto"/>
        </w:rPr>
        <w:t>If there is no Beneficiary designation in effect, or if there is no surviving designated Beneficiary, then the Executive’s surviving spouse shall be the Beneficiary. If there is no surviving spouse to receive any benefits payable in accordance with the preceding sentence, the duly appointed and currently acting personal representative of the Executive’s estate (which shall include either the Executive’s probate estate or living trust) shall be the Beneficiary. In any case where there is no such personal representative of the Executive’s estate duly appointed and acting in that capacity within 90 days after the Executive’s death (or such extended period as the Committee determines is reasonably necessary to allow such personal representative to be appointed, but not to exceed 180 days after the Executive’s death), then Beneficiary shall mean the person or persons who can verify by affidavit or court order to the satisfaction of the Committee that they are legally entitled to receive the benefits specified hereunder.</w:t>
      </w:r>
    </w:p>
    <w:p>
      <w:pPr>
        <w:spacing w:after="0" w:line="164" w:lineRule="exact"/>
        <w:rPr>
          <w:sz w:val="20"/>
          <w:szCs w:val="20"/>
          <w:color w:val="auto"/>
        </w:rPr>
      </w:pPr>
    </w:p>
    <w:p>
      <w:pPr>
        <w:ind w:right="340" w:firstLine="865"/>
        <w:spacing w:after="0" w:line="279" w:lineRule="auto"/>
        <w:rPr>
          <w:sz w:val="20"/>
          <w:szCs w:val="20"/>
          <w:color w:val="auto"/>
        </w:rPr>
      </w:pPr>
      <w:r>
        <w:rPr>
          <w:rFonts w:ascii="Arial" w:cs="Arial" w:eastAsia="Arial" w:hAnsi="Arial"/>
          <w:sz w:val="18"/>
          <w:szCs w:val="18"/>
          <w:color w:val="auto"/>
        </w:rPr>
        <w:t>Notwithstanding anything else herein to the contrary, in the event any amount is payable under this Agreement to a minor, payment shall not be made to the minor, but instead be paid: (a) to that person’s living parent(s) to act as custodian; (b) if that person’s parents are then divorced, and one parent is the sole custodial parent, to such custodial parent; or (c) if no parent of that person is then living, to a custodian selected by the Committee to hold the funds for the minor under the Uniform Transfers or Gifts to Minors Act in effect in the jurisdiction in which the minor resides. If no parent is living and the Committee decides not to select another</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1">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205" w:name="page206"/>
    <w:bookmarkEnd w:id="205"/>
    <w:p>
      <w:pPr>
        <w:ind w:right="20"/>
        <w:spacing w:after="0" w:line="272" w:lineRule="auto"/>
        <w:rPr>
          <w:sz w:val="20"/>
          <w:szCs w:val="20"/>
          <w:color w:val="auto"/>
        </w:rPr>
      </w:pPr>
      <w:r>
        <w:rPr>
          <w:rFonts w:ascii="Arial" w:cs="Arial" w:eastAsia="Arial" w:hAnsi="Arial"/>
          <w:sz w:val="19"/>
          <w:szCs w:val="19"/>
          <w:color w:val="auto"/>
        </w:rPr>
        <w:t>custodian to hold the funds for the minor, then payment shall be made to the duly appointed and currently acting guardian of the estate for the minor or, if no guardian of the estate for the minor is duly appointed and currently acting within 60 days after the date the amount becomes payable, payment shall be deposited with the court having jurisdiction over the estate of the minor.</w:t>
      </w:r>
    </w:p>
    <w:p>
      <w:pPr>
        <w:spacing w:after="0" w:line="141" w:lineRule="exact"/>
        <w:rPr>
          <w:sz w:val="20"/>
          <w:szCs w:val="20"/>
          <w:color w:val="auto"/>
        </w:rPr>
      </w:pPr>
    </w:p>
    <w:p>
      <w:pPr>
        <w:ind w:right="360" w:firstLine="1729"/>
        <w:spacing w:after="0" w:line="255" w:lineRule="auto"/>
        <w:rPr>
          <w:sz w:val="20"/>
          <w:szCs w:val="20"/>
          <w:color w:val="auto"/>
        </w:rPr>
      </w:pPr>
      <w:r>
        <w:rPr>
          <w:rFonts w:ascii="Arial" w:cs="Arial" w:eastAsia="Arial" w:hAnsi="Arial"/>
          <w:sz w:val="20"/>
          <w:szCs w:val="20"/>
          <w:b w:val="1"/>
          <w:bCs w:val="1"/>
          <w:color w:val="auto"/>
        </w:rPr>
        <w:t xml:space="preserve">9.4 Entire Agreement. </w:t>
      </w:r>
      <w:r>
        <w:rPr>
          <w:rFonts w:ascii="Arial" w:cs="Arial" w:eastAsia="Arial" w:hAnsi="Arial"/>
          <w:sz w:val="20"/>
          <w:szCs w:val="20"/>
          <w:color w:val="auto"/>
        </w:rPr>
        <w:t>This Agreement, including the Exhibits hereto, contains the entire</w:t>
      </w:r>
      <w:r>
        <w:rPr>
          <w:rFonts w:ascii="Arial" w:cs="Arial" w:eastAsia="Arial" w:hAnsi="Arial"/>
          <w:sz w:val="20"/>
          <w:szCs w:val="20"/>
          <w:b w:val="1"/>
          <w:bCs w:val="1"/>
          <w:color w:val="auto"/>
        </w:rPr>
        <w:t xml:space="preserve"> </w:t>
      </w:r>
      <w:r>
        <w:rPr>
          <w:rFonts w:ascii="Arial" w:cs="Arial" w:eastAsia="Arial" w:hAnsi="Arial"/>
          <w:sz w:val="20"/>
          <w:szCs w:val="20"/>
          <w:color w:val="auto"/>
        </w:rPr>
        <w:t>understanding of the Company and the Executive, and supersedes and replaces all prior negotiations and all agreements proposed or otherwise, whether written or oral, with respect to the subject matter hereof.</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900" w:type="dxa"/>
            <w:vAlign w:val="bottom"/>
          </w:tcPr>
          <w:p>
            <w:pPr>
              <w:jc w:val="right"/>
              <w:ind w:right="819"/>
              <w:spacing w:after="0"/>
              <w:rPr>
                <w:sz w:val="20"/>
                <w:szCs w:val="20"/>
                <w:color w:val="auto"/>
              </w:rPr>
            </w:pPr>
            <w:r>
              <w:rPr>
                <w:rFonts w:ascii="Arial" w:cs="Arial" w:eastAsia="Arial" w:hAnsi="Arial"/>
                <w:sz w:val="20"/>
                <w:szCs w:val="20"/>
                <w:b w:val="1"/>
                <w:bCs w:val="1"/>
                <w:color w:val="auto"/>
              </w:rPr>
              <w:t>9.5</w:t>
            </w:r>
          </w:p>
        </w:tc>
        <w:tc>
          <w:tcPr>
            <w:tcW w:w="8200" w:type="dxa"/>
            <w:vAlign w:val="bottom"/>
          </w:tcPr>
          <w:p>
            <w:pPr>
              <w:ind w:left="900"/>
              <w:spacing w:after="0"/>
              <w:rPr>
                <w:sz w:val="20"/>
                <w:szCs w:val="20"/>
                <w:color w:val="auto"/>
              </w:rPr>
            </w:pPr>
            <w:r>
              <w:rPr>
                <w:rFonts w:ascii="Arial" w:cs="Arial" w:eastAsia="Arial" w:hAnsi="Arial"/>
                <w:sz w:val="20"/>
                <w:szCs w:val="20"/>
                <w:b w:val="1"/>
                <w:bCs w:val="1"/>
                <w:color w:val="auto"/>
                <w:w w:val="95"/>
              </w:rPr>
              <w:t>Gender and Number</w:t>
            </w:r>
            <w:r>
              <w:rPr>
                <w:rFonts w:ascii="Arial" w:cs="Arial" w:eastAsia="Arial" w:hAnsi="Arial"/>
                <w:sz w:val="20"/>
                <w:szCs w:val="20"/>
                <w:color w:val="auto"/>
                <w:w w:val="95"/>
              </w:rPr>
              <w:t>. Except where otherwise indicated by the context any masculine</w:t>
            </w:r>
          </w:p>
        </w:tc>
      </w:tr>
      <w:tr>
        <w:trPr>
          <w:trHeight w:val="259"/>
        </w:trPr>
        <w:tc>
          <w:tcPr>
            <w:tcW w:w="11100" w:type="dxa"/>
            <w:vAlign w:val="bottom"/>
            <w:gridSpan w:val="2"/>
          </w:tcPr>
          <w:p>
            <w:pPr>
              <w:spacing w:after="0"/>
              <w:rPr>
                <w:sz w:val="20"/>
                <w:szCs w:val="20"/>
                <w:color w:val="auto"/>
              </w:rPr>
            </w:pPr>
            <w:r>
              <w:rPr>
                <w:rFonts w:ascii="Arial" w:cs="Arial" w:eastAsia="Arial" w:hAnsi="Arial"/>
                <w:sz w:val="20"/>
                <w:szCs w:val="20"/>
                <w:color w:val="auto"/>
              </w:rPr>
              <w:t>term used herein also shall include the feminine, the plural shall include the singular, and the singular shall include the plural.</w:t>
            </w:r>
          </w:p>
        </w:tc>
      </w:tr>
      <w:tr>
        <w:trPr>
          <w:trHeight w:val="419"/>
        </w:trPr>
        <w:tc>
          <w:tcPr>
            <w:tcW w:w="2900" w:type="dxa"/>
            <w:vAlign w:val="bottom"/>
          </w:tcPr>
          <w:p>
            <w:pPr>
              <w:jc w:val="right"/>
              <w:ind w:right="819"/>
              <w:spacing w:after="0"/>
              <w:rPr>
                <w:sz w:val="20"/>
                <w:szCs w:val="20"/>
                <w:color w:val="auto"/>
              </w:rPr>
            </w:pPr>
            <w:r>
              <w:rPr>
                <w:rFonts w:ascii="Arial" w:cs="Arial" w:eastAsia="Arial" w:hAnsi="Arial"/>
                <w:sz w:val="20"/>
                <w:szCs w:val="20"/>
                <w:b w:val="1"/>
                <w:bCs w:val="1"/>
                <w:color w:val="auto"/>
              </w:rPr>
              <w:t>9.6</w:t>
            </w:r>
          </w:p>
        </w:tc>
        <w:tc>
          <w:tcPr>
            <w:tcW w:w="8200" w:type="dxa"/>
            <w:vAlign w:val="bottom"/>
          </w:tcPr>
          <w:p>
            <w:pPr>
              <w:ind w:left="900"/>
              <w:spacing w:after="0"/>
              <w:rPr>
                <w:sz w:val="20"/>
                <w:szCs w:val="20"/>
                <w:color w:val="auto"/>
              </w:rPr>
            </w:pPr>
            <w:r>
              <w:rPr>
                <w:rFonts w:ascii="Arial" w:cs="Arial" w:eastAsia="Arial" w:hAnsi="Arial"/>
                <w:sz w:val="20"/>
                <w:szCs w:val="20"/>
                <w:b w:val="1"/>
                <w:bCs w:val="1"/>
                <w:color w:val="auto"/>
                <w:w w:val="94"/>
              </w:rPr>
              <w:t>Severability</w:t>
            </w:r>
            <w:r>
              <w:rPr>
                <w:rFonts w:ascii="Arial" w:cs="Arial" w:eastAsia="Arial" w:hAnsi="Arial"/>
                <w:sz w:val="20"/>
                <w:szCs w:val="20"/>
                <w:color w:val="auto"/>
                <w:w w:val="94"/>
              </w:rPr>
              <w:t>. In the event any provision of this Agreement shall be held illegal or invalid</w:t>
            </w:r>
          </w:p>
        </w:tc>
      </w:tr>
    </w:tbl>
    <w:p>
      <w:pPr>
        <w:ind w:right="300"/>
        <w:spacing w:after="0" w:line="243" w:lineRule="auto"/>
        <w:rPr>
          <w:sz w:val="20"/>
          <w:szCs w:val="20"/>
          <w:color w:val="auto"/>
        </w:rPr>
      </w:pPr>
      <w:r>
        <w:rPr>
          <w:rFonts w:ascii="Arial" w:cs="Arial" w:eastAsia="Arial" w:hAnsi="Arial"/>
          <w:sz w:val="20"/>
          <w:szCs w:val="20"/>
          <w:color w:val="auto"/>
        </w:rPr>
        <w:t>for any reason, the illegality or invalidity shall not affect the remaining parts of this Agreement, and this Agreement shall be construed and enforced as if the illegal or invalid provision had not been included. Further, the captions of this Agreement are not part of the provisions hereof and shall have no force and effect.</w:t>
      </w:r>
    </w:p>
    <w:p>
      <w:pPr>
        <w:spacing w:after="0" w:line="167" w:lineRule="exact"/>
        <w:rPr>
          <w:sz w:val="20"/>
          <w:szCs w:val="20"/>
          <w:color w:val="auto"/>
        </w:rPr>
      </w:pPr>
    </w:p>
    <w:p>
      <w:pPr>
        <w:ind w:firstLine="1729"/>
        <w:spacing w:after="0" w:line="255" w:lineRule="auto"/>
        <w:rPr>
          <w:sz w:val="20"/>
          <w:szCs w:val="20"/>
          <w:color w:val="auto"/>
        </w:rPr>
      </w:pPr>
      <w:r>
        <w:rPr>
          <w:rFonts w:ascii="Arial" w:cs="Arial" w:eastAsia="Arial" w:hAnsi="Arial"/>
          <w:sz w:val="20"/>
          <w:szCs w:val="20"/>
          <w:b w:val="1"/>
          <w:bCs w:val="1"/>
          <w:color w:val="auto"/>
        </w:rPr>
        <w:t xml:space="preserve">9.7 Modification. </w:t>
      </w:r>
      <w:r>
        <w:rPr>
          <w:rFonts w:ascii="Arial" w:cs="Arial" w:eastAsia="Arial" w:hAnsi="Arial"/>
          <w:sz w:val="20"/>
          <w:szCs w:val="20"/>
          <w:color w:val="auto"/>
        </w:rPr>
        <w:t>No provision of this Agreement may be modified, waived, or discharged</w:t>
      </w:r>
      <w:r>
        <w:rPr>
          <w:rFonts w:ascii="Arial" w:cs="Arial" w:eastAsia="Arial" w:hAnsi="Arial"/>
          <w:sz w:val="20"/>
          <w:szCs w:val="20"/>
          <w:b w:val="1"/>
          <w:bCs w:val="1"/>
          <w:color w:val="auto"/>
        </w:rPr>
        <w:t xml:space="preserve"> </w:t>
      </w:r>
      <w:r>
        <w:rPr>
          <w:rFonts w:ascii="Arial" w:cs="Arial" w:eastAsia="Arial" w:hAnsi="Arial"/>
          <w:sz w:val="20"/>
          <w:szCs w:val="20"/>
          <w:color w:val="auto"/>
        </w:rPr>
        <w:t>unless such modification, waiver, or discharge is agreed to in writing and signed by the Executive (or the Executive’s legal representative) and by an authorized member of the Committee (or the Board) or its designee or legal representative.</w:t>
      </w:r>
    </w:p>
    <w:p>
      <w:pPr>
        <w:spacing w:after="0" w:line="154" w:lineRule="exact"/>
        <w:rPr>
          <w:sz w:val="20"/>
          <w:szCs w:val="20"/>
          <w:color w:val="auto"/>
        </w:rPr>
      </w:pPr>
    </w:p>
    <w:p>
      <w:pPr>
        <w:ind w:right="60" w:firstLine="1729"/>
        <w:spacing w:after="0" w:line="275" w:lineRule="auto"/>
        <w:rPr>
          <w:sz w:val="20"/>
          <w:szCs w:val="20"/>
          <w:color w:val="auto"/>
        </w:rPr>
      </w:pPr>
      <w:r>
        <w:rPr>
          <w:rFonts w:ascii="Arial" w:cs="Arial" w:eastAsia="Arial" w:hAnsi="Arial"/>
          <w:sz w:val="18"/>
          <w:szCs w:val="18"/>
          <w:b w:val="1"/>
          <w:bCs w:val="1"/>
          <w:color w:val="auto"/>
        </w:rPr>
        <w:t xml:space="preserve">9.8 Notice. </w:t>
      </w:r>
      <w:r>
        <w:rPr>
          <w:rFonts w:ascii="Arial" w:cs="Arial" w:eastAsia="Arial" w:hAnsi="Arial"/>
          <w:sz w:val="18"/>
          <w:szCs w:val="18"/>
          <w:color w:val="auto"/>
        </w:rPr>
        <w:t>For purposes of this Agreement, notices, including Notice of Termination,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communications provided for in this Agreement shall be in writing and shall be deemed to have been duly given when delivered or on the date stamped as received by the U.S. Postal Service for delivery by certified or registered mail, postage prepaid and addressed: (a) if to the Executive, to his or her latest address as reflected on the records of the Company, and (b) if to the Company, to Parsons Corporation, 100 West Walnut Street, Pasadena, California 91124, Attn: Chair, Compensation Committee, or to such other address as either party may furnish to the other in writing for the delivery of notices to that party, with specific reference to this Agreement and the importance of the notice, except that a notice of change of address shall be effective only upon receipt by the other party.</w:t>
      </w:r>
    </w:p>
    <w:p>
      <w:pPr>
        <w:spacing w:after="0" w:line="140" w:lineRule="exact"/>
        <w:rPr>
          <w:sz w:val="20"/>
          <w:szCs w:val="20"/>
          <w:color w:val="auto"/>
        </w:rPr>
      </w:pPr>
    </w:p>
    <w:p>
      <w:pPr>
        <w:ind w:firstLine="1729"/>
        <w:spacing w:after="0" w:line="249" w:lineRule="auto"/>
        <w:rPr>
          <w:sz w:val="20"/>
          <w:szCs w:val="20"/>
          <w:color w:val="auto"/>
        </w:rPr>
      </w:pPr>
      <w:r>
        <w:rPr>
          <w:rFonts w:ascii="Arial" w:cs="Arial" w:eastAsia="Arial" w:hAnsi="Arial"/>
          <w:sz w:val="20"/>
          <w:szCs w:val="20"/>
          <w:b w:val="1"/>
          <w:bCs w:val="1"/>
          <w:color w:val="auto"/>
        </w:rPr>
        <w:t xml:space="preserve">9.9 Applicable Law. </w:t>
      </w:r>
      <w:r>
        <w:rPr>
          <w:rFonts w:ascii="Arial" w:cs="Arial" w:eastAsia="Arial" w:hAnsi="Arial"/>
          <w:sz w:val="20"/>
          <w:szCs w:val="20"/>
          <w:color w:val="auto"/>
        </w:rPr>
        <w:t>To the extent not preempted by the laws of the United States, the laws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State of California shall be the controlling law in all matters relating to this Agreement, without regard to principles of conflicts of laws. Any statutory reference in this Agreement shall also be deemed to refer to all final rules and final regulations promulgated under or with respect to the referenced statutory provision.</w:t>
      </w:r>
    </w:p>
    <w:p>
      <w:pPr>
        <w:spacing w:after="0" w:line="161" w:lineRule="exact"/>
        <w:rPr>
          <w:sz w:val="20"/>
          <w:szCs w:val="20"/>
          <w:color w:val="auto"/>
        </w:rPr>
      </w:pPr>
    </w:p>
    <w:p>
      <w:pPr>
        <w:ind w:right="80" w:firstLine="1729"/>
        <w:spacing w:after="0" w:line="249" w:lineRule="auto"/>
        <w:rPr>
          <w:sz w:val="20"/>
          <w:szCs w:val="20"/>
          <w:color w:val="auto"/>
        </w:rPr>
      </w:pPr>
      <w:r>
        <w:rPr>
          <w:rFonts w:ascii="Arial" w:cs="Arial" w:eastAsia="Arial" w:hAnsi="Arial"/>
          <w:sz w:val="20"/>
          <w:szCs w:val="20"/>
          <w:b w:val="1"/>
          <w:bCs w:val="1"/>
          <w:color w:val="auto"/>
        </w:rPr>
        <w:t xml:space="preserve">9.10 Code Sections 280G and 4999. </w:t>
      </w:r>
      <w:r>
        <w:rPr>
          <w:rFonts w:ascii="Arial" w:cs="Arial" w:eastAsia="Arial" w:hAnsi="Arial"/>
          <w:sz w:val="20"/>
          <w:szCs w:val="20"/>
          <w:color w:val="auto"/>
        </w:rPr>
        <w:t>Notwithstanding anything contained in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to the contrary, if following a change in ownership or effective control or in the ownership of a substantial portion of assets (in each case, within the meaning of Section 280G of the Code), the tax imposed by Section 4999 of the Code or any similar or successor tax (the “Excise Tax”) applies to any payments, benefits and/or amounts received by the Executive</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20"/>
          </w:cols>
          <w:pgMar w:left="320" w:top="752" w:right="359" w:bottom="1440" w:gutter="0" w:footer="0" w:header="0"/>
        </w:sectPr>
      </w:pPr>
    </w:p>
    <w:bookmarkStart w:id="206" w:name="page207"/>
    <w:bookmarkEnd w:id="206"/>
    <w:p>
      <w:pPr>
        <w:spacing w:after="0" w:line="241" w:lineRule="auto"/>
        <w:rPr>
          <w:sz w:val="20"/>
          <w:szCs w:val="20"/>
          <w:color w:val="auto"/>
        </w:rPr>
      </w:pPr>
      <w:r>
        <w:rPr>
          <w:rFonts w:ascii="Arial" w:cs="Arial" w:eastAsia="Arial" w:hAnsi="Arial"/>
          <w:sz w:val="20"/>
          <w:szCs w:val="20"/>
          <w:color w:val="auto"/>
        </w:rPr>
        <w:t>pursuant to this Agreement or otherwise (collectively, the “Total Payments”), then the Total Payments shall be reduced (but not below zero) so that the maximum amount of the Total Payments (after reduction) shall be one dollar ($1.00) less than the amount which would cause the Total Payments to be subject to the Excise Tax; provided that such reduction to the Total Payments shall be made only if the total after-tax benefit to the Executive is greater after giving effect to such reduction than if no such reduction had been made. If such a reduction is required, the Company shall reduce or eliminate the Total Payments by first reducing or eliminating any cash payments under this Agreement, then by reducing or eliminating any accelerated vesting of any long-term cash incentive awards, then by reducing or eliminating any other remaining Total Payments, in each case in reverse order beginning with the payments which are to be paid the farthest in time from the date of the transaction triggering the Excise Tax. The provisions of this Section 9.10 shall take precedence over the provisions of any other plan, arrangement or agreement governing the Executive’s rights and entitlements to any benefits or compensation.</w:t>
      </w:r>
    </w:p>
    <w:p>
      <w:pPr>
        <w:spacing w:after="0" w:line="200" w:lineRule="exact"/>
        <w:rPr>
          <w:sz w:val="20"/>
          <w:szCs w:val="20"/>
          <w:color w:val="auto"/>
        </w:rPr>
      </w:pPr>
    </w:p>
    <w:p>
      <w:pPr>
        <w:spacing w:after="0" w:line="377"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executed this Agreement on the date first set forth above.</w:t>
      </w:r>
    </w:p>
    <w:p>
      <w:pPr>
        <w:spacing w:after="0" w:line="201"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Name: Carey Smith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Parsons Corporation</w:t>
      </w:r>
    </w:p>
    <w:p>
      <w:pPr>
        <w:spacing w:after="0" w:line="306" w:lineRule="exact"/>
        <w:rPr>
          <w:sz w:val="20"/>
          <w:szCs w:val="20"/>
          <w:color w:val="auto"/>
        </w:rPr>
      </w:pPr>
    </w:p>
    <w:p>
      <w:pPr>
        <w:ind w:left="60"/>
        <w:spacing w:after="0"/>
        <w:rPr>
          <w:sz w:val="20"/>
          <w:szCs w:val="20"/>
          <w:color w:val="auto"/>
        </w:rPr>
      </w:pPr>
      <w:r>
        <w:rPr>
          <w:rFonts w:ascii="Arial" w:cs="Arial" w:eastAsia="Arial" w:hAnsi="Arial"/>
          <w:sz w:val="20"/>
          <w:szCs w:val="20"/>
          <w:color w:val="auto"/>
        </w:rPr>
        <w:t>By:</w:t>
      </w:r>
    </w:p>
    <w:p>
      <w:pPr>
        <w:spacing w:after="0" w:line="20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Susan Balaguer</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20"/>
          <w:szCs w:val="20"/>
          <w:color w:val="auto"/>
        </w:rPr>
        <w:t>Chief Human Resources Officer</w:t>
      </w:r>
    </w:p>
    <w:p>
      <w:pPr>
        <w:spacing w:after="0" w:line="158"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A-15</w:t>
      </w:r>
    </w:p>
    <w:p>
      <w:pPr>
        <w:sectPr>
          <w:pgSz w:w="11900" w:h="16838" w:orient="portrait"/>
          <w:cols w:equalWidth="0" w:num="1">
            <w:col w:w="11200"/>
          </w:cols>
          <w:pgMar w:left="320" w:top="752" w:right="379" w:bottom="1440" w:gutter="0" w:footer="0" w:header="0"/>
        </w:sectPr>
      </w:pPr>
    </w:p>
    <w:bookmarkStart w:id="207" w:name="page208"/>
    <w:bookmarkEnd w:id="207"/>
    <w:p>
      <w:pPr>
        <w:spacing w:after="0"/>
        <w:rPr>
          <w:sz w:val="20"/>
          <w:szCs w:val="20"/>
          <w:color w:val="auto"/>
        </w:rPr>
      </w:pPr>
      <w:r>
        <w:rPr>
          <w:rFonts w:ascii="Arial" w:cs="Arial" w:eastAsia="Arial" w:hAnsi="Arial"/>
          <w:sz w:val="20"/>
          <w:szCs w:val="20"/>
          <w:color w:val="auto"/>
        </w:rPr>
        <w:t>Exhibit 10.29</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PARSONS CORPORATION</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CHANGE IN CONTROL SEVERANCE AGREEMENT</w:t>
      </w:r>
    </w:p>
    <w:p>
      <w:pPr>
        <w:spacing w:after="0" w:line="382"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 xml:space="preserve">THIS CHANGE IN CONTROL SEVERANCE AGREEMENT </w:t>
      </w:r>
      <w:r>
        <w:rPr>
          <w:rFonts w:ascii="Arial" w:cs="Arial" w:eastAsia="Arial" w:hAnsi="Arial"/>
          <w:sz w:val="19"/>
          <w:szCs w:val="19"/>
          <w:color w:val="auto"/>
        </w:rPr>
        <w:t>(this “Agreement”) is made and entered into on this ____</w:t>
      </w:r>
    </w:p>
    <w:p>
      <w:pPr>
        <w:spacing w:after="0" w:line="32" w:lineRule="exact"/>
        <w:rPr>
          <w:sz w:val="20"/>
          <w:szCs w:val="20"/>
          <w:color w:val="auto"/>
        </w:rPr>
      </w:pPr>
    </w:p>
    <w:p>
      <w:pPr>
        <w:ind w:right="260"/>
        <w:spacing w:after="0" w:line="249" w:lineRule="auto"/>
        <w:rPr>
          <w:sz w:val="20"/>
          <w:szCs w:val="20"/>
          <w:color w:val="auto"/>
        </w:rPr>
      </w:pPr>
      <w:r>
        <w:rPr>
          <w:rFonts w:ascii="Arial" w:cs="Arial" w:eastAsia="Arial" w:hAnsi="Arial"/>
          <w:sz w:val="20"/>
          <w:szCs w:val="20"/>
          <w:color w:val="auto"/>
        </w:rPr>
        <w:t>day of August 2021 (the “Effective Date”), by and between Parsons Corporation, a Delaware corporation (hereinafter referred to as the “Company”) and Charles L. Harrington (the “Executive”).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RECITALS</w:t>
      </w:r>
    </w:p>
    <w:p>
      <w:pPr>
        <w:spacing w:after="0" w:line="205" w:lineRule="exact"/>
        <w:rPr>
          <w:sz w:val="20"/>
          <w:szCs w:val="20"/>
          <w:color w:val="auto"/>
        </w:rPr>
      </w:pPr>
    </w:p>
    <w:p>
      <w:pPr>
        <w:ind w:right="60" w:firstLine="865"/>
        <w:spacing w:after="0" w:line="324" w:lineRule="auto"/>
        <w:rPr>
          <w:sz w:val="20"/>
          <w:szCs w:val="20"/>
          <w:color w:val="auto"/>
        </w:rPr>
      </w:pPr>
      <w:r>
        <w:rPr>
          <w:rFonts w:ascii="Arial" w:cs="Arial" w:eastAsia="Arial" w:hAnsi="Arial"/>
          <w:sz w:val="18"/>
          <w:szCs w:val="18"/>
          <w:color w:val="auto"/>
        </w:rPr>
        <w:t>The Compensation Committee of the Board of Directors of Parsons Corporation (the “Committee”) and the Board of Directors have approved the Company’s entering into this Agreement with the Executive. The Executive is a key executive of the Company.</w:t>
      </w:r>
    </w:p>
    <w:p>
      <w:pPr>
        <w:spacing w:after="0" w:line="100" w:lineRule="exact"/>
        <w:rPr>
          <w:sz w:val="20"/>
          <w:szCs w:val="20"/>
          <w:color w:val="auto"/>
        </w:rPr>
      </w:pPr>
    </w:p>
    <w:p>
      <w:pPr>
        <w:jc w:val="both"/>
        <w:ind w:right="40" w:firstLine="865"/>
        <w:spacing w:after="0" w:line="284" w:lineRule="auto"/>
        <w:rPr>
          <w:sz w:val="20"/>
          <w:szCs w:val="20"/>
          <w:color w:val="auto"/>
        </w:rPr>
      </w:pPr>
      <w:r>
        <w:rPr>
          <w:rFonts w:ascii="Arial" w:cs="Arial" w:eastAsia="Arial" w:hAnsi="Arial"/>
          <w:sz w:val="18"/>
          <w:szCs w:val="18"/>
          <w:color w:val="auto"/>
        </w:rPr>
        <w:t>Should the possibility of a Change in Control (as defined below) arise, the Committee believes it imperative that the Company should be able to rely upon the Executive to continue in his or her position, and that the Company should be able to receive and rely upon the Executive’s advice, if requested, as to the best interests of the Company and its shareholders without concern that the Executive might be distracted by the personal uncertainties and risks created by the possibility of a Change in Control.</w:t>
      </w:r>
    </w:p>
    <w:p>
      <w:pPr>
        <w:spacing w:after="0" w:line="136" w:lineRule="exact"/>
        <w:rPr>
          <w:sz w:val="20"/>
          <w:szCs w:val="20"/>
          <w:color w:val="auto"/>
        </w:rPr>
      </w:pPr>
    </w:p>
    <w:p>
      <w:pPr>
        <w:ind w:right="20" w:firstLine="865"/>
        <w:spacing w:after="0" w:line="248" w:lineRule="auto"/>
        <w:rPr>
          <w:sz w:val="20"/>
          <w:szCs w:val="20"/>
          <w:color w:val="auto"/>
        </w:rPr>
      </w:pPr>
      <w:r>
        <w:rPr>
          <w:rFonts w:ascii="Arial" w:cs="Arial" w:eastAsia="Arial" w:hAnsi="Arial"/>
          <w:sz w:val="20"/>
          <w:szCs w:val="20"/>
          <w:color w:val="auto"/>
        </w:rPr>
        <w:t>Should the possibility of a Change in Control arise, in addition to his or her regular duties, the Executive may be called upon to assist in the assessment of such a possible Change in Control upon the Company’s shareholders, advise management and the Board of Directors as to whether such a Change in Control would be in the best interests of the Company and its shareholders, and to take such other actions as the Board of Directors might determine to be appropriate.</w:t>
      </w:r>
    </w:p>
    <w:p>
      <w:pPr>
        <w:spacing w:after="0" w:line="161" w:lineRule="exact"/>
        <w:rPr>
          <w:sz w:val="20"/>
          <w:szCs w:val="20"/>
          <w:color w:val="auto"/>
        </w:rPr>
      </w:pPr>
    </w:p>
    <w:p>
      <w:pPr>
        <w:ind w:firstLine="865"/>
        <w:spacing w:after="0" w:line="266"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to assure the Company that it will have the continued dedication of the Executive and the availability of</w:t>
      </w:r>
      <w:r>
        <w:rPr>
          <w:rFonts w:ascii="Arial" w:cs="Arial" w:eastAsia="Arial" w:hAnsi="Arial"/>
          <w:sz w:val="19"/>
          <w:szCs w:val="19"/>
          <w:b w:val="1"/>
          <w:bCs w:val="1"/>
          <w:color w:val="auto"/>
        </w:rPr>
        <w:t xml:space="preserve"> </w:t>
      </w:r>
      <w:r>
        <w:rPr>
          <w:rFonts w:ascii="Arial" w:cs="Arial" w:eastAsia="Arial" w:hAnsi="Arial"/>
          <w:sz w:val="19"/>
          <w:szCs w:val="19"/>
          <w:color w:val="auto"/>
        </w:rPr>
        <w:t>his or her advice and counsel notwithstanding the possibility, threat, or occurrence of a Change in Control, and to induce the Executive to remain in the employ of the Company in the face of these circumstances and for other good and valuable consideration, the receipt and adequacy of which are hereby acknowledged, the Company and the Executive agree as follows: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I</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CERTAIN DEFINITIONS</w:t>
      </w:r>
    </w:p>
    <w:p>
      <w:pPr>
        <w:spacing w:after="0" w:line="183" w:lineRule="exact"/>
        <w:rPr>
          <w:sz w:val="20"/>
          <w:szCs w:val="20"/>
          <w:color w:val="auto"/>
        </w:rPr>
      </w:pPr>
    </w:p>
    <w:p>
      <w:pPr>
        <w:ind w:right="540" w:firstLine="865"/>
        <w:spacing w:after="0" w:line="268" w:lineRule="auto"/>
        <w:rPr>
          <w:sz w:val="20"/>
          <w:szCs w:val="20"/>
          <w:color w:val="auto"/>
        </w:rPr>
      </w:pPr>
      <w:r>
        <w:rPr>
          <w:rFonts w:ascii="Arial" w:cs="Arial" w:eastAsia="Arial" w:hAnsi="Arial"/>
          <w:sz w:val="20"/>
          <w:szCs w:val="20"/>
          <w:color w:val="auto"/>
        </w:rPr>
        <w:t>Whenever used in this Agreement, the following terms shall have the meanings set forth below unless the context clearly indicates to the contrary:</w:t>
      </w:r>
    </w:p>
    <w:p>
      <w:pPr>
        <w:spacing w:after="0" w:line="146" w:lineRule="exact"/>
        <w:rPr>
          <w:sz w:val="20"/>
          <w:szCs w:val="20"/>
          <w:color w:val="auto"/>
        </w:rPr>
      </w:pPr>
    </w:p>
    <w:p>
      <w:pPr>
        <w:ind w:left="1720" w:right="360" w:hanging="856"/>
        <w:spacing w:after="0" w:line="268" w:lineRule="auto"/>
        <w:tabs>
          <w:tab w:leader="none" w:pos="172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“Base Salary” means the salary of record paid to the Executive by the Company as annual salary (whether or not deferred), but excludes amounts received under incentive or other bonus plans.</w:t>
      </w:r>
    </w:p>
    <w:p>
      <w:pPr>
        <w:spacing w:after="0" w:line="323"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sectPr>
      </w:pPr>
    </w:p>
    <w:bookmarkStart w:id="208" w:name="page209"/>
    <w:bookmarkEnd w:id="208"/>
    <w:p>
      <w:pPr>
        <w:ind w:left="860" w:right="880" w:hanging="856"/>
        <w:spacing w:after="0" w:line="268" w:lineRule="auto"/>
        <w:tabs>
          <w:tab w:leader="none" w:pos="86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“Beneficial Owner” shall have the meaning ascribed to such term in Rule 13d-3 of the General Rules and Regulations under the Exchange Act.</w:t>
      </w:r>
    </w:p>
    <w:p>
      <w:pPr>
        <w:spacing w:after="0" w:line="145" w:lineRule="exact"/>
        <w:rPr>
          <w:rFonts w:ascii="Arial" w:cs="Arial" w:eastAsia="Arial" w:hAnsi="Arial"/>
          <w:sz w:val="20"/>
          <w:szCs w:val="20"/>
          <w:color w:val="auto"/>
        </w:rPr>
      </w:pPr>
    </w:p>
    <w:p>
      <w:pPr>
        <w:ind w:left="860" w:right="140" w:hanging="856"/>
        <w:spacing w:after="0" w:line="268" w:lineRule="auto"/>
        <w:tabs>
          <w:tab w:leader="none" w:pos="86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“Beneficiary” means the persons or entities designated or deemed designated by the Executive pursuant to Section 9.3.</w:t>
      </w:r>
    </w:p>
    <w:p>
      <w:pPr>
        <w:spacing w:after="0" w:line="145" w:lineRule="exact"/>
        <w:rPr>
          <w:rFonts w:ascii="Arial" w:cs="Arial" w:eastAsia="Arial" w:hAnsi="Arial"/>
          <w:sz w:val="20"/>
          <w:szCs w:val="20"/>
          <w:color w:val="auto"/>
        </w:rPr>
      </w:pPr>
    </w:p>
    <w:p>
      <w:pPr>
        <w:ind w:left="860" w:hanging="856"/>
        <w:spacing w:after="0"/>
        <w:tabs>
          <w:tab w:leader="none" w:pos="86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“Board” means the Board of Directors of the Company.</w:t>
      </w:r>
    </w:p>
    <w:p>
      <w:pPr>
        <w:spacing w:after="0" w:line="201" w:lineRule="exact"/>
        <w:rPr>
          <w:rFonts w:ascii="Arial" w:cs="Arial" w:eastAsia="Arial" w:hAnsi="Arial"/>
          <w:sz w:val="20"/>
          <w:szCs w:val="20"/>
          <w:color w:val="auto"/>
        </w:rPr>
      </w:pPr>
    </w:p>
    <w:p>
      <w:pPr>
        <w:ind w:left="860" w:hanging="856"/>
        <w:spacing w:after="0"/>
        <w:tabs>
          <w:tab w:leader="none" w:pos="86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“Cause” means the occurrence of any one or more of the following:</w:t>
      </w:r>
    </w:p>
    <w:p>
      <w:pPr>
        <w:spacing w:after="0" w:line="201" w:lineRule="exact"/>
        <w:rPr>
          <w:rFonts w:ascii="Arial" w:cs="Arial" w:eastAsia="Arial" w:hAnsi="Arial"/>
          <w:sz w:val="20"/>
          <w:szCs w:val="20"/>
          <w:color w:val="auto"/>
        </w:rPr>
      </w:pPr>
    </w:p>
    <w:p>
      <w:pPr>
        <w:ind w:left="1720" w:hanging="854"/>
        <w:spacing w:after="0"/>
        <w:tabs>
          <w:tab w:leader="none" w:pos="1720" w:val="left"/>
        </w:tabs>
        <w:numPr>
          <w:ilvl w:val="1"/>
          <w:numId w:val="107"/>
        </w:numPr>
        <w:rPr>
          <w:rFonts w:ascii="Arial" w:cs="Arial" w:eastAsia="Arial" w:hAnsi="Arial"/>
          <w:sz w:val="20"/>
          <w:szCs w:val="20"/>
          <w:color w:val="auto"/>
        </w:rPr>
      </w:pPr>
      <w:r>
        <w:rPr>
          <w:rFonts w:ascii="Arial" w:cs="Arial" w:eastAsia="Arial" w:hAnsi="Arial"/>
          <w:sz w:val="20"/>
          <w:szCs w:val="20"/>
          <w:color w:val="auto"/>
        </w:rPr>
        <w:t>The Executive’s committing an act of fraud or embezzlement upon the Company.</w:t>
      </w:r>
    </w:p>
    <w:p>
      <w:pPr>
        <w:spacing w:after="0" w:line="201" w:lineRule="exact"/>
        <w:rPr>
          <w:rFonts w:ascii="Arial" w:cs="Arial" w:eastAsia="Arial" w:hAnsi="Arial"/>
          <w:sz w:val="20"/>
          <w:szCs w:val="20"/>
          <w:color w:val="auto"/>
        </w:rPr>
      </w:pPr>
    </w:p>
    <w:p>
      <w:pPr>
        <w:ind w:left="1720" w:right="800" w:hanging="854"/>
        <w:spacing w:after="0" w:line="268" w:lineRule="auto"/>
        <w:tabs>
          <w:tab w:leader="none" w:pos="1720" w:val="left"/>
        </w:tabs>
        <w:numPr>
          <w:ilvl w:val="1"/>
          <w:numId w:val="107"/>
        </w:numPr>
        <w:rPr>
          <w:rFonts w:ascii="Arial" w:cs="Arial" w:eastAsia="Arial" w:hAnsi="Arial"/>
          <w:sz w:val="20"/>
          <w:szCs w:val="20"/>
          <w:color w:val="auto"/>
        </w:rPr>
      </w:pPr>
      <w:r>
        <w:rPr>
          <w:rFonts w:ascii="Arial" w:cs="Arial" w:eastAsia="Arial" w:hAnsi="Arial"/>
          <w:sz w:val="20"/>
          <w:szCs w:val="20"/>
          <w:color w:val="auto"/>
        </w:rPr>
        <w:t>The Executive’s conviction of or pleading guilty or nolo contendere to a felony involving fraud, dishonesty or moral turpitude.</w:t>
      </w:r>
    </w:p>
    <w:p>
      <w:pPr>
        <w:spacing w:after="0" w:line="145" w:lineRule="exact"/>
        <w:rPr>
          <w:rFonts w:ascii="Arial" w:cs="Arial" w:eastAsia="Arial" w:hAnsi="Arial"/>
          <w:sz w:val="20"/>
          <w:szCs w:val="20"/>
          <w:color w:val="auto"/>
        </w:rPr>
      </w:pPr>
    </w:p>
    <w:p>
      <w:pPr>
        <w:ind w:left="1720" w:hanging="854"/>
        <w:spacing w:after="0" w:line="253" w:lineRule="auto"/>
        <w:tabs>
          <w:tab w:leader="none" w:pos="1720" w:val="left"/>
        </w:tabs>
        <w:numPr>
          <w:ilvl w:val="1"/>
          <w:numId w:val="107"/>
        </w:numPr>
        <w:rPr>
          <w:rFonts w:ascii="Arial" w:cs="Arial" w:eastAsia="Arial" w:hAnsi="Arial"/>
          <w:sz w:val="20"/>
          <w:szCs w:val="20"/>
          <w:color w:val="auto"/>
        </w:rPr>
      </w:pPr>
      <w:r>
        <w:rPr>
          <w:rFonts w:ascii="Arial" w:cs="Arial" w:eastAsia="Arial" w:hAnsi="Arial"/>
          <w:sz w:val="20"/>
          <w:szCs w:val="20"/>
          <w:color w:val="auto"/>
        </w:rPr>
        <w:t>The Executive’s willful and continued failure to substantially perform material duties which is not remedied in a reasonable period of time after written demand for substantial performances is delivered by the Board.</w:t>
      </w:r>
    </w:p>
    <w:p>
      <w:pPr>
        <w:spacing w:after="0" w:line="160" w:lineRule="exact"/>
        <w:rPr>
          <w:rFonts w:ascii="Arial" w:cs="Arial" w:eastAsia="Arial" w:hAnsi="Arial"/>
          <w:sz w:val="20"/>
          <w:szCs w:val="20"/>
          <w:color w:val="auto"/>
        </w:rPr>
      </w:pPr>
    </w:p>
    <w:p>
      <w:pPr>
        <w:ind w:left="1720" w:hanging="854"/>
        <w:spacing w:after="0"/>
        <w:tabs>
          <w:tab w:leader="none" w:pos="1720" w:val="left"/>
        </w:tabs>
        <w:numPr>
          <w:ilvl w:val="1"/>
          <w:numId w:val="107"/>
        </w:numPr>
        <w:rPr>
          <w:rFonts w:ascii="Arial" w:cs="Arial" w:eastAsia="Arial" w:hAnsi="Arial"/>
          <w:sz w:val="20"/>
          <w:szCs w:val="20"/>
          <w:color w:val="auto"/>
        </w:rPr>
      </w:pPr>
      <w:r>
        <w:rPr>
          <w:rFonts w:ascii="Arial" w:cs="Arial" w:eastAsia="Arial" w:hAnsi="Arial"/>
          <w:sz w:val="20"/>
          <w:szCs w:val="20"/>
          <w:color w:val="auto"/>
        </w:rPr>
        <w:t>The Executive’s material violation of the Company’s Code of Conduct.</w:t>
      </w:r>
    </w:p>
    <w:p>
      <w:pPr>
        <w:spacing w:after="0" w:line="201" w:lineRule="exact"/>
        <w:rPr>
          <w:rFonts w:ascii="Arial" w:cs="Arial" w:eastAsia="Arial" w:hAnsi="Arial"/>
          <w:sz w:val="20"/>
          <w:szCs w:val="20"/>
          <w:color w:val="auto"/>
        </w:rPr>
      </w:pPr>
    </w:p>
    <w:p>
      <w:pPr>
        <w:ind w:left="860" w:right="160" w:hanging="856"/>
        <w:spacing w:after="0" w:line="268" w:lineRule="auto"/>
        <w:tabs>
          <w:tab w:leader="none" w:pos="86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“Change in Control” shall mean and include each of the following, and shall be deemed to have occurred as of the first day that any one or more of the following conditions shall have been satisfied:</w:t>
      </w:r>
    </w:p>
    <w:p>
      <w:pPr>
        <w:spacing w:after="0" w:line="145" w:lineRule="exact"/>
        <w:rPr>
          <w:rFonts w:ascii="Arial" w:cs="Arial" w:eastAsia="Arial" w:hAnsi="Arial"/>
          <w:sz w:val="20"/>
          <w:szCs w:val="20"/>
          <w:color w:val="auto"/>
        </w:rPr>
      </w:pPr>
    </w:p>
    <w:p>
      <w:pPr>
        <w:ind w:left="1720" w:right="40" w:hanging="854"/>
        <w:spacing w:after="0" w:line="254" w:lineRule="auto"/>
        <w:tabs>
          <w:tab w:leader="none" w:pos="1720" w:val="left"/>
        </w:tabs>
        <w:numPr>
          <w:ilvl w:val="1"/>
          <w:numId w:val="107"/>
        </w:numPr>
        <w:rPr>
          <w:rFonts w:ascii="Arial" w:cs="Arial" w:eastAsia="Arial" w:hAnsi="Arial"/>
          <w:sz w:val="19"/>
          <w:szCs w:val="19"/>
          <w:color w:val="auto"/>
        </w:rPr>
      </w:pPr>
      <w:r>
        <w:rPr>
          <w:rFonts w:ascii="Arial" w:cs="Arial" w:eastAsia="Arial" w:hAnsi="Arial"/>
          <w:sz w:val="19"/>
          <w:szCs w:val="19"/>
          <w:color w:val="auto"/>
        </w:rPr>
        <w:t xml:space="preserve">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directly or indirectly acquires beneficial ownership (within the meaning of Rules 13d-3 and 13d-5 under the Exchange Act) of securities of the Company possessing more than 50 % of the total combined voting power of the Company’s securities outstanding immediately after such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following acquisitions shall not constitute a Change in Control: (i) any acquisition by the Company or any of its Subsidiaries; (ii) any acquisition by an employee benefit plan maintained by the Company or any of its Subsidiaries, (iii) any acquisition which complies with Sections 1(f)(iii)(1), (2) or (3) of this Article; or (iv) in respect of an Award held by a particular Holder, any acquisition by the Holder or any group of persons including the Holder (or any entity controlled by the Holder or any group of persons including the Holder); or</w:t>
      </w:r>
    </w:p>
    <w:p>
      <w:pPr>
        <w:spacing w:after="0" w:line="166" w:lineRule="exact"/>
        <w:rPr>
          <w:rFonts w:ascii="Arial" w:cs="Arial" w:eastAsia="Arial" w:hAnsi="Arial"/>
          <w:sz w:val="19"/>
          <w:szCs w:val="19"/>
          <w:color w:val="auto"/>
        </w:rPr>
      </w:pPr>
    </w:p>
    <w:p>
      <w:pPr>
        <w:ind w:left="1720" w:hanging="854"/>
        <w:spacing w:after="0"/>
        <w:tabs>
          <w:tab w:leader="none" w:pos="1720" w:val="left"/>
        </w:tabs>
        <w:numPr>
          <w:ilvl w:val="1"/>
          <w:numId w:val="107"/>
        </w:numPr>
        <w:rPr>
          <w:rFonts w:ascii="Arial" w:cs="Arial" w:eastAsia="Arial" w:hAnsi="Arial"/>
          <w:sz w:val="20"/>
          <w:szCs w:val="20"/>
          <w:color w:val="auto"/>
        </w:rPr>
      </w:pPr>
      <w:r>
        <w:rPr>
          <w:rFonts w:ascii="Arial" w:cs="Arial" w:eastAsia="Arial" w:hAnsi="Arial"/>
          <w:sz w:val="20"/>
          <w:szCs w:val="20"/>
          <w:color w:val="auto"/>
        </w:rPr>
        <w:t>The Incumbent Directors cease for any reason to constitute a majority of the Board;</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40005</wp:posOffset>
            </wp:positionV>
            <wp:extent cx="7182485" cy="412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4">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0300"/>
          </w:cols>
          <w:pgMar w:left="1180" w:top="752" w:right="419" w:bottom="1440" w:gutter="0" w:footer="0" w:header="0"/>
        </w:sectPr>
      </w:pPr>
    </w:p>
    <w:bookmarkStart w:id="209" w:name="page210"/>
    <w:bookmarkEnd w:id="209"/>
    <w:p>
      <w:pPr>
        <w:jc w:val="both"/>
        <w:ind w:left="1720" w:hanging="854"/>
        <w:spacing w:after="0" w:line="245" w:lineRule="auto"/>
        <w:tabs>
          <w:tab w:leader="none" w:pos="172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spacing w:after="0" w:line="169" w:lineRule="exact"/>
        <w:rPr>
          <w:rFonts w:ascii="Arial" w:cs="Arial" w:eastAsia="Arial" w:hAnsi="Arial"/>
          <w:sz w:val="20"/>
          <w:szCs w:val="20"/>
          <w:color w:val="auto"/>
        </w:rPr>
      </w:pPr>
    </w:p>
    <w:p>
      <w:pPr>
        <w:jc w:val="both"/>
        <w:ind w:left="2480" w:hanging="752"/>
        <w:spacing w:after="0" w:line="274" w:lineRule="auto"/>
        <w:tabs>
          <w:tab w:leader="none" w:pos="24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“Successor Entity”)) directly or indirectly, at least a majority of the combined voting power of the Successor Entity’s outstanding voting securities immediately after the transaction, and</w:t>
      </w:r>
    </w:p>
    <w:p>
      <w:pPr>
        <w:spacing w:after="0" w:line="146" w:lineRule="exact"/>
        <w:rPr>
          <w:rFonts w:ascii="Arial" w:cs="Arial" w:eastAsia="Arial" w:hAnsi="Arial"/>
          <w:sz w:val="18"/>
          <w:szCs w:val="18"/>
          <w:color w:val="auto"/>
        </w:rPr>
      </w:pPr>
    </w:p>
    <w:p>
      <w:pPr>
        <w:jc w:val="both"/>
        <w:ind w:left="2480" w:hanging="752"/>
        <w:spacing w:after="0" w:line="261" w:lineRule="auto"/>
        <w:tabs>
          <w:tab w:leader="none" w:pos="2480" w:val="left"/>
        </w:tabs>
        <w:numPr>
          <w:ilvl w:val="1"/>
          <w:numId w:val="108"/>
        </w:numPr>
        <w:rPr>
          <w:rFonts w:ascii="Arial" w:cs="Arial" w:eastAsia="Arial" w:hAnsi="Arial"/>
          <w:sz w:val="19"/>
          <w:szCs w:val="19"/>
          <w:color w:val="auto"/>
        </w:rPr>
      </w:pPr>
      <w:r>
        <w:rPr>
          <w:rFonts w:ascii="Arial" w:cs="Arial" w:eastAsia="Arial" w:hAnsi="Arial"/>
          <w:sz w:val="19"/>
          <w:szCs w:val="19"/>
          <w:color w:val="auto"/>
        </w:rPr>
        <w:t>after which no person or group beneficially owns voting securities representing 50% or more of the combined voting power of the Successor Entity; provided, however, that no person or group shall be treated for purposes of this Section 1(f)(iii)(2) as beneficially owning 50% or more of the combined voting power of the Successor Entity solely as a result of the voting power held in the Company prior to the consummation of the transaction; and</w:t>
      </w:r>
    </w:p>
    <w:p>
      <w:pPr>
        <w:spacing w:after="0" w:line="155" w:lineRule="exact"/>
        <w:rPr>
          <w:rFonts w:ascii="Arial" w:cs="Arial" w:eastAsia="Arial" w:hAnsi="Arial"/>
          <w:sz w:val="19"/>
          <w:szCs w:val="19"/>
          <w:color w:val="auto"/>
        </w:rPr>
      </w:pPr>
    </w:p>
    <w:p>
      <w:pPr>
        <w:jc w:val="both"/>
        <w:ind w:left="2480" w:hanging="752"/>
        <w:spacing w:after="0" w:line="253" w:lineRule="auto"/>
        <w:tabs>
          <w:tab w:leader="none" w:pos="2480" w:val="left"/>
        </w:tabs>
        <w:numPr>
          <w:ilvl w:val="1"/>
          <w:numId w:val="108"/>
        </w:numPr>
        <w:rPr>
          <w:rFonts w:ascii="Arial" w:cs="Arial" w:eastAsia="Arial" w:hAnsi="Arial"/>
          <w:sz w:val="20"/>
          <w:szCs w:val="20"/>
          <w:color w:val="auto"/>
        </w:rPr>
      </w:pPr>
      <w:r>
        <w:rPr>
          <w:rFonts w:ascii="Arial" w:cs="Arial" w:eastAsia="Arial" w:hAnsi="Arial"/>
          <w:sz w:val="20"/>
          <w:szCs w:val="20"/>
          <w:color w:val="auto"/>
        </w:rPr>
        <w:t>after which at least a majority of the members of the board of directors (or the analogous governing body) of the Successor Entity were Board members at the time of the Board's approval of the execution of the initial agreement providing for such transaction; or</w:t>
      </w:r>
    </w:p>
    <w:p>
      <w:pPr>
        <w:spacing w:after="0" w:line="160" w:lineRule="exact"/>
        <w:rPr>
          <w:rFonts w:ascii="Arial" w:cs="Arial" w:eastAsia="Arial" w:hAnsi="Arial"/>
          <w:sz w:val="20"/>
          <w:szCs w:val="20"/>
          <w:color w:val="auto"/>
        </w:rPr>
      </w:pPr>
    </w:p>
    <w:p>
      <w:pPr>
        <w:ind w:left="1720" w:hanging="854"/>
        <w:spacing w:after="0"/>
        <w:tabs>
          <w:tab w:leader="none" w:pos="17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date which is 10 business days prior to the completion of a liquidation or dissolution of the Company.</w:t>
      </w:r>
    </w:p>
    <w:p>
      <w:pPr>
        <w:spacing w:after="0" w:line="224" w:lineRule="exact"/>
        <w:rPr>
          <w:sz w:val="20"/>
          <w:szCs w:val="20"/>
          <w:color w:val="auto"/>
        </w:rPr>
      </w:pPr>
    </w:p>
    <w:p>
      <w:pPr>
        <w:ind w:left="880"/>
        <w:spacing w:after="0" w:line="244" w:lineRule="auto"/>
        <w:rPr>
          <w:sz w:val="20"/>
          <w:szCs w:val="20"/>
          <w:color w:val="auto"/>
        </w:rPr>
      </w:pPr>
      <w:r>
        <w:rPr>
          <w:rFonts w:ascii="Arial" w:cs="Arial" w:eastAsia="Arial" w:hAnsi="Arial"/>
          <w:sz w:val="20"/>
          <w:szCs w:val="20"/>
          <w:color w:val="auto"/>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(i), (ii), (iii) or (iv)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69" w:lineRule="exact"/>
        <w:rPr>
          <w:sz w:val="20"/>
          <w:szCs w:val="20"/>
          <w:color w:val="auto"/>
        </w:rPr>
      </w:pPr>
    </w:p>
    <w:p>
      <w:pPr>
        <w:ind w:left="880" w:right="360"/>
        <w:spacing w:after="0" w:line="268" w:lineRule="auto"/>
        <w:rPr>
          <w:sz w:val="20"/>
          <w:szCs w:val="20"/>
          <w:color w:val="auto"/>
        </w:rPr>
      </w:pPr>
      <w:r>
        <w:rPr>
          <w:rFonts w:ascii="Arial" w:cs="Arial" w:eastAsia="Arial" w:hAnsi="Arial"/>
          <w:sz w:val="20"/>
          <w:szCs w:val="20"/>
          <w:color w:val="auto"/>
        </w:rPr>
        <w:t>For sake of clarity, a Change in Control will not occur by reason of the Parsons Employee Stock Ownership Plan (the “ESOP”) owning less than fifty percent of</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40005</wp:posOffset>
            </wp:positionV>
            <wp:extent cx="7182485" cy="412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0380"/>
          </w:cols>
          <w:pgMar w:left="1180" w:top="752" w:right="339" w:bottom="1440" w:gutter="0" w:footer="0" w:header="0"/>
        </w:sectPr>
      </w:pPr>
    </w:p>
    <w:bookmarkStart w:id="210" w:name="page211"/>
    <w:bookmarkEnd w:id="210"/>
    <w:p>
      <w:pPr>
        <w:ind w:left="880" w:right="300"/>
        <w:spacing w:after="0" w:line="253" w:lineRule="auto"/>
        <w:rPr>
          <w:sz w:val="20"/>
          <w:szCs w:val="20"/>
          <w:color w:val="auto"/>
        </w:rPr>
      </w:pPr>
      <w:r>
        <w:rPr>
          <w:rFonts w:ascii="Arial" w:cs="Arial" w:eastAsia="Arial" w:hAnsi="Arial"/>
          <w:sz w:val="20"/>
          <w:szCs w:val="20"/>
          <w:color w:val="auto"/>
        </w:rPr>
        <w:t>(50%) of the voting power of the Company’s (or any successor thereto) equity securities due to (A) the ESOP making distributions to participants and their beneficiaries, or (B) the ESOP selling equity securities to the public through underwritten registered public offerings.</w:t>
      </w:r>
    </w:p>
    <w:p>
      <w:pPr>
        <w:spacing w:after="0" w:line="160" w:lineRule="exact"/>
        <w:rPr>
          <w:sz w:val="20"/>
          <w:szCs w:val="20"/>
          <w:color w:val="auto"/>
        </w:rPr>
      </w:pPr>
    </w:p>
    <w:p>
      <w:pPr>
        <w:ind w:left="880" w:right="180"/>
        <w:spacing w:after="0" w:line="261" w:lineRule="auto"/>
        <w:rPr>
          <w:sz w:val="20"/>
          <w:szCs w:val="20"/>
          <w:color w:val="auto"/>
        </w:rPr>
      </w:pPr>
      <w:r>
        <w:rPr>
          <w:rFonts w:ascii="Arial" w:cs="Arial" w:eastAsia="Arial" w:hAnsi="Arial"/>
          <w:sz w:val="19"/>
          <w:szCs w:val="19"/>
          <w:color w:val="auto"/>
        </w:rPr>
        <w:t>The Board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56" w:lineRule="exact"/>
        <w:rPr>
          <w:sz w:val="20"/>
          <w:szCs w:val="20"/>
          <w:color w:val="auto"/>
        </w:rPr>
      </w:pPr>
    </w:p>
    <w:p>
      <w:pPr>
        <w:ind w:left="860" w:hanging="856"/>
        <w:spacing w:after="0"/>
        <w:tabs>
          <w:tab w:leader="none" w:pos="86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“Code” means the United States Internal Revenue Code of 1986, as amended.</w:t>
      </w:r>
    </w:p>
    <w:p>
      <w:pPr>
        <w:spacing w:after="0" w:line="201" w:lineRule="exact"/>
        <w:rPr>
          <w:rFonts w:ascii="Arial" w:cs="Arial" w:eastAsia="Arial" w:hAnsi="Arial"/>
          <w:sz w:val="20"/>
          <w:szCs w:val="20"/>
          <w:color w:val="auto"/>
        </w:rPr>
      </w:pPr>
    </w:p>
    <w:p>
      <w:pPr>
        <w:ind w:left="860" w:hanging="856"/>
        <w:spacing w:after="0"/>
        <w:tabs>
          <w:tab w:leader="none" w:pos="86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“Company” means Parsons Corporation, a Delaware corporation, any successor thereto or acquirer thereof.</w:t>
      </w:r>
    </w:p>
    <w:p>
      <w:pPr>
        <w:spacing w:after="0" w:line="212" w:lineRule="exact"/>
        <w:rPr>
          <w:rFonts w:ascii="Arial" w:cs="Arial" w:eastAsia="Arial" w:hAnsi="Arial"/>
          <w:sz w:val="19"/>
          <w:szCs w:val="19"/>
          <w:color w:val="auto"/>
        </w:rPr>
      </w:pPr>
    </w:p>
    <w:p>
      <w:pPr>
        <w:ind w:left="860" w:right="120" w:hanging="856"/>
        <w:spacing w:after="0" w:line="245" w:lineRule="auto"/>
        <w:tabs>
          <w:tab w:leader="none" w:pos="86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“Disability” means, for all purposes of this Agreement, the incapacity of the Executive, due to injury, illness, disease, or bodily or mental infirmity, to engage in the performance of substantially all of the usual duties of his or her employment by the Company, such Disability to be determined by the Board upon receipt and in reliance on competent medical advice from one (l) or more individuals, selected or approved by the Board, who are qualified to give such professional medical advice.</w:t>
      </w:r>
    </w:p>
    <w:p>
      <w:pPr>
        <w:spacing w:after="0" w:line="169" w:lineRule="exact"/>
        <w:rPr>
          <w:rFonts w:ascii="Arial" w:cs="Arial" w:eastAsia="Arial" w:hAnsi="Arial"/>
          <w:sz w:val="20"/>
          <w:szCs w:val="20"/>
          <w:color w:val="auto"/>
        </w:rPr>
      </w:pPr>
    </w:p>
    <w:p>
      <w:pPr>
        <w:ind w:left="860" w:hanging="856"/>
        <w:spacing w:after="0"/>
        <w:tabs>
          <w:tab w:leader="none" w:pos="86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“Exchange Act” means the United States Securities Exchange Act of 1934, as amended.</w:t>
      </w:r>
    </w:p>
    <w:p>
      <w:pPr>
        <w:spacing w:after="0" w:line="201" w:lineRule="exact"/>
        <w:rPr>
          <w:rFonts w:ascii="Arial" w:cs="Arial" w:eastAsia="Arial" w:hAnsi="Arial"/>
          <w:sz w:val="20"/>
          <w:szCs w:val="20"/>
          <w:color w:val="auto"/>
        </w:rPr>
      </w:pPr>
    </w:p>
    <w:p>
      <w:pPr>
        <w:ind w:left="860" w:right="300" w:hanging="856"/>
        <w:spacing w:after="0" w:line="248" w:lineRule="auto"/>
        <w:tabs>
          <w:tab w:leader="none" w:pos="86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“Good Reason” means, without the Executive’s express written consent, the occurrence of any one or more of the following, unless the action or failure giving rise to such occurrence is withdrawn, reversed or cured by the Company within thirty (30) days of the date of the occurrence, and is not thereafter reinstated by the Company during the term of this Agreement:</w:t>
      </w:r>
    </w:p>
    <w:p>
      <w:pPr>
        <w:spacing w:after="0" w:line="165" w:lineRule="exact"/>
        <w:rPr>
          <w:rFonts w:ascii="Arial" w:cs="Arial" w:eastAsia="Arial" w:hAnsi="Arial"/>
          <w:sz w:val="20"/>
          <w:szCs w:val="20"/>
          <w:color w:val="auto"/>
        </w:rPr>
      </w:pPr>
    </w:p>
    <w:p>
      <w:pPr>
        <w:ind w:left="1720" w:right="260" w:hanging="854"/>
        <w:spacing w:after="0" w:line="272" w:lineRule="auto"/>
        <w:tabs>
          <w:tab w:leader="none" w:pos="1720" w:val="left"/>
        </w:tabs>
        <w:numPr>
          <w:ilvl w:val="1"/>
          <w:numId w:val="109"/>
        </w:numPr>
        <w:rPr>
          <w:rFonts w:ascii="Arial" w:cs="Arial" w:eastAsia="Arial" w:hAnsi="Arial"/>
          <w:sz w:val="19"/>
          <w:szCs w:val="19"/>
          <w:color w:val="auto"/>
        </w:rPr>
      </w:pPr>
      <w:r>
        <w:rPr>
          <w:rFonts w:ascii="Arial" w:cs="Arial" w:eastAsia="Arial" w:hAnsi="Arial"/>
          <w:sz w:val="19"/>
          <w:szCs w:val="19"/>
          <w:color w:val="auto"/>
        </w:rPr>
        <w:t>A material reduction in the nature or status of the Executive’s authorities, duties, and/or responsibilities (when such authorities, duties, and/or responsibilities are viewed in the aggregate) from their level in effect on the day immediately prior to the start of the Protected Period.</w:t>
      </w:r>
    </w:p>
    <w:p>
      <w:pPr>
        <w:spacing w:after="0" w:line="144" w:lineRule="exact"/>
        <w:rPr>
          <w:rFonts w:ascii="Arial" w:cs="Arial" w:eastAsia="Arial" w:hAnsi="Arial"/>
          <w:sz w:val="19"/>
          <w:szCs w:val="19"/>
          <w:color w:val="auto"/>
        </w:rPr>
      </w:pPr>
    </w:p>
    <w:p>
      <w:pPr>
        <w:ind w:left="1720" w:right="220" w:hanging="854"/>
        <w:spacing w:after="0" w:line="268" w:lineRule="auto"/>
        <w:tabs>
          <w:tab w:leader="none" w:pos="1720" w:val="left"/>
        </w:tabs>
        <w:numPr>
          <w:ilvl w:val="1"/>
          <w:numId w:val="109"/>
        </w:numPr>
        <w:rPr>
          <w:rFonts w:ascii="Arial" w:cs="Arial" w:eastAsia="Arial" w:hAnsi="Arial"/>
          <w:sz w:val="20"/>
          <w:szCs w:val="20"/>
          <w:color w:val="auto"/>
        </w:rPr>
      </w:pPr>
      <w:r>
        <w:rPr>
          <w:rFonts w:ascii="Arial" w:cs="Arial" w:eastAsia="Arial" w:hAnsi="Arial"/>
          <w:sz w:val="20"/>
          <w:szCs w:val="20"/>
          <w:color w:val="auto"/>
        </w:rPr>
        <w:t>A reduction by the Company of the Executive’s Base Salary as in effect on the day immediately prior to the start of the Protected Period.</w:t>
      </w:r>
    </w:p>
    <w:p>
      <w:pPr>
        <w:spacing w:after="0" w:line="145" w:lineRule="exact"/>
        <w:rPr>
          <w:rFonts w:ascii="Arial" w:cs="Arial" w:eastAsia="Arial" w:hAnsi="Arial"/>
          <w:sz w:val="20"/>
          <w:szCs w:val="20"/>
          <w:color w:val="auto"/>
        </w:rPr>
      </w:pPr>
    </w:p>
    <w:p>
      <w:pPr>
        <w:ind w:left="1720" w:hanging="854"/>
        <w:spacing w:after="0" w:line="248" w:lineRule="auto"/>
        <w:tabs>
          <w:tab w:leader="none" w:pos="1720" w:val="left"/>
        </w:tabs>
        <w:numPr>
          <w:ilvl w:val="1"/>
          <w:numId w:val="109"/>
        </w:numPr>
        <w:rPr>
          <w:rFonts w:ascii="Arial" w:cs="Arial" w:eastAsia="Arial" w:hAnsi="Arial"/>
          <w:sz w:val="20"/>
          <w:szCs w:val="20"/>
          <w:color w:val="auto"/>
        </w:rPr>
      </w:pPr>
      <w:r>
        <w:rPr>
          <w:rFonts w:ascii="Arial" w:cs="Arial" w:eastAsia="Arial" w:hAnsi="Arial"/>
          <w:sz w:val="20"/>
          <w:szCs w:val="20"/>
          <w:color w:val="auto"/>
        </w:rPr>
        <w:t>A material reduction by the Company of the Executive’s aggregate welfare benefits and/or the value of the incentive programs provided under the Company’s management incentive and/or other short and/or long-term incentive programs, as such benefits and opportunities exist on the day immediately prior to the start of the Protected Period.</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40005</wp:posOffset>
            </wp:positionV>
            <wp:extent cx="7182485" cy="412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6">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0380"/>
          </w:cols>
          <w:pgMar w:left="1180" w:top="752" w:right="339" w:bottom="1440" w:gutter="0" w:footer="0" w:header="0"/>
        </w:sectPr>
      </w:pPr>
    </w:p>
    <w:bookmarkStart w:id="211" w:name="page212"/>
    <w:bookmarkEnd w:id="211"/>
    <w:p>
      <w:pPr>
        <w:ind w:left="1720" w:right="380" w:hanging="854"/>
        <w:spacing w:after="0" w:line="294" w:lineRule="auto"/>
        <w:tabs>
          <w:tab w:leader="none" w:pos="1720" w:val="left"/>
        </w:tabs>
        <w:numPr>
          <w:ilvl w:val="1"/>
          <w:numId w:val="110"/>
        </w:numPr>
        <w:rPr>
          <w:rFonts w:ascii="Arial" w:cs="Arial" w:eastAsia="Arial" w:hAnsi="Arial"/>
          <w:sz w:val="19"/>
          <w:szCs w:val="19"/>
          <w:color w:val="auto"/>
        </w:rPr>
      </w:pPr>
      <w:r>
        <w:rPr>
          <w:rFonts w:ascii="Arial" w:cs="Arial" w:eastAsia="Arial" w:hAnsi="Arial"/>
          <w:sz w:val="19"/>
          <w:szCs w:val="19"/>
          <w:color w:val="auto"/>
        </w:rPr>
        <w:t>The relocation of the Executive’s principal office by the Company more than fifty (50) miles from the location of the Executive’s principal office immediately prior to the start of the Protected Period.</w:t>
      </w:r>
    </w:p>
    <w:p>
      <w:pPr>
        <w:spacing w:after="0" w:line="123" w:lineRule="exact"/>
        <w:rPr>
          <w:rFonts w:ascii="Arial" w:cs="Arial" w:eastAsia="Arial" w:hAnsi="Arial"/>
          <w:sz w:val="19"/>
          <w:szCs w:val="19"/>
          <w:color w:val="auto"/>
        </w:rPr>
      </w:pPr>
    </w:p>
    <w:p>
      <w:pPr>
        <w:ind w:left="1720" w:hanging="854"/>
        <w:spacing w:after="0" w:line="268" w:lineRule="auto"/>
        <w:tabs>
          <w:tab w:leader="none" w:pos="1720" w:val="left"/>
        </w:tabs>
        <w:numPr>
          <w:ilvl w:val="1"/>
          <w:numId w:val="110"/>
        </w:numPr>
        <w:rPr>
          <w:rFonts w:ascii="Arial" w:cs="Arial" w:eastAsia="Arial" w:hAnsi="Arial"/>
          <w:sz w:val="20"/>
          <w:szCs w:val="20"/>
          <w:color w:val="auto"/>
        </w:rPr>
      </w:pPr>
      <w:r>
        <w:rPr>
          <w:rFonts w:ascii="Arial" w:cs="Arial" w:eastAsia="Arial" w:hAnsi="Arial"/>
          <w:sz w:val="20"/>
          <w:szCs w:val="20"/>
          <w:color w:val="auto"/>
        </w:rPr>
        <w:t>Any purported termination by the Company of the Executive’s employment that is not affected pursuant to a Notice of Termination satisfying the requirements of Section 3.4.</w:t>
      </w:r>
    </w:p>
    <w:p>
      <w:pPr>
        <w:spacing w:after="0" w:line="145" w:lineRule="exact"/>
        <w:rPr>
          <w:rFonts w:ascii="Arial" w:cs="Arial" w:eastAsia="Arial" w:hAnsi="Arial"/>
          <w:sz w:val="20"/>
          <w:szCs w:val="20"/>
          <w:color w:val="auto"/>
        </w:rPr>
      </w:pPr>
    </w:p>
    <w:p>
      <w:pPr>
        <w:ind w:left="1720" w:right="340" w:hanging="854"/>
        <w:spacing w:after="0" w:line="324" w:lineRule="auto"/>
        <w:tabs>
          <w:tab w:leader="none" w:pos="17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failure of the Company to obtain an agreement from any successor to the Company to assume and agree to perform the Company’s obligations under this Agreement, as contemplated by Article 8.</w:t>
      </w:r>
    </w:p>
    <w:p>
      <w:pPr>
        <w:spacing w:after="0" w:line="100" w:lineRule="exact"/>
        <w:rPr>
          <w:rFonts w:ascii="Arial" w:cs="Arial" w:eastAsia="Arial" w:hAnsi="Arial"/>
          <w:sz w:val="18"/>
          <w:szCs w:val="18"/>
          <w:color w:val="auto"/>
        </w:rPr>
      </w:pPr>
    </w:p>
    <w:p>
      <w:pPr>
        <w:ind w:left="860" w:right="180" w:hanging="856"/>
        <w:spacing w:after="0" w:line="294" w:lineRule="auto"/>
        <w:tabs>
          <w:tab w:leader="none" w:pos="86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“Person” shall have the meaning ascribed to such term in Section 3(a)(9) of the Exchange Act and used in Sections 13(d) and 14(d) thereof, including a group as contemplated by Sections 13(d)(3) and l4(d)(2) thereof</w:t>
      </w:r>
    </w:p>
    <w:p>
      <w:pPr>
        <w:spacing w:after="0" w:line="123" w:lineRule="exact"/>
        <w:rPr>
          <w:rFonts w:ascii="Arial" w:cs="Arial" w:eastAsia="Arial" w:hAnsi="Arial"/>
          <w:sz w:val="19"/>
          <w:szCs w:val="19"/>
          <w:color w:val="auto"/>
        </w:rPr>
      </w:pPr>
    </w:p>
    <w:p>
      <w:pPr>
        <w:ind w:left="860" w:right="600" w:hanging="856"/>
        <w:spacing w:after="0" w:line="268" w:lineRule="auto"/>
        <w:tabs>
          <w:tab w:leader="none" w:pos="86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“Potential Change in Control” shall be deemed to have occurred as of the first day that any one or more of the following conditions shall have been satisfied:</w:t>
      </w:r>
    </w:p>
    <w:p>
      <w:pPr>
        <w:spacing w:after="0" w:line="145" w:lineRule="exact"/>
        <w:rPr>
          <w:rFonts w:ascii="Arial" w:cs="Arial" w:eastAsia="Arial" w:hAnsi="Arial"/>
          <w:sz w:val="20"/>
          <w:szCs w:val="20"/>
          <w:color w:val="auto"/>
        </w:rPr>
      </w:pPr>
    </w:p>
    <w:p>
      <w:pPr>
        <w:ind w:left="1720" w:right="280" w:hanging="854"/>
        <w:spacing w:after="0" w:line="324" w:lineRule="auto"/>
        <w:tabs>
          <w:tab w:leader="none" w:pos="17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Person announces an intention to take an action that, if consummated, would result in a Change of Control and the Board expresses its good faith belief that such announced intention is serious.</w:t>
      </w:r>
    </w:p>
    <w:p>
      <w:pPr>
        <w:spacing w:after="0" w:line="100" w:lineRule="exact"/>
        <w:rPr>
          <w:rFonts w:ascii="Arial" w:cs="Arial" w:eastAsia="Arial" w:hAnsi="Arial"/>
          <w:sz w:val="18"/>
          <w:szCs w:val="18"/>
          <w:color w:val="auto"/>
        </w:rPr>
      </w:pPr>
    </w:p>
    <w:p>
      <w:pPr>
        <w:ind w:left="1720" w:right="40" w:hanging="854"/>
        <w:spacing w:after="0" w:line="268" w:lineRule="auto"/>
        <w:tabs>
          <w:tab w:leader="none" w:pos="1720" w:val="left"/>
        </w:tabs>
        <w:numPr>
          <w:ilvl w:val="1"/>
          <w:numId w:val="111"/>
        </w:numPr>
        <w:rPr>
          <w:rFonts w:ascii="Arial" w:cs="Arial" w:eastAsia="Arial" w:hAnsi="Arial"/>
          <w:sz w:val="20"/>
          <w:szCs w:val="20"/>
          <w:color w:val="auto"/>
        </w:rPr>
      </w:pPr>
      <w:r>
        <w:rPr>
          <w:rFonts w:ascii="Arial" w:cs="Arial" w:eastAsia="Arial" w:hAnsi="Arial"/>
          <w:sz w:val="20"/>
          <w:szCs w:val="20"/>
          <w:color w:val="auto"/>
        </w:rPr>
        <w:t>The Company or the trustees of the Company’s Employee Stock Ownership Plan enters into an agreement that, if consummated, would result in a Change in Control.</w:t>
      </w:r>
    </w:p>
    <w:p>
      <w:pPr>
        <w:spacing w:after="0" w:line="145" w:lineRule="exact"/>
        <w:rPr>
          <w:rFonts w:ascii="Arial" w:cs="Arial" w:eastAsia="Arial" w:hAnsi="Arial"/>
          <w:sz w:val="20"/>
          <w:szCs w:val="20"/>
          <w:color w:val="auto"/>
        </w:rPr>
      </w:pPr>
    </w:p>
    <w:p>
      <w:pPr>
        <w:ind w:left="1720" w:right="120" w:hanging="854"/>
        <w:spacing w:after="0" w:line="248" w:lineRule="auto"/>
        <w:tabs>
          <w:tab w:leader="none" w:pos="1720" w:val="left"/>
        </w:tabs>
        <w:numPr>
          <w:ilvl w:val="1"/>
          <w:numId w:val="111"/>
        </w:numPr>
        <w:rPr>
          <w:rFonts w:ascii="Arial" w:cs="Arial" w:eastAsia="Arial" w:hAnsi="Arial"/>
          <w:sz w:val="20"/>
          <w:szCs w:val="20"/>
          <w:color w:val="auto"/>
        </w:rPr>
      </w:pPr>
      <w:r>
        <w:rPr>
          <w:rFonts w:ascii="Arial" w:cs="Arial" w:eastAsia="Arial" w:hAnsi="Arial"/>
          <w:sz w:val="20"/>
          <w:szCs w:val="20"/>
          <w:color w:val="auto"/>
        </w:rPr>
        <w:t>Any Person (other than the Company or a trustee or other fiduciary holding securities under an employee benefit plan of the Company) becomes the Beneficial Owner, directly or indirectly, of securities of the Company representing ten percent (10%) or more of the combined voting power of the Company’s then outstanding securities.</w:t>
      </w:r>
    </w:p>
    <w:p>
      <w:pPr>
        <w:spacing w:after="0" w:line="165" w:lineRule="exact"/>
        <w:rPr>
          <w:rFonts w:ascii="Arial" w:cs="Arial" w:eastAsia="Arial" w:hAnsi="Arial"/>
          <w:sz w:val="20"/>
          <w:szCs w:val="20"/>
          <w:color w:val="auto"/>
        </w:rPr>
      </w:pPr>
    </w:p>
    <w:p>
      <w:pPr>
        <w:ind w:left="1720" w:hanging="854"/>
        <w:spacing w:after="0"/>
        <w:tabs>
          <w:tab w:leader="none" w:pos="1720" w:val="left"/>
        </w:tabs>
        <w:numPr>
          <w:ilvl w:val="1"/>
          <w:numId w:val="111"/>
        </w:numPr>
        <w:rPr>
          <w:rFonts w:ascii="Arial" w:cs="Arial" w:eastAsia="Arial" w:hAnsi="Arial"/>
          <w:sz w:val="19"/>
          <w:szCs w:val="19"/>
          <w:color w:val="auto"/>
        </w:rPr>
      </w:pPr>
      <w:r>
        <w:rPr>
          <w:rFonts w:ascii="Arial" w:cs="Arial" w:eastAsia="Arial" w:hAnsi="Arial"/>
          <w:sz w:val="19"/>
          <w:szCs w:val="19"/>
          <w:color w:val="auto"/>
        </w:rPr>
        <w:t>The Board declares that a Potential Change in Control has occurred for purposes of this Agreement.</w:t>
      </w:r>
    </w:p>
    <w:p>
      <w:pPr>
        <w:spacing w:after="0" w:line="212" w:lineRule="exact"/>
        <w:rPr>
          <w:rFonts w:ascii="Arial" w:cs="Arial" w:eastAsia="Arial" w:hAnsi="Arial"/>
          <w:sz w:val="19"/>
          <w:szCs w:val="19"/>
          <w:color w:val="auto"/>
        </w:rPr>
      </w:pPr>
    </w:p>
    <w:p>
      <w:pPr>
        <w:ind w:left="860" w:right="620" w:hanging="856"/>
        <w:spacing w:after="0" w:line="268" w:lineRule="auto"/>
        <w:tabs>
          <w:tab w:leader="none" w:pos="86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“Protected Period” means the period related to a Change in Control commencing on the date of the Change in Control and ending on the date that is eighteen (18) months after the Change in Control.</w:t>
      </w:r>
    </w:p>
    <w:p>
      <w:pPr>
        <w:spacing w:after="0" w:line="145" w:lineRule="exact"/>
        <w:rPr>
          <w:rFonts w:ascii="Arial" w:cs="Arial" w:eastAsia="Arial" w:hAnsi="Arial"/>
          <w:sz w:val="20"/>
          <w:szCs w:val="20"/>
          <w:color w:val="auto"/>
        </w:rPr>
      </w:pPr>
    </w:p>
    <w:p>
      <w:pPr>
        <w:ind w:left="860" w:right="280" w:hanging="856"/>
        <w:spacing w:after="0" w:line="253" w:lineRule="auto"/>
        <w:tabs>
          <w:tab w:leader="none" w:pos="86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“Qualifying Termination Event” means the occurrence, upon a Potential Change of Control, of any of one of the events described in sub-sections (i) and (ii) below, and, the occurrence of any one or more of the following events upon a Change in Control, or within the Protected Period following a Change in Control:</w:t>
      </w:r>
    </w:p>
    <w:p>
      <w:pPr>
        <w:spacing w:after="0" w:line="160" w:lineRule="exact"/>
        <w:rPr>
          <w:rFonts w:ascii="Arial" w:cs="Arial" w:eastAsia="Arial" w:hAnsi="Arial"/>
          <w:sz w:val="20"/>
          <w:szCs w:val="20"/>
          <w:color w:val="auto"/>
        </w:rPr>
      </w:pPr>
    </w:p>
    <w:p>
      <w:pPr>
        <w:ind w:left="1720" w:right="300" w:hanging="854"/>
        <w:spacing w:after="0" w:line="268" w:lineRule="auto"/>
        <w:tabs>
          <w:tab w:leader="none" w:pos="1720" w:val="left"/>
        </w:tabs>
        <w:numPr>
          <w:ilvl w:val="1"/>
          <w:numId w:val="111"/>
        </w:numPr>
        <w:rPr>
          <w:rFonts w:ascii="Arial" w:cs="Arial" w:eastAsia="Arial" w:hAnsi="Arial"/>
          <w:sz w:val="20"/>
          <w:szCs w:val="20"/>
          <w:color w:val="auto"/>
        </w:rPr>
      </w:pPr>
      <w:r>
        <w:rPr>
          <w:rFonts w:ascii="Arial" w:cs="Arial" w:eastAsia="Arial" w:hAnsi="Arial"/>
          <w:sz w:val="20"/>
          <w:szCs w:val="20"/>
          <w:color w:val="auto"/>
        </w:rPr>
        <w:t>A termination of the Executive’s employment at the initiation of the Company, without the Executive’s consent, for reasons other than Cause;</w:t>
      </w: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40005</wp:posOffset>
            </wp:positionV>
            <wp:extent cx="7182485" cy="412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7">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0380"/>
          </w:cols>
          <w:pgMar w:left="1180" w:top="752" w:right="339" w:bottom="1440" w:gutter="0" w:footer="0" w:header="0"/>
        </w:sectPr>
      </w:pPr>
    </w:p>
    <w:bookmarkStart w:id="212" w:name="page213"/>
    <w:bookmarkEnd w:id="212"/>
    <w:p>
      <w:pPr>
        <w:ind w:left="2580" w:hanging="854"/>
        <w:spacing w:after="0"/>
        <w:tabs>
          <w:tab w:leader="none" w:pos="258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A voluntary termination of employment by the Executive for Good Reason;</w:t>
      </w:r>
    </w:p>
    <w:p>
      <w:pPr>
        <w:spacing w:after="0" w:line="201" w:lineRule="exact"/>
        <w:rPr>
          <w:rFonts w:ascii="Arial" w:cs="Arial" w:eastAsia="Arial" w:hAnsi="Arial"/>
          <w:sz w:val="20"/>
          <w:szCs w:val="20"/>
          <w:color w:val="auto"/>
        </w:rPr>
      </w:pPr>
    </w:p>
    <w:p>
      <w:pPr>
        <w:ind w:left="2580" w:right="200" w:hanging="854"/>
        <w:spacing w:after="0" w:line="268" w:lineRule="auto"/>
        <w:tabs>
          <w:tab w:leader="none" w:pos="258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A successor company fails or refuses to assume by written instrument the Company’s obligations under this Agreement, as contemplated by Article 8;</w:t>
      </w:r>
    </w:p>
    <w:p>
      <w:pPr>
        <w:spacing w:after="0" w:line="145" w:lineRule="exact"/>
        <w:rPr>
          <w:rFonts w:ascii="Arial" w:cs="Arial" w:eastAsia="Arial" w:hAnsi="Arial"/>
          <w:sz w:val="20"/>
          <w:szCs w:val="20"/>
          <w:color w:val="auto"/>
        </w:rPr>
      </w:pPr>
    </w:p>
    <w:p>
      <w:pPr>
        <w:ind w:left="2580" w:hanging="854"/>
        <w:spacing w:after="0"/>
        <w:tabs>
          <w:tab w:leader="none" w:pos="25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Company or any successor company repudiates or breaches any of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ARTICLE II</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SERVICES DURING CERTAIN EVENTS</w:t>
      </w:r>
    </w:p>
    <w:p>
      <w:pPr>
        <w:spacing w:after="0" w:line="183" w:lineRule="exact"/>
        <w:rPr>
          <w:sz w:val="20"/>
          <w:szCs w:val="20"/>
          <w:color w:val="auto"/>
        </w:rPr>
      </w:pPr>
    </w:p>
    <w:p>
      <w:pPr>
        <w:ind w:right="20" w:firstLine="865"/>
        <w:spacing w:after="0" w:line="244" w:lineRule="auto"/>
        <w:rPr>
          <w:sz w:val="20"/>
          <w:szCs w:val="20"/>
          <w:color w:val="auto"/>
        </w:rPr>
      </w:pPr>
      <w:r>
        <w:rPr>
          <w:rFonts w:ascii="Arial" w:cs="Arial" w:eastAsia="Arial" w:hAnsi="Arial"/>
          <w:sz w:val="20"/>
          <w:szCs w:val="20"/>
          <w:color w:val="auto"/>
        </w:rPr>
        <w:t>If a Potential Change in Control occurs, the Executive agrees that he or she will not voluntarily leave the employ of the Company and will render services until (a) the Board declares, or otherwise indicates, that the circumstances giving rise to the Potential Change in Control will not result in an actual Change in Control, or (b) if a Change in Control occurs, until six (6) months after the Change in Control; provided, however, that, subject to any right that the Executive may have to benefits hereunder, the Company may terminate the Executive’s employment at any time for any reason, and the Executive may terminate his or her employment at any time for Good Reason.</w:t>
      </w:r>
    </w:p>
    <w:p>
      <w:pPr>
        <w:spacing w:after="0" w:line="200" w:lineRule="exact"/>
        <w:rPr>
          <w:sz w:val="20"/>
          <w:szCs w:val="20"/>
          <w:color w:val="auto"/>
        </w:rPr>
      </w:pPr>
    </w:p>
    <w:p>
      <w:pPr>
        <w:spacing w:after="0" w:line="369" w:lineRule="exact"/>
        <w:rPr>
          <w:sz w:val="20"/>
          <w:szCs w:val="20"/>
          <w:color w:val="auto"/>
        </w:rPr>
      </w:pPr>
    </w:p>
    <w:tbl>
      <w:tblPr>
        <w:tblLayout w:type="fixed"/>
        <w:tblInd w:w="174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7800" w:type="dxa"/>
            <w:vAlign w:val="bottom"/>
          </w:tcPr>
          <w:p>
            <w:pPr>
              <w:jc w:val="center"/>
              <w:ind w:right="2259"/>
              <w:spacing w:after="0"/>
              <w:rPr>
                <w:sz w:val="20"/>
                <w:szCs w:val="20"/>
                <w:color w:val="auto"/>
              </w:rPr>
            </w:pPr>
            <w:r>
              <w:rPr>
                <w:rFonts w:ascii="Arial" w:cs="Arial" w:eastAsia="Arial" w:hAnsi="Arial"/>
                <w:sz w:val="20"/>
                <w:szCs w:val="20"/>
                <w:b w:val="1"/>
                <w:bCs w:val="1"/>
                <w:color w:val="auto"/>
              </w:rPr>
              <w:t>ARTICLE III</w:t>
            </w:r>
          </w:p>
        </w:tc>
      </w:tr>
      <w:tr>
        <w:trPr>
          <w:trHeight w:val="263"/>
        </w:trPr>
        <w:tc>
          <w:tcPr>
            <w:tcW w:w="1160" w:type="dxa"/>
            <w:vAlign w:val="bottom"/>
          </w:tcPr>
          <w:p>
            <w:pPr>
              <w:spacing w:after="0"/>
              <w:rPr>
                <w:sz w:val="22"/>
                <w:szCs w:val="22"/>
                <w:color w:val="auto"/>
              </w:rPr>
            </w:pPr>
          </w:p>
        </w:tc>
        <w:tc>
          <w:tcPr>
            <w:tcW w:w="7800" w:type="dxa"/>
            <w:vAlign w:val="bottom"/>
          </w:tcPr>
          <w:p>
            <w:pPr>
              <w:jc w:val="center"/>
              <w:ind w:right="2239"/>
              <w:spacing w:after="0"/>
              <w:rPr>
                <w:sz w:val="20"/>
                <w:szCs w:val="20"/>
                <w:color w:val="auto"/>
              </w:rPr>
            </w:pPr>
            <w:r>
              <w:rPr>
                <w:rFonts w:ascii="Arial" w:cs="Arial" w:eastAsia="Arial" w:hAnsi="Arial"/>
                <w:sz w:val="20"/>
                <w:szCs w:val="20"/>
                <w:b w:val="1"/>
                <w:bCs w:val="1"/>
                <w:color w:val="auto"/>
              </w:rPr>
              <w:t>SEVERANCE BENEFITS</w:t>
            </w:r>
          </w:p>
        </w:tc>
      </w:tr>
      <w:tr>
        <w:trPr>
          <w:trHeight w:val="419"/>
        </w:trPr>
        <w:tc>
          <w:tcPr>
            <w:tcW w:w="1160" w:type="dxa"/>
            <w:vAlign w:val="bottom"/>
          </w:tcPr>
          <w:p>
            <w:pPr>
              <w:jc w:val="right"/>
              <w:ind w:right="819"/>
              <w:spacing w:after="0"/>
              <w:rPr>
                <w:sz w:val="20"/>
                <w:szCs w:val="20"/>
                <w:color w:val="auto"/>
              </w:rPr>
            </w:pPr>
            <w:r>
              <w:rPr>
                <w:rFonts w:ascii="Arial" w:cs="Arial" w:eastAsia="Arial" w:hAnsi="Arial"/>
                <w:sz w:val="20"/>
                <w:szCs w:val="20"/>
                <w:b w:val="1"/>
                <w:bCs w:val="1"/>
                <w:color w:val="auto"/>
                <w:w w:val="78"/>
              </w:rPr>
              <w:t>3.1</w:t>
            </w:r>
          </w:p>
        </w:tc>
        <w:tc>
          <w:tcPr>
            <w:tcW w:w="7800" w:type="dxa"/>
            <w:vAlign w:val="bottom"/>
          </w:tcPr>
          <w:p>
            <w:pPr>
              <w:ind w:left="900"/>
              <w:spacing w:after="0"/>
              <w:rPr>
                <w:sz w:val="20"/>
                <w:szCs w:val="20"/>
                <w:color w:val="auto"/>
              </w:rPr>
            </w:pPr>
            <w:r>
              <w:rPr>
                <w:rFonts w:ascii="Arial" w:cs="Arial" w:eastAsia="Arial" w:hAnsi="Arial"/>
                <w:sz w:val="20"/>
                <w:szCs w:val="20"/>
                <w:b w:val="1"/>
                <w:bCs w:val="1"/>
                <w:color w:val="auto"/>
                <w:w w:val="91"/>
              </w:rPr>
              <w:t>Right to Severance Benefits</w:t>
            </w:r>
            <w:r>
              <w:rPr>
                <w:rFonts w:ascii="Arial" w:cs="Arial" w:eastAsia="Arial" w:hAnsi="Arial"/>
                <w:sz w:val="20"/>
                <w:szCs w:val="20"/>
                <w:color w:val="auto"/>
                <w:w w:val="91"/>
              </w:rPr>
              <w:t>. The Executive shall be entitled to receive the benefits</w:t>
            </w:r>
          </w:p>
        </w:tc>
      </w:tr>
    </w:tbl>
    <w:p>
      <w:pPr>
        <w:spacing w:after="0" w:line="239" w:lineRule="auto"/>
        <w:rPr>
          <w:sz w:val="20"/>
          <w:szCs w:val="20"/>
          <w:color w:val="auto"/>
        </w:rPr>
      </w:pPr>
      <w:r>
        <w:rPr>
          <w:rFonts w:ascii="Arial" w:cs="Arial" w:eastAsia="Arial" w:hAnsi="Arial"/>
          <w:sz w:val="20"/>
          <w:szCs w:val="20"/>
          <w:color w:val="auto"/>
        </w:rPr>
        <w:t xml:space="preserve">described in Section 3.2 if the Executive incurs a Qualifying Termination Event, provided that the Executive must (a) furnish the Company with written notice of Executive’s exercise of the right to receive such benefits within thirty (30) days of the occurrence of a Qualifying Termination Event and (b) execute and deliver to the Company the Severance Agreement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within fifty (50) days of the Qualifying Termination Event and not revoke it pursuant to any revocation rights afforded by law. If the Executive does not timely execute and deliver to the Company the Severance Agreement, or if the Executive has executed the Severance Agreement but revokes it, no severance benefits shall be paid. If more than one Qualifying Termination Event occurs, such events shall constitute a single Qualifying Termination Event and Executive shall be entitled to receive the benefits provided under Section 3.2 (a) through (d) only once.</w:t>
      </w:r>
    </w:p>
    <w:p>
      <w:pPr>
        <w:spacing w:after="0" w:line="174" w:lineRule="exact"/>
        <w:rPr>
          <w:sz w:val="20"/>
          <w:szCs w:val="20"/>
          <w:color w:val="auto"/>
        </w:rPr>
      </w:pPr>
    </w:p>
    <w:p>
      <w:pPr>
        <w:jc w:val="both"/>
        <w:ind w:right="100" w:firstLine="1729"/>
        <w:spacing w:after="0" w:line="249" w:lineRule="auto"/>
        <w:rPr>
          <w:sz w:val="20"/>
          <w:szCs w:val="20"/>
          <w:color w:val="auto"/>
        </w:rPr>
      </w:pPr>
      <w:r>
        <w:rPr>
          <w:rFonts w:ascii="Arial" w:cs="Arial" w:eastAsia="Arial" w:hAnsi="Arial"/>
          <w:sz w:val="20"/>
          <w:szCs w:val="20"/>
          <w:b w:val="1"/>
          <w:bCs w:val="1"/>
          <w:color w:val="auto"/>
        </w:rPr>
        <w:t>3.2 Severance Benefits</w:t>
      </w:r>
      <w:r>
        <w:rPr>
          <w:rFonts w:ascii="Arial" w:cs="Arial" w:eastAsia="Arial" w:hAnsi="Arial"/>
          <w:sz w:val="20"/>
          <w:szCs w:val="20"/>
          <w:color w:val="auto"/>
        </w:rPr>
        <w:t>. If a Qualifying Termination Event occurs and the Executive satisfies</w:t>
      </w:r>
      <w:r>
        <w:rPr>
          <w:rFonts w:ascii="Arial" w:cs="Arial" w:eastAsia="Arial" w:hAnsi="Arial"/>
          <w:sz w:val="20"/>
          <w:szCs w:val="20"/>
          <w:b w:val="1"/>
          <w:bCs w:val="1"/>
          <w:color w:val="auto"/>
        </w:rPr>
        <w:t xml:space="preserve"> </w:t>
      </w:r>
      <w:r>
        <w:rPr>
          <w:rFonts w:ascii="Arial" w:cs="Arial" w:eastAsia="Arial" w:hAnsi="Arial"/>
          <w:sz w:val="20"/>
          <w:szCs w:val="20"/>
          <w:color w:val="auto"/>
        </w:rPr>
        <w:t>the conditions set forth in Section 3.1 above, the Company will pay the Executive as soon as practicable following his or her satisfaction of such conditions, but in no event more than 2½ months following the Qualifying Termination Event, a non-discounted cash lump sum amount equal to the sum of the following:</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00"/>
          </w:cols>
          <w:pgMar w:left="320" w:top="752" w:right="379" w:bottom="1440" w:gutter="0" w:footer="0" w:header="0"/>
        </w:sectPr>
      </w:pPr>
    </w:p>
    <w:bookmarkStart w:id="213" w:name="page214"/>
    <w:bookmarkEnd w:id="213"/>
    <w:p>
      <w:pPr>
        <w:ind w:left="1720" w:right="900" w:hanging="856"/>
        <w:spacing w:after="0" w:line="268" w:lineRule="auto"/>
        <w:tabs>
          <w:tab w:leader="none" w:pos="172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Executive’s accrued and unpaid Base Salary and accrued vacation pay through the date of Executive’s termination, pursuant to a Qualifying Termination Event;</w:t>
      </w:r>
    </w:p>
    <w:p>
      <w:pPr>
        <w:spacing w:after="0" w:line="145" w:lineRule="exact"/>
        <w:rPr>
          <w:rFonts w:ascii="Arial" w:cs="Arial" w:eastAsia="Arial" w:hAnsi="Arial"/>
          <w:sz w:val="20"/>
          <w:szCs w:val="20"/>
          <w:color w:val="auto"/>
        </w:rPr>
      </w:pPr>
    </w:p>
    <w:p>
      <w:pPr>
        <w:jc w:val="both"/>
        <w:ind w:left="1720" w:right="120" w:hanging="856"/>
        <w:spacing w:after="0" w:line="245" w:lineRule="auto"/>
        <w:tabs>
          <w:tab w:leader="none" w:pos="172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a pro-rata portion (based on the number of days that elapsed in the calendar year before the Qualifying Termination Event occurred) of the greater of (i) the Executive’s target annual bonus for the year of the Qualifying Termination Event or (ii) the Executive’s annual bonus that would have been paid (as determined by the Board in its discretion) assuming the year ended on the date of the Qualifying Termination Event and based on actual performance through that date;</w:t>
      </w:r>
    </w:p>
    <w:p>
      <w:pPr>
        <w:spacing w:after="0" w:line="169" w:lineRule="exact"/>
        <w:rPr>
          <w:rFonts w:ascii="Arial" w:cs="Arial" w:eastAsia="Arial" w:hAnsi="Arial"/>
          <w:sz w:val="20"/>
          <w:szCs w:val="20"/>
          <w:color w:val="auto"/>
        </w:rPr>
      </w:pPr>
    </w:p>
    <w:p>
      <w:pPr>
        <w:ind w:left="1720" w:right="700" w:hanging="856"/>
        <w:spacing w:after="0" w:line="268" w:lineRule="auto"/>
        <w:tabs>
          <w:tab w:leader="none" w:pos="172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 xml:space="preserve">an amount equal to the highest rate of the Executive’s annualized Base Salary in effect at any time up to and including the Qualifying Termination Event multiplied by </w:t>
      </w:r>
      <w:r>
        <w:rPr>
          <w:rFonts w:ascii="Arial" w:cs="Arial" w:eastAsia="Arial" w:hAnsi="Arial"/>
          <w:sz w:val="20"/>
          <w:szCs w:val="20"/>
          <w:u w:val="single" w:color="auto"/>
          <w:color w:val="auto"/>
        </w:rPr>
        <w:t>three (3)</w:t>
      </w:r>
      <w:r>
        <w:rPr>
          <w:rFonts w:ascii="Arial" w:cs="Arial" w:eastAsia="Arial" w:hAnsi="Arial"/>
          <w:sz w:val="20"/>
          <w:szCs w:val="20"/>
          <w:color w:val="auto"/>
        </w:rPr>
        <w:t>; and</w:t>
      </w:r>
    </w:p>
    <w:p>
      <w:pPr>
        <w:spacing w:after="0" w:line="145" w:lineRule="exact"/>
        <w:rPr>
          <w:rFonts w:ascii="Arial" w:cs="Arial" w:eastAsia="Arial" w:hAnsi="Arial"/>
          <w:sz w:val="20"/>
          <w:szCs w:val="20"/>
          <w:color w:val="auto"/>
        </w:rPr>
      </w:pPr>
    </w:p>
    <w:p>
      <w:pPr>
        <w:ind w:left="1720" w:right="40" w:hanging="856"/>
        <w:spacing w:after="0" w:line="253" w:lineRule="auto"/>
        <w:tabs>
          <w:tab w:leader="none" w:pos="172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 xml:space="preserve">an amount equal to the greater of (i) the Executive’s target annual bonus for the year of the Qualifying Termination Event or (ii) the average of the annual bonuses actually paid to the Executive for the two years preceding the year of the Qualifying Termination Event, multiplied by </w:t>
      </w:r>
      <w:r>
        <w:rPr>
          <w:rFonts w:ascii="Arial" w:cs="Arial" w:eastAsia="Arial" w:hAnsi="Arial"/>
          <w:sz w:val="20"/>
          <w:szCs w:val="20"/>
          <w:u w:val="single" w:color="auto"/>
          <w:color w:val="auto"/>
        </w:rPr>
        <w:t>three (3).</w:t>
      </w:r>
    </w:p>
    <w:p>
      <w:pPr>
        <w:spacing w:after="0" w:line="160" w:lineRule="exact"/>
        <w:rPr>
          <w:sz w:val="20"/>
          <w:szCs w:val="20"/>
          <w:color w:val="auto"/>
        </w:rPr>
      </w:pPr>
    </w:p>
    <w:p>
      <w:pPr>
        <w:ind w:firstLine="865"/>
        <w:spacing w:after="0" w:line="253" w:lineRule="auto"/>
        <w:rPr>
          <w:sz w:val="20"/>
          <w:szCs w:val="20"/>
          <w:color w:val="auto"/>
        </w:rPr>
      </w:pPr>
      <w:r>
        <w:rPr>
          <w:rFonts w:ascii="Arial" w:cs="Arial" w:eastAsia="Arial" w:hAnsi="Arial"/>
          <w:sz w:val="19"/>
          <w:szCs w:val="19"/>
          <w:color w:val="auto"/>
        </w:rPr>
        <w:t xml:space="preserve">In addition to the foregoing, if Executive satisfies the conditions set forth in Section 3.1 above, the Company will pay the Executive as soon as practicable following his or her satisfaction of such conditions, but in no event more that 2½ months following the Qualifying Termination Event, a non-discounted cash lump sum amount equal to the sum of the following: (i) the Company’s estimate of the costs for the Executive’s medical insurance coverage at the level and a cost to the Executive comparable to that provided to the Executive immediately prior to the Qualifying Termination Event for a period of </w:t>
      </w:r>
      <w:r>
        <w:rPr>
          <w:rFonts w:ascii="Arial" w:cs="Arial" w:eastAsia="Arial" w:hAnsi="Arial"/>
          <w:sz w:val="19"/>
          <w:szCs w:val="19"/>
          <w:u w:val="single" w:color="auto"/>
          <w:color w:val="auto"/>
        </w:rPr>
        <w:t>three (3) years</w:t>
      </w:r>
      <w:r>
        <w:rPr>
          <w:rFonts w:ascii="Arial" w:cs="Arial" w:eastAsia="Arial" w:hAnsi="Arial"/>
          <w:sz w:val="19"/>
          <w:szCs w:val="19"/>
          <w:color w:val="auto"/>
        </w:rPr>
        <w:t xml:space="preserve"> following such Qualifying Termination Event (which, in the Company’s discretion, may be based on the applicable COBRA rates); (ii) the Company’s estimate of the costs for the continuation of that level of the Executive’s executive life insurance coverage that is in effect immediately prior to the Qualifying Termination Event for a period of </w:t>
      </w:r>
      <w:r>
        <w:rPr>
          <w:rFonts w:ascii="Arial" w:cs="Arial" w:eastAsia="Arial" w:hAnsi="Arial"/>
          <w:sz w:val="19"/>
          <w:szCs w:val="19"/>
          <w:u w:val="single" w:color="auto"/>
          <w:color w:val="auto"/>
        </w:rPr>
        <w:t>three (3) years</w:t>
      </w:r>
      <w:r>
        <w:rPr>
          <w:rFonts w:ascii="Arial" w:cs="Arial" w:eastAsia="Arial" w:hAnsi="Arial"/>
          <w:sz w:val="19"/>
          <w:szCs w:val="19"/>
          <w:color w:val="auto"/>
        </w:rPr>
        <w:t xml:space="preserve"> following such Qualifying Termination Event, or, if shorter, the period ending on the last day of the level premium rate guarantee period established by the applicable insurer for such coverage; and (iii) the Company’s estimate of the costs for the continuation of the Executive’s executive supplemental disability coverage under the Company’s supplemental disability insurance plan in effect immediately prior to the Qualifying Termination Event for a period of </w:t>
      </w:r>
      <w:r>
        <w:rPr>
          <w:rFonts w:ascii="Arial" w:cs="Arial" w:eastAsia="Arial" w:hAnsi="Arial"/>
          <w:sz w:val="19"/>
          <w:szCs w:val="19"/>
          <w:u w:val="single" w:color="auto"/>
          <w:color w:val="auto"/>
        </w:rPr>
        <w:t>three (3) years</w:t>
      </w:r>
      <w:r>
        <w:rPr>
          <w:rFonts w:ascii="Arial" w:cs="Arial" w:eastAsia="Arial" w:hAnsi="Arial"/>
          <w:sz w:val="19"/>
          <w:szCs w:val="19"/>
          <w:color w:val="auto"/>
        </w:rPr>
        <w:t xml:space="preserve"> following such Qualifying Termination Event (or the date the Executive attains age 65, if earlier), but the cash payment in this clause (iii) will only be paid if the terms of the applicable insurance policy under such disability insurance plan provide that the coverage may be continued following the Qualifying Termination Event and such costs to be estimated using the extent of the coverage allowed under the terms of such policy at a cost to the Company that is no greater than the cost borne by the Company immediately prior to the Qualifying Termination Event.</w:t>
      </w:r>
    </w:p>
    <w:p>
      <w:pPr>
        <w:spacing w:after="0" w:line="169" w:lineRule="exact"/>
        <w:rPr>
          <w:sz w:val="20"/>
          <w:szCs w:val="20"/>
          <w:color w:val="auto"/>
        </w:rPr>
      </w:pPr>
    </w:p>
    <w:p>
      <w:pPr>
        <w:ind w:right="640" w:firstLine="865"/>
        <w:spacing w:after="0" w:line="268" w:lineRule="auto"/>
        <w:rPr>
          <w:sz w:val="20"/>
          <w:szCs w:val="20"/>
          <w:color w:val="auto"/>
        </w:rPr>
      </w:pPr>
      <w:r>
        <w:rPr>
          <w:rFonts w:ascii="Arial" w:cs="Arial" w:eastAsia="Arial" w:hAnsi="Arial"/>
          <w:sz w:val="20"/>
          <w:szCs w:val="20"/>
          <w:color w:val="auto"/>
        </w:rPr>
        <w:t>If the 2½ month period following the Qualifying Termination Event for making the foregoing cash payments spans two calendar years, payment will in all cases be made in the second (later) calendar year.</w:t>
      </w:r>
    </w:p>
    <w:p>
      <w:pPr>
        <w:spacing w:after="0" w:line="12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00"/>
          </w:cols>
          <w:pgMar w:left="320" w:top="752" w:right="379" w:bottom="1440" w:gutter="0" w:footer="0" w:header="0"/>
        </w:sectPr>
      </w:pPr>
    </w:p>
    <w:bookmarkStart w:id="214" w:name="page215"/>
    <w:bookmarkEnd w:id="214"/>
    <w:p>
      <w:pPr>
        <w:ind w:firstLine="865"/>
        <w:spacing w:after="0" w:line="261" w:lineRule="auto"/>
        <w:rPr>
          <w:sz w:val="20"/>
          <w:szCs w:val="20"/>
          <w:color w:val="auto"/>
        </w:rPr>
      </w:pPr>
      <w:r>
        <w:rPr>
          <w:rFonts w:ascii="Arial" w:cs="Arial" w:eastAsia="Arial" w:hAnsi="Arial"/>
          <w:sz w:val="19"/>
          <w:szCs w:val="19"/>
          <w:color w:val="auto"/>
        </w:rPr>
        <w:t>Notwithstanding any provision of this Agreement to the contrary, to the extent that the Company determines that a delay in payment or benefits is required to avoid subjecting the Executive to taxes under Code Section 409A (“Section 409A”), the Executive shall not be entitled to receive any payments of, or benefits that constitute, deferred compensation (as defined in Section 409A) until the earlier of (i) the date which is six (6) months after his or her termination of employment or (ii) the date of his or her death (the “Section 409A Period”), at which time the Company shall pay all delayed payments to the Executive in a lump sum without interest.</w:t>
      </w:r>
    </w:p>
    <w:p>
      <w:pPr>
        <w:spacing w:after="0" w:line="152" w:lineRule="exact"/>
        <w:rPr>
          <w:sz w:val="20"/>
          <w:szCs w:val="20"/>
          <w:color w:val="auto"/>
        </w:rPr>
      </w:pPr>
    </w:p>
    <w:p>
      <w:pPr>
        <w:ind w:right="20" w:firstLine="1729"/>
        <w:spacing w:after="0" w:line="272" w:lineRule="auto"/>
        <w:rPr>
          <w:sz w:val="20"/>
          <w:szCs w:val="20"/>
          <w:color w:val="auto"/>
        </w:rPr>
      </w:pPr>
      <w:r>
        <w:rPr>
          <w:rFonts w:ascii="Arial" w:cs="Arial" w:eastAsia="Arial" w:hAnsi="Arial"/>
          <w:sz w:val="20"/>
          <w:szCs w:val="20"/>
          <w:b w:val="1"/>
          <w:bCs w:val="1"/>
          <w:color w:val="auto"/>
        </w:rPr>
        <w:t>3.3 Termination for Other Reasons</w:t>
      </w:r>
      <w:r>
        <w:rPr>
          <w:rFonts w:ascii="Arial" w:cs="Arial" w:eastAsia="Arial" w:hAnsi="Arial"/>
          <w:sz w:val="20"/>
          <w:szCs w:val="20"/>
          <w:color w:val="auto"/>
        </w:rPr>
        <w:t>. Except as expressly provided below, the Company shall</w:t>
      </w:r>
      <w:r>
        <w:rPr>
          <w:rFonts w:ascii="Arial" w:cs="Arial" w:eastAsia="Arial" w:hAnsi="Arial"/>
          <w:sz w:val="20"/>
          <w:szCs w:val="20"/>
          <w:b w:val="1"/>
          <w:bCs w:val="1"/>
          <w:color w:val="auto"/>
        </w:rPr>
        <w:t xml:space="preserve"> </w:t>
      </w:r>
      <w:r>
        <w:rPr>
          <w:rFonts w:ascii="Arial" w:cs="Arial" w:eastAsia="Arial" w:hAnsi="Arial"/>
          <w:sz w:val="20"/>
          <w:szCs w:val="20"/>
          <w:color w:val="auto"/>
        </w:rPr>
        <w:t>have no obligations (or no further obligations, as the case may be) to the Executive under this Agreement if:</w:t>
      </w:r>
    </w:p>
    <w:p>
      <w:pPr>
        <w:spacing w:after="0" w:line="142" w:lineRule="exact"/>
        <w:rPr>
          <w:sz w:val="20"/>
          <w:szCs w:val="20"/>
          <w:color w:val="auto"/>
        </w:rPr>
      </w:pPr>
    </w:p>
    <w:p>
      <w:pPr>
        <w:ind w:left="1720" w:hanging="856"/>
        <w:spacing w:after="0"/>
        <w:tabs>
          <w:tab w:leader="none" w:pos="172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Executive’s employment is terminated by the Company for Cause;</w:t>
      </w:r>
    </w:p>
    <w:p>
      <w:pPr>
        <w:spacing w:after="0" w:line="201" w:lineRule="exact"/>
        <w:rPr>
          <w:rFonts w:ascii="Arial" w:cs="Arial" w:eastAsia="Arial" w:hAnsi="Arial"/>
          <w:sz w:val="20"/>
          <w:szCs w:val="20"/>
          <w:color w:val="auto"/>
        </w:rPr>
      </w:pPr>
    </w:p>
    <w:p>
      <w:pPr>
        <w:ind w:left="1720" w:right="520" w:hanging="856"/>
        <w:spacing w:after="0" w:line="268" w:lineRule="auto"/>
        <w:tabs>
          <w:tab w:leader="none" w:pos="172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Executive terminates his or her employment with the Company other than for Good Reason during a Protected Period;</w:t>
      </w:r>
    </w:p>
    <w:p>
      <w:pPr>
        <w:spacing w:after="0" w:line="145" w:lineRule="exact"/>
        <w:rPr>
          <w:rFonts w:ascii="Arial" w:cs="Arial" w:eastAsia="Arial" w:hAnsi="Arial"/>
          <w:sz w:val="20"/>
          <w:szCs w:val="20"/>
          <w:color w:val="auto"/>
        </w:rPr>
      </w:pPr>
    </w:p>
    <w:p>
      <w:pPr>
        <w:ind w:left="1720" w:hanging="856"/>
        <w:spacing w:after="0"/>
        <w:tabs>
          <w:tab w:leader="none" w:pos="172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Executive’s employment by the Company terminates due to the Executive’s Disability, retirement or death; or</w:t>
      </w:r>
    </w:p>
    <w:p>
      <w:pPr>
        <w:spacing w:after="0" w:line="212" w:lineRule="exact"/>
        <w:rPr>
          <w:rFonts w:ascii="Arial" w:cs="Arial" w:eastAsia="Arial" w:hAnsi="Arial"/>
          <w:sz w:val="19"/>
          <w:szCs w:val="19"/>
          <w:color w:val="auto"/>
        </w:rPr>
      </w:pPr>
    </w:p>
    <w:p>
      <w:pPr>
        <w:ind w:left="1720" w:right="360" w:hanging="856"/>
        <w:spacing w:after="0" w:line="268" w:lineRule="auto"/>
        <w:tabs>
          <w:tab w:leader="none" w:pos="172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Executive’s employment by the Company is terminated by the Company or the Executive for any reason, if such termination does not occur during a Protected Period.</w:t>
      </w:r>
    </w:p>
    <w:p>
      <w:pPr>
        <w:spacing w:after="0" w:line="145" w:lineRule="exact"/>
        <w:rPr>
          <w:rFonts w:ascii="Arial" w:cs="Arial" w:eastAsia="Arial" w:hAnsi="Arial"/>
          <w:sz w:val="20"/>
          <w:szCs w:val="20"/>
          <w:color w:val="auto"/>
        </w:rPr>
      </w:pPr>
    </w:p>
    <w:p>
      <w:pPr>
        <w:ind w:left="1720" w:right="220" w:hanging="856"/>
        <w:spacing w:after="0" w:line="253" w:lineRule="auto"/>
        <w:tabs>
          <w:tab w:leader="none" w:pos="172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Prior to a Potential Change in Control, Executive ceases to perform services on a full-time basis in either the same position Executive was serving on the Effective Date or a more senior position and as a result the term of this Agreement terminates pursuant to Article VI.</w:t>
      </w:r>
    </w:p>
    <w:p>
      <w:pPr>
        <w:spacing w:after="0" w:line="160" w:lineRule="exact"/>
        <w:rPr>
          <w:sz w:val="20"/>
          <w:szCs w:val="20"/>
          <w:color w:val="auto"/>
        </w:rPr>
      </w:pPr>
    </w:p>
    <w:p>
      <w:pPr>
        <w:jc w:val="both"/>
        <w:ind w:right="100" w:firstLine="865"/>
        <w:spacing w:after="0" w:line="272" w:lineRule="auto"/>
        <w:rPr>
          <w:sz w:val="20"/>
          <w:szCs w:val="20"/>
          <w:color w:val="auto"/>
        </w:rPr>
      </w:pPr>
      <w:r>
        <w:rPr>
          <w:rFonts w:ascii="Arial" w:cs="Arial" w:eastAsia="Arial" w:hAnsi="Arial"/>
          <w:sz w:val="19"/>
          <w:szCs w:val="19"/>
          <w:color w:val="auto"/>
        </w:rPr>
        <w:t>If, during a Protected Period and immediately prior to the Executive’s Disability or retirement, the Executive would have been entitled to terminate employment with the Company for Good Reason, then upon termination of his or her employment for Disability or retirement he shall be deemed to have terminated for Good Reason for purposes of this Agreement.</w:t>
      </w:r>
    </w:p>
    <w:p>
      <w:pPr>
        <w:spacing w:after="0" w:line="145" w:lineRule="exact"/>
        <w:rPr>
          <w:sz w:val="20"/>
          <w:szCs w:val="20"/>
          <w:color w:val="auto"/>
        </w:rPr>
      </w:pPr>
    </w:p>
    <w:p>
      <w:pPr>
        <w:ind w:right="340" w:firstLine="865"/>
        <w:spacing w:after="0" w:line="259" w:lineRule="auto"/>
        <w:rPr>
          <w:sz w:val="20"/>
          <w:szCs w:val="20"/>
          <w:color w:val="auto"/>
        </w:rPr>
      </w:pPr>
      <w:r>
        <w:rPr>
          <w:rFonts w:ascii="Arial" w:cs="Arial" w:eastAsia="Arial" w:hAnsi="Arial"/>
          <w:sz w:val="19"/>
          <w:szCs w:val="19"/>
          <w:color w:val="auto"/>
        </w:rPr>
        <w:t>Notwithstanding anything else contained herein to the contrary, the Executive’s termination of employment on account of reaching the normal retirement age, as such age may be defined from time to time in policies adopted by the Company prior to the commencement of the Protected Period, to the extent such policies are applicable to the Executive immediately prior to the commencement of the Protected Period and to the extent such policies are consistent with applicable law, shall not be a Qualifying Termination Event unless the Executive was otherwise able to terminate employment for Good Reason immediately prior to his or her retirement and his or her retirement occurred during a Protected Period.</w:t>
      </w:r>
    </w:p>
    <w:p>
      <w:pPr>
        <w:spacing w:after="0" w:line="153" w:lineRule="exact"/>
        <w:rPr>
          <w:sz w:val="20"/>
          <w:szCs w:val="20"/>
          <w:color w:val="auto"/>
        </w:rPr>
      </w:pPr>
    </w:p>
    <w:p>
      <w:pPr>
        <w:jc w:val="both"/>
        <w:ind w:right="60" w:firstLine="1729"/>
        <w:spacing w:after="0" w:line="255" w:lineRule="auto"/>
        <w:rPr>
          <w:sz w:val="20"/>
          <w:szCs w:val="20"/>
          <w:color w:val="auto"/>
        </w:rPr>
      </w:pPr>
      <w:r>
        <w:rPr>
          <w:rFonts w:ascii="Arial" w:cs="Arial" w:eastAsia="Arial" w:hAnsi="Arial"/>
          <w:sz w:val="20"/>
          <w:szCs w:val="20"/>
          <w:b w:val="1"/>
          <w:bCs w:val="1"/>
          <w:color w:val="auto"/>
        </w:rPr>
        <w:t>3.4 Notice of Termination</w:t>
      </w:r>
      <w:r>
        <w:rPr>
          <w:rFonts w:ascii="Arial" w:cs="Arial" w:eastAsia="Arial" w:hAnsi="Arial"/>
          <w:sz w:val="20"/>
          <w:szCs w:val="20"/>
          <w:color w:val="auto"/>
        </w:rPr>
        <w:t>. Any termination of the Executive’s employment by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for Cause or by the Executive for Good Reason shall be communicated by Notice of Termination to the other party. For purposes of this Agreement, a “Notice of Termination” shall mean a written notice which shall indicate the specific termination provision</w:t>
      </w:r>
    </w:p>
    <w:p>
      <w:pPr>
        <w:spacing w:after="0" w:line="133"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0">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20"/>
          </w:cols>
          <w:pgMar w:left="320" w:top="752" w:right="359" w:bottom="1440" w:gutter="0" w:footer="0" w:header="0"/>
        </w:sectPr>
      </w:pPr>
    </w:p>
    <w:bookmarkStart w:id="215" w:name="page216"/>
    <w:bookmarkEnd w:id="215"/>
    <w:p>
      <w:pPr>
        <w:ind w:right="380"/>
        <w:spacing w:after="0" w:line="253" w:lineRule="auto"/>
        <w:rPr>
          <w:sz w:val="20"/>
          <w:szCs w:val="20"/>
          <w:color w:val="auto"/>
        </w:rPr>
      </w:pPr>
      <w:r>
        <w:rPr>
          <w:rFonts w:ascii="Arial" w:cs="Arial" w:eastAsia="Arial" w:hAnsi="Arial"/>
          <w:sz w:val="20"/>
          <w:szCs w:val="20"/>
          <w:color w:val="auto"/>
        </w:rPr>
        <w:t>in this Agreement relied upon and shall set forth in reasonable detail the facts and circumstances claimed to provide a basis for termination of the Executive’s employment under the provision so indicated. The Notice of Termination shall be effective on the date specified in Section 9.8 of this Agreement.</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ARTICLE IV</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TAXES</w:t>
      </w:r>
    </w:p>
    <w:p>
      <w:pPr>
        <w:spacing w:after="0" w:line="183" w:lineRule="exact"/>
        <w:rPr>
          <w:sz w:val="20"/>
          <w:szCs w:val="20"/>
          <w:color w:val="auto"/>
        </w:rPr>
      </w:pPr>
    </w:p>
    <w:p>
      <w:pPr>
        <w:ind w:right="60" w:firstLine="865"/>
        <w:spacing w:after="0" w:line="276" w:lineRule="auto"/>
        <w:rPr>
          <w:sz w:val="20"/>
          <w:szCs w:val="20"/>
          <w:color w:val="auto"/>
        </w:rPr>
      </w:pPr>
      <w:r>
        <w:rPr>
          <w:rFonts w:ascii="Arial" w:cs="Arial" w:eastAsia="Arial" w:hAnsi="Arial"/>
          <w:sz w:val="18"/>
          <w:szCs w:val="18"/>
          <w:color w:val="auto"/>
        </w:rPr>
        <w:t>The Company has the right to withhold from any amount otherwise payable to the Executive under or pursuant to this Agreement the amount of any taxes that the Company may legally be required to withhold with respect to such payment (including, without limitation, any United States Federal taxes, and any other state, city, or local taxes). In the event that tax withholding is required with respect to amounts or benefits payable or deliverable by the Company to the Executive and the Company cannot satisfy its tax withholding obligations in the manner described in the preceding sentence, the Company may require the Executive to pay or provide for the payment of such required tax withholding as a condition to the payment or delivery of such amounts or benefits.</w:t>
      </w:r>
    </w:p>
    <w:p>
      <w:pPr>
        <w:spacing w:after="0" w:line="144" w:lineRule="exact"/>
        <w:rPr>
          <w:sz w:val="20"/>
          <w:szCs w:val="20"/>
          <w:color w:val="auto"/>
        </w:rPr>
      </w:pPr>
    </w:p>
    <w:p>
      <w:pPr>
        <w:ind w:right="500" w:firstLine="865"/>
        <w:spacing w:after="0" w:line="268" w:lineRule="auto"/>
        <w:rPr>
          <w:sz w:val="20"/>
          <w:szCs w:val="20"/>
          <w:color w:val="auto"/>
        </w:rPr>
      </w:pPr>
      <w:r>
        <w:rPr>
          <w:rFonts w:ascii="Arial" w:cs="Arial" w:eastAsia="Arial" w:hAnsi="Arial"/>
          <w:sz w:val="20"/>
          <w:szCs w:val="20"/>
          <w:color w:val="auto"/>
        </w:rPr>
        <w:t>The Executive (or his or her Beneficiaries, if applicable) shall be solely responsible for all income and employment taxes arising in connection with this Agreement or benefits hereunder.</w:t>
      </w:r>
    </w:p>
    <w:p>
      <w:pPr>
        <w:spacing w:after="0" w:line="200" w:lineRule="exact"/>
        <w:rPr>
          <w:sz w:val="20"/>
          <w:szCs w:val="20"/>
          <w:color w:val="auto"/>
        </w:rPr>
      </w:pPr>
    </w:p>
    <w:p>
      <w:pPr>
        <w:spacing w:after="0" w:line="346" w:lineRule="exact"/>
        <w:rPr>
          <w:sz w:val="20"/>
          <w:szCs w:val="20"/>
          <w:color w:val="auto"/>
        </w:rPr>
      </w:pPr>
    </w:p>
    <w:tbl>
      <w:tblPr>
        <w:tblLayout w:type="fixed"/>
        <w:tblInd w:w="1740" w:type="dxa"/>
        <w:tblCellMar>
          <w:top w:w="0" w:type="dxa"/>
          <w:left w:w="0" w:type="dxa"/>
          <w:bottom w:w="0" w:type="dxa"/>
          <w:right w:w="0" w:type="dxa"/>
        </w:tblCellMar>
      </w:tblPr>
      <w:tr>
        <w:trPr>
          <w:trHeight w:val="230"/>
        </w:trPr>
        <w:tc>
          <w:tcPr>
            <w:tcW w:w="1040" w:type="dxa"/>
            <w:vAlign w:val="bottom"/>
          </w:tcPr>
          <w:p>
            <w:pPr>
              <w:spacing w:after="0"/>
              <w:rPr>
                <w:sz w:val="19"/>
                <w:szCs w:val="19"/>
                <w:color w:val="auto"/>
              </w:rPr>
            </w:pPr>
          </w:p>
        </w:tc>
        <w:tc>
          <w:tcPr>
            <w:tcW w:w="8300" w:type="dxa"/>
            <w:vAlign w:val="bottom"/>
          </w:tcPr>
          <w:p>
            <w:pPr>
              <w:jc w:val="center"/>
              <w:ind w:right="2519"/>
              <w:spacing w:after="0"/>
              <w:rPr>
                <w:sz w:val="20"/>
                <w:szCs w:val="20"/>
                <w:color w:val="auto"/>
              </w:rPr>
            </w:pPr>
            <w:r>
              <w:rPr>
                <w:rFonts w:ascii="Arial" w:cs="Arial" w:eastAsia="Arial" w:hAnsi="Arial"/>
                <w:sz w:val="20"/>
                <w:szCs w:val="20"/>
                <w:b w:val="1"/>
                <w:bCs w:val="1"/>
                <w:color w:val="auto"/>
              </w:rPr>
              <w:t>ARTICLE V</w:t>
            </w:r>
          </w:p>
        </w:tc>
      </w:tr>
      <w:tr>
        <w:trPr>
          <w:trHeight w:val="263"/>
        </w:trPr>
        <w:tc>
          <w:tcPr>
            <w:tcW w:w="1040" w:type="dxa"/>
            <w:vAlign w:val="bottom"/>
          </w:tcPr>
          <w:p>
            <w:pPr>
              <w:spacing w:after="0"/>
              <w:rPr>
                <w:sz w:val="22"/>
                <w:szCs w:val="22"/>
                <w:color w:val="auto"/>
              </w:rPr>
            </w:pPr>
          </w:p>
        </w:tc>
        <w:tc>
          <w:tcPr>
            <w:tcW w:w="8300" w:type="dxa"/>
            <w:vAlign w:val="bottom"/>
          </w:tcPr>
          <w:p>
            <w:pPr>
              <w:jc w:val="center"/>
              <w:ind w:right="2519"/>
              <w:spacing w:after="0"/>
              <w:rPr>
                <w:sz w:val="20"/>
                <w:szCs w:val="20"/>
                <w:color w:val="auto"/>
              </w:rPr>
            </w:pPr>
            <w:r>
              <w:rPr>
                <w:rFonts w:ascii="Arial" w:cs="Arial" w:eastAsia="Arial" w:hAnsi="Arial"/>
                <w:sz w:val="20"/>
                <w:szCs w:val="20"/>
                <w:b w:val="1"/>
                <w:bCs w:val="1"/>
                <w:color w:val="auto"/>
              </w:rPr>
              <w:t>THE COMPANY’S PAYMENT OBLIGATION</w:t>
            </w:r>
          </w:p>
        </w:tc>
      </w:tr>
      <w:tr>
        <w:trPr>
          <w:trHeight w:val="419"/>
        </w:trPr>
        <w:tc>
          <w:tcPr>
            <w:tcW w:w="1040" w:type="dxa"/>
            <w:vAlign w:val="bottom"/>
          </w:tcPr>
          <w:p>
            <w:pPr>
              <w:jc w:val="right"/>
              <w:ind w:right="699"/>
              <w:spacing w:after="0"/>
              <w:rPr>
                <w:sz w:val="20"/>
                <w:szCs w:val="20"/>
                <w:color w:val="auto"/>
              </w:rPr>
            </w:pPr>
            <w:r>
              <w:rPr>
                <w:rFonts w:ascii="Arial" w:cs="Arial" w:eastAsia="Arial" w:hAnsi="Arial"/>
                <w:sz w:val="20"/>
                <w:szCs w:val="20"/>
                <w:b w:val="1"/>
                <w:bCs w:val="1"/>
                <w:color w:val="auto"/>
                <w:w w:val="78"/>
              </w:rPr>
              <w:t>5.1</w:t>
            </w:r>
          </w:p>
        </w:tc>
        <w:tc>
          <w:tcPr>
            <w:tcW w:w="8300" w:type="dxa"/>
            <w:vAlign w:val="bottom"/>
          </w:tcPr>
          <w:p>
            <w:pPr>
              <w:ind w:left="1020"/>
              <w:spacing w:after="0"/>
              <w:rPr>
                <w:sz w:val="20"/>
                <w:szCs w:val="20"/>
                <w:color w:val="auto"/>
              </w:rPr>
            </w:pPr>
            <w:r>
              <w:rPr>
                <w:rFonts w:ascii="Arial" w:cs="Arial" w:eastAsia="Arial" w:hAnsi="Arial"/>
                <w:sz w:val="20"/>
                <w:szCs w:val="20"/>
                <w:b w:val="1"/>
                <w:bCs w:val="1"/>
                <w:color w:val="auto"/>
                <w:w w:val="92"/>
              </w:rPr>
              <w:t>Payment Obligations Absolute</w:t>
            </w:r>
            <w:r>
              <w:rPr>
                <w:rFonts w:ascii="Arial" w:cs="Arial" w:eastAsia="Arial" w:hAnsi="Arial"/>
                <w:sz w:val="20"/>
                <w:szCs w:val="20"/>
                <w:color w:val="auto"/>
                <w:w w:val="92"/>
              </w:rPr>
              <w:t>. Subject to the Executive’s compliance with Section 9.1</w:t>
            </w:r>
          </w:p>
        </w:tc>
      </w:tr>
    </w:tbl>
    <w:p>
      <w:pPr>
        <w:spacing w:after="0" w:line="269" w:lineRule="auto"/>
        <w:rPr>
          <w:sz w:val="20"/>
          <w:szCs w:val="20"/>
          <w:color w:val="auto"/>
        </w:rPr>
      </w:pPr>
      <w:r>
        <w:rPr>
          <w:rFonts w:ascii="Arial" w:cs="Arial" w:eastAsia="Arial" w:hAnsi="Arial"/>
          <w:sz w:val="18"/>
          <w:szCs w:val="18"/>
          <w:color w:val="auto"/>
        </w:rPr>
        <w:t>and the agreement contemplated thereby, the Company’s obligation to make the payments and the arrangements provided for herein shall be absolute and unconditional, and shall not be affected by any circumstances, including, without limitation, any offset (except an offset for the amount of any debt that is due from Executive to Company for loans, advances or similar items provided by the Company to Executive prior to the date of Executive’s notice to the Company of a Qualifying Termination Event), counterclaim, recoupment, defense, or other right which the Company may have against the Executive or anyone else. All amounts payable by the Company hereunder shall be paid without notice or demand. Each and every payment made hereunder by the Company shall be final, and the Company shall not seek to recover all or any part of such payment from the Executive or from whomsoever may be entitled thereto, for any reasons whatsoever, except as a result of an error in calculating the value of benefits payable under Section 3.2 or as otherwise provided in Article 7 and subject to the Executive’s compliance with Section 9.1 and the agreement contemplated thereby.</w:t>
      </w:r>
    </w:p>
    <w:p>
      <w:pPr>
        <w:spacing w:after="0" w:line="151" w:lineRule="exact"/>
        <w:rPr>
          <w:sz w:val="20"/>
          <w:szCs w:val="20"/>
          <w:color w:val="auto"/>
        </w:rPr>
      </w:pPr>
    </w:p>
    <w:p>
      <w:pPr>
        <w:ind w:right="320" w:firstLine="865"/>
        <w:spacing w:after="0" w:line="272" w:lineRule="auto"/>
        <w:rPr>
          <w:sz w:val="20"/>
          <w:szCs w:val="20"/>
          <w:color w:val="auto"/>
        </w:rPr>
      </w:pPr>
      <w:r>
        <w:rPr>
          <w:rFonts w:ascii="Arial" w:cs="Arial" w:eastAsia="Arial" w:hAnsi="Arial"/>
          <w:sz w:val="19"/>
          <w:szCs w:val="19"/>
          <w:color w:val="auto"/>
        </w:rPr>
        <w:t>The Executive shall not be obligated to seek other employment in mitigation of the amounts payable or arrangements made under any provision of this Agreement, and the obtaining of any such other employment shall in no event effect any reduction of the Company’s obligations to make the payments and arrangements required to be made under this Agreement.</w:t>
      </w:r>
    </w:p>
    <w:p>
      <w:pPr>
        <w:spacing w:after="0" w:line="119"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1">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00"/>
          </w:cols>
          <w:pgMar w:left="320" w:top="752" w:right="379" w:bottom="1440" w:gutter="0" w:footer="0" w:header="0"/>
        </w:sectPr>
      </w:pPr>
    </w:p>
    <w:bookmarkStart w:id="216" w:name="page217"/>
    <w:bookmarkEnd w:id="216"/>
    <w:p>
      <w:pPr>
        <w:ind w:right="60" w:firstLine="1729"/>
        <w:spacing w:after="0" w:line="243" w:lineRule="auto"/>
        <w:rPr>
          <w:sz w:val="20"/>
          <w:szCs w:val="20"/>
          <w:color w:val="auto"/>
        </w:rPr>
      </w:pPr>
      <w:r>
        <w:rPr>
          <w:rFonts w:ascii="Arial" w:cs="Arial" w:eastAsia="Arial" w:hAnsi="Arial"/>
          <w:sz w:val="20"/>
          <w:szCs w:val="20"/>
          <w:b w:val="1"/>
          <w:bCs w:val="1"/>
          <w:color w:val="auto"/>
        </w:rPr>
        <w:t xml:space="preserve">5.2 Unsecured General Creditor. </w:t>
      </w:r>
      <w:r>
        <w:rPr>
          <w:rFonts w:ascii="Arial" w:cs="Arial" w:eastAsia="Arial" w:hAnsi="Arial"/>
          <w:sz w:val="20"/>
          <w:szCs w:val="20"/>
          <w:color w:val="auto"/>
        </w:rPr>
        <w:t>The Executive and his or her Beneficiaries, heirs,</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successors, and assigns shall have no legal or equitable rights, claims, or interest in any specific property or assets of the Company. No assets of the Company shall be held under any trust or held in any way as collateral security for the fulfilling of the obligations of the Company under this Agreement. Any and all of the Company’s assets shall be, and remain, the general unpledged, unrestricted assets of the Company. The Company’s obligation under this Agreement shall be merely that of an unfunded and unsecured promise of the entity to pay money in the future, and the rights of the Executive and his or her Beneficiaries shall be no greater than those of unsecured general creditors. It is the intention of the Company that this Agreement be unfunded for purposes of the Code and for purposes of Title I of the Employee Retirement Income Security Act of 1974, as amended.</w:t>
      </w:r>
    </w:p>
    <w:p>
      <w:pPr>
        <w:spacing w:after="0" w:line="166" w:lineRule="exact"/>
        <w:rPr>
          <w:sz w:val="20"/>
          <w:szCs w:val="20"/>
          <w:color w:val="auto"/>
        </w:rPr>
      </w:pPr>
    </w:p>
    <w:p>
      <w:pPr>
        <w:ind w:right="120" w:firstLine="1729"/>
        <w:spacing w:after="0" w:line="246" w:lineRule="auto"/>
        <w:rPr>
          <w:sz w:val="20"/>
          <w:szCs w:val="20"/>
          <w:color w:val="auto"/>
        </w:rPr>
      </w:pPr>
      <w:r>
        <w:rPr>
          <w:rFonts w:ascii="Arial" w:cs="Arial" w:eastAsia="Arial" w:hAnsi="Arial"/>
          <w:sz w:val="20"/>
          <w:szCs w:val="20"/>
          <w:b w:val="1"/>
          <w:bCs w:val="1"/>
          <w:color w:val="auto"/>
        </w:rPr>
        <w:t>5.3 Pension Plans</w:t>
      </w:r>
      <w:r>
        <w:rPr>
          <w:rFonts w:ascii="Arial" w:cs="Arial" w:eastAsia="Arial" w:hAnsi="Arial"/>
          <w:sz w:val="20"/>
          <w:szCs w:val="20"/>
          <w:color w:val="auto"/>
        </w:rPr>
        <w:t>. All payments, benefits and amounts provided under this Agreement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 in addition to and not in substitution for any pension rights under the Company’s tax-qualified pension plan in which the Executive participates, and any disability, workers’ compensation or other Company benefit plan distribution that the Executive is entitled to, under the terms of any such plan, at the time his or her employment by the Company terminates. Notwithstanding the foregoing, this Agreement shall not create an inference that any duplicate payments shall be required.</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VI</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TERM OF AGREEMENT</w:t>
      </w:r>
    </w:p>
    <w:p>
      <w:pPr>
        <w:spacing w:after="0" w:line="183" w:lineRule="exact"/>
        <w:rPr>
          <w:sz w:val="20"/>
          <w:szCs w:val="20"/>
          <w:color w:val="auto"/>
        </w:rPr>
      </w:pPr>
    </w:p>
    <w:p>
      <w:pPr>
        <w:ind w:firstLine="865"/>
        <w:spacing w:after="0" w:line="242" w:lineRule="auto"/>
        <w:rPr>
          <w:sz w:val="20"/>
          <w:szCs w:val="20"/>
          <w:color w:val="auto"/>
        </w:rPr>
      </w:pPr>
      <w:r>
        <w:rPr>
          <w:rFonts w:ascii="Arial" w:cs="Arial" w:eastAsia="Arial" w:hAnsi="Arial"/>
          <w:sz w:val="20"/>
          <w:szCs w:val="20"/>
          <w:color w:val="auto"/>
        </w:rPr>
        <w:t>This Agreement will commence on the Effective Date and shall continue in effect through the 31</w:t>
      </w:r>
      <w:r>
        <w:rPr>
          <w:rFonts w:ascii="Arial" w:cs="Arial" w:eastAsia="Arial" w:hAnsi="Arial"/>
          <w:sz w:val="17"/>
          <w:szCs w:val="17"/>
          <w:color w:val="auto"/>
        </w:rPr>
        <w:t>st</w:t>
      </w:r>
      <w:r>
        <w:rPr>
          <w:rFonts w:ascii="Arial" w:cs="Arial" w:eastAsia="Arial" w:hAnsi="Arial"/>
          <w:sz w:val="20"/>
          <w:szCs w:val="20"/>
          <w:color w:val="auto"/>
        </w:rPr>
        <w:t xml:space="preserve"> of August 2022. However, at the end of such initial period and, if extended, at the end of each additional year thereafter, the term of this Agreement shall be extended automatically for one (1) additional year, unless the Committee (or the Board) delivers written notice at least six (6) months prior to the end of such term, or extended term, to the Executive, that this Agreement will not be extended. In such case, this Agreement will terminate at the end of the term, or extended term, then in progress. If a Potential Change in Control occurs, the Committee (or the Board) may not give notice that the term of this Agreement will not be extended, or further extended, as the case may be, unless and until the Board declares in good faith that the circumstances giving rise to the Potential Change in Control will not result in an actual Change in Control.</w:t>
      </w:r>
    </w:p>
    <w:p>
      <w:pPr>
        <w:spacing w:after="0" w:line="173" w:lineRule="exact"/>
        <w:rPr>
          <w:sz w:val="20"/>
          <w:szCs w:val="20"/>
          <w:color w:val="auto"/>
        </w:rPr>
      </w:pPr>
    </w:p>
    <w:p>
      <w:pPr>
        <w:ind w:right="80" w:firstLine="865"/>
        <w:spacing w:after="0" w:line="253" w:lineRule="auto"/>
        <w:rPr>
          <w:sz w:val="20"/>
          <w:szCs w:val="20"/>
          <w:color w:val="auto"/>
        </w:rPr>
      </w:pPr>
      <w:r>
        <w:rPr>
          <w:rFonts w:ascii="Arial" w:cs="Arial" w:eastAsia="Arial" w:hAnsi="Arial"/>
          <w:sz w:val="20"/>
          <w:szCs w:val="20"/>
          <w:color w:val="auto"/>
        </w:rPr>
        <w:t>Unless the Board expressly determines that the term of this Agreement shall continue in effect, the term of this Agreement will terminate if, prior to a Potential Change in Control, the Executive ceases to perform services on a full-time basis in either the same position Executive was serving on the Effective Date or a more senior position.</w:t>
      </w:r>
    </w:p>
    <w:p>
      <w:pPr>
        <w:spacing w:after="0" w:line="160" w:lineRule="exact"/>
        <w:rPr>
          <w:sz w:val="20"/>
          <w:szCs w:val="20"/>
          <w:color w:val="auto"/>
        </w:rPr>
      </w:pPr>
    </w:p>
    <w:p>
      <w:pPr>
        <w:jc w:val="both"/>
        <w:ind w:right="200" w:firstLine="865"/>
        <w:spacing w:after="0" w:line="272" w:lineRule="auto"/>
        <w:rPr>
          <w:sz w:val="20"/>
          <w:szCs w:val="20"/>
          <w:color w:val="auto"/>
        </w:rPr>
      </w:pPr>
      <w:r>
        <w:rPr>
          <w:rFonts w:ascii="Arial" w:cs="Arial" w:eastAsia="Arial" w:hAnsi="Arial"/>
          <w:sz w:val="19"/>
          <w:szCs w:val="19"/>
          <w:color w:val="auto"/>
        </w:rPr>
        <w:t>Notwithstanding anything to the contrary in this Agreement, in the event a Change in Control occurs during the initial or any extended term, this Agreement will remain in effect for the longer of: (a) eighteen (18) months beyond the month in which such Change in Control occurred; or (b) if the Executive incurs a Qualifying Termination Event, until all obligations of</w:t>
      </w:r>
    </w:p>
    <w:p>
      <w:pPr>
        <w:spacing w:after="0" w:line="119"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217" w:name="page218"/>
    <w:bookmarkEnd w:id="217"/>
    <w:p>
      <w:pPr>
        <w:spacing w:after="0"/>
        <w:rPr>
          <w:sz w:val="20"/>
          <w:szCs w:val="20"/>
          <w:color w:val="auto"/>
        </w:rPr>
      </w:pPr>
      <w:r>
        <w:rPr>
          <w:rFonts w:ascii="Arial" w:cs="Arial" w:eastAsia="Arial" w:hAnsi="Arial"/>
          <w:sz w:val="20"/>
          <w:szCs w:val="20"/>
          <w:color w:val="auto"/>
        </w:rPr>
        <w:t>the Company hereunder have been fulfilled, and until all benefits required hereunder have been paid to the Executive.</w:t>
      </w:r>
    </w:p>
    <w:p>
      <w:pPr>
        <w:spacing w:after="0" w:line="201" w:lineRule="exact"/>
        <w:rPr>
          <w:sz w:val="20"/>
          <w:szCs w:val="20"/>
          <w:color w:val="auto"/>
        </w:rPr>
      </w:pPr>
    </w:p>
    <w:p>
      <w:pPr>
        <w:ind w:right="160" w:firstLine="865"/>
        <w:spacing w:after="0" w:line="244" w:lineRule="auto"/>
        <w:rPr>
          <w:sz w:val="20"/>
          <w:szCs w:val="20"/>
          <w:color w:val="auto"/>
        </w:rPr>
      </w:pPr>
      <w:r>
        <w:rPr>
          <w:rFonts w:ascii="Arial" w:cs="Arial" w:eastAsia="Arial" w:hAnsi="Arial"/>
          <w:sz w:val="20"/>
          <w:szCs w:val="20"/>
          <w:color w:val="auto"/>
        </w:rPr>
        <w:t>Any subsequent Change in Control (“Subsequent Change in Control”) that occurs during the term shall also continue the term until the later of: (a) the date the term then in effect, at the time of such Subsequent Change in Control, would end; or (b) until all obligations of the Company hereunder have been fulfilled and all benefits required hereunder have been paid to the Executive; provided, however, that if one or more Subsequent Changes in Control occur, such event (or events) shall be considered a Change in Control hereunder, and this Agreement will be applicable thereto only if it, or they, occur during a Protected Period in effect at the time of any Subsequent Change in Control.</w:t>
      </w:r>
    </w:p>
    <w:p>
      <w:pPr>
        <w:spacing w:after="0" w:line="169" w:lineRule="exact"/>
        <w:rPr>
          <w:sz w:val="20"/>
          <w:szCs w:val="20"/>
          <w:color w:val="auto"/>
        </w:rPr>
      </w:pPr>
    </w:p>
    <w:p>
      <w:pPr>
        <w:ind w:right="220" w:firstLine="865"/>
        <w:spacing w:after="0" w:line="253" w:lineRule="auto"/>
        <w:rPr>
          <w:sz w:val="20"/>
          <w:szCs w:val="20"/>
          <w:color w:val="auto"/>
        </w:rPr>
      </w:pPr>
      <w:r>
        <w:rPr>
          <w:rFonts w:ascii="Arial" w:cs="Arial" w:eastAsia="Arial" w:hAnsi="Arial"/>
          <w:sz w:val="20"/>
          <w:szCs w:val="20"/>
          <w:color w:val="auto"/>
        </w:rPr>
        <w:t>Notwithstanding anything herein to the contrary, the Executive shall be entitled to receive the benefits provided in this Agreement one time only under this Agreement, regardless of the number of Changes in Control or Subsequent Changes in Control that may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174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8240" w:type="dxa"/>
            <w:vAlign w:val="bottom"/>
          </w:tcPr>
          <w:p>
            <w:pPr>
              <w:jc w:val="center"/>
              <w:ind w:right="2699"/>
              <w:spacing w:after="0"/>
              <w:rPr>
                <w:sz w:val="20"/>
                <w:szCs w:val="20"/>
                <w:color w:val="auto"/>
              </w:rPr>
            </w:pPr>
            <w:r>
              <w:rPr>
                <w:rFonts w:ascii="Arial" w:cs="Arial" w:eastAsia="Arial" w:hAnsi="Arial"/>
                <w:sz w:val="20"/>
                <w:szCs w:val="20"/>
                <w:b w:val="1"/>
                <w:bCs w:val="1"/>
                <w:color w:val="auto"/>
              </w:rPr>
              <w:t>ARTICLE VII</w:t>
            </w:r>
          </w:p>
        </w:tc>
      </w:tr>
      <w:tr>
        <w:trPr>
          <w:trHeight w:val="263"/>
        </w:trPr>
        <w:tc>
          <w:tcPr>
            <w:tcW w:w="1160" w:type="dxa"/>
            <w:vAlign w:val="bottom"/>
          </w:tcPr>
          <w:p>
            <w:pPr>
              <w:spacing w:after="0"/>
              <w:rPr>
                <w:sz w:val="22"/>
                <w:szCs w:val="22"/>
                <w:color w:val="auto"/>
              </w:rPr>
            </w:pPr>
          </w:p>
        </w:tc>
        <w:tc>
          <w:tcPr>
            <w:tcW w:w="8240" w:type="dxa"/>
            <w:vAlign w:val="bottom"/>
          </w:tcPr>
          <w:p>
            <w:pPr>
              <w:jc w:val="center"/>
              <w:ind w:right="2699"/>
              <w:spacing w:after="0"/>
              <w:rPr>
                <w:sz w:val="20"/>
                <w:szCs w:val="20"/>
                <w:color w:val="auto"/>
              </w:rPr>
            </w:pPr>
            <w:r>
              <w:rPr>
                <w:rFonts w:ascii="Arial" w:cs="Arial" w:eastAsia="Arial" w:hAnsi="Arial"/>
                <w:sz w:val="20"/>
                <w:szCs w:val="20"/>
                <w:b w:val="1"/>
                <w:bCs w:val="1"/>
                <w:color w:val="auto"/>
              </w:rPr>
              <w:t>RESOLUTION OF DISPUTES</w:t>
            </w:r>
          </w:p>
        </w:tc>
      </w:tr>
      <w:tr>
        <w:trPr>
          <w:trHeight w:val="419"/>
        </w:trPr>
        <w:tc>
          <w:tcPr>
            <w:tcW w:w="1160" w:type="dxa"/>
            <w:vAlign w:val="bottom"/>
          </w:tcPr>
          <w:p>
            <w:pPr>
              <w:jc w:val="right"/>
              <w:ind w:right="819"/>
              <w:spacing w:after="0"/>
              <w:rPr>
                <w:sz w:val="20"/>
                <w:szCs w:val="20"/>
                <w:color w:val="auto"/>
              </w:rPr>
            </w:pPr>
            <w:r>
              <w:rPr>
                <w:rFonts w:ascii="Arial" w:cs="Arial" w:eastAsia="Arial" w:hAnsi="Arial"/>
                <w:sz w:val="20"/>
                <w:szCs w:val="20"/>
                <w:b w:val="1"/>
                <w:bCs w:val="1"/>
                <w:color w:val="auto"/>
                <w:w w:val="78"/>
              </w:rPr>
              <w:t>7.1</w:t>
            </w:r>
          </w:p>
        </w:tc>
        <w:tc>
          <w:tcPr>
            <w:tcW w:w="8240" w:type="dxa"/>
            <w:vAlign w:val="bottom"/>
          </w:tcPr>
          <w:p>
            <w:pPr>
              <w:ind w:left="900"/>
              <w:spacing w:after="0"/>
              <w:rPr>
                <w:sz w:val="20"/>
                <w:szCs w:val="20"/>
                <w:color w:val="auto"/>
              </w:rPr>
            </w:pPr>
            <w:r>
              <w:rPr>
                <w:rFonts w:ascii="Arial" w:cs="Arial" w:eastAsia="Arial" w:hAnsi="Arial"/>
                <w:sz w:val="20"/>
                <w:szCs w:val="20"/>
                <w:b w:val="1"/>
                <w:bCs w:val="1"/>
                <w:color w:val="auto"/>
                <w:w w:val="92"/>
              </w:rPr>
              <w:t xml:space="preserve">Arbitration of Claims. </w:t>
            </w:r>
            <w:r>
              <w:rPr>
                <w:rFonts w:ascii="Arial" w:cs="Arial" w:eastAsia="Arial" w:hAnsi="Arial"/>
                <w:sz w:val="20"/>
                <w:szCs w:val="20"/>
                <w:color w:val="auto"/>
                <w:w w:val="92"/>
              </w:rPr>
              <w:t>The Company and the Executive hereby consent to the resolution</w:t>
            </w:r>
          </w:p>
        </w:tc>
      </w:tr>
    </w:tbl>
    <w:p>
      <w:pPr>
        <w:spacing w:after="0"/>
        <w:rPr>
          <w:sz w:val="20"/>
          <w:szCs w:val="20"/>
          <w:color w:val="auto"/>
        </w:rPr>
      </w:pPr>
      <w:r>
        <w:rPr>
          <w:rFonts w:ascii="Arial" w:cs="Arial" w:eastAsia="Arial" w:hAnsi="Arial"/>
          <w:sz w:val="20"/>
          <w:szCs w:val="20"/>
          <w:color w:val="auto"/>
        </w:rPr>
        <w:t>by mandatory and binding arbitration of all claims or controversies arising out of or in connection with this Agreement and/or the Exhibits hereto that the Company may have against the Executive, or that the Executive may have against the Company or against its officers, directors, employees or agents acting in their capacity as such. Each party’s promise to resolve all such claims or controversies by arbitration in accordance with this Agreement, rather than through the courts, is consideration for the other party’s like promise. It is further agreed that the decision of an arbitrator on any issue, dispute, claim or controversy submitted for arbitration shall be final and binding upon the Company and the Executive and that judgment may be entered on the award of the arbitrator in any court having proper jurisdiction.</w:t>
      </w:r>
    </w:p>
    <w:p>
      <w:pPr>
        <w:spacing w:after="0" w:line="172" w:lineRule="exact"/>
        <w:rPr>
          <w:sz w:val="20"/>
          <w:szCs w:val="20"/>
          <w:color w:val="auto"/>
        </w:rPr>
      </w:pPr>
    </w:p>
    <w:p>
      <w:pPr>
        <w:ind w:right="60" w:firstLine="865"/>
        <w:spacing w:after="0" w:line="245" w:lineRule="auto"/>
        <w:rPr>
          <w:sz w:val="20"/>
          <w:szCs w:val="20"/>
          <w:color w:val="auto"/>
        </w:rPr>
      </w:pPr>
      <w:r>
        <w:rPr>
          <w:rFonts w:ascii="Arial" w:cs="Arial" w:eastAsia="Arial" w:hAnsi="Arial"/>
          <w:sz w:val="20"/>
          <w:szCs w:val="20"/>
          <w:color w:val="auto"/>
        </w:rPr>
        <w:t xml:space="preserve">Except as otherwise provided in this procedure or by mutual agreement of the parties, any arbitration shall be before a sole arbitrator (the “Arbitrator’) selected from Judicial Arbitration &amp; Mediation Services, Inc., Los Angeles County, California, or its successor (“JAMS”), or if JAMS is no longer able to supply the arbitrator, such arbitrator shall be selected from the American Arbitration Association, and shall be conducted in accordance with the provisions of California Civil Procedure Code Section 1280 </w:t>
      </w:r>
      <w:r>
        <w:rPr>
          <w:rFonts w:ascii="Arial" w:cs="Arial" w:eastAsia="Arial" w:hAnsi="Arial"/>
          <w:sz w:val="20"/>
          <w:szCs w:val="20"/>
          <w:i w:val="1"/>
          <w:iCs w:val="1"/>
          <w:color w:val="auto"/>
        </w:rPr>
        <w:t>et. seq.</w:t>
      </w:r>
      <w:r>
        <w:rPr>
          <w:rFonts w:ascii="Arial" w:cs="Arial" w:eastAsia="Arial" w:hAnsi="Arial"/>
          <w:sz w:val="20"/>
          <w:szCs w:val="20"/>
          <w:color w:val="auto"/>
        </w:rPr>
        <w:t xml:space="preserve"> as the exclusive remedy of such dispute.</w:t>
      </w:r>
    </w:p>
    <w:p>
      <w:pPr>
        <w:spacing w:after="0" w:line="170" w:lineRule="exact"/>
        <w:rPr>
          <w:sz w:val="20"/>
          <w:szCs w:val="20"/>
          <w:color w:val="auto"/>
        </w:rPr>
      </w:pPr>
    </w:p>
    <w:p>
      <w:pPr>
        <w:ind w:right="100" w:firstLine="865"/>
        <w:spacing w:after="0" w:line="261" w:lineRule="auto"/>
        <w:rPr>
          <w:sz w:val="20"/>
          <w:szCs w:val="20"/>
          <w:color w:val="auto"/>
        </w:rPr>
      </w:pPr>
      <w:r>
        <w:rPr>
          <w:rFonts w:ascii="Arial" w:cs="Arial" w:eastAsia="Arial" w:hAnsi="Arial"/>
          <w:sz w:val="19"/>
          <w:szCs w:val="19"/>
          <w:color w:val="auto"/>
        </w:rPr>
        <w:t>The Arbitrator shall interpret this Agreement, any applicable Company policy or rules and regulations, any applicable substantive law (and the law of remedies, if applicable) of the state in which the claim arose, or applicable federal law. In reaching his or her decision, the Arbitrator shall have no authority to change or modify any lawful Company policy, rule or regulation, or this Agreement. Except as provided in the next paragraph, the Arbitrator, and not any federal, state or local court or agency, shall have exclusive and broad authority to resolve any dispute relating to the interpretation, applicability, enforceability or formation of this</w:t>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218" w:name="page219"/>
    <w:bookmarkEnd w:id="218"/>
    <w:p>
      <w:pPr>
        <w:ind w:right="600"/>
        <w:spacing w:after="0" w:line="253" w:lineRule="auto"/>
        <w:rPr>
          <w:sz w:val="20"/>
          <w:szCs w:val="20"/>
          <w:color w:val="auto"/>
        </w:rPr>
      </w:pPr>
      <w:r>
        <w:rPr>
          <w:rFonts w:ascii="Arial" w:cs="Arial" w:eastAsia="Arial" w:hAnsi="Arial"/>
          <w:sz w:val="20"/>
          <w:szCs w:val="20"/>
          <w:color w:val="auto"/>
        </w:rPr>
        <w:t>Agreement, including but not limited to, any claim that all or any part of this Agreement is voidable. The Arbitrator shall have the authority to decide dispositive motions. Following the completion of the arbitration, the Arbitrator shall issue a written decision disclosing the essential findings and conclusions upon which the award is based.</w:t>
      </w:r>
    </w:p>
    <w:p>
      <w:pPr>
        <w:spacing w:after="0" w:line="160" w:lineRule="exact"/>
        <w:rPr>
          <w:sz w:val="20"/>
          <w:szCs w:val="20"/>
          <w:color w:val="auto"/>
        </w:rPr>
      </w:pPr>
    </w:p>
    <w:p>
      <w:pPr>
        <w:ind w:firstLine="865"/>
        <w:spacing w:after="0" w:line="259" w:lineRule="auto"/>
        <w:rPr>
          <w:sz w:val="20"/>
          <w:szCs w:val="20"/>
          <w:color w:val="auto"/>
        </w:rPr>
      </w:pPr>
      <w:r>
        <w:rPr>
          <w:rFonts w:ascii="Arial" w:cs="Arial" w:eastAsia="Arial" w:hAnsi="Arial"/>
          <w:sz w:val="19"/>
          <w:szCs w:val="19"/>
          <w:color w:val="auto"/>
        </w:rPr>
        <w:t>Notwithstanding the foregoing, provisional injunctive relief may, but need not, be sought by the Executive or the Company in a court of law while arbitration proceedings are pending, and any provisional injunctive relief granted by such court shall remain effective until the matter is finally resolved by the Arbitrator in accordance with the foregoing. Final resolution of any dispute through arbitration may include any remedy or relief which would otherwise be available at law and which the Arbitrator deems just and equitable. The Arbitrator shall have the authority to award full damages as provided by law. Any award or relief granted by the Arbitrator hereunder shall be final and binding on the parties hereto and may be enforced by any court of competent jurisdiction.</w:t>
      </w:r>
    </w:p>
    <w:p>
      <w:pPr>
        <w:spacing w:after="0" w:line="157" w:lineRule="exact"/>
        <w:rPr>
          <w:sz w:val="20"/>
          <w:szCs w:val="20"/>
          <w:color w:val="auto"/>
        </w:rPr>
      </w:pPr>
    </w:p>
    <w:p>
      <w:pPr>
        <w:jc w:val="both"/>
        <w:ind w:right="240" w:firstLine="865"/>
        <w:spacing w:after="0" w:line="272" w:lineRule="auto"/>
        <w:rPr>
          <w:sz w:val="20"/>
          <w:szCs w:val="20"/>
          <w:color w:val="auto"/>
        </w:rPr>
      </w:pPr>
      <w:r>
        <w:rPr>
          <w:rFonts w:ascii="Arial" w:cs="Arial" w:eastAsia="Arial" w:hAnsi="Arial"/>
          <w:sz w:val="19"/>
          <w:szCs w:val="19"/>
          <w:color w:val="auto"/>
        </w:rPr>
        <w:t>The Company shall pay the reasonable fees and expenses of the Arbitrator and a stenographic reporter, if employed, and any other costs associated with the arbitration that are unique to arbitration. Each party shall pay its own legal fees and other expenses and costs incurred with respect to the arbitration as and to the same extent as if the matter were being heard in court.</w:t>
      </w:r>
    </w:p>
    <w:p>
      <w:pPr>
        <w:spacing w:after="0" w:line="200" w:lineRule="exact"/>
        <w:rPr>
          <w:sz w:val="20"/>
          <w:szCs w:val="20"/>
          <w:color w:val="auto"/>
        </w:rPr>
      </w:pPr>
    </w:p>
    <w:p>
      <w:pPr>
        <w:spacing w:after="0" w:line="346" w:lineRule="exact"/>
        <w:rPr>
          <w:sz w:val="20"/>
          <w:szCs w:val="20"/>
          <w:color w:val="auto"/>
        </w:rPr>
      </w:pPr>
    </w:p>
    <w:p>
      <w:pPr>
        <w:ind w:left="4940"/>
        <w:spacing w:after="0"/>
        <w:rPr>
          <w:sz w:val="20"/>
          <w:szCs w:val="20"/>
          <w:color w:val="auto"/>
        </w:rPr>
      </w:pPr>
      <w:r>
        <w:rPr>
          <w:rFonts w:ascii="Arial" w:cs="Arial" w:eastAsia="Arial" w:hAnsi="Arial"/>
          <w:sz w:val="20"/>
          <w:szCs w:val="20"/>
          <w:b w:val="1"/>
          <w:bCs w:val="1"/>
          <w:color w:val="auto"/>
        </w:rPr>
        <w:t>ARTICLE VIII</w:t>
      </w:r>
    </w:p>
    <w:p>
      <w:pPr>
        <w:spacing w:after="0" w:line="20"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SUCCESSORS</w:t>
      </w:r>
    </w:p>
    <w:p>
      <w:pPr>
        <w:spacing w:after="0" w:line="183" w:lineRule="exact"/>
        <w:rPr>
          <w:sz w:val="20"/>
          <w:szCs w:val="20"/>
          <w:color w:val="auto"/>
        </w:rPr>
      </w:pPr>
    </w:p>
    <w:p>
      <w:pPr>
        <w:ind w:right="40" w:firstLine="865"/>
        <w:spacing w:after="0" w:line="243" w:lineRule="auto"/>
        <w:rPr>
          <w:sz w:val="20"/>
          <w:szCs w:val="20"/>
          <w:color w:val="auto"/>
        </w:rPr>
      </w:pPr>
      <w:r>
        <w:rPr>
          <w:rFonts w:ascii="Arial" w:cs="Arial" w:eastAsia="Arial" w:hAnsi="Arial"/>
          <w:sz w:val="20"/>
          <w:szCs w:val="20"/>
          <w:color w:val="auto"/>
        </w:rPr>
        <w:t>The Company will require any successor (whether direct or indirect, by purchase, merger, consolidation, or otherwise) of all or substantially all of the business and/or assets of the Company or of any division or subsidiary thereof (the business and/or assets of which constitute at least fifty-one percent (51%) of the total business and/or assets of the Company) to expressly assume and agree to perform the Company’s obligations under this Agreement in the same manner and to the same extent that the Company would be required to perform them if no such succession had taken place. Failure of the Company to obtain such assumption and agreement in a written instrument prior to the effective date of any such succession shall be a breach of this Agreement and shall entitle the Executive to the benefits provided under this Agreement.</w:t>
      </w:r>
    </w:p>
    <w:p>
      <w:pPr>
        <w:spacing w:after="0" w:line="170" w:lineRule="exact"/>
        <w:rPr>
          <w:sz w:val="20"/>
          <w:szCs w:val="20"/>
          <w:color w:val="auto"/>
        </w:rPr>
      </w:pPr>
    </w:p>
    <w:p>
      <w:pPr>
        <w:ind w:right="20" w:firstLine="865"/>
        <w:spacing w:after="0" w:line="248" w:lineRule="auto"/>
        <w:rPr>
          <w:sz w:val="20"/>
          <w:szCs w:val="20"/>
          <w:color w:val="auto"/>
        </w:rPr>
      </w:pPr>
      <w:r>
        <w:rPr>
          <w:rFonts w:ascii="Arial" w:cs="Arial" w:eastAsia="Arial" w:hAnsi="Arial"/>
          <w:sz w:val="20"/>
          <w:szCs w:val="20"/>
          <w:color w:val="auto"/>
        </w:rPr>
        <w:t>This Agreement shall inure to the benefit of and be enforceable by the Executive’s personal or legal representatives, trustees, executors, administrators, successors, heirs, distributees, devisees, and legatees. If the Executive should die while any amount would still be payable to him hereunder had he continued to live, all such amounts, unless otherwise provided herein, shall be paid to the Executive’s Beneficiary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4">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00"/>
          </w:cols>
          <w:pgMar w:left="320" w:top="752" w:right="379" w:bottom="1440" w:gutter="0" w:footer="0" w:header="0"/>
        </w:sectPr>
      </w:pPr>
    </w:p>
    <w:bookmarkStart w:id="219" w:name="page220"/>
    <w:bookmarkEnd w:id="219"/>
    <w:tbl>
      <w:tblPr>
        <w:tblLayout w:type="fixed"/>
        <w:tblInd w:w="174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8240" w:type="dxa"/>
            <w:vAlign w:val="bottom"/>
          </w:tcPr>
          <w:p>
            <w:pPr>
              <w:jc w:val="center"/>
              <w:ind w:right="2699"/>
              <w:spacing w:after="0"/>
              <w:rPr>
                <w:sz w:val="20"/>
                <w:szCs w:val="20"/>
                <w:color w:val="auto"/>
              </w:rPr>
            </w:pPr>
            <w:r>
              <w:rPr>
                <w:rFonts w:ascii="Arial" w:cs="Arial" w:eastAsia="Arial" w:hAnsi="Arial"/>
                <w:sz w:val="20"/>
                <w:szCs w:val="20"/>
                <w:b w:val="1"/>
                <w:bCs w:val="1"/>
                <w:color w:val="auto"/>
              </w:rPr>
              <w:t>ARTICLE IX</w:t>
            </w:r>
          </w:p>
        </w:tc>
      </w:tr>
      <w:tr>
        <w:trPr>
          <w:trHeight w:val="263"/>
        </w:trPr>
        <w:tc>
          <w:tcPr>
            <w:tcW w:w="1160" w:type="dxa"/>
            <w:vAlign w:val="bottom"/>
          </w:tcPr>
          <w:p>
            <w:pPr>
              <w:spacing w:after="0"/>
              <w:rPr>
                <w:sz w:val="22"/>
                <w:szCs w:val="22"/>
                <w:color w:val="auto"/>
              </w:rPr>
            </w:pPr>
          </w:p>
        </w:tc>
        <w:tc>
          <w:tcPr>
            <w:tcW w:w="8240" w:type="dxa"/>
            <w:vAlign w:val="bottom"/>
          </w:tcPr>
          <w:p>
            <w:pPr>
              <w:jc w:val="center"/>
              <w:ind w:right="2679"/>
              <w:spacing w:after="0"/>
              <w:rPr>
                <w:sz w:val="20"/>
                <w:szCs w:val="20"/>
                <w:color w:val="auto"/>
              </w:rPr>
            </w:pPr>
            <w:r>
              <w:rPr>
                <w:rFonts w:ascii="Arial" w:cs="Arial" w:eastAsia="Arial" w:hAnsi="Arial"/>
                <w:sz w:val="20"/>
                <w:szCs w:val="20"/>
                <w:b w:val="1"/>
                <w:bCs w:val="1"/>
                <w:color w:val="auto"/>
              </w:rPr>
              <w:t>MISCELLANEOUS</w:t>
            </w:r>
          </w:p>
        </w:tc>
      </w:tr>
      <w:tr>
        <w:trPr>
          <w:trHeight w:val="419"/>
        </w:trPr>
        <w:tc>
          <w:tcPr>
            <w:tcW w:w="1160" w:type="dxa"/>
            <w:vAlign w:val="bottom"/>
          </w:tcPr>
          <w:p>
            <w:pPr>
              <w:jc w:val="right"/>
              <w:ind w:right="819"/>
              <w:spacing w:after="0"/>
              <w:rPr>
                <w:sz w:val="20"/>
                <w:szCs w:val="20"/>
                <w:color w:val="auto"/>
              </w:rPr>
            </w:pPr>
            <w:r>
              <w:rPr>
                <w:rFonts w:ascii="Arial" w:cs="Arial" w:eastAsia="Arial" w:hAnsi="Arial"/>
                <w:sz w:val="20"/>
                <w:szCs w:val="20"/>
                <w:b w:val="1"/>
                <w:bCs w:val="1"/>
                <w:color w:val="auto"/>
                <w:w w:val="78"/>
              </w:rPr>
              <w:t>9.1</w:t>
            </w:r>
          </w:p>
        </w:tc>
        <w:tc>
          <w:tcPr>
            <w:tcW w:w="8240" w:type="dxa"/>
            <w:vAlign w:val="bottom"/>
          </w:tcPr>
          <w:p>
            <w:pPr>
              <w:ind w:left="900"/>
              <w:spacing w:after="0"/>
              <w:rPr>
                <w:sz w:val="20"/>
                <w:szCs w:val="20"/>
                <w:color w:val="auto"/>
              </w:rPr>
            </w:pPr>
            <w:r>
              <w:rPr>
                <w:rFonts w:ascii="Arial" w:cs="Arial" w:eastAsia="Arial" w:hAnsi="Arial"/>
                <w:sz w:val="20"/>
                <w:szCs w:val="20"/>
                <w:b w:val="1"/>
                <w:bCs w:val="1"/>
                <w:color w:val="auto"/>
                <w:w w:val="91"/>
              </w:rPr>
              <w:t xml:space="preserve">Release and Agreement. </w:t>
            </w:r>
            <w:r>
              <w:rPr>
                <w:rFonts w:ascii="Arial" w:cs="Arial" w:eastAsia="Arial" w:hAnsi="Arial"/>
                <w:sz w:val="20"/>
                <w:szCs w:val="20"/>
                <w:color w:val="auto"/>
                <w:w w:val="91"/>
              </w:rPr>
              <w:t>Notwithstanding anything else contained herein to the contrary,</w:t>
            </w:r>
          </w:p>
        </w:tc>
      </w:tr>
    </w:tbl>
    <w:p>
      <w:pPr>
        <w:spacing w:after="0" w:line="241" w:lineRule="auto"/>
        <w:rPr>
          <w:sz w:val="20"/>
          <w:szCs w:val="20"/>
          <w:color w:val="auto"/>
        </w:rPr>
      </w:pPr>
      <w:r>
        <w:rPr>
          <w:rFonts w:ascii="Arial" w:cs="Arial" w:eastAsia="Arial" w:hAnsi="Arial"/>
          <w:sz w:val="20"/>
          <w:szCs w:val="20"/>
          <w:color w:val="auto"/>
        </w:rPr>
        <w:t xml:space="preserve">the Company’s obligation to pay benefits hereunder to the Executive is subject to the condition precedent that the Executive execute a valid and effective Severance Agreement in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such other form, which is substantially the same as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as the Committee may require) and such executed agreement is received by the Company and is not revoked by the Executive or otherwise rendered unenforceable by the Executive.</w:t>
      </w:r>
    </w:p>
    <w:p>
      <w:pPr>
        <w:spacing w:after="0" w:line="170" w:lineRule="exact"/>
        <w:rPr>
          <w:sz w:val="20"/>
          <w:szCs w:val="20"/>
          <w:color w:val="auto"/>
        </w:rPr>
      </w:pPr>
    </w:p>
    <w:p>
      <w:pPr>
        <w:ind w:right="40" w:firstLine="1729"/>
        <w:spacing w:after="0" w:line="249" w:lineRule="auto"/>
        <w:rPr>
          <w:sz w:val="20"/>
          <w:szCs w:val="20"/>
          <w:color w:val="auto"/>
        </w:rPr>
      </w:pPr>
      <w:r>
        <w:rPr>
          <w:rFonts w:ascii="Arial" w:cs="Arial" w:eastAsia="Arial" w:hAnsi="Arial"/>
          <w:sz w:val="20"/>
          <w:szCs w:val="20"/>
          <w:b w:val="1"/>
          <w:bCs w:val="1"/>
          <w:color w:val="auto"/>
        </w:rPr>
        <w:t>9.2 Employment Status</w:t>
      </w:r>
      <w:r>
        <w:rPr>
          <w:rFonts w:ascii="Arial" w:cs="Arial" w:eastAsia="Arial" w:hAnsi="Arial"/>
          <w:sz w:val="20"/>
          <w:szCs w:val="20"/>
          <w:color w:val="auto"/>
        </w:rPr>
        <w:t>. The Executive and the Company acknowledge that, except as may</w:t>
      </w:r>
      <w:r>
        <w:rPr>
          <w:rFonts w:ascii="Arial" w:cs="Arial" w:eastAsia="Arial" w:hAnsi="Arial"/>
          <w:sz w:val="20"/>
          <w:szCs w:val="20"/>
          <w:b w:val="1"/>
          <w:bCs w:val="1"/>
          <w:color w:val="auto"/>
        </w:rPr>
        <w:t xml:space="preserve"> </w:t>
      </w:r>
      <w:r>
        <w:rPr>
          <w:rFonts w:ascii="Arial" w:cs="Arial" w:eastAsia="Arial" w:hAnsi="Arial"/>
          <w:sz w:val="20"/>
          <w:szCs w:val="20"/>
          <w:color w:val="auto"/>
        </w:rPr>
        <w:t>be provided under any other written agreement between the Executive and the Company, the employment of the Executive by the Company is “at will,” and may be terminated by either the Executive or the Company at any time, subject to applicable law and subject to the express provisions of Article 2.</w:t>
      </w:r>
    </w:p>
    <w:p>
      <w:pPr>
        <w:spacing w:after="0" w:line="161" w:lineRule="exact"/>
        <w:rPr>
          <w:sz w:val="20"/>
          <w:szCs w:val="20"/>
          <w:color w:val="auto"/>
        </w:rPr>
      </w:pPr>
    </w:p>
    <w:p>
      <w:pPr>
        <w:ind w:right="120" w:firstLine="1729"/>
        <w:spacing w:after="0" w:line="249" w:lineRule="auto"/>
        <w:rPr>
          <w:sz w:val="20"/>
          <w:szCs w:val="20"/>
          <w:color w:val="auto"/>
        </w:rPr>
      </w:pPr>
      <w:r>
        <w:rPr>
          <w:rFonts w:ascii="Arial" w:cs="Arial" w:eastAsia="Arial" w:hAnsi="Arial"/>
          <w:sz w:val="20"/>
          <w:szCs w:val="20"/>
          <w:b w:val="1"/>
          <w:bCs w:val="1"/>
          <w:color w:val="auto"/>
        </w:rPr>
        <w:t>9.3 Beneficiaries</w:t>
      </w:r>
      <w:r>
        <w:rPr>
          <w:rFonts w:ascii="Arial" w:cs="Arial" w:eastAsia="Arial" w:hAnsi="Arial"/>
          <w:sz w:val="20"/>
          <w:szCs w:val="20"/>
          <w:color w:val="auto"/>
        </w:rPr>
        <w:t>. Subject to the other provisions of this Section 9.3, the person or persons</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a trustee, personal representative or other fiduciary) last designated in writing by the Executive in accordance with procedures established by the Committee to receive the benefits specified hereunder in the event of the Executive’s death shall be the Executive’s Beneficiary or Beneficiaries.</w:t>
      </w:r>
    </w:p>
    <w:p>
      <w:pPr>
        <w:spacing w:after="0" w:line="165" w:lineRule="exact"/>
        <w:rPr>
          <w:sz w:val="20"/>
          <w:szCs w:val="20"/>
          <w:color w:val="auto"/>
        </w:rPr>
      </w:pPr>
    </w:p>
    <w:p>
      <w:pPr>
        <w:ind w:right="100" w:firstLine="865"/>
        <w:spacing w:after="0" w:line="253" w:lineRule="auto"/>
        <w:rPr>
          <w:sz w:val="20"/>
          <w:szCs w:val="20"/>
          <w:color w:val="auto"/>
        </w:rPr>
      </w:pPr>
      <w:r>
        <w:rPr>
          <w:rFonts w:ascii="Arial" w:cs="Arial" w:eastAsia="Arial" w:hAnsi="Arial"/>
          <w:sz w:val="20"/>
          <w:szCs w:val="20"/>
          <w:color w:val="auto"/>
        </w:rPr>
        <w:t>No beneficiary designation shall become effective until it is filed with the Committee, and no beneficiary designation of someone other than the Executive’s spouse shall be effective unless such designation is consented to by the Executive’s spouse on a form provided by and in accordance with procedures established by the Committee.</w:t>
      </w:r>
    </w:p>
    <w:p>
      <w:pPr>
        <w:spacing w:after="0" w:line="160" w:lineRule="exact"/>
        <w:rPr>
          <w:sz w:val="20"/>
          <w:szCs w:val="20"/>
          <w:color w:val="auto"/>
        </w:rPr>
      </w:pPr>
    </w:p>
    <w:p>
      <w:pPr>
        <w:ind w:right="20" w:firstLine="865"/>
        <w:spacing w:after="0" w:line="256" w:lineRule="auto"/>
        <w:rPr>
          <w:sz w:val="20"/>
          <w:szCs w:val="20"/>
          <w:color w:val="auto"/>
        </w:rPr>
      </w:pPr>
      <w:r>
        <w:rPr>
          <w:rFonts w:ascii="Arial" w:cs="Arial" w:eastAsia="Arial" w:hAnsi="Arial"/>
          <w:sz w:val="19"/>
          <w:szCs w:val="19"/>
          <w:color w:val="auto"/>
        </w:rPr>
        <w:t>If there is no Beneficiary designation in effect, or if there is no surviving designated Beneficiary, then the Executive’s surviving spouse shall be the Beneficiary. If there is no surviving spouse to receive any benefits payable in accordance with the preceding sentence, the duly appointed and currently acting personal representative of the Executive’s estate (which shall include either the Executive’s probate estate or living trust) shall be the Beneficiary. In any case where there is no such personal representative of the Executive’s estate duly appointed and acting in that capacity within 90 days after the Executive’s death (or such extended period as the Committee determines is reasonably necessary to allow such personal representative to be appointed, but not to exceed 180 days after the Executive’s death), then Beneficiary shall mean the person or persons who can verify by affidavit or court order to the satisfaction of the Committee that they are legally entitled to receive the benefits specified hereunder.</w:t>
      </w:r>
    </w:p>
    <w:p>
      <w:pPr>
        <w:spacing w:after="0" w:line="164" w:lineRule="exact"/>
        <w:rPr>
          <w:sz w:val="20"/>
          <w:szCs w:val="20"/>
          <w:color w:val="auto"/>
        </w:rPr>
      </w:pPr>
    </w:p>
    <w:p>
      <w:pPr>
        <w:ind w:right="340" w:firstLine="865"/>
        <w:spacing w:after="0" w:line="279" w:lineRule="auto"/>
        <w:rPr>
          <w:sz w:val="20"/>
          <w:szCs w:val="20"/>
          <w:color w:val="auto"/>
        </w:rPr>
      </w:pPr>
      <w:r>
        <w:rPr>
          <w:rFonts w:ascii="Arial" w:cs="Arial" w:eastAsia="Arial" w:hAnsi="Arial"/>
          <w:sz w:val="18"/>
          <w:szCs w:val="18"/>
          <w:color w:val="auto"/>
        </w:rPr>
        <w:t>Notwithstanding anything else herein to the contrary, in the event any amount is payable under this Agreement to a minor, payment shall not be made to the minor, but instead be paid: (a) to that person’s living parent(s) to act as custodian; (b) if that person’s parents are then divorced, and one parent is the sole custodial parent, to such custodial parent; or (c) if no parent of that person is then living, to a custodian selected by the Committee to hold the funds for the minor under the Uniform Transfers or Gifts to Minors Act in effect in the jurisdiction in which the minor resides. If no parent is living and the Committee decides not to select another</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220" w:name="page221"/>
    <w:bookmarkEnd w:id="220"/>
    <w:p>
      <w:pPr>
        <w:ind w:right="20"/>
        <w:spacing w:after="0" w:line="272" w:lineRule="auto"/>
        <w:rPr>
          <w:sz w:val="20"/>
          <w:szCs w:val="20"/>
          <w:color w:val="auto"/>
        </w:rPr>
      </w:pPr>
      <w:r>
        <w:rPr>
          <w:rFonts w:ascii="Arial" w:cs="Arial" w:eastAsia="Arial" w:hAnsi="Arial"/>
          <w:sz w:val="19"/>
          <w:szCs w:val="19"/>
          <w:color w:val="auto"/>
        </w:rPr>
        <w:t>custodian to hold the funds for the minor, then payment shall be made to the duly appointed and currently acting guardian of the estate for the minor or, if no guardian of the estate for the minor is duly appointed and currently acting within 60 days after the date the amount becomes payable, payment shall be deposited with the court having jurisdiction over the estate of the minor.</w:t>
      </w:r>
    </w:p>
    <w:p>
      <w:pPr>
        <w:spacing w:after="0" w:line="141" w:lineRule="exact"/>
        <w:rPr>
          <w:sz w:val="20"/>
          <w:szCs w:val="20"/>
          <w:color w:val="auto"/>
        </w:rPr>
      </w:pPr>
    </w:p>
    <w:p>
      <w:pPr>
        <w:ind w:right="360" w:firstLine="1729"/>
        <w:spacing w:after="0" w:line="255" w:lineRule="auto"/>
        <w:rPr>
          <w:sz w:val="20"/>
          <w:szCs w:val="20"/>
          <w:color w:val="auto"/>
        </w:rPr>
      </w:pPr>
      <w:r>
        <w:rPr>
          <w:rFonts w:ascii="Arial" w:cs="Arial" w:eastAsia="Arial" w:hAnsi="Arial"/>
          <w:sz w:val="20"/>
          <w:szCs w:val="20"/>
          <w:b w:val="1"/>
          <w:bCs w:val="1"/>
          <w:color w:val="auto"/>
        </w:rPr>
        <w:t xml:space="preserve">9.4 Entire Agreement. </w:t>
      </w:r>
      <w:r>
        <w:rPr>
          <w:rFonts w:ascii="Arial" w:cs="Arial" w:eastAsia="Arial" w:hAnsi="Arial"/>
          <w:sz w:val="20"/>
          <w:szCs w:val="20"/>
          <w:color w:val="auto"/>
        </w:rPr>
        <w:t>This Agreement, including the Exhibits hereto, contains the entire</w:t>
      </w:r>
      <w:r>
        <w:rPr>
          <w:rFonts w:ascii="Arial" w:cs="Arial" w:eastAsia="Arial" w:hAnsi="Arial"/>
          <w:sz w:val="20"/>
          <w:szCs w:val="20"/>
          <w:b w:val="1"/>
          <w:bCs w:val="1"/>
          <w:color w:val="auto"/>
        </w:rPr>
        <w:t xml:space="preserve"> </w:t>
      </w:r>
      <w:r>
        <w:rPr>
          <w:rFonts w:ascii="Arial" w:cs="Arial" w:eastAsia="Arial" w:hAnsi="Arial"/>
          <w:sz w:val="20"/>
          <w:szCs w:val="20"/>
          <w:color w:val="auto"/>
        </w:rPr>
        <w:t>understanding of the Company and the Executive, and supersedes and replaces all prior negotiations and all agreements proposed or otherwise, whether written or oral, with respect to the subject matter hereof.</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900" w:type="dxa"/>
            <w:vAlign w:val="bottom"/>
          </w:tcPr>
          <w:p>
            <w:pPr>
              <w:jc w:val="right"/>
              <w:ind w:right="819"/>
              <w:spacing w:after="0"/>
              <w:rPr>
                <w:sz w:val="20"/>
                <w:szCs w:val="20"/>
                <w:color w:val="auto"/>
              </w:rPr>
            </w:pPr>
            <w:r>
              <w:rPr>
                <w:rFonts w:ascii="Arial" w:cs="Arial" w:eastAsia="Arial" w:hAnsi="Arial"/>
                <w:sz w:val="20"/>
                <w:szCs w:val="20"/>
                <w:b w:val="1"/>
                <w:bCs w:val="1"/>
                <w:color w:val="auto"/>
              </w:rPr>
              <w:t>9.5</w:t>
            </w:r>
          </w:p>
        </w:tc>
        <w:tc>
          <w:tcPr>
            <w:tcW w:w="8200" w:type="dxa"/>
            <w:vAlign w:val="bottom"/>
          </w:tcPr>
          <w:p>
            <w:pPr>
              <w:ind w:left="900"/>
              <w:spacing w:after="0"/>
              <w:rPr>
                <w:sz w:val="20"/>
                <w:szCs w:val="20"/>
                <w:color w:val="auto"/>
              </w:rPr>
            </w:pPr>
            <w:r>
              <w:rPr>
                <w:rFonts w:ascii="Arial" w:cs="Arial" w:eastAsia="Arial" w:hAnsi="Arial"/>
                <w:sz w:val="20"/>
                <w:szCs w:val="20"/>
                <w:b w:val="1"/>
                <w:bCs w:val="1"/>
                <w:color w:val="auto"/>
                <w:w w:val="95"/>
              </w:rPr>
              <w:t>Gender and Number</w:t>
            </w:r>
            <w:r>
              <w:rPr>
                <w:rFonts w:ascii="Arial" w:cs="Arial" w:eastAsia="Arial" w:hAnsi="Arial"/>
                <w:sz w:val="20"/>
                <w:szCs w:val="20"/>
                <w:color w:val="auto"/>
                <w:w w:val="95"/>
              </w:rPr>
              <w:t>. Except where otherwise indicated by the context any masculine</w:t>
            </w:r>
          </w:p>
        </w:tc>
      </w:tr>
      <w:tr>
        <w:trPr>
          <w:trHeight w:val="259"/>
        </w:trPr>
        <w:tc>
          <w:tcPr>
            <w:tcW w:w="11100" w:type="dxa"/>
            <w:vAlign w:val="bottom"/>
            <w:gridSpan w:val="2"/>
          </w:tcPr>
          <w:p>
            <w:pPr>
              <w:spacing w:after="0"/>
              <w:rPr>
                <w:sz w:val="20"/>
                <w:szCs w:val="20"/>
                <w:color w:val="auto"/>
              </w:rPr>
            </w:pPr>
            <w:r>
              <w:rPr>
                <w:rFonts w:ascii="Arial" w:cs="Arial" w:eastAsia="Arial" w:hAnsi="Arial"/>
                <w:sz w:val="20"/>
                <w:szCs w:val="20"/>
                <w:color w:val="auto"/>
              </w:rPr>
              <w:t>term used herein also shall include the feminine, the plural shall include the singular, and the singular shall include the plural.</w:t>
            </w:r>
          </w:p>
        </w:tc>
      </w:tr>
      <w:tr>
        <w:trPr>
          <w:trHeight w:val="419"/>
        </w:trPr>
        <w:tc>
          <w:tcPr>
            <w:tcW w:w="2900" w:type="dxa"/>
            <w:vAlign w:val="bottom"/>
          </w:tcPr>
          <w:p>
            <w:pPr>
              <w:jc w:val="right"/>
              <w:ind w:right="819"/>
              <w:spacing w:after="0"/>
              <w:rPr>
                <w:sz w:val="20"/>
                <w:szCs w:val="20"/>
                <w:color w:val="auto"/>
              </w:rPr>
            </w:pPr>
            <w:r>
              <w:rPr>
                <w:rFonts w:ascii="Arial" w:cs="Arial" w:eastAsia="Arial" w:hAnsi="Arial"/>
                <w:sz w:val="20"/>
                <w:szCs w:val="20"/>
                <w:b w:val="1"/>
                <w:bCs w:val="1"/>
                <w:color w:val="auto"/>
              </w:rPr>
              <w:t>9.6</w:t>
            </w:r>
          </w:p>
        </w:tc>
        <w:tc>
          <w:tcPr>
            <w:tcW w:w="8200" w:type="dxa"/>
            <w:vAlign w:val="bottom"/>
          </w:tcPr>
          <w:p>
            <w:pPr>
              <w:ind w:left="900"/>
              <w:spacing w:after="0"/>
              <w:rPr>
                <w:sz w:val="20"/>
                <w:szCs w:val="20"/>
                <w:color w:val="auto"/>
              </w:rPr>
            </w:pPr>
            <w:r>
              <w:rPr>
                <w:rFonts w:ascii="Arial" w:cs="Arial" w:eastAsia="Arial" w:hAnsi="Arial"/>
                <w:sz w:val="20"/>
                <w:szCs w:val="20"/>
                <w:b w:val="1"/>
                <w:bCs w:val="1"/>
                <w:color w:val="auto"/>
                <w:w w:val="94"/>
              </w:rPr>
              <w:t>Severability</w:t>
            </w:r>
            <w:r>
              <w:rPr>
                <w:rFonts w:ascii="Arial" w:cs="Arial" w:eastAsia="Arial" w:hAnsi="Arial"/>
                <w:sz w:val="20"/>
                <w:szCs w:val="20"/>
                <w:color w:val="auto"/>
                <w:w w:val="94"/>
              </w:rPr>
              <w:t>. In the event any provision of this Agreement shall be held illegal or invalid</w:t>
            </w:r>
          </w:p>
        </w:tc>
      </w:tr>
    </w:tbl>
    <w:p>
      <w:pPr>
        <w:ind w:right="300"/>
        <w:spacing w:after="0" w:line="243" w:lineRule="auto"/>
        <w:rPr>
          <w:sz w:val="20"/>
          <w:szCs w:val="20"/>
          <w:color w:val="auto"/>
        </w:rPr>
      </w:pPr>
      <w:r>
        <w:rPr>
          <w:rFonts w:ascii="Arial" w:cs="Arial" w:eastAsia="Arial" w:hAnsi="Arial"/>
          <w:sz w:val="20"/>
          <w:szCs w:val="20"/>
          <w:color w:val="auto"/>
        </w:rPr>
        <w:t>for any reason, the illegality or invalidity shall not affect the remaining parts of this Agreement, and this Agreement shall be construed and enforced as if the illegal or invalid provision had not been included. Further, the captions of this Agreement are not part of the provisions hereof and shall have no force and effect.</w:t>
      </w:r>
    </w:p>
    <w:p>
      <w:pPr>
        <w:spacing w:after="0" w:line="167" w:lineRule="exact"/>
        <w:rPr>
          <w:sz w:val="20"/>
          <w:szCs w:val="20"/>
          <w:color w:val="auto"/>
        </w:rPr>
      </w:pPr>
    </w:p>
    <w:p>
      <w:pPr>
        <w:ind w:firstLine="1729"/>
        <w:spacing w:after="0" w:line="255" w:lineRule="auto"/>
        <w:rPr>
          <w:sz w:val="20"/>
          <w:szCs w:val="20"/>
          <w:color w:val="auto"/>
        </w:rPr>
      </w:pPr>
      <w:r>
        <w:rPr>
          <w:rFonts w:ascii="Arial" w:cs="Arial" w:eastAsia="Arial" w:hAnsi="Arial"/>
          <w:sz w:val="20"/>
          <w:szCs w:val="20"/>
          <w:b w:val="1"/>
          <w:bCs w:val="1"/>
          <w:color w:val="auto"/>
        </w:rPr>
        <w:t xml:space="preserve">9.7 Modification. </w:t>
      </w:r>
      <w:r>
        <w:rPr>
          <w:rFonts w:ascii="Arial" w:cs="Arial" w:eastAsia="Arial" w:hAnsi="Arial"/>
          <w:sz w:val="20"/>
          <w:szCs w:val="20"/>
          <w:color w:val="auto"/>
        </w:rPr>
        <w:t>No provision of this Agreement may be modified, waived, or discharged</w:t>
      </w:r>
      <w:r>
        <w:rPr>
          <w:rFonts w:ascii="Arial" w:cs="Arial" w:eastAsia="Arial" w:hAnsi="Arial"/>
          <w:sz w:val="20"/>
          <w:szCs w:val="20"/>
          <w:b w:val="1"/>
          <w:bCs w:val="1"/>
          <w:color w:val="auto"/>
        </w:rPr>
        <w:t xml:space="preserve"> </w:t>
      </w:r>
      <w:r>
        <w:rPr>
          <w:rFonts w:ascii="Arial" w:cs="Arial" w:eastAsia="Arial" w:hAnsi="Arial"/>
          <w:sz w:val="20"/>
          <w:szCs w:val="20"/>
          <w:color w:val="auto"/>
        </w:rPr>
        <w:t>unless such modification, waiver, or discharge is agreed to in writing and signed by the Executive (or the Executive’s legal representative) and by an authorized member of the Committee (or the Board) or its designee or legal representative.</w:t>
      </w:r>
    </w:p>
    <w:p>
      <w:pPr>
        <w:spacing w:after="0" w:line="154" w:lineRule="exact"/>
        <w:rPr>
          <w:sz w:val="20"/>
          <w:szCs w:val="20"/>
          <w:color w:val="auto"/>
        </w:rPr>
      </w:pPr>
    </w:p>
    <w:p>
      <w:pPr>
        <w:ind w:right="60" w:firstLine="1729"/>
        <w:spacing w:after="0" w:line="275" w:lineRule="auto"/>
        <w:rPr>
          <w:sz w:val="20"/>
          <w:szCs w:val="20"/>
          <w:color w:val="auto"/>
        </w:rPr>
      </w:pPr>
      <w:r>
        <w:rPr>
          <w:rFonts w:ascii="Arial" w:cs="Arial" w:eastAsia="Arial" w:hAnsi="Arial"/>
          <w:sz w:val="18"/>
          <w:szCs w:val="18"/>
          <w:b w:val="1"/>
          <w:bCs w:val="1"/>
          <w:color w:val="auto"/>
        </w:rPr>
        <w:t xml:space="preserve">9.8 Notice. </w:t>
      </w:r>
      <w:r>
        <w:rPr>
          <w:rFonts w:ascii="Arial" w:cs="Arial" w:eastAsia="Arial" w:hAnsi="Arial"/>
          <w:sz w:val="18"/>
          <w:szCs w:val="18"/>
          <w:color w:val="auto"/>
        </w:rPr>
        <w:t>For purposes of this Agreement, notices, including Notice of Termination,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communications provided for in this Agreement shall be in writing and shall be deemed to have been duly given when delivered or on the date stamped as received by the U.S. Postal Service for delivery by certified or registered mail, postage prepaid and addressed: (a) if to the Executive, to his or her latest address as reflected on the records of the Company, and (b) if to the Company, to Parsons Corporation, 100 West Walnut Street, Pasadena, California 91124, Attn: Chair, Compensation Committee, or to such other address as either party may furnish to the other in writing for the delivery of notices to that party, with specific reference to this Agreement and the importance of the notice, except that a notice of change of address shall be effective only upon receipt by the other party.</w:t>
      </w:r>
    </w:p>
    <w:p>
      <w:pPr>
        <w:spacing w:after="0" w:line="140" w:lineRule="exact"/>
        <w:rPr>
          <w:sz w:val="20"/>
          <w:szCs w:val="20"/>
          <w:color w:val="auto"/>
        </w:rPr>
      </w:pPr>
    </w:p>
    <w:p>
      <w:pPr>
        <w:ind w:firstLine="1729"/>
        <w:spacing w:after="0" w:line="249" w:lineRule="auto"/>
        <w:rPr>
          <w:sz w:val="20"/>
          <w:szCs w:val="20"/>
          <w:color w:val="auto"/>
        </w:rPr>
      </w:pPr>
      <w:r>
        <w:rPr>
          <w:rFonts w:ascii="Arial" w:cs="Arial" w:eastAsia="Arial" w:hAnsi="Arial"/>
          <w:sz w:val="20"/>
          <w:szCs w:val="20"/>
          <w:b w:val="1"/>
          <w:bCs w:val="1"/>
          <w:color w:val="auto"/>
        </w:rPr>
        <w:t xml:space="preserve">9.9 Applicable Law. </w:t>
      </w:r>
      <w:r>
        <w:rPr>
          <w:rFonts w:ascii="Arial" w:cs="Arial" w:eastAsia="Arial" w:hAnsi="Arial"/>
          <w:sz w:val="20"/>
          <w:szCs w:val="20"/>
          <w:color w:val="auto"/>
        </w:rPr>
        <w:t>To the extent not preempted by the laws of the United States, the laws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State of California shall be the controlling law in all matters relating to this Agreement, without regard to principles of conflicts of laws. Any statutory reference in this Agreement shall also be deemed to refer to all final rules and final regulations promulgated under or with respect to the referenced statutory provision.</w:t>
      </w:r>
    </w:p>
    <w:p>
      <w:pPr>
        <w:spacing w:after="0" w:line="161" w:lineRule="exact"/>
        <w:rPr>
          <w:sz w:val="20"/>
          <w:szCs w:val="20"/>
          <w:color w:val="auto"/>
        </w:rPr>
      </w:pPr>
    </w:p>
    <w:p>
      <w:pPr>
        <w:ind w:right="80" w:firstLine="1729"/>
        <w:spacing w:after="0" w:line="249" w:lineRule="auto"/>
        <w:rPr>
          <w:sz w:val="20"/>
          <w:szCs w:val="20"/>
          <w:color w:val="auto"/>
        </w:rPr>
      </w:pPr>
      <w:r>
        <w:rPr>
          <w:rFonts w:ascii="Arial" w:cs="Arial" w:eastAsia="Arial" w:hAnsi="Arial"/>
          <w:sz w:val="20"/>
          <w:szCs w:val="20"/>
          <w:b w:val="1"/>
          <w:bCs w:val="1"/>
          <w:color w:val="auto"/>
        </w:rPr>
        <w:t xml:space="preserve">9.10 Code Sections 280G and 4999. </w:t>
      </w:r>
      <w:r>
        <w:rPr>
          <w:rFonts w:ascii="Arial" w:cs="Arial" w:eastAsia="Arial" w:hAnsi="Arial"/>
          <w:sz w:val="20"/>
          <w:szCs w:val="20"/>
          <w:color w:val="auto"/>
        </w:rPr>
        <w:t>Notwithstanding anything contained in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to the contrary, if following a change in ownership or effective control or in the ownership of a substantial portion of assets (in each case, within the meaning of Section 280G of the Code), the tax imposed by Section 4999 of the Code or any similar or successor tax (the “Excise Tax”) applies to any payments, benefits and/or amounts received by the Executive</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6">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20"/>
          </w:cols>
          <w:pgMar w:left="320" w:top="752" w:right="359" w:bottom="1440" w:gutter="0" w:footer="0" w:header="0"/>
        </w:sectPr>
      </w:pPr>
    </w:p>
    <w:bookmarkStart w:id="221" w:name="page222"/>
    <w:bookmarkEnd w:id="221"/>
    <w:p>
      <w:pPr>
        <w:spacing w:after="0" w:line="241" w:lineRule="auto"/>
        <w:rPr>
          <w:sz w:val="20"/>
          <w:szCs w:val="20"/>
          <w:color w:val="auto"/>
        </w:rPr>
      </w:pPr>
      <w:r>
        <w:rPr>
          <w:rFonts w:ascii="Arial" w:cs="Arial" w:eastAsia="Arial" w:hAnsi="Arial"/>
          <w:sz w:val="20"/>
          <w:szCs w:val="20"/>
          <w:color w:val="auto"/>
        </w:rPr>
        <w:t>pursuant to this Agreement or otherwise (collectively, the “Total Payments”), then the Total Payments shall be reduced (but not below zero) so that the maximum amount of the Total Payments (after reduction) shall be one dollar ($1.00) less than the amount which would cause the Total Payments to be subject to the Excise Tax; provided that such reduction to the Total Payments shall be made only if the total after-tax benefit to the Executive is greater after giving effect to such reduction than if no such reduction had been made. If such a reduction is required, the Company shall reduce or eliminate the Total Payments by first reducing or eliminating any cash payments under this Agreement, then by reducing or eliminating any accelerated vesting of any long-term cash incentive awards, then by reducing or eliminating any other remaining Total Payments, in each case in reverse order beginning with the payments which are to be paid the farthest in time from the date of the transaction triggering the Excise Tax. The provisions of this Section 9.10 shall take precedence over the provisions of any other plan, arrangement or agreement governing the Executive’s rights and entitlements to any benefits or compensation.</w:t>
      </w:r>
    </w:p>
    <w:p>
      <w:pPr>
        <w:spacing w:after="0" w:line="200" w:lineRule="exact"/>
        <w:rPr>
          <w:sz w:val="20"/>
          <w:szCs w:val="20"/>
          <w:color w:val="auto"/>
        </w:rPr>
      </w:pPr>
    </w:p>
    <w:p>
      <w:pPr>
        <w:spacing w:after="0" w:line="377"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executed this Agreement on the date first set forth above.</w:t>
      </w:r>
    </w:p>
    <w:p>
      <w:pPr>
        <w:spacing w:after="0" w:line="201"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Name: Charles L. Harrington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Parsons Corporation</w:t>
      </w:r>
    </w:p>
    <w:p>
      <w:pPr>
        <w:spacing w:after="0" w:line="306" w:lineRule="exact"/>
        <w:rPr>
          <w:sz w:val="20"/>
          <w:szCs w:val="20"/>
          <w:color w:val="auto"/>
        </w:rPr>
      </w:pPr>
    </w:p>
    <w:p>
      <w:pPr>
        <w:ind w:left="60"/>
        <w:spacing w:after="0"/>
        <w:rPr>
          <w:sz w:val="20"/>
          <w:szCs w:val="20"/>
          <w:color w:val="auto"/>
        </w:rPr>
      </w:pPr>
      <w:r>
        <w:rPr>
          <w:rFonts w:ascii="Arial" w:cs="Arial" w:eastAsia="Arial" w:hAnsi="Arial"/>
          <w:sz w:val="20"/>
          <w:szCs w:val="20"/>
          <w:color w:val="auto"/>
        </w:rPr>
        <w:t>By:</w:t>
      </w:r>
    </w:p>
    <w:p>
      <w:pPr>
        <w:spacing w:after="0" w:line="20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Carey Smith</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20"/>
          <w:szCs w:val="20"/>
          <w:color w:val="auto"/>
        </w:rPr>
        <w:t>Chief Executive Officer</w:t>
      </w:r>
    </w:p>
    <w:p>
      <w:pPr>
        <w:spacing w:after="0" w:line="158"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A-15</w:t>
      </w:r>
    </w:p>
    <w:p>
      <w:pPr>
        <w:sectPr>
          <w:pgSz w:w="11900" w:h="16838" w:orient="portrait"/>
          <w:cols w:equalWidth="0" w:num="1">
            <w:col w:w="11200"/>
          </w:cols>
          <w:pgMar w:left="320" w:top="752" w:right="379" w:bottom="1440" w:gutter="0" w:footer="0" w:header="0"/>
        </w:sectPr>
      </w:pPr>
    </w:p>
    <w:bookmarkStart w:id="222" w:name="page223"/>
    <w:bookmarkEnd w:id="222"/>
    <w:p>
      <w:pPr>
        <w:spacing w:after="0"/>
        <w:rPr>
          <w:sz w:val="20"/>
          <w:szCs w:val="20"/>
          <w:color w:val="auto"/>
        </w:rPr>
      </w:pPr>
      <w:r>
        <w:rPr>
          <w:rFonts w:ascii="Arial" w:cs="Arial" w:eastAsia="Arial" w:hAnsi="Arial"/>
          <w:sz w:val="20"/>
          <w:szCs w:val="20"/>
          <w:color w:val="auto"/>
        </w:rPr>
        <w:t>Exhibit 10.30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PARSONS CORPORATION</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CHANGE IN CONTROL SEVERANCE AGREEMENT</w:t>
      </w:r>
    </w:p>
    <w:p>
      <w:pPr>
        <w:spacing w:after="0" w:line="382" w:lineRule="exact"/>
        <w:rPr>
          <w:sz w:val="20"/>
          <w:szCs w:val="20"/>
          <w:color w:val="auto"/>
        </w:rPr>
      </w:pPr>
    </w:p>
    <w:p>
      <w:pPr>
        <w:jc w:val="both"/>
        <w:ind w:right="260" w:firstLine="865"/>
        <w:spacing w:after="0" w:line="255" w:lineRule="auto"/>
        <w:rPr>
          <w:sz w:val="20"/>
          <w:szCs w:val="20"/>
          <w:color w:val="auto"/>
        </w:rPr>
      </w:pPr>
      <w:r>
        <w:rPr>
          <w:rFonts w:ascii="Arial" w:cs="Arial" w:eastAsia="Arial" w:hAnsi="Arial"/>
          <w:sz w:val="20"/>
          <w:szCs w:val="20"/>
          <w:b w:val="1"/>
          <w:bCs w:val="1"/>
          <w:color w:val="auto"/>
        </w:rPr>
        <w:t xml:space="preserve">THIS CHANGE IN CONTROL SEVERANCE AGREEMENT </w:t>
      </w:r>
      <w:r>
        <w:rPr>
          <w:rFonts w:ascii="Arial" w:cs="Arial" w:eastAsia="Arial" w:hAnsi="Arial"/>
          <w:sz w:val="20"/>
          <w:szCs w:val="20"/>
          <w:color w:val="auto"/>
        </w:rPr>
        <w:t>(this “Agreement”) is made and entered into on this ___</w:t>
      </w:r>
      <w:r>
        <w:rPr>
          <w:rFonts w:ascii="Arial" w:cs="Arial" w:eastAsia="Arial" w:hAnsi="Arial"/>
          <w:sz w:val="20"/>
          <w:szCs w:val="20"/>
          <w:b w:val="1"/>
          <w:bCs w:val="1"/>
          <w:color w:val="auto"/>
        </w:rPr>
        <w:t xml:space="preserve"> </w:t>
      </w:r>
      <w:r>
        <w:rPr>
          <w:rFonts w:ascii="Arial" w:cs="Arial" w:eastAsia="Arial" w:hAnsi="Arial"/>
          <w:sz w:val="20"/>
          <w:szCs w:val="20"/>
          <w:color w:val="auto"/>
        </w:rPr>
        <w:t>day of August 2021 (the “Effective Date”), by and between Parsons Corporation, a Delaware corporation (hereinafter referred to as the “Company”) and George Ball (the “Executive”).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RECITALS</w:t>
      </w:r>
    </w:p>
    <w:p>
      <w:pPr>
        <w:spacing w:after="0" w:line="205" w:lineRule="exact"/>
        <w:rPr>
          <w:sz w:val="20"/>
          <w:szCs w:val="20"/>
          <w:color w:val="auto"/>
        </w:rPr>
      </w:pPr>
    </w:p>
    <w:p>
      <w:pPr>
        <w:ind w:right="60" w:firstLine="865"/>
        <w:spacing w:after="0" w:line="324" w:lineRule="auto"/>
        <w:rPr>
          <w:sz w:val="20"/>
          <w:szCs w:val="20"/>
          <w:color w:val="auto"/>
        </w:rPr>
      </w:pPr>
      <w:r>
        <w:rPr>
          <w:rFonts w:ascii="Arial" w:cs="Arial" w:eastAsia="Arial" w:hAnsi="Arial"/>
          <w:sz w:val="18"/>
          <w:szCs w:val="18"/>
          <w:color w:val="auto"/>
        </w:rPr>
        <w:t>The Compensation Committee of the Board of Directors of Parsons Corporation (the “Committee”) and the Board of Directors have approved the Company’s entering into this Agreement with the Executive. The Executive is a key executive of the Company.</w:t>
      </w:r>
    </w:p>
    <w:p>
      <w:pPr>
        <w:spacing w:after="0" w:line="100" w:lineRule="exact"/>
        <w:rPr>
          <w:sz w:val="20"/>
          <w:szCs w:val="20"/>
          <w:color w:val="auto"/>
        </w:rPr>
      </w:pPr>
    </w:p>
    <w:p>
      <w:pPr>
        <w:jc w:val="both"/>
        <w:ind w:right="40" w:firstLine="865"/>
        <w:spacing w:after="0" w:line="284" w:lineRule="auto"/>
        <w:rPr>
          <w:sz w:val="20"/>
          <w:szCs w:val="20"/>
          <w:color w:val="auto"/>
        </w:rPr>
      </w:pPr>
      <w:r>
        <w:rPr>
          <w:rFonts w:ascii="Arial" w:cs="Arial" w:eastAsia="Arial" w:hAnsi="Arial"/>
          <w:sz w:val="18"/>
          <w:szCs w:val="18"/>
          <w:color w:val="auto"/>
        </w:rPr>
        <w:t>Should the possibility of a Change in Control (as defined below) arise, the Committee believes it imperative that the Company should be able to rely upon the Executive to continue in his or her position, and that the Company should be able to receive and rely upon the Executive’s advice, if requested, as to the best interests of the Company and its shareholders without concern that the Executive might be distracted by the personal uncertainties and risks created by the possibility of a Change in Control.</w:t>
      </w:r>
    </w:p>
    <w:p>
      <w:pPr>
        <w:spacing w:after="0" w:line="136" w:lineRule="exact"/>
        <w:rPr>
          <w:sz w:val="20"/>
          <w:szCs w:val="20"/>
          <w:color w:val="auto"/>
        </w:rPr>
      </w:pPr>
    </w:p>
    <w:p>
      <w:pPr>
        <w:ind w:right="20" w:firstLine="865"/>
        <w:spacing w:after="0" w:line="248" w:lineRule="auto"/>
        <w:rPr>
          <w:sz w:val="20"/>
          <w:szCs w:val="20"/>
          <w:color w:val="auto"/>
        </w:rPr>
      </w:pPr>
      <w:r>
        <w:rPr>
          <w:rFonts w:ascii="Arial" w:cs="Arial" w:eastAsia="Arial" w:hAnsi="Arial"/>
          <w:sz w:val="20"/>
          <w:szCs w:val="20"/>
          <w:color w:val="auto"/>
        </w:rPr>
        <w:t>Should the possibility of a Change in Control arise, in addition to his or her regular duties, the Executive may be called upon to assist in the assessment of such a possible Change in Control upon the Company’s shareholders, advise management and the Board of Directors as to whether such a Change in Control would be in the best interests of the Company and its shareholders, and to take such other actions as the Board of Directors might determine to be appropriate.</w:t>
      </w:r>
    </w:p>
    <w:p>
      <w:pPr>
        <w:spacing w:after="0" w:line="161" w:lineRule="exact"/>
        <w:rPr>
          <w:sz w:val="20"/>
          <w:szCs w:val="20"/>
          <w:color w:val="auto"/>
        </w:rPr>
      </w:pPr>
    </w:p>
    <w:p>
      <w:pPr>
        <w:ind w:firstLine="865"/>
        <w:spacing w:after="0" w:line="266"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to assure the Company that it will have the continued dedication of the Executive and the availability of</w:t>
      </w:r>
      <w:r>
        <w:rPr>
          <w:rFonts w:ascii="Arial" w:cs="Arial" w:eastAsia="Arial" w:hAnsi="Arial"/>
          <w:sz w:val="19"/>
          <w:szCs w:val="19"/>
          <w:b w:val="1"/>
          <w:bCs w:val="1"/>
          <w:color w:val="auto"/>
        </w:rPr>
        <w:t xml:space="preserve"> </w:t>
      </w:r>
      <w:r>
        <w:rPr>
          <w:rFonts w:ascii="Arial" w:cs="Arial" w:eastAsia="Arial" w:hAnsi="Arial"/>
          <w:sz w:val="19"/>
          <w:szCs w:val="19"/>
          <w:color w:val="auto"/>
        </w:rPr>
        <w:t>his or her advice and counsel notwithstanding the possibility, threat, or occurrence of a Change in Control, and to induce the Executive to remain in the employ of the Company in the face of these circumstances and for other good and valuable consideration, the receipt and adequacy of which are hereby acknowledged, the Company and the Executive agree as follows: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I</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CERTAIN DEFINITIONS</w:t>
      </w:r>
    </w:p>
    <w:p>
      <w:pPr>
        <w:spacing w:after="0" w:line="183" w:lineRule="exact"/>
        <w:rPr>
          <w:sz w:val="20"/>
          <w:szCs w:val="20"/>
          <w:color w:val="auto"/>
        </w:rPr>
      </w:pPr>
    </w:p>
    <w:p>
      <w:pPr>
        <w:ind w:right="540" w:firstLine="865"/>
        <w:spacing w:after="0" w:line="268" w:lineRule="auto"/>
        <w:rPr>
          <w:sz w:val="20"/>
          <w:szCs w:val="20"/>
          <w:color w:val="auto"/>
        </w:rPr>
      </w:pPr>
      <w:r>
        <w:rPr>
          <w:rFonts w:ascii="Arial" w:cs="Arial" w:eastAsia="Arial" w:hAnsi="Arial"/>
          <w:sz w:val="20"/>
          <w:szCs w:val="20"/>
          <w:color w:val="auto"/>
        </w:rPr>
        <w:t>Whenever used in this Agreement, the following terms shall have the meanings set forth below unless the context clearly indicates to the contrary:</w:t>
      </w:r>
    </w:p>
    <w:p>
      <w:pPr>
        <w:spacing w:after="0" w:line="146" w:lineRule="exact"/>
        <w:rPr>
          <w:sz w:val="20"/>
          <w:szCs w:val="20"/>
          <w:color w:val="auto"/>
        </w:rPr>
      </w:pPr>
    </w:p>
    <w:p>
      <w:pPr>
        <w:ind w:left="1720" w:right="360" w:hanging="856"/>
        <w:spacing w:after="0" w:line="268" w:lineRule="auto"/>
        <w:tabs>
          <w:tab w:leader="none" w:pos="172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“Base Salary” means the salary of record paid to the Executive by the Company as annual salary (whether or not deferred), but excludes amounts received under incentive or other bonus plans.</w:t>
      </w:r>
    </w:p>
    <w:p>
      <w:pPr>
        <w:spacing w:after="0" w:line="323"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7">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sectPr>
      </w:pPr>
    </w:p>
    <w:bookmarkStart w:id="223" w:name="page224"/>
    <w:bookmarkEnd w:id="223"/>
    <w:p>
      <w:pPr>
        <w:ind w:left="860" w:right="880" w:hanging="856"/>
        <w:spacing w:after="0" w:line="268" w:lineRule="auto"/>
        <w:tabs>
          <w:tab w:leader="none" w:pos="86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“Beneficial Owner” shall have the meaning ascribed to such term in Rule 13d-3 of the General Rules and Regulations under the Exchange Act.</w:t>
      </w:r>
    </w:p>
    <w:p>
      <w:pPr>
        <w:spacing w:after="0" w:line="145" w:lineRule="exact"/>
        <w:rPr>
          <w:rFonts w:ascii="Arial" w:cs="Arial" w:eastAsia="Arial" w:hAnsi="Arial"/>
          <w:sz w:val="20"/>
          <w:szCs w:val="20"/>
          <w:color w:val="auto"/>
        </w:rPr>
      </w:pPr>
    </w:p>
    <w:p>
      <w:pPr>
        <w:ind w:left="860" w:right="140" w:hanging="856"/>
        <w:spacing w:after="0" w:line="268" w:lineRule="auto"/>
        <w:tabs>
          <w:tab w:leader="none" w:pos="86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“Beneficiary” means the persons or entities designated or deemed designated by the Executive pursuant to Section 9.3.</w:t>
      </w:r>
    </w:p>
    <w:p>
      <w:pPr>
        <w:spacing w:after="0" w:line="145" w:lineRule="exact"/>
        <w:rPr>
          <w:rFonts w:ascii="Arial" w:cs="Arial" w:eastAsia="Arial" w:hAnsi="Arial"/>
          <w:sz w:val="20"/>
          <w:szCs w:val="20"/>
          <w:color w:val="auto"/>
        </w:rPr>
      </w:pPr>
    </w:p>
    <w:p>
      <w:pPr>
        <w:ind w:left="860" w:hanging="856"/>
        <w:spacing w:after="0"/>
        <w:tabs>
          <w:tab w:leader="none" w:pos="86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“Board” means the Board of Directors of the Company.</w:t>
      </w:r>
    </w:p>
    <w:p>
      <w:pPr>
        <w:spacing w:after="0" w:line="201" w:lineRule="exact"/>
        <w:rPr>
          <w:rFonts w:ascii="Arial" w:cs="Arial" w:eastAsia="Arial" w:hAnsi="Arial"/>
          <w:sz w:val="20"/>
          <w:szCs w:val="20"/>
          <w:color w:val="auto"/>
        </w:rPr>
      </w:pPr>
    </w:p>
    <w:p>
      <w:pPr>
        <w:ind w:left="860" w:hanging="856"/>
        <w:spacing w:after="0"/>
        <w:tabs>
          <w:tab w:leader="none" w:pos="86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“Cause” means the occurrence of any one or more of the following:</w:t>
      </w:r>
    </w:p>
    <w:p>
      <w:pPr>
        <w:spacing w:after="0" w:line="201" w:lineRule="exact"/>
        <w:rPr>
          <w:rFonts w:ascii="Arial" w:cs="Arial" w:eastAsia="Arial" w:hAnsi="Arial"/>
          <w:sz w:val="20"/>
          <w:szCs w:val="20"/>
          <w:color w:val="auto"/>
        </w:rPr>
      </w:pPr>
    </w:p>
    <w:p>
      <w:pPr>
        <w:ind w:left="1720" w:hanging="854"/>
        <w:spacing w:after="0"/>
        <w:tabs>
          <w:tab w:leader="none" w:pos="1720" w:val="left"/>
        </w:tabs>
        <w:numPr>
          <w:ilvl w:val="1"/>
          <w:numId w:val="116"/>
        </w:numPr>
        <w:rPr>
          <w:rFonts w:ascii="Arial" w:cs="Arial" w:eastAsia="Arial" w:hAnsi="Arial"/>
          <w:sz w:val="20"/>
          <w:szCs w:val="20"/>
          <w:color w:val="auto"/>
        </w:rPr>
      </w:pPr>
      <w:r>
        <w:rPr>
          <w:rFonts w:ascii="Arial" w:cs="Arial" w:eastAsia="Arial" w:hAnsi="Arial"/>
          <w:sz w:val="20"/>
          <w:szCs w:val="20"/>
          <w:color w:val="auto"/>
        </w:rPr>
        <w:t>The Executive’s committing an act of fraud or embezzlement upon the Company.</w:t>
      </w:r>
    </w:p>
    <w:p>
      <w:pPr>
        <w:spacing w:after="0" w:line="201" w:lineRule="exact"/>
        <w:rPr>
          <w:rFonts w:ascii="Arial" w:cs="Arial" w:eastAsia="Arial" w:hAnsi="Arial"/>
          <w:sz w:val="20"/>
          <w:szCs w:val="20"/>
          <w:color w:val="auto"/>
        </w:rPr>
      </w:pPr>
    </w:p>
    <w:p>
      <w:pPr>
        <w:ind w:left="1720" w:right="800" w:hanging="854"/>
        <w:spacing w:after="0" w:line="268" w:lineRule="auto"/>
        <w:tabs>
          <w:tab w:leader="none" w:pos="1720" w:val="left"/>
        </w:tabs>
        <w:numPr>
          <w:ilvl w:val="1"/>
          <w:numId w:val="116"/>
        </w:numPr>
        <w:rPr>
          <w:rFonts w:ascii="Arial" w:cs="Arial" w:eastAsia="Arial" w:hAnsi="Arial"/>
          <w:sz w:val="20"/>
          <w:szCs w:val="20"/>
          <w:color w:val="auto"/>
        </w:rPr>
      </w:pPr>
      <w:r>
        <w:rPr>
          <w:rFonts w:ascii="Arial" w:cs="Arial" w:eastAsia="Arial" w:hAnsi="Arial"/>
          <w:sz w:val="20"/>
          <w:szCs w:val="20"/>
          <w:color w:val="auto"/>
        </w:rPr>
        <w:t>The Executive’s conviction of or pleading guilty or nolo contendere to a felony involving fraud, dishonesty or moral turpitude.</w:t>
      </w:r>
    </w:p>
    <w:p>
      <w:pPr>
        <w:spacing w:after="0" w:line="145" w:lineRule="exact"/>
        <w:rPr>
          <w:rFonts w:ascii="Arial" w:cs="Arial" w:eastAsia="Arial" w:hAnsi="Arial"/>
          <w:sz w:val="20"/>
          <w:szCs w:val="20"/>
          <w:color w:val="auto"/>
        </w:rPr>
      </w:pPr>
    </w:p>
    <w:p>
      <w:pPr>
        <w:ind w:left="1720" w:hanging="854"/>
        <w:spacing w:after="0" w:line="253" w:lineRule="auto"/>
        <w:tabs>
          <w:tab w:leader="none" w:pos="1720" w:val="left"/>
        </w:tabs>
        <w:numPr>
          <w:ilvl w:val="1"/>
          <w:numId w:val="116"/>
        </w:numPr>
        <w:rPr>
          <w:rFonts w:ascii="Arial" w:cs="Arial" w:eastAsia="Arial" w:hAnsi="Arial"/>
          <w:sz w:val="20"/>
          <w:szCs w:val="20"/>
          <w:color w:val="auto"/>
        </w:rPr>
      </w:pPr>
      <w:r>
        <w:rPr>
          <w:rFonts w:ascii="Arial" w:cs="Arial" w:eastAsia="Arial" w:hAnsi="Arial"/>
          <w:sz w:val="20"/>
          <w:szCs w:val="20"/>
          <w:color w:val="auto"/>
        </w:rPr>
        <w:t>The Executive’s willful and continued failure to substantially perform material duties which is not remedied in a reasonable period of time after written demand for substantial performances is delivered by the Board.</w:t>
      </w:r>
    </w:p>
    <w:p>
      <w:pPr>
        <w:spacing w:after="0" w:line="160" w:lineRule="exact"/>
        <w:rPr>
          <w:rFonts w:ascii="Arial" w:cs="Arial" w:eastAsia="Arial" w:hAnsi="Arial"/>
          <w:sz w:val="20"/>
          <w:szCs w:val="20"/>
          <w:color w:val="auto"/>
        </w:rPr>
      </w:pPr>
    </w:p>
    <w:p>
      <w:pPr>
        <w:ind w:left="1720" w:hanging="854"/>
        <w:spacing w:after="0"/>
        <w:tabs>
          <w:tab w:leader="none" w:pos="1720" w:val="left"/>
        </w:tabs>
        <w:numPr>
          <w:ilvl w:val="1"/>
          <w:numId w:val="116"/>
        </w:numPr>
        <w:rPr>
          <w:rFonts w:ascii="Arial" w:cs="Arial" w:eastAsia="Arial" w:hAnsi="Arial"/>
          <w:sz w:val="20"/>
          <w:szCs w:val="20"/>
          <w:color w:val="auto"/>
        </w:rPr>
      </w:pPr>
      <w:r>
        <w:rPr>
          <w:rFonts w:ascii="Arial" w:cs="Arial" w:eastAsia="Arial" w:hAnsi="Arial"/>
          <w:sz w:val="20"/>
          <w:szCs w:val="20"/>
          <w:color w:val="auto"/>
        </w:rPr>
        <w:t>The Executive’s material violation of the Company’s Code of Conduct.</w:t>
      </w:r>
    </w:p>
    <w:p>
      <w:pPr>
        <w:spacing w:after="0" w:line="201" w:lineRule="exact"/>
        <w:rPr>
          <w:rFonts w:ascii="Arial" w:cs="Arial" w:eastAsia="Arial" w:hAnsi="Arial"/>
          <w:sz w:val="20"/>
          <w:szCs w:val="20"/>
          <w:color w:val="auto"/>
        </w:rPr>
      </w:pPr>
    </w:p>
    <w:p>
      <w:pPr>
        <w:ind w:left="860" w:right="160" w:hanging="856"/>
        <w:spacing w:after="0" w:line="268" w:lineRule="auto"/>
        <w:tabs>
          <w:tab w:leader="none" w:pos="86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“Change in Control” shall mean and include each of the following, and shall be deemed to have occurred as of the first day that any one or more of the following conditions shall have been satisfied:</w:t>
      </w:r>
    </w:p>
    <w:p>
      <w:pPr>
        <w:spacing w:after="0" w:line="145" w:lineRule="exact"/>
        <w:rPr>
          <w:rFonts w:ascii="Arial" w:cs="Arial" w:eastAsia="Arial" w:hAnsi="Arial"/>
          <w:sz w:val="20"/>
          <w:szCs w:val="20"/>
          <w:color w:val="auto"/>
        </w:rPr>
      </w:pPr>
    </w:p>
    <w:p>
      <w:pPr>
        <w:ind w:left="1720" w:right="40" w:hanging="854"/>
        <w:spacing w:after="0" w:line="254" w:lineRule="auto"/>
        <w:tabs>
          <w:tab w:leader="none" w:pos="1720" w:val="left"/>
        </w:tabs>
        <w:numPr>
          <w:ilvl w:val="1"/>
          <w:numId w:val="116"/>
        </w:numPr>
        <w:rPr>
          <w:rFonts w:ascii="Arial" w:cs="Arial" w:eastAsia="Arial" w:hAnsi="Arial"/>
          <w:sz w:val="19"/>
          <w:szCs w:val="19"/>
          <w:color w:val="auto"/>
        </w:rPr>
      </w:pPr>
      <w:r>
        <w:rPr>
          <w:rFonts w:ascii="Arial" w:cs="Arial" w:eastAsia="Arial" w:hAnsi="Arial"/>
          <w:sz w:val="19"/>
          <w:szCs w:val="19"/>
          <w:color w:val="auto"/>
        </w:rPr>
        <w:t xml:space="preserve">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directly or indirectly acquires beneficial ownership (within the meaning of Rules 13d-3 and 13d-5 under the Exchange Act) of securities of the Company possessing more than 50 % of the total combined voting power of the Company’s securities outstanding immediately after such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following acquisitions shall not constitute a Change in Control: (i) any acquisition by the Company or any of its Subsidiaries; (ii) any acquisition by an employee benefit plan maintained by the Company or any of its Subsidiaries, (iii) any acquisition which complies with Sections 1(f)(iii)(1), (2) or (3) of this Article; or (iv) in respect of an Award held by a particular Holder, any acquisition by the Holder or any group of persons including the Holder (or any entity controlled by the Holder or any group of persons including the Holder); or</w:t>
      </w:r>
    </w:p>
    <w:p>
      <w:pPr>
        <w:spacing w:after="0" w:line="166" w:lineRule="exact"/>
        <w:rPr>
          <w:rFonts w:ascii="Arial" w:cs="Arial" w:eastAsia="Arial" w:hAnsi="Arial"/>
          <w:sz w:val="19"/>
          <w:szCs w:val="19"/>
          <w:color w:val="auto"/>
        </w:rPr>
      </w:pPr>
    </w:p>
    <w:p>
      <w:pPr>
        <w:ind w:left="1720" w:hanging="854"/>
        <w:spacing w:after="0"/>
        <w:tabs>
          <w:tab w:leader="none" w:pos="1720" w:val="left"/>
        </w:tabs>
        <w:numPr>
          <w:ilvl w:val="1"/>
          <w:numId w:val="116"/>
        </w:numPr>
        <w:rPr>
          <w:rFonts w:ascii="Arial" w:cs="Arial" w:eastAsia="Arial" w:hAnsi="Arial"/>
          <w:sz w:val="20"/>
          <w:szCs w:val="20"/>
          <w:color w:val="auto"/>
        </w:rPr>
      </w:pPr>
      <w:r>
        <w:rPr>
          <w:rFonts w:ascii="Arial" w:cs="Arial" w:eastAsia="Arial" w:hAnsi="Arial"/>
          <w:sz w:val="20"/>
          <w:szCs w:val="20"/>
          <w:color w:val="auto"/>
        </w:rPr>
        <w:t>The Incumbent Directors cease for any reason to constitute a majority of the Board;</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40005</wp:posOffset>
            </wp:positionV>
            <wp:extent cx="7182485" cy="412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0300"/>
          </w:cols>
          <w:pgMar w:left="1180" w:top="752" w:right="419" w:bottom="1440" w:gutter="0" w:footer="0" w:header="0"/>
        </w:sectPr>
      </w:pPr>
    </w:p>
    <w:bookmarkStart w:id="224" w:name="page225"/>
    <w:bookmarkEnd w:id="224"/>
    <w:p>
      <w:pPr>
        <w:jc w:val="both"/>
        <w:ind w:left="1720" w:hanging="854"/>
        <w:spacing w:after="0" w:line="245" w:lineRule="auto"/>
        <w:tabs>
          <w:tab w:leader="none" w:pos="172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spacing w:after="0" w:line="169" w:lineRule="exact"/>
        <w:rPr>
          <w:rFonts w:ascii="Arial" w:cs="Arial" w:eastAsia="Arial" w:hAnsi="Arial"/>
          <w:sz w:val="20"/>
          <w:szCs w:val="20"/>
          <w:color w:val="auto"/>
        </w:rPr>
      </w:pPr>
    </w:p>
    <w:p>
      <w:pPr>
        <w:jc w:val="both"/>
        <w:ind w:left="2480" w:hanging="752"/>
        <w:spacing w:after="0" w:line="274" w:lineRule="auto"/>
        <w:tabs>
          <w:tab w:leader="none" w:pos="24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“Successor Entity”)) directly or indirectly, at least a majority of the combined voting power of the Successor Entity’s outstanding voting securities immediately after the transaction, and</w:t>
      </w:r>
    </w:p>
    <w:p>
      <w:pPr>
        <w:spacing w:after="0" w:line="146" w:lineRule="exact"/>
        <w:rPr>
          <w:rFonts w:ascii="Arial" w:cs="Arial" w:eastAsia="Arial" w:hAnsi="Arial"/>
          <w:sz w:val="18"/>
          <w:szCs w:val="18"/>
          <w:color w:val="auto"/>
        </w:rPr>
      </w:pPr>
    </w:p>
    <w:p>
      <w:pPr>
        <w:jc w:val="both"/>
        <w:ind w:left="2480" w:hanging="752"/>
        <w:spacing w:after="0" w:line="261" w:lineRule="auto"/>
        <w:tabs>
          <w:tab w:leader="none" w:pos="2480" w:val="left"/>
        </w:tabs>
        <w:numPr>
          <w:ilvl w:val="1"/>
          <w:numId w:val="117"/>
        </w:numPr>
        <w:rPr>
          <w:rFonts w:ascii="Arial" w:cs="Arial" w:eastAsia="Arial" w:hAnsi="Arial"/>
          <w:sz w:val="19"/>
          <w:szCs w:val="19"/>
          <w:color w:val="auto"/>
        </w:rPr>
      </w:pPr>
      <w:r>
        <w:rPr>
          <w:rFonts w:ascii="Arial" w:cs="Arial" w:eastAsia="Arial" w:hAnsi="Arial"/>
          <w:sz w:val="19"/>
          <w:szCs w:val="19"/>
          <w:color w:val="auto"/>
        </w:rPr>
        <w:t>after which no person or group beneficially owns voting securities representing 50% or more of the combined voting power of the Successor Entity; provided, however, that no person or group shall be treated for purposes of this Section 1(f)(iii)(2) as beneficially owning 50% or more of the combined voting power of the Successor Entity solely as a result of the voting power held in the Company prior to the consummation of the transaction; and</w:t>
      </w:r>
    </w:p>
    <w:p>
      <w:pPr>
        <w:spacing w:after="0" w:line="155" w:lineRule="exact"/>
        <w:rPr>
          <w:rFonts w:ascii="Arial" w:cs="Arial" w:eastAsia="Arial" w:hAnsi="Arial"/>
          <w:sz w:val="19"/>
          <w:szCs w:val="19"/>
          <w:color w:val="auto"/>
        </w:rPr>
      </w:pPr>
    </w:p>
    <w:p>
      <w:pPr>
        <w:jc w:val="both"/>
        <w:ind w:left="2480" w:hanging="752"/>
        <w:spacing w:after="0" w:line="253" w:lineRule="auto"/>
        <w:tabs>
          <w:tab w:leader="none" w:pos="2480" w:val="left"/>
        </w:tabs>
        <w:numPr>
          <w:ilvl w:val="1"/>
          <w:numId w:val="117"/>
        </w:numPr>
        <w:rPr>
          <w:rFonts w:ascii="Arial" w:cs="Arial" w:eastAsia="Arial" w:hAnsi="Arial"/>
          <w:sz w:val="20"/>
          <w:szCs w:val="20"/>
          <w:color w:val="auto"/>
        </w:rPr>
      </w:pPr>
      <w:r>
        <w:rPr>
          <w:rFonts w:ascii="Arial" w:cs="Arial" w:eastAsia="Arial" w:hAnsi="Arial"/>
          <w:sz w:val="20"/>
          <w:szCs w:val="20"/>
          <w:color w:val="auto"/>
        </w:rPr>
        <w:t>after which at least a majority of the members of the board of directors (or the analogous governing body) of the Successor Entity were Board members at the time of the Board's approval of the execution of the initial agreement providing for such transaction; or</w:t>
      </w:r>
    </w:p>
    <w:p>
      <w:pPr>
        <w:spacing w:after="0" w:line="160" w:lineRule="exact"/>
        <w:rPr>
          <w:rFonts w:ascii="Arial" w:cs="Arial" w:eastAsia="Arial" w:hAnsi="Arial"/>
          <w:sz w:val="20"/>
          <w:szCs w:val="20"/>
          <w:color w:val="auto"/>
        </w:rPr>
      </w:pPr>
    </w:p>
    <w:p>
      <w:pPr>
        <w:ind w:left="1720" w:hanging="854"/>
        <w:spacing w:after="0"/>
        <w:tabs>
          <w:tab w:leader="none" w:pos="17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date which is 10 business days prior to the completion of a liquidation or dissolution of the Company.</w:t>
      </w:r>
    </w:p>
    <w:p>
      <w:pPr>
        <w:spacing w:after="0" w:line="224" w:lineRule="exact"/>
        <w:rPr>
          <w:sz w:val="20"/>
          <w:szCs w:val="20"/>
          <w:color w:val="auto"/>
        </w:rPr>
      </w:pPr>
    </w:p>
    <w:p>
      <w:pPr>
        <w:ind w:left="880"/>
        <w:spacing w:after="0" w:line="244" w:lineRule="auto"/>
        <w:rPr>
          <w:sz w:val="20"/>
          <w:szCs w:val="20"/>
          <w:color w:val="auto"/>
        </w:rPr>
      </w:pPr>
      <w:r>
        <w:rPr>
          <w:rFonts w:ascii="Arial" w:cs="Arial" w:eastAsia="Arial" w:hAnsi="Arial"/>
          <w:sz w:val="20"/>
          <w:szCs w:val="20"/>
          <w:color w:val="auto"/>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(i), (ii), (iii) or (iv)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69" w:lineRule="exact"/>
        <w:rPr>
          <w:sz w:val="20"/>
          <w:szCs w:val="20"/>
          <w:color w:val="auto"/>
        </w:rPr>
      </w:pPr>
    </w:p>
    <w:p>
      <w:pPr>
        <w:ind w:left="880" w:right="360"/>
        <w:spacing w:after="0" w:line="268" w:lineRule="auto"/>
        <w:rPr>
          <w:sz w:val="20"/>
          <w:szCs w:val="20"/>
          <w:color w:val="auto"/>
        </w:rPr>
      </w:pPr>
      <w:r>
        <w:rPr>
          <w:rFonts w:ascii="Arial" w:cs="Arial" w:eastAsia="Arial" w:hAnsi="Arial"/>
          <w:sz w:val="20"/>
          <w:szCs w:val="20"/>
          <w:color w:val="auto"/>
        </w:rPr>
        <w:t>For sake of clarity, a Change in Control will not occur by reason of the Parsons Employee Stock Ownership Plan (the “ESOP”) owning less than fifty percent of</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40005</wp:posOffset>
            </wp:positionV>
            <wp:extent cx="7182485" cy="412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0380"/>
          </w:cols>
          <w:pgMar w:left="1180" w:top="752" w:right="339" w:bottom="1440" w:gutter="0" w:footer="0" w:header="0"/>
        </w:sectPr>
      </w:pPr>
    </w:p>
    <w:bookmarkStart w:id="225" w:name="page226"/>
    <w:bookmarkEnd w:id="225"/>
    <w:p>
      <w:pPr>
        <w:ind w:left="880" w:right="300"/>
        <w:spacing w:after="0" w:line="253" w:lineRule="auto"/>
        <w:rPr>
          <w:sz w:val="20"/>
          <w:szCs w:val="20"/>
          <w:color w:val="auto"/>
        </w:rPr>
      </w:pPr>
      <w:r>
        <w:rPr>
          <w:rFonts w:ascii="Arial" w:cs="Arial" w:eastAsia="Arial" w:hAnsi="Arial"/>
          <w:sz w:val="20"/>
          <w:szCs w:val="20"/>
          <w:color w:val="auto"/>
        </w:rPr>
        <w:t>(50%) of the voting power of the Company’s (or any successor thereto) equity securities due to (A) the ESOP making distributions to participants and their beneficiaries, or (B) the ESOP selling equity securities to the public through underwritten registered public offerings.</w:t>
      </w:r>
    </w:p>
    <w:p>
      <w:pPr>
        <w:spacing w:after="0" w:line="160" w:lineRule="exact"/>
        <w:rPr>
          <w:sz w:val="20"/>
          <w:szCs w:val="20"/>
          <w:color w:val="auto"/>
        </w:rPr>
      </w:pPr>
    </w:p>
    <w:p>
      <w:pPr>
        <w:ind w:left="880" w:right="180"/>
        <w:spacing w:after="0" w:line="261" w:lineRule="auto"/>
        <w:rPr>
          <w:sz w:val="20"/>
          <w:szCs w:val="20"/>
          <w:color w:val="auto"/>
        </w:rPr>
      </w:pPr>
      <w:r>
        <w:rPr>
          <w:rFonts w:ascii="Arial" w:cs="Arial" w:eastAsia="Arial" w:hAnsi="Arial"/>
          <w:sz w:val="19"/>
          <w:szCs w:val="19"/>
          <w:color w:val="auto"/>
        </w:rPr>
        <w:t>The Board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56" w:lineRule="exact"/>
        <w:rPr>
          <w:sz w:val="20"/>
          <w:szCs w:val="20"/>
          <w:color w:val="auto"/>
        </w:rPr>
      </w:pPr>
    </w:p>
    <w:p>
      <w:pPr>
        <w:ind w:left="860" w:hanging="856"/>
        <w:spacing w:after="0"/>
        <w:tabs>
          <w:tab w:leader="none" w:pos="86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“Code” means the United States Internal Revenue Code of 1986, as amended.</w:t>
      </w:r>
    </w:p>
    <w:p>
      <w:pPr>
        <w:spacing w:after="0" w:line="201" w:lineRule="exact"/>
        <w:rPr>
          <w:rFonts w:ascii="Arial" w:cs="Arial" w:eastAsia="Arial" w:hAnsi="Arial"/>
          <w:sz w:val="20"/>
          <w:szCs w:val="20"/>
          <w:color w:val="auto"/>
        </w:rPr>
      </w:pPr>
    </w:p>
    <w:p>
      <w:pPr>
        <w:ind w:left="860" w:hanging="856"/>
        <w:spacing w:after="0"/>
        <w:tabs>
          <w:tab w:leader="none" w:pos="86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“Company” means Parsons Corporation, a Delaware corporation, any successor thereto or acquirer thereof.</w:t>
      </w:r>
    </w:p>
    <w:p>
      <w:pPr>
        <w:spacing w:after="0" w:line="212" w:lineRule="exact"/>
        <w:rPr>
          <w:rFonts w:ascii="Arial" w:cs="Arial" w:eastAsia="Arial" w:hAnsi="Arial"/>
          <w:sz w:val="19"/>
          <w:szCs w:val="19"/>
          <w:color w:val="auto"/>
        </w:rPr>
      </w:pPr>
    </w:p>
    <w:p>
      <w:pPr>
        <w:ind w:left="860" w:right="120" w:hanging="856"/>
        <w:spacing w:after="0" w:line="245" w:lineRule="auto"/>
        <w:tabs>
          <w:tab w:leader="none" w:pos="86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“Disability” means, for all purposes of this Agreement, the incapacity of the Executive, due to injury, illness, disease, or bodily or mental infirmity, to engage in the performance of substantially all of the usual duties of his or her employment by the Company, such Disability to be determined by the Board upon receipt and in reliance on competent medical advice from one (l) or more individuals, selected or approved by the Board, who are qualified to give such professional medical advice.</w:t>
      </w:r>
    </w:p>
    <w:p>
      <w:pPr>
        <w:spacing w:after="0" w:line="169" w:lineRule="exact"/>
        <w:rPr>
          <w:rFonts w:ascii="Arial" w:cs="Arial" w:eastAsia="Arial" w:hAnsi="Arial"/>
          <w:sz w:val="20"/>
          <w:szCs w:val="20"/>
          <w:color w:val="auto"/>
        </w:rPr>
      </w:pPr>
    </w:p>
    <w:p>
      <w:pPr>
        <w:ind w:left="860" w:hanging="856"/>
        <w:spacing w:after="0"/>
        <w:tabs>
          <w:tab w:leader="none" w:pos="86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“Exchange Act” means the United States Securities Exchange Act of 1934, as amended.</w:t>
      </w:r>
    </w:p>
    <w:p>
      <w:pPr>
        <w:spacing w:after="0" w:line="201" w:lineRule="exact"/>
        <w:rPr>
          <w:rFonts w:ascii="Arial" w:cs="Arial" w:eastAsia="Arial" w:hAnsi="Arial"/>
          <w:sz w:val="20"/>
          <w:szCs w:val="20"/>
          <w:color w:val="auto"/>
        </w:rPr>
      </w:pPr>
    </w:p>
    <w:p>
      <w:pPr>
        <w:ind w:left="860" w:right="300" w:hanging="856"/>
        <w:spacing w:after="0" w:line="248" w:lineRule="auto"/>
        <w:tabs>
          <w:tab w:leader="none" w:pos="86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“Good Reason” means, without the Executive’s express written consent, the occurrence of any one or more of the following, unless the action or failure giving rise to such occurrence is withdrawn, reversed or cured by the Company within thirty (30) days of the date of the occurrence, and is not thereafter reinstated by the Company during the term of this Agreement:</w:t>
      </w:r>
    </w:p>
    <w:p>
      <w:pPr>
        <w:spacing w:after="0" w:line="165" w:lineRule="exact"/>
        <w:rPr>
          <w:rFonts w:ascii="Arial" w:cs="Arial" w:eastAsia="Arial" w:hAnsi="Arial"/>
          <w:sz w:val="20"/>
          <w:szCs w:val="20"/>
          <w:color w:val="auto"/>
        </w:rPr>
      </w:pPr>
    </w:p>
    <w:p>
      <w:pPr>
        <w:ind w:left="1720" w:right="260" w:hanging="854"/>
        <w:spacing w:after="0" w:line="272" w:lineRule="auto"/>
        <w:tabs>
          <w:tab w:leader="none" w:pos="1720" w:val="left"/>
        </w:tabs>
        <w:numPr>
          <w:ilvl w:val="1"/>
          <w:numId w:val="118"/>
        </w:numPr>
        <w:rPr>
          <w:rFonts w:ascii="Arial" w:cs="Arial" w:eastAsia="Arial" w:hAnsi="Arial"/>
          <w:sz w:val="19"/>
          <w:szCs w:val="19"/>
          <w:color w:val="auto"/>
        </w:rPr>
      </w:pPr>
      <w:r>
        <w:rPr>
          <w:rFonts w:ascii="Arial" w:cs="Arial" w:eastAsia="Arial" w:hAnsi="Arial"/>
          <w:sz w:val="19"/>
          <w:szCs w:val="19"/>
          <w:color w:val="auto"/>
        </w:rPr>
        <w:t>A material reduction in the nature or status of the Executive’s authorities, duties, and/or responsibilities (when such authorities, duties, and/or responsibilities are viewed in the aggregate) from their level in effect on the day immediately prior to the start of the Protected Period.</w:t>
      </w:r>
    </w:p>
    <w:p>
      <w:pPr>
        <w:spacing w:after="0" w:line="144" w:lineRule="exact"/>
        <w:rPr>
          <w:rFonts w:ascii="Arial" w:cs="Arial" w:eastAsia="Arial" w:hAnsi="Arial"/>
          <w:sz w:val="19"/>
          <w:szCs w:val="19"/>
          <w:color w:val="auto"/>
        </w:rPr>
      </w:pPr>
    </w:p>
    <w:p>
      <w:pPr>
        <w:ind w:left="1720" w:right="220" w:hanging="854"/>
        <w:spacing w:after="0" w:line="268" w:lineRule="auto"/>
        <w:tabs>
          <w:tab w:leader="none" w:pos="1720" w:val="left"/>
        </w:tabs>
        <w:numPr>
          <w:ilvl w:val="1"/>
          <w:numId w:val="118"/>
        </w:numPr>
        <w:rPr>
          <w:rFonts w:ascii="Arial" w:cs="Arial" w:eastAsia="Arial" w:hAnsi="Arial"/>
          <w:sz w:val="20"/>
          <w:szCs w:val="20"/>
          <w:color w:val="auto"/>
        </w:rPr>
      </w:pPr>
      <w:r>
        <w:rPr>
          <w:rFonts w:ascii="Arial" w:cs="Arial" w:eastAsia="Arial" w:hAnsi="Arial"/>
          <w:sz w:val="20"/>
          <w:szCs w:val="20"/>
          <w:color w:val="auto"/>
        </w:rPr>
        <w:t>A reduction by the Company of the Executive’s Base Salary as in effect on the day immediately prior to the start of the Protected Period.</w:t>
      </w:r>
    </w:p>
    <w:p>
      <w:pPr>
        <w:spacing w:after="0" w:line="145" w:lineRule="exact"/>
        <w:rPr>
          <w:rFonts w:ascii="Arial" w:cs="Arial" w:eastAsia="Arial" w:hAnsi="Arial"/>
          <w:sz w:val="20"/>
          <w:szCs w:val="20"/>
          <w:color w:val="auto"/>
        </w:rPr>
      </w:pPr>
    </w:p>
    <w:p>
      <w:pPr>
        <w:ind w:left="1720" w:hanging="854"/>
        <w:spacing w:after="0" w:line="248" w:lineRule="auto"/>
        <w:tabs>
          <w:tab w:leader="none" w:pos="1720" w:val="left"/>
        </w:tabs>
        <w:numPr>
          <w:ilvl w:val="1"/>
          <w:numId w:val="118"/>
        </w:numPr>
        <w:rPr>
          <w:rFonts w:ascii="Arial" w:cs="Arial" w:eastAsia="Arial" w:hAnsi="Arial"/>
          <w:sz w:val="20"/>
          <w:szCs w:val="20"/>
          <w:color w:val="auto"/>
        </w:rPr>
      </w:pPr>
      <w:r>
        <w:rPr>
          <w:rFonts w:ascii="Arial" w:cs="Arial" w:eastAsia="Arial" w:hAnsi="Arial"/>
          <w:sz w:val="20"/>
          <w:szCs w:val="20"/>
          <w:color w:val="auto"/>
        </w:rPr>
        <w:t>A material reduction by the Company of the Executive’s aggregate welfare benefits and/or the value of the incentive programs provided under the Company’s management incentive and/or other short and/or long-term incentive programs, as such benefits and opportunities exist on the day immediately prior to the start of the Protected Period.</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40005</wp:posOffset>
            </wp:positionV>
            <wp:extent cx="7182485" cy="412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0">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0380"/>
          </w:cols>
          <w:pgMar w:left="1180" w:top="752" w:right="339" w:bottom="1440" w:gutter="0" w:footer="0" w:header="0"/>
        </w:sectPr>
      </w:pPr>
    </w:p>
    <w:bookmarkStart w:id="226" w:name="page227"/>
    <w:bookmarkEnd w:id="226"/>
    <w:p>
      <w:pPr>
        <w:ind w:left="1720" w:right="380" w:hanging="854"/>
        <w:spacing w:after="0" w:line="294" w:lineRule="auto"/>
        <w:tabs>
          <w:tab w:leader="none" w:pos="1720" w:val="left"/>
        </w:tabs>
        <w:numPr>
          <w:ilvl w:val="1"/>
          <w:numId w:val="119"/>
        </w:numPr>
        <w:rPr>
          <w:rFonts w:ascii="Arial" w:cs="Arial" w:eastAsia="Arial" w:hAnsi="Arial"/>
          <w:sz w:val="19"/>
          <w:szCs w:val="19"/>
          <w:color w:val="auto"/>
        </w:rPr>
      </w:pPr>
      <w:r>
        <w:rPr>
          <w:rFonts w:ascii="Arial" w:cs="Arial" w:eastAsia="Arial" w:hAnsi="Arial"/>
          <w:sz w:val="19"/>
          <w:szCs w:val="19"/>
          <w:color w:val="auto"/>
        </w:rPr>
        <w:t>The relocation of the Executive’s principal office by the Company more than fifty (50) miles from the location of the Executive’s principal office immediately prior to the start of the Protected Period.</w:t>
      </w:r>
    </w:p>
    <w:p>
      <w:pPr>
        <w:spacing w:after="0" w:line="123" w:lineRule="exact"/>
        <w:rPr>
          <w:rFonts w:ascii="Arial" w:cs="Arial" w:eastAsia="Arial" w:hAnsi="Arial"/>
          <w:sz w:val="19"/>
          <w:szCs w:val="19"/>
          <w:color w:val="auto"/>
        </w:rPr>
      </w:pPr>
    </w:p>
    <w:p>
      <w:pPr>
        <w:ind w:left="1720" w:hanging="854"/>
        <w:spacing w:after="0" w:line="268" w:lineRule="auto"/>
        <w:tabs>
          <w:tab w:leader="none" w:pos="1720" w:val="left"/>
        </w:tabs>
        <w:numPr>
          <w:ilvl w:val="1"/>
          <w:numId w:val="119"/>
        </w:numPr>
        <w:rPr>
          <w:rFonts w:ascii="Arial" w:cs="Arial" w:eastAsia="Arial" w:hAnsi="Arial"/>
          <w:sz w:val="20"/>
          <w:szCs w:val="20"/>
          <w:color w:val="auto"/>
        </w:rPr>
      </w:pPr>
      <w:r>
        <w:rPr>
          <w:rFonts w:ascii="Arial" w:cs="Arial" w:eastAsia="Arial" w:hAnsi="Arial"/>
          <w:sz w:val="20"/>
          <w:szCs w:val="20"/>
          <w:color w:val="auto"/>
        </w:rPr>
        <w:t>Any purported termination by the Company of the Executive’s employment that is not affected pursuant to a Notice of Termination satisfying the requirements of Section 3.4.</w:t>
      </w:r>
    </w:p>
    <w:p>
      <w:pPr>
        <w:spacing w:after="0" w:line="145" w:lineRule="exact"/>
        <w:rPr>
          <w:rFonts w:ascii="Arial" w:cs="Arial" w:eastAsia="Arial" w:hAnsi="Arial"/>
          <w:sz w:val="20"/>
          <w:szCs w:val="20"/>
          <w:color w:val="auto"/>
        </w:rPr>
      </w:pPr>
    </w:p>
    <w:p>
      <w:pPr>
        <w:ind w:left="1720" w:right="340" w:hanging="854"/>
        <w:spacing w:after="0" w:line="324" w:lineRule="auto"/>
        <w:tabs>
          <w:tab w:leader="none" w:pos="17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failure of the Company to obtain an agreement from any successor to the Company to assume and agree to perform the Company’s obligations under this Agreement, as contemplated by Article 8.</w:t>
      </w:r>
    </w:p>
    <w:p>
      <w:pPr>
        <w:spacing w:after="0" w:line="100" w:lineRule="exact"/>
        <w:rPr>
          <w:rFonts w:ascii="Arial" w:cs="Arial" w:eastAsia="Arial" w:hAnsi="Arial"/>
          <w:sz w:val="18"/>
          <w:szCs w:val="18"/>
          <w:color w:val="auto"/>
        </w:rPr>
      </w:pPr>
    </w:p>
    <w:p>
      <w:pPr>
        <w:ind w:left="860" w:right="180" w:hanging="856"/>
        <w:spacing w:after="0" w:line="294" w:lineRule="auto"/>
        <w:tabs>
          <w:tab w:leader="none" w:pos="86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“Person” shall have the meaning ascribed to such term in Section 3(a)(9) of the Exchange Act and used in Sections 13(d) and 14(d) thereof, including a group as contemplated by Sections 13(d)(3) and l4(d)(2) thereof</w:t>
      </w:r>
    </w:p>
    <w:p>
      <w:pPr>
        <w:spacing w:after="0" w:line="123" w:lineRule="exact"/>
        <w:rPr>
          <w:rFonts w:ascii="Arial" w:cs="Arial" w:eastAsia="Arial" w:hAnsi="Arial"/>
          <w:sz w:val="19"/>
          <w:szCs w:val="19"/>
          <w:color w:val="auto"/>
        </w:rPr>
      </w:pPr>
    </w:p>
    <w:p>
      <w:pPr>
        <w:ind w:left="860" w:right="600" w:hanging="856"/>
        <w:spacing w:after="0" w:line="268" w:lineRule="auto"/>
        <w:tabs>
          <w:tab w:leader="none" w:pos="86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“Potential Change in Control” shall be deemed to have occurred as of the first day that any one or more of the following conditions shall have been satisfied:</w:t>
      </w:r>
    </w:p>
    <w:p>
      <w:pPr>
        <w:spacing w:after="0" w:line="145" w:lineRule="exact"/>
        <w:rPr>
          <w:rFonts w:ascii="Arial" w:cs="Arial" w:eastAsia="Arial" w:hAnsi="Arial"/>
          <w:sz w:val="20"/>
          <w:szCs w:val="20"/>
          <w:color w:val="auto"/>
        </w:rPr>
      </w:pPr>
    </w:p>
    <w:p>
      <w:pPr>
        <w:ind w:left="1720" w:right="280" w:hanging="854"/>
        <w:spacing w:after="0" w:line="324" w:lineRule="auto"/>
        <w:tabs>
          <w:tab w:leader="none" w:pos="17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Person announces an intention to take an action that, if consummated, would result in a Change of Control and the Board expresses its good faith belief that such announced intention is serious.</w:t>
      </w:r>
    </w:p>
    <w:p>
      <w:pPr>
        <w:spacing w:after="0" w:line="100" w:lineRule="exact"/>
        <w:rPr>
          <w:rFonts w:ascii="Arial" w:cs="Arial" w:eastAsia="Arial" w:hAnsi="Arial"/>
          <w:sz w:val="18"/>
          <w:szCs w:val="18"/>
          <w:color w:val="auto"/>
        </w:rPr>
      </w:pPr>
    </w:p>
    <w:p>
      <w:pPr>
        <w:ind w:left="1720" w:right="40" w:hanging="854"/>
        <w:spacing w:after="0" w:line="268" w:lineRule="auto"/>
        <w:tabs>
          <w:tab w:leader="none" w:pos="1720" w:val="left"/>
        </w:tabs>
        <w:numPr>
          <w:ilvl w:val="1"/>
          <w:numId w:val="120"/>
        </w:numPr>
        <w:rPr>
          <w:rFonts w:ascii="Arial" w:cs="Arial" w:eastAsia="Arial" w:hAnsi="Arial"/>
          <w:sz w:val="20"/>
          <w:szCs w:val="20"/>
          <w:color w:val="auto"/>
        </w:rPr>
      </w:pPr>
      <w:r>
        <w:rPr>
          <w:rFonts w:ascii="Arial" w:cs="Arial" w:eastAsia="Arial" w:hAnsi="Arial"/>
          <w:sz w:val="20"/>
          <w:szCs w:val="20"/>
          <w:color w:val="auto"/>
        </w:rPr>
        <w:t>The Company or the trustees of the Company’s Employee Stock Ownership Plan enters into an agreement that, if consummated, would result in a Change in Control.</w:t>
      </w:r>
    </w:p>
    <w:p>
      <w:pPr>
        <w:spacing w:after="0" w:line="145" w:lineRule="exact"/>
        <w:rPr>
          <w:rFonts w:ascii="Arial" w:cs="Arial" w:eastAsia="Arial" w:hAnsi="Arial"/>
          <w:sz w:val="20"/>
          <w:szCs w:val="20"/>
          <w:color w:val="auto"/>
        </w:rPr>
      </w:pPr>
    </w:p>
    <w:p>
      <w:pPr>
        <w:ind w:left="1720" w:right="120" w:hanging="854"/>
        <w:spacing w:after="0" w:line="248" w:lineRule="auto"/>
        <w:tabs>
          <w:tab w:leader="none" w:pos="1720" w:val="left"/>
        </w:tabs>
        <w:numPr>
          <w:ilvl w:val="1"/>
          <w:numId w:val="120"/>
        </w:numPr>
        <w:rPr>
          <w:rFonts w:ascii="Arial" w:cs="Arial" w:eastAsia="Arial" w:hAnsi="Arial"/>
          <w:sz w:val="20"/>
          <w:szCs w:val="20"/>
          <w:color w:val="auto"/>
        </w:rPr>
      </w:pPr>
      <w:r>
        <w:rPr>
          <w:rFonts w:ascii="Arial" w:cs="Arial" w:eastAsia="Arial" w:hAnsi="Arial"/>
          <w:sz w:val="20"/>
          <w:szCs w:val="20"/>
          <w:color w:val="auto"/>
        </w:rPr>
        <w:t>Any Person (other than the Company or a trustee or other fiduciary holding securities under an employee benefit plan of the Company) becomes the Beneficial Owner, directly or indirectly, of securities of the Company representing ten percent (10%) or more of the combined voting power of the Company’s then outstanding securities.</w:t>
      </w:r>
    </w:p>
    <w:p>
      <w:pPr>
        <w:spacing w:after="0" w:line="165" w:lineRule="exact"/>
        <w:rPr>
          <w:rFonts w:ascii="Arial" w:cs="Arial" w:eastAsia="Arial" w:hAnsi="Arial"/>
          <w:sz w:val="20"/>
          <w:szCs w:val="20"/>
          <w:color w:val="auto"/>
        </w:rPr>
      </w:pPr>
    </w:p>
    <w:p>
      <w:pPr>
        <w:ind w:left="1720" w:hanging="854"/>
        <w:spacing w:after="0"/>
        <w:tabs>
          <w:tab w:leader="none" w:pos="1720" w:val="left"/>
        </w:tabs>
        <w:numPr>
          <w:ilvl w:val="1"/>
          <w:numId w:val="120"/>
        </w:numPr>
        <w:rPr>
          <w:rFonts w:ascii="Arial" w:cs="Arial" w:eastAsia="Arial" w:hAnsi="Arial"/>
          <w:sz w:val="19"/>
          <w:szCs w:val="19"/>
          <w:color w:val="auto"/>
        </w:rPr>
      </w:pPr>
      <w:r>
        <w:rPr>
          <w:rFonts w:ascii="Arial" w:cs="Arial" w:eastAsia="Arial" w:hAnsi="Arial"/>
          <w:sz w:val="19"/>
          <w:szCs w:val="19"/>
          <w:color w:val="auto"/>
        </w:rPr>
        <w:t>The Board declares that a Potential Change in Control has occurred for purposes of this Agreement.</w:t>
      </w:r>
    </w:p>
    <w:p>
      <w:pPr>
        <w:spacing w:after="0" w:line="212" w:lineRule="exact"/>
        <w:rPr>
          <w:rFonts w:ascii="Arial" w:cs="Arial" w:eastAsia="Arial" w:hAnsi="Arial"/>
          <w:sz w:val="19"/>
          <w:szCs w:val="19"/>
          <w:color w:val="auto"/>
        </w:rPr>
      </w:pPr>
    </w:p>
    <w:p>
      <w:pPr>
        <w:ind w:left="860" w:right="620" w:hanging="856"/>
        <w:spacing w:after="0" w:line="268" w:lineRule="auto"/>
        <w:tabs>
          <w:tab w:leader="none" w:pos="86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“Protected Period” means the period related to a Change in Control commencing on the date of the Change in Control and ending on the date that is eighteen (18) months after the Change in Control.</w:t>
      </w:r>
    </w:p>
    <w:p>
      <w:pPr>
        <w:spacing w:after="0" w:line="145" w:lineRule="exact"/>
        <w:rPr>
          <w:rFonts w:ascii="Arial" w:cs="Arial" w:eastAsia="Arial" w:hAnsi="Arial"/>
          <w:sz w:val="20"/>
          <w:szCs w:val="20"/>
          <w:color w:val="auto"/>
        </w:rPr>
      </w:pPr>
    </w:p>
    <w:p>
      <w:pPr>
        <w:ind w:left="860" w:right="280" w:hanging="856"/>
        <w:spacing w:after="0" w:line="253" w:lineRule="auto"/>
        <w:tabs>
          <w:tab w:leader="none" w:pos="86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“Qualifying Termination Event” means the occurrence, upon a Potential Change of Control, of any of one of the events described in sub-sections (i) and (ii) below, and, the occurrence of any one or more of the following events upon a Change in Control, or within the Protected Period following a Change in Control:</w:t>
      </w:r>
    </w:p>
    <w:p>
      <w:pPr>
        <w:spacing w:after="0" w:line="160" w:lineRule="exact"/>
        <w:rPr>
          <w:rFonts w:ascii="Arial" w:cs="Arial" w:eastAsia="Arial" w:hAnsi="Arial"/>
          <w:sz w:val="20"/>
          <w:szCs w:val="20"/>
          <w:color w:val="auto"/>
        </w:rPr>
      </w:pPr>
    </w:p>
    <w:p>
      <w:pPr>
        <w:ind w:left="1720" w:right="300" w:hanging="854"/>
        <w:spacing w:after="0" w:line="268" w:lineRule="auto"/>
        <w:tabs>
          <w:tab w:leader="none" w:pos="1720" w:val="left"/>
        </w:tabs>
        <w:numPr>
          <w:ilvl w:val="1"/>
          <w:numId w:val="120"/>
        </w:numPr>
        <w:rPr>
          <w:rFonts w:ascii="Arial" w:cs="Arial" w:eastAsia="Arial" w:hAnsi="Arial"/>
          <w:sz w:val="20"/>
          <w:szCs w:val="20"/>
          <w:color w:val="auto"/>
        </w:rPr>
      </w:pPr>
      <w:r>
        <w:rPr>
          <w:rFonts w:ascii="Arial" w:cs="Arial" w:eastAsia="Arial" w:hAnsi="Arial"/>
          <w:sz w:val="20"/>
          <w:szCs w:val="20"/>
          <w:color w:val="auto"/>
        </w:rPr>
        <w:t>A termination of the Executive’s employment at the initiation of the Company, without the Executive’s consent, for reasons other than Cause;</w:t>
      </w: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40005</wp:posOffset>
            </wp:positionV>
            <wp:extent cx="7182485" cy="412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1">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0380"/>
          </w:cols>
          <w:pgMar w:left="1180" w:top="752" w:right="339" w:bottom="1440" w:gutter="0" w:footer="0" w:header="0"/>
        </w:sectPr>
      </w:pPr>
    </w:p>
    <w:bookmarkStart w:id="227" w:name="page228"/>
    <w:bookmarkEnd w:id="227"/>
    <w:p>
      <w:pPr>
        <w:ind w:left="2580" w:hanging="854"/>
        <w:spacing w:after="0"/>
        <w:tabs>
          <w:tab w:leader="none" w:pos="258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A voluntary termination of employment by the Executive for Good Reason;</w:t>
      </w:r>
    </w:p>
    <w:p>
      <w:pPr>
        <w:spacing w:after="0" w:line="201" w:lineRule="exact"/>
        <w:rPr>
          <w:rFonts w:ascii="Arial" w:cs="Arial" w:eastAsia="Arial" w:hAnsi="Arial"/>
          <w:sz w:val="20"/>
          <w:szCs w:val="20"/>
          <w:color w:val="auto"/>
        </w:rPr>
      </w:pPr>
    </w:p>
    <w:p>
      <w:pPr>
        <w:ind w:left="2580" w:right="200" w:hanging="854"/>
        <w:spacing w:after="0" w:line="268" w:lineRule="auto"/>
        <w:tabs>
          <w:tab w:leader="none" w:pos="258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A successor company fails or refuses to assume by written instrument the Company’s obligations under this Agreement, as contemplated by Article 8;</w:t>
      </w:r>
    </w:p>
    <w:p>
      <w:pPr>
        <w:spacing w:after="0" w:line="145" w:lineRule="exact"/>
        <w:rPr>
          <w:rFonts w:ascii="Arial" w:cs="Arial" w:eastAsia="Arial" w:hAnsi="Arial"/>
          <w:sz w:val="20"/>
          <w:szCs w:val="20"/>
          <w:color w:val="auto"/>
        </w:rPr>
      </w:pPr>
    </w:p>
    <w:p>
      <w:pPr>
        <w:ind w:left="2580" w:hanging="854"/>
        <w:spacing w:after="0"/>
        <w:tabs>
          <w:tab w:leader="none" w:pos="25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Company or any successor company repudiates or breaches any of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ARTICLE II</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SERVICES DURING CERTAIN EVENTS</w:t>
      </w:r>
    </w:p>
    <w:p>
      <w:pPr>
        <w:spacing w:after="0" w:line="183" w:lineRule="exact"/>
        <w:rPr>
          <w:sz w:val="20"/>
          <w:szCs w:val="20"/>
          <w:color w:val="auto"/>
        </w:rPr>
      </w:pPr>
    </w:p>
    <w:p>
      <w:pPr>
        <w:ind w:right="20" w:firstLine="865"/>
        <w:spacing w:after="0" w:line="244" w:lineRule="auto"/>
        <w:rPr>
          <w:sz w:val="20"/>
          <w:szCs w:val="20"/>
          <w:color w:val="auto"/>
        </w:rPr>
      </w:pPr>
      <w:r>
        <w:rPr>
          <w:rFonts w:ascii="Arial" w:cs="Arial" w:eastAsia="Arial" w:hAnsi="Arial"/>
          <w:sz w:val="20"/>
          <w:szCs w:val="20"/>
          <w:color w:val="auto"/>
        </w:rPr>
        <w:t>If a Potential Change in Control occurs, the Executive agrees that he or she will not voluntarily leave the employ of the Company and will render services until (a) the Board declares, or otherwise indicates, that the circumstances giving rise to the Potential Change in Control will not result in an actual Change in Control, or (b) if a Change in Control occurs, until six (6) months after the Change in Control; provided, however, that, subject to any right that the Executive may have to benefits hereunder, the Company may terminate the Executive’s employment at any time for any reason, and the Executive may terminate his or her employment at any time for Good Reason.</w:t>
      </w:r>
    </w:p>
    <w:p>
      <w:pPr>
        <w:spacing w:after="0" w:line="200" w:lineRule="exact"/>
        <w:rPr>
          <w:sz w:val="20"/>
          <w:szCs w:val="20"/>
          <w:color w:val="auto"/>
        </w:rPr>
      </w:pPr>
    </w:p>
    <w:p>
      <w:pPr>
        <w:spacing w:after="0" w:line="369" w:lineRule="exact"/>
        <w:rPr>
          <w:sz w:val="20"/>
          <w:szCs w:val="20"/>
          <w:color w:val="auto"/>
        </w:rPr>
      </w:pPr>
    </w:p>
    <w:tbl>
      <w:tblPr>
        <w:tblLayout w:type="fixed"/>
        <w:tblInd w:w="174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7800" w:type="dxa"/>
            <w:vAlign w:val="bottom"/>
          </w:tcPr>
          <w:p>
            <w:pPr>
              <w:jc w:val="center"/>
              <w:ind w:right="2259"/>
              <w:spacing w:after="0"/>
              <w:rPr>
                <w:sz w:val="20"/>
                <w:szCs w:val="20"/>
                <w:color w:val="auto"/>
              </w:rPr>
            </w:pPr>
            <w:r>
              <w:rPr>
                <w:rFonts w:ascii="Arial" w:cs="Arial" w:eastAsia="Arial" w:hAnsi="Arial"/>
                <w:sz w:val="20"/>
                <w:szCs w:val="20"/>
                <w:b w:val="1"/>
                <w:bCs w:val="1"/>
                <w:color w:val="auto"/>
              </w:rPr>
              <w:t>ARTICLE III</w:t>
            </w:r>
          </w:p>
        </w:tc>
      </w:tr>
      <w:tr>
        <w:trPr>
          <w:trHeight w:val="263"/>
        </w:trPr>
        <w:tc>
          <w:tcPr>
            <w:tcW w:w="1160" w:type="dxa"/>
            <w:vAlign w:val="bottom"/>
          </w:tcPr>
          <w:p>
            <w:pPr>
              <w:spacing w:after="0"/>
              <w:rPr>
                <w:sz w:val="22"/>
                <w:szCs w:val="22"/>
                <w:color w:val="auto"/>
              </w:rPr>
            </w:pPr>
          </w:p>
        </w:tc>
        <w:tc>
          <w:tcPr>
            <w:tcW w:w="7800" w:type="dxa"/>
            <w:vAlign w:val="bottom"/>
          </w:tcPr>
          <w:p>
            <w:pPr>
              <w:jc w:val="center"/>
              <w:ind w:right="2239"/>
              <w:spacing w:after="0"/>
              <w:rPr>
                <w:sz w:val="20"/>
                <w:szCs w:val="20"/>
                <w:color w:val="auto"/>
              </w:rPr>
            </w:pPr>
            <w:r>
              <w:rPr>
                <w:rFonts w:ascii="Arial" w:cs="Arial" w:eastAsia="Arial" w:hAnsi="Arial"/>
                <w:sz w:val="20"/>
                <w:szCs w:val="20"/>
                <w:b w:val="1"/>
                <w:bCs w:val="1"/>
                <w:color w:val="auto"/>
              </w:rPr>
              <w:t>SEVERANCE BENEFITS</w:t>
            </w:r>
          </w:p>
        </w:tc>
      </w:tr>
      <w:tr>
        <w:trPr>
          <w:trHeight w:val="419"/>
        </w:trPr>
        <w:tc>
          <w:tcPr>
            <w:tcW w:w="1160" w:type="dxa"/>
            <w:vAlign w:val="bottom"/>
          </w:tcPr>
          <w:p>
            <w:pPr>
              <w:jc w:val="right"/>
              <w:ind w:right="819"/>
              <w:spacing w:after="0"/>
              <w:rPr>
                <w:sz w:val="20"/>
                <w:szCs w:val="20"/>
                <w:color w:val="auto"/>
              </w:rPr>
            </w:pPr>
            <w:r>
              <w:rPr>
                <w:rFonts w:ascii="Arial" w:cs="Arial" w:eastAsia="Arial" w:hAnsi="Arial"/>
                <w:sz w:val="20"/>
                <w:szCs w:val="20"/>
                <w:b w:val="1"/>
                <w:bCs w:val="1"/>
                <w:color w:val="auto"/>
                <w:w w:val="78"/>
              </w:rPr>
              <w:t>3.1</w:t>
            </w:r>
          </w:p>
        </w:tc>
        <w:tc>
          <w:tcPr>
            <w:tcW w:w="7800" w:type="dxa"/>
            <w:vAlign w:val="bottom"/>
          </w:tcPr>
          <w:p>
            <w:pPr>
              <w:ind w:left="900"/>
              <w:spacing w:after="0"/>
              <w:rPr>
                <w:sz w:val="20"/>
                <w:szCs w:val="20"/>
                <w:color w:val="auto"/>
              </w:rPr>
            </w:pPr>
            <w:r>
              <w:rPr>
                <w:rFonts w:ascii="Arial" w:cs="Arial" w:eastAsia="Arial" w:hAnsi="Arial"/>
                <w:sz w:val="20"/>
                <w:szCs w:val="20"/>
                <w:b w:val="1"/>
                <w:bCs w:val="1"/>
                <w:color w:val="auto"/>
                <w:w w:val="91"/>
              </w:rPr>
              <w:t>Right to Severance Benefits</w:t>
            </w:r>
            <w:r>
              <w:rPr>
                <w:rFonts w:ascii="Arial" w:cs="Arial" w:eastAsia="Arial" w:hAnsi="Arial"/>
                <w:sz w:val="20"/>
                <w:szCs w:val="20"/>
                <w:color w:val="auto"/>
                <w:w w:val="91"/>
              </w:rPr>
              <w:t>. The Executive shall be entitled to receive the benefits</w:t>
            </w:r>
          </w:p>
        </w:tc>
      </w:tr>
    </w:tbl>
    <w:p>
      <w:pPr>
        <w:spacing w:after="0" w:line="239" w:lineRule="auto"/>
        <w:rPr>
          <w:sz w:val="20"/>
          <w:szCs w:val="20"/>
          <w:color w:val="auto"/>
        </w:rPr>
      </w:pPr>
      <w:r>
        <w:rPr>
          <w:rFonts w:ascii="Arial" w:cs="Arial" w:eastAsia="Arial" w:hAnsi="Arial"/>
          <w:sz w:val="20"/>
          <w:szCs w:val="20"/>
          <w:color w:val="auto"/>
        </w:rPr>
        <w:t xml:space="preserve">described in Section 3.2 if the Executive incurs a Qualifying Termination Event, provided that the Executive must (a) furnish the Company with written notice of Executive’s exercise of the right to receive such benefits within thirty (30) days of the occurrence of a Qualifying Termination Event and (b) execute and deliver to the Company the Severance Agreement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within fifty (50) days of the Qualifying Termination Event and not revoke it pursuant to any revocation rights afforded by law. If the Executive does not timely execute and deliver to the Company the Severance Agreement, or if the Executive has executed the Severance Agreement but revokes it, no severance benefits shall be paid. If more than one Qualifying Termination Event occurs, such events shall constitute a single Qualifying Termination Event and Executive shall be entitled to receive the benefits provided under Section 3.2 (a) through (d) only once.</w:t>
      </w:r>
    </w:p>
    <w:p>
      <w:pPr>
        <w:spacing w:after="0" w:line="174" w:lineRule="exact"/>
        <w:rPr>
          <w:sz w:val="20"/>
          <w:szCs w:val="20"/>
          <w:color w:val="auto"/>
        </w:rPr>
      </w:pPr>
    </w:p>
    <w:p>
      <w:pPr>
        <w:jc w:val="both"/>
        <w:ind w:right="100" w:firstLine="1729"/>
        <w:spacing w:after="0" w:line="249" w:lineRule="auto"/>
        <w:rPr>
          <w:sz w:val="20"/>
          <w:szCs w:val="20"/>
          <w:color w:val="auto"/>
        </w:rPr>
      </w:pPr>
      <w:r>
        <w:rPr>
          <w:rFonts w:ascii="Arial" w:cs="Arial" w:eastAsia="Arial" w:hAnsi="Arial"/>
          <w:sz w:val="20"/>
          <w:szCs w:val="20"/>
          <w:b w:val="1"/>
          <w:bCs w:val="1"/>
          <w:color w:val="auto"/>
        </w:rPr>
        <w:t>3.2 Severance Benefits</w:t>
      </w:r>
      <w:r>
        <w:rPr>
          <w:rFonts w:ascii="Arial" w:cs="Arial" w:eastAsia="Arial" w:hAnsi="Arial"/>
          <w:sz w:val="20"/>
          <w:szCs w:val="20"/>
          <w:color w:val="auto"/>
        </w:rPr>
        <w:t>. If a Qualifying Termination Event occurs and the Executive satisfies</w:t>
      </w:r>
      <w:r>
        <w:rPr>
          <w:rFonts w:ascii="Arial" w:cs="Arial" w:eastAsia="Arial" w:hAnsi="Arial"/>
          <w:sz w:val="20"/>
          <w:szCs w:val="20"/>
          <w:b w:val="1"/>
          <w:bCs w:val="1"/>
          <w:color w:val="auto"/>
        </w:rPr>
        <w:t xml:space="preserve"> </w:t>
      </w:r>
      <w:r>
        <w:rPr>
          <w:rFonts w:ascii="Arial" w:cs="Arial" w:eastAsia="Arial" w:hAnsi="Arial"/>
          <w:sz w:val="20"/>
          <w:szCs w:val="20"/>
          <w:color w:val="auto"/>
        </w:rPr>
        <w:t>the conditions set forth in Section 3.1 above, the Company will pay the Executive as soon as practicable following his or her satisfaction of such conditions, but in no event more than 2½ months following the Qualifying Termination Event, a non-discounted cash lump sum amount equal to the sum of the following:</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00"/>
          </w:cols>
          <w:pgMar w:left="320" w:top="752" w:right="379" w:bottom="1440" w:gutter="0" w:footer="0" w:header="0"/>
        </w:sectPr>
      </w:pPr>
    </w:p>
    <w:bookmarkStart w:id="228" w:name="page229"/>
    <w:bookmarkEnd w:id="228"/>
    <w:p>
      <w:pPr>
        <w:ind w:left="1720" w:right="860" w:hanging="856"/>
        <w:spacing w:after="0" w:line="268" w:lineRule="auto"/>
        <w:tabs>
          <w:tab w:leader="none" w:pos="172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Executive’s accrued and unpaid Base Salary and accrued vacation pay through the date of Executive’s termination, pursuant to a Qualifying Termination Event;</w:t>
      </w:r>
    </w:p>
    <w:p>
      <w:pPr>
        <w:spacing w:after="0" w:line="145" w:lineRule="exact"/>
        <w:rPr>
          <w:rFonts w:ascii="Arial" w:cs="Arial" w:eastAsia="Arial" w:hAnsi="Arial"/>
          <w:sz w:val="20"/>
          <w:szCs w:val="20"/>
          <w:color w:val="auto"/>
        </w:rPr>
      </w:pPr>
    </w:p>
    <w:p>
      <w:pPr>
        <w:jc w:val="both"/>
        <w:ind w:left="1720" w:right="80" w:hanging="856"/>
        <w:spacing w:after="0" w:line="245" w:lineRule="auto"/>
        <w:tabs>
          <w:tab w:leader="none" w:pos="172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a pro-rata portion (based on the number of days that elapsed in the calendar year before the Qualifying Termination Event occurred) of the greater of (i) the Executive’s target annual bonus for the year of the Qualifying Termination Event or (ii) the Executive’s annual bonus that would have been paid (as determined by the Board in its discretion) assuming the year ended on the date of the Qualifying Termination Event and based on actual performance through that date;</w:t>
      </w:r>
    </w:p>
    <w:p>
      <w:pPr>
        <w:spacing w:after="0" w:line="169" w:lineRule="exact"/>
        <w:rPr>
          <w:rFonts w:ascii="Arial" w:cs="Arial" w:eastAsia="Arial" w:hAnsi="Arial"/>
          <w:sz w:val="20"/>
          <w:szCs w:val="20"/>
          <w:color w:val="auto"/>
        </w:rPr>
      </w:pPr>
    </w:p>
    <w:p>
      <w:pPr>
        <w:ind w:left="1720" w:right="660" w:hanging="856"/>
        <w:spacing w:after="0" w:line="268" w:lineRule="auto"/>
        <w:tabs>
          <w:tab w:leader="none" w:pos="172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 xml:space="preserve">an amount equal to the highest rate of the Executive’s annualized Base Salary in effect at any time up to and including the Qualifying Termination Event multiplied by </w:t>
      </w:r>
      <w:r>
        <w:rPr>
          <w:rFonts w:ascii="Arial" w:cs="Arial" w:eastAsia="Arial" w:hAnsi="Arial"/>
          <w:sz w:val="20"/>
          <w:szCs w:val="20"/>
          <w:u w:val="single" w:color="auto"/>
          <w:color w:val="auto"/>
        </w:rPr>
        <w:t>two (2)</w:t>
      </w:r>
      <w:r>
        <w:rPr>
          <w:rFonts w:ascii="Arial" w:cs="Arial" w:eastAsia="Arial" w:hAnsi="Arial"/>
          <w:sz w:val="20"/>
          <w:szCs w:val="20"/>
          <w:color w:val="auto"/>
        </w:rPr>
        <w:t>; and</w:t>
      </w:r>
    </w:p>
    <w:p>
      <w:pPr>
        <w:spacing w:after="0" w:line="145" w:lineRule="exact"/>
        <w:rPr>
          <w:rFonts w:ascii="Arial" w:cs="Arial" w:eastAsia="Arial" w:hAnsi="Arial"/>
          <w:sz w:val="20"/>
          <w:szCs w:val="20"/>
          <w:color w:val="auto"/>
        </w:rPr>
      </w:pPr>
    </w:p>
    <w:p>
      <w:pPr>
        <w:ind w:left="1720" w:hanging="856"/>
        <w:spacing w:after="0" w:line="253" w:lineRule="auto"/>
        <w:tabs>
          <w:tab w:leader="none" w:pos="172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 xml:space="preserve">an amount equal to the greater of (i) the Executive’s target annual bonus for the year of the Qualifying Termination Event or (ii) the average of the annual bonuses actually paid to the Executive for the two years preceding the year of the Qualifying Termination Event, multiplied by </w:t>
      </w:r>
      <w:r>
        <w:rPr>
          <w:rFonts w:ascii="Arial" w:cs="Arial" w:eastAsia="Arial" w:hAnsi="Arial"/>
          <w:sz w:val="20"/>
          <w:szCs w:val="20"/>
          <w:u w:val="single" w:color="auto"/>
          <w:color w:val="auto"/>
        </w:rPr>
        <w:t>two (2).</w:t>
      </w:r>
    </w:p>
    <w:p>
      <w:pPr>
        <w:spacing w:after="0" w:line="160" w:lineRule="exact"/>
        <w:rPr>
          <w:sz w:val="20"/>
          <w:szCs w:val="20"/>
          <w:color w:val="auto"/>
        </w:rPr>
      </w:pPr>
    </w:p>
    <w:p>
      <w:pPr>
        <w:ind w:right="40" w:firstLine="865"/>
        <w:spacing w:after="0" w:line="253" w:lineRule="auto"/>
        <w:rPr>
          <w:sz w:val="20"/>
          <w:szCs w:val="20"/>
          <w:color w:val="auto"/>
        </w:rPr>
      </w:pPr>
      <w:r>
        <w:rPr>
          <w:rFonts w:ascii="Arial" w:cs="Arial" w:eastAsia="Arial" w:hAnsi="Arial"/>
          <w:sz w:val="19"/>
          <w:szCs w:val="19"/>
          <w:color w:val="auto"/>
        </w:rPr>
        <w:t xml:space="preserve">In addition to the foregoing, if Executive satisfies the conditions set forth in Section 3.1 above, the Company will pay the Executive as soon as practicable following his or her satisfaction of such conditions, but in no event more that 2½ months following the Qualifying Termination Event, a non-discounted cash lump sum amount equal to the sum of the following: (i) the Company’s estimate of the costs for the Executive’s medical insurance coverage at the level and a cost to the Executive comparable to that provided to the Executive immediately prior to the Qualifying Termination Event for a period of </w:t>
      </w:r>
      <w:r>
        <w:rPr>
          <w:rFonts w:ascii="Arial" w:cs="Arial" w:eastAsia="Arial" w:hAnsi="Arial"/>
          <w:sz w:val="19"/>
          <w:szCs w:val="19"/>
          <w:u w:val="single" w:color="auto"/>
          <w:color w:val="auto"/>
        </w:rPr>
        <w:t>two (2) years</w:t>
      </w:r>
      <w:r>
        <w:rPr>
          <w:rFonts w:ascii="Arial" w:cs="Arial" w:eastAsia="Arial" w:hAnsi="Arial"/>
          <w:sz w:val="19"/>
          <w:szCs w:val="19"/>
          <w:color w:val="auto"/>
        </w:rPr>
        <w:t xml:space="preserve"> following such Qualifying Termination Event (which, in the Company’s discretion, may be based on the applicable COBRA rates); (ii) the Company’s estimate of the costs for the continuation of that level of the Executive’s executive life insurance coverage that is in effect immediately prior to the Qualifying Termination Event for a period of </w:t>
      </w:r>
      <w:r>
        <w:rPr>
          <w:rFonts w:ascii="Arial" w:cs="Arial" w:eastAsia="Arial" w:hAnsi="Arial"/>
          <w:sz w:val="19"/>
          <w:szCs w:val="19"/>
          <w:u w:val="single" w:color="auto"/>
          <w:color w:val="auto"/>
        </w:rPr>
        <w:t>two (2) years</w:t>
      </w:r>
      <w:r>
        <w:rPr>
          <w:rFonts w:ascii="Arial" w:cs="Arial" w:eastAsia="Arial" w:hAnsi="Arial"/>
          <w:sz w:val="19"/>
          <w:szCs w:val="19"/>
          <w:color w:val="auto"/>
        </w:rPr>
        <w:t xml:space="preserve"> following such Qualifying Termination Event, or, if shorter, the period ending on the last day of the level premium rate guarantee period established by the applicable insurer for such coverage; and (iii) the Company’s estimate of the costs for the continuation of the Executive’s executive supplemental disability coverage under the Company’s supplemental disability insurance plan in effect immediately prior to the Qualifying Termination Event for a period of </w:t>
      </w:r>
      <w:r>
        <w:rPr>
          <w:rFonts w:ascii="Arial" w:cs="Arial" w:eastAsia="Arial" w:hAnsi="Arial"/>
          <w:sz w:val="19"/>
          <w:szCs w:val="19"/>
          <w:u w:val="single" w:color="auto"/>
          <w:color w:val="auto"/>
        </w:rPr>
        <w:t>two (2) years</w:t>
      </w:r>
      <w:r>
        <w:rPr>
          <w:rFonts w:ascii="Arial" w:cs="Arial" w:eastAsia="Arial" w:hAnsi="Arial"/>
          <w:sz w:val="19"/>
          <w:szCs w:val="19"/>
          <w:color w:val="auto"/>
        </w:rPr>
        <w:t xml:space="preserve"> following such Qualifying Termination Event (or the date the Executive attains age 65, if earlier), but the cash payment in this clause (iii) will only be paid if the terms of the applicable insurance policy under such disability insurance plan provide that the coverage may be continued following the Qualifying Termination Event and such costs to be estimated using the extent of the coverage allowed under the terms of such policy at a cost to the Company that is no greater than the cost borne by the Company immediately prior to the Qualifying Termination Event.</w:t>
      </w:r>
    </w:p>
    <w:p>
      <w:pPr>
        <w:spacing w:after="0" w:line="169" w:lineRule="exact"/>
        <w:rPr>
          <w:sz w:val="20"/>
          <w:szCs w:val="20"/>
          <w:color w:val="auto"/>
        </w:rPr>
      </w:pPr>
    </w:p>
    <w:p>
      <w:pPr>
        <w:ind w:right="600" w:firstLine="865"/>
        <w:spacing w:after="0" w:line="268" w:lineRule="auto"/>
        <w:rPr>
          <w:sz w:val="20"/>
          <w:szCs w:val="20"/>
          <w:color w:val="auto"/>
        </w:rPr>
      </w:pPr>
      <w:r>
        <w:rPr>
          <w:rFonts w:ascii="Arial" w:cs="Arial" w:eastAsia="Arial" w:hAnsi="Arial"/>
          <w:sz w:val="20"/>
          <w:szCs w:val="20"/>
          <w:color w:val="auto"/>
        </w:rPr>
        <w:t>If the 2½ month period following the Qualifying Termination Event for making the foregoing cash payments spans two calendar years, payment will in all cases be made in the second (later) calendar year.</w:t>
      </w:r>
    </w:p>
    <w:p>
      <w:pPr>
        <w:spacing w:after="0" w:line="12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160"/>
          </w:cols>
          <w:pgMar w:left="320" w:top="752" w:right="419" w:bottom="1440" w:gutter="0" w:footer="0" w:header="0"/>
        </w:sectPr>
      </w:pPr>
    </w:p>
    <w:bookmarkStart w:id="229" w:name="page230"/>
    <w:bookmarkEnd w:id="229"/>
    <w:p>
      <w:pPr>
        <w:ind w:firstLine="865"/>
        <w:spacing w:after="0" w:line="261" w:lineRule="auto"/>
        <w:rPr>
          <w:sz w:val="20"/>
          <w:szCs w:val="20"/>
          <w:color w:val="auto"/>
        </w:rPr>
      </w:pPr>
      <w:r>
        <w:rPr>
          <w:rFonts w:ascii="Arial" w:cs="Arial" w:eastAsia="Arial" w:hAnsi="Arial"/>
          <w:sz w:val="19"/>
          <w:szCs w:val="19"/>
          <w:color w:val="auto"/>
        </w:rPr>
        <w:t>Notwithstanding any provision of this Agreement to the contrary, to the extent that the Company determines that a delay in payment or benefits is required to avoid subjecting the Executive to taxes under Code Section 409A (“Section 409A”), the Executive shall not be entitled to receive any payments of, or benefits that constitute, deferred compensation (as defined in Section 409A) until the earlier of (i) the date which is six (6) months after his or her termination of employment or (ii) the date of his or her death (the “Section 409A Period”), at which time the Company shall pay all delayed payments to the Executive in a lump sum without interest.</w:t>
      </w:r>
    </w:p>
    <w:p>
      <w:pPr>
        <w:spacing w:after="0" w:line="152" w:lineRule="exact"/>
        <w:rPr>
          <w:sz w:val="20"/>
          <w:szCs w:val="20"/>
          <w:color w:val="auto"/>
        </w:rPr>
      </w:pPr>
    </w:p>
    <w:p>
      <w:pPr>
        <w:ind w:right="20" w:firstLine="1729"/>
        <w:spacing w:after="0" w:line="272" w:lineRule="auto"/>
        <w:rPr>
          <w:sz w:val="20"/>
          <w:szCs w:val="20"/>
          <w:color w:val="auto"/>
        </w:rPr>
      </w:pPr>
      <w:r>
        <w:rPr>
          <w:rFonts w:ascii="Arial" w:cs="Arial" w:eastAsia="Arial" w:hAnsi="Arial"/>
          <w:sz w:val="20"/>
          <w:szCs w:val="20"/>
          <w:b w:val="1"/>
          <w:bCs w:val="1"/>
          <w:color w:val="auto"/>
        </w:rPr>
        <w:t>3.3 Termination for Other Reasons</w:t>
      </w:r>
      <w:r>
        <w:rPr>
          <w:rFonts w:ascii="Arial" w:cs="Arial" w:eastAsia="Arial" w:hAnsi="Arial"/>
          <w:sz w:val="20"/>
          <w:szCs w:val="20"/>
          <w:color w:val="auto"/>
        </w:rPr>
        <w:t>. Except as expressly provided below, the Company shall</w:t>
      </w:r>
      <w:r>
        <w:rPr>
          <w:rFonts w:ascii="Arial" w:cs="Arial" w:eastAsia="Arial" w:hAnsi="Arial"/>
          <w:sz w:val="20"/>
          <w:szCs w:val="20"/>
          <w:b w:val="1"/>
          <w:bCs w:val="1"/>
          <w:color w:val="auto"/>
        </w:rPr>
        <w:t xml:space="preserve"> </w:t>
      </w:r>
      <w:r>
        <w:rPr>
          <w:rFonts w:ascii="Arial" w:cs="Arial" w:eastAsia="Arial" w:hAnsi="Arial"/>
          <w:sz w:val="20"/>
          <w:szCs w:val="20"/>
          <w:color w:val="auto"/>
        </w:rPr>
        <w:t>have no obligations (or no further obligations, as the case may be) to the Executive under this Agreement if:</w:t>
      </w:r>
    </w:p>
    <w:p>
      <w:pPr>
        <w:spacing w:after="0" w:line="142" w:lineRule="exact"/>
        <w:rPr>
          <w:sz w:val="20"/>
          <w:szCs w:val="20"/>
          <w:color w:val="auto"/>
        </w:rPr>
      </w:pPr>
    </w:p>
    <w:p>
      <w:pPr>
        <w:ind w:left="1720" w:hanging="856"/>
        <w:spacing w:after="0"/>
        <w:tabs>
          <w:tab w:leader="none" w:pos="172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Executive’s employment is terminated by the Company for Cause;</w:t>
      </w:r>
    </w:p>
    <w:p>
      <w:pPr>
        <w:spacing w:after="0" w:line="201" w:lineRule="exact"/>
        <w:rPr>
          <w:rFonts w:ascii="Arial" w:cs="Arial" w:eastAsia="Arial" w:hAnsi="Arial"/>
          <w:sz w:val="20"/>
          <w:szCs w:val="20"/>
          <w:color w:val="auto"/>
        </w:rPr>
      </w:pPr>
    </w:p>
    <w:p>
      <w:pPr>
        <w:ind w:left="1720" w:right="520" w:hanging="856"/>
        <w:spacing w:after="0" w:line="268" w:lineRule="auto"/>
        <w:tabs>
          <w:tab w:leader="none" w:pos="172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Executive terminates his or her employment with the Company other than for Good Reason during a Protected Period;</w:t>
      </w:r>
    </w:p>
    <w:p>
      <w:pPr>
        <w:spacing w:after="0" w:line="145" w:lineRule="exact"/>
        <w:rPr>
          <w:rFonts w:ascii="Arial" w:cs="Arial" w:eastAsia="Arial" w:hAnsi="Arial"/>
          <w:sz w:val="20"/>
          <w:szCs w:val="20"/>
          <w:color w:val="auto"/>
        </w:rPr>
      </w:pPr>
    </w:p>
    <w:p>
      <w:pPr>
        <w:ind w:left="1720" w:hanging="856"/>
        <w:spacing w:after="0"/>
        <w:tabs>
          <w:tab w:leader="none" w:pos="172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Executive’s employment by the Company terminates due to the Executive’s Disability, retirement or death; or</w:t>
      </w:r>
    </w:p>
    <w:p>
      <w:pPr>
        <w:spacing w:after="0" w:line="212" w:lineRule="exact"/>
        <w:rPr>
          <w:rFonts w:ascii="Arial" w:cs="Arial" w:eastAsia="Arial" w:hAnsi="Arial"/>
          <w:sz w:val="19"/>
          <w:szCs w:val="19"/>
          <w:color w:val="auto"/>
        </w:rPr>
      </w:pPr>
    </w:p>
    <w:p>
      <w:pPr>
        <w:ind w:left="1720" w:right="360" w:hanging="856"/>
        <w:spacing w:after="0" w:line="268" w:lineRule="auto"/>
        <w:tabs>
          <w:tab w:leader="none" w:pos="172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Executive’s employment by the Company is terminated by the Company or the Executive for any reason, if such termination does not occur during a Protected Period.</w:t>
      </w:r>
    </w:p>
    <w:p>
      <w:pPr>
        <w:spacing w:after="0" w:line="145" w:lineRule="exact"/>
        <w:rPr>
          <w:rFonts w:ascii="Arial" w:cs="Arial" w:eastAsia="Arial" w:hAnsi="Arial"/>
          <w:sz w:val="20"/>
          <w:szCs w:val="20"/>
          <w:color w:val="auto"/>
        </w:rPr>
      </w:pPr>
    </w:p>
    <w:p>
      <w:pPr>
        <w:ind w:left="1720" w:right="220" w:hanging="856"/>
        <w:spacing w:after="0" w:line="253" w:lineRule="auto"/>
        <w:tabs>
          <w:tab w:leader="none" w:pos="172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Prior to a Potential Change in Control, Executive ceases to perform services on a full-time basis in either the same position Executive was serving on the Effective Date or a more senior position and as a result the term of this Agreement terminates pursuant to Article VI.</w:t>
      </w:r>
    </w:p>
    <w:p>
      <w:pPr>
        <w:spacing w:after="0" w:line="160" w:lineRule="exact"/>
        <w:rPr>
          <w:sz w:val="20"/>
          <w:szCs w:val="20"/>
          <w:color w:val="auto"/>
        </w:rPr>
      </w:pPr>
    </w:p>
    <w:p>
      <w:pPr>
        <w:jc w:val="both"/>
        <w:ind w:right="100" w:firstLine="865"/>
        <w:spacing w:after="0" w:line="272" w:lineRule="auto"/>
        <w:rPr>
          <w:sz w:val="20"/>
          <w:szCs w:val="20"/>
          <w:color w:val="auto"/>
        </w:rPr>
      </w:pPr>
      <w:r>
        <w:rPr>
          <w:rFonts w:ascii="Arial" w:cs="Arial" w:eastAsia="Arial" w:hAnsi="Arial"/>
          <w:sz w:val="19"/>
          <w:szCs w:val="19"/>
          <w:color w:val="auto"/>
        </w:rPr>
        <w:t>If, during a Protected Period and immediately prior to the Executive’s Disability or retirement, the Executive would have been entitled to terminate employment with the Company for Good Reason, then upon termination of his or her employment for Disability or retirement he shall be deemed to have terminated for Good Reason for purposes of this Agreement.</w:t>
      </w:r>
    </w:p>
    <w:p>
      <w:pPr>
        <w:spacing w:after="0" w:line="145" w:lineRule="exact"/>
        <w:rPr>
          <w:sz w:val="20"/>
          <w:szCs w:val="20"/>
          <w:color w:val="auto"/>
        </w:rPr>
      </w:pPr>
    </w:p>
    <w:p>
      <w:pPr>
        <w:ind w:right="340" w:firstLine="865"/>
        <w:spacing w:after="0" w:line="259" w:lineRule="auto"/>
        <w:rPr>
          <w:sz w:val="20"/>
          <w:szCs w:val="20"/>
          <w:color w:val="auto"/>
        </w:rPr>
      </w:pPr>
      <w:r>
        <w:rPr>
          <w:rFonts w:ascii="Arial" w:cs="Arial" w:eastAsia="Arial" w:hAnsi="Arial"/>
          <w:sz w:val="19"/>
          <w:szCs w:val="19"/>
          <w:color w:val="auto"/>
        </w:rPr>
        <w:t>Notwithstanding anything else contained herein to the contrary, the Executive’s termination of employment on account of reaching the normal retirement age, as such age may be defined from time to time in policies adopted by the Company prior to the commencement of the Protected Period, to the extent such policies are applicable to the Executive immediately prior to the commencement of the Protected Period and to the extent such policies are consistent with applicable law, shall not be a Qualifying Termination Event unless the Executive was otherwise able to terminate employment for Good Reason immediately prior to his or her retirement and his or her retirement occurred during a Protected Period.</w:t>
      </w:r>
    </w:p>
    <w:p>
      <w:pPr>
        <w:spacing w:after="0" w:line="153" w:lineRule="exact"/>
        <w:rPr>
          <w:sz w:val="20"/>
          <w:szCs w:val="20"/>
          <w:color w:val="auto"/>
        </w:rPr>
      </w:pPr>
    </w:p>
    <w:p>
      <w:pPr>
        <w:jc w:val="both"/>
        <w:ind w:right="60" w:firstLine="1729"/>
        <w:spacing w:after="0" w:line="255" w:lineRule="auto"/>
        <w:rPr>
          <w:sz w:val="20"/>
          <w:szCs w:val="20"/>
          <w:color w:val="auto"/>
        </w:rPr>
      </w:pPr>
      <w:r>
        <w:rPr>
          <w:rFonts w:ascii="Arial" w:cs="Arial" w:eastAsia="Arial" w:hAnsi="Arial"/>
          <w:sz w:val="20"/>
          <w:szCs w:val="20"/>
          <w:b w:val="1"/>
          <w:bCs w:val="1"/>
          <w:color w:val="auto"/>
        </w:rPr>
        <w:t>3.4 Notice of Termination</w:t>
      </w:r>
      <w:r>
        <w:rPr>
          <w:rFonts w:ascii="Arial" w:cs="Arial" w:eastAsia="Arial" w:hAnsi="Arial"/>
          <w:sz w:val="20"/>
          <w:szCs w:val="20"/>
          <w:color w:val="auto"/>
        </w:rPr>
        <w:t>. Any termination of the Executive’s employment by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for Cause or by the Executive for Good Reason shall be communicated by Notice of Termination to the other party. For purposes of this Agreement, a “Notice of Termination” shall mean a written notice which shall indicate the specific termination provision</w:t>
      </w:r>
    </w:p>
    <w:p>
      <w:pPr>
        <w:spacing w:after="0" w:line="133"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4">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20"/>
          </w:cols>
          <w:pgMar w:left="320" w:top="752" w:right="359" w:bottom="1440" w:gutter="0" w:footer="0" w:header="0"/>
        </w:sectPr>
      </w:pPr>
    </w:p>
    <w:bookmarkStart w:id="230" w:name="page231"/>
    <w:bookmarkEnd w:id="230"/>
    <w:p>
      <w:pPr>
        <w:ind w:right="380"/>
        <w:spacing w:after="0" w:line="253" w:lineRule="auto"/>
        <w:rPr>
          <w:sz w:val="20"/>
          <w:szCs w:val="20"/>
          <w:color w:val="auto"/>
        </w:rPr>
      </w:pPr>
      <w:r>
        <w:rPr>
          <w:rFonts w:ascii="Arial" w:cs="Arial" w:eastAsia="Arial" w:hAnsi="Arial"/>
          <w:sz w:val="20"/>
          <w:szCs w:val="20"/>
          <w:color w:val="auto"/>
        </w:rPr>
        <w:t>in this Agreement relied upon and shall set forth in reasonable detail the facts and circumstances claimed to provide a basis for termination of the Executive’s employment under the provision so indicated. The Notice of Termination shall be effective on the date specified in Section 9.8 of this Agreement.</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ARTICLE IV</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TAXES</w:t>
      </w:r>
    </w:p>
    <w:p>
      <w:pPr>
        <w:spacing w:after="0" w:line="183" w:lineRule="exact"/>
        <w:rPr>
          <w:sz w:val="20"/>
          <w:szCs w:val="20"/>
          <w:color w:val="auto"/>
        </w:rPr>
      </w:pPr>
    </w:p>
    <w:p>
      <w:pPr>
        <w:ind w:right="60" w:firstLine="865"/>
        <w:spacing w:after="0" w:line="276" w:lineRule="auto"/>
        <w:rPr>
          <w:sz w:val="20"/>
          <w:szCs w:val="20"/>
          <w:color w:val="auto"/>
        </w:rPr>
      </w:pPr>
      <w:r>
        <w:rPr>
          <w:rFonts w:ascii="Arial" w:cs="Arial" w:eastAsia="Arial" w:hAnsi="Arial"/>
          <w:sz w:val="18"/>
          <w:szCs w:val="18"/>
          <w:color w:val="auto"/>
        </w:rPr>
        <w:t>The Company has the right to withhold from any amount otherwise payable to the Executive under or pursuant to this Agreement the amount of any taxes that the Company may legally be required to withhold with respect to such payment (including, without limitation, any United States Federal taxes, and any other state, city, or local taxes). In the event that tax withholding is required with respect to amounts or benefits payable or deliverable by the Company to the Executive and the Company cannot satisfy its tax withholding obligations in the manner described in the preceding sentence, the Company may require the Executive to pay or provide for the payment of such required tax withholding as a condition to the payment or delivery of such amounts or benefits.</w:t>
      </w:r>
    </w:p>
    <w:p>
      <w:pPr>
        <w:spacing w:after="0" w:line="144" w:lineRule="exact"/>
        <w:rPr>
          <w:sz w:val="20"/>
          <w:szCs w:val="20"/>
          <w:color w:val="auto"/>
        </w:rPr>
      </w:pPr>
    </w:p>
    <w:p>
      <w:pPr>
        <w:ind w:right="500" w:firstLine="865"/>
        <w:spacing w:after="0" w:line="268" w:lineRule="auto"/>
        <w:rPr>
          <w:sz w:val="20"/>
          <w:szCs w:val="20"/>
          <w:color w:val="auto"/>
        </w:rPr>
      </w:pPr>
      <w:r>
        <w:rPr>
          <w:rFonts w:ascii="Arial" w:cs="Arial" w:eastAsia="Arial" w:hAnsi="Arial"/>
          <w:sz w:val="20"/>
          <w:szCs w:val="20"/>
          <w:color w:val="auto"/>
        </w:rPr>
        <w:t>The Executive (or his or her Beneficiaries, if applicable) shall be solely responsible for all income and employment taxes arising in connection with this Agreement or benefits hereunder.</w:t>
      </w:r>
    </w:p>
    <w:p>
      <w:pPr>
        <w:spacing w:after="0" w:line="200" w:lineRule="exact"/>
        <w:rPr>
          <w:sz w:val="20"/>
          <w:szCs w:val="20"/>
          <w:color w:val="auto"/>
        </w:rPr>
      </w:pPr>
    </w:p>
    <w:p>
      <w:pPr>
        <w:spacing w:after="0" w:line="346" w:lineRule="exact"/>
        <w:rPr>
          <w:sz w:val="20"/>
          <w:szCs w:val="20"/>
          <w:color w:val="auto"/>
        </w:rPr>
      </w:pPr>
    </w:p>
    <w:tbl>
      <w:tblPr>
        <w:tblLayout w:type="fixed"/>
        <w:tblInd w:w="1740" w:type="dxa"/>
        <w:tblCellMar>
          <w:top w:w="0" w:type="dxa"/>
          <w:left w:w="0" w:type="dxa"/>
          <w:bottom w:w="0" w:type="dxa"/>
          <w:right w:w="0" w:type="dxa"/>
        </w:tblCellMar>
      </w:tblPr>
      <w:tr>
        <w:trPr>
          <w:trHeight w:val="230"/>
        </w:trPr>
        <w:tc>
          <w:tcPr>
            <w:tcW w:w="1040" w:type="dxa"/>
            <w:vAlign w:val="bottom"/>
          </w:tcPr>
          <w:p>
            <w:pPr>
              <w:spacing w:after="0"/>
              <w:rPr>
                <w:sz w:val="19"/>
                <w:szCs w:val="19"/>
                <w:color w:val="auto"/>
              </w:rPr>
            </w:pPr>
          </w:p>
        </w:tc>
        <w:tc>
          <w:tcPr>
            <w:tcW w:w="8300" w:type="dxa"/>
            <w:vAlign w:val="bottom"/>
          </w:tcPr>
          <w:p>
            <w:pPr>
              <w:jc w:val="center"/>
              <w:ind w:right="2519"/>
              <w:spacing w:after="0"/>
              <w:rPr>
                <w:sz w:val="20"/>
                <w:szCs w:val="20"/>
                <w:color w:val="auto"/>
              </w:rPr>
            </w:pPr>
            <w:r>
              <w:rPr>
                <w:rFonts w:ascii="Arial" w:cs="Arial" w:eastAsia="Arial" w:hAnsi="Arial"/>
                <w:sz w:val="20"/>
                <w:szCs w:val="20"/>
                <w:b w:val="1"/>
                <w:bCs w:val="1"/>
                <w:color w:val="auto"/>
              </w:rPr>
              <w:t>ARTICLE V</w:t>
            </w:r>
          </w:p>
        </w:tc>
      </w:tr>
      <w:tr>
        <w:trPr>
          <w:trHeight w:val="263"/>
        </w:trPr>
        <w:tc>
          <w:tcPr>
            <w:tcW w:w="1040" w:type="dxa"/>
            <w:vAlign w:val="bottom"/>
          </w:tcPr>
          <w:p>
            <w:pPr>
              <w:spacing w:after="0"/>
              <w:rPr>
                <w:sz w:val="22"/>
                <w:szCs w:val="22"/>
                <w:color w:val="auto"/>
              </w:rPr>
            </w:pPr>
          </w:p>
        </w:tc>
        <w:tc>
          <w:tcPr>
            <w:tcW w:w="8300" w:type="dxa"/>
            <w:vAlign w:val="bottom"/>
          </w:tcPr>
          <w:p>
            <w:pPr>
              <w:jc w:val="center"/>
              <w:ind w:right="2519"/>
              <w:spacing w:after="0"/>
              <w:rPr>
                <w:sz w:val="20"/>
                <w:szCs w:val="20"/>
                <w:color w:val="auto"/>
              </w:rPr>
            </w:pPr>
            <w:r>
              <w:rPr>
                <w:rFonts w:ascii="Arial" w:cs="Arial" w:eastAsia="Arial" w:hAnsi="Arial"/>
                <w:sz w:val="20"/>
                <w:szCs w:val="20"/>
                <w:b w:val="1"/>
                <w:bCs w:val="1"/>
                <w:color w:val="auto"/>
              </w:rPr>
              <w:t>THE COMPANY’S PAYMENT OBLIGATION</w:t>
            </w:r>
          </w:p>
        </w:tc>
      </w:tr>
      <w:tr>
        <w:trPr>
          <w:trHeight w:val="419"/>
        </w:trPr>
        <w:tc>
          <w:tcPr>
            <w:tcW w:w="1040" w:type="dxa"/>
            <w:vAlign w:val="bottom"/>
          </w:tcPr>
          <w:p>
            <w:pPr>
              <w:jc w:val="right"/>
              <w:ind w:right="699"/>
              <w:spacing w:after="0"/>
              <w:rPr>
                <w:sz w:val="20"/>
                <w:szCs w:val="20"/>
                <w:color w:val="auto"/>
              </w:rPr>
            </w:pPr>
            <w:r>
              <w:rPr>
                <w:rFonts w:ascii="Arial" w:cs="Arial" w:eastAsia="Arial" w:hAnsi="Arial"/>
                <w:sz w:val="20"/>
                <w:szCs w:val="20"/>
                <w:b w:val="1"/>
                <w:bCs w:val="1"/>
                <w:color w:val="auto"/>
                <w:w w:val="78"/>
              </w:rPr>
              <w:t>5.1</w:t>
            </w:r>
          </w:p>
        </w:tc>
        <w:tc>
          <w:tcPr>
            <w:tcW w:w="8300" w:type="dxa"/>
            <w:vAlign w:val="bottom"/>
          </w:tcPr>
          <w:p>
            <w:pPr>
              <w:ind w:left="1020"/>
              <w:spacing w:after="0"/>
              <w:rPr>
                <w:sz w:val="20"/>
                <w:szCs w:val="20"/>
                <w:color w:val="auto"/>
              </w:rPr>
            </w:pPr>
            <w:r>
              <w:rPr>
                <w:rFonts w:ascii="Arial" w:cs="Arial" w:eastAsia="Arial" w:hAnsi="Arial"/>
                <w:sz w:val="20"/>
                <w:szCs w:val="20"/>
                <w:b w:val="1"/>
                <w:bCs w:val="1"/>
                <w:color w:val="auto"/>
                <w:w w:val="92"/>
              </w:rPr>
              <w:t>Payment Obligations Absolute</w:t>
            </w:r>
            <w:r>
              <w:rPr>
                <w:rFonts w:ascii="Arial" w:cs="Arial" w:eastAsia="Arial" w:hAnsi="Arial"/>
                <w:sz w:val="20"/>
                <w:szCs w:val="20"/>
                <w:color w:val="auto"/>
                <w:w w:val="92"/>
              </w:rPr>
              <w:t>. Subject to the Executive’s compliance with Section 9.1</w:t>
            </w:r>
          </w:p>
        </w:tc>
      </w:tr>
    </w:tbl>
    <w:p>
      <w:pPr>
        <w:spacing w:after="0" w:line="269" w:lineRule="auto"/>
        <w:rPr>
          <w:sz w:val="20"/>
          <w:szCs w:val="20"/>
          <w:color w:val="auto"/>
        </w:rPr>
      </w:pPr>
      <w:r>
        <w:rPr>
          <w:rFonts w:ascii="Arial" w:cs="Arial" w:eastAsia="Arial" w:hAnsi="Arial"/>
          <w:sz w:val="18"/>
          <w:szCs w:val="18"/>
          <w:color w:val="auto"/>
        </w:rPr>
        <w:t>and the agreement contemplated thereby, the Company’s obligation to make the payments and the arrangements provided for herein shall be absolute and unconditional, and shall not be affected by any circumstances, including, without limitation, any offset (except an offset for the amount of any debt that is due from Executive to Company for loans, advances or similar items provided by the Company to Executive prior to the date of Executive’s notice to the Company of a Qualifying Termination Event), counterclaim, recoupment, defense, or other right which the Company may have against the Executive or anyone else. All amounts payable by the Company hereunder shall be paid without notice or demand. Each and every payment made hereunder by the Company shall be final, and the Company shall not seek to recover all or any part of such payment from the Executive or from whomsoever may be entitled thereto, for any reasons whatsoever, except as a result of an error in calculating the value of benefits payable under Section 3.2 or as otherwise provided in Article 7 and subject to the Executive’s compliance with Section 9.1 and the agreement contemplated thereby.</w:t>
      </w:r>
    </w:p>
    <w:p>
      <w:pPr>
        <w:spacing w:after="0" w:line="151" w:lineRule="exact"/>
        <w:rPr>
          <w:sz w:val="20"/>
          <w:szCs w:val="20"/>
          <w:color w:val="auto"/>
        </w:rPr>
      </w:pPr>
    </w:p>
    <w:p>
      <w:pPr>
        <w:ind w:right="320" w:firstLine="865"/>
        <w:spacing w:after="0" w:line="272" w:lineRule="auto"/>
        <w:rPr>
          <w:sz w:val="20"/>
          <w:szCs w:val="20"/>
          <w:color w:val="auto"/>
        </w:rPr>
      </w:pPr>
      <w:r>
        <w:rPr>
          <w:rFonts w:ascii="Arial" w:cs="Arial" w:eastAsia="Arial" w:hAnsi="Arial"/>
          <w:sz w:val="19"/>
          <w:szCs w:val="19"/>
          <w:color w:val="auto"/>
        </w:rPr>
        <w:t>The Executive shall not be obligated to seek other employment in mitigation of the amounts payable or arrangements made under any provision of this Agreement, and the obtaining of any such other employment shall in no event effect any reduction of the Company’s obligations to make the payments and arrangements required to be made under this Agreement.</w:t>
      </w:r>
    </w:p>
    <w:p>
      <w:pPr>
        <w:spacing w:after="0" w:line="119"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00"/>
          </w:cols>
          <w:pgMar w:left="320" w:top="752" w:right="379" w:bottom="1440" w:gutter="0" w:footer="0" w:header="0"/>
        </w:sectPr>
      </w:pPr>
    </w:p>
    <w:bookmarkStart w:id="231" w:name="page232"/>
    <w:bookmarkEnd w:id="231"/>
    <w:p>
      <w:pPr>
        <w:ind w:right="60" w:firstLine="1729"/>
        <w:spacing w:after="0" w:line="243" w:lineRule="auto"/>
        <w:rPr>
          <w:sz w:val="20"/>
          <w:szCs w:val="20"/>
          <w:color w:val="auto"/>
        </w:rPr>
      </w:pPr>
      <w:r>
        <w:rPr>
          <w:rFonts w:ascii="Arial" w:cs="Arial" w:eastAsia="Arial" w:hAnsi="Arial"/>
          <w:sz w:val="20"/>
          <w:szCs w:val="20"/>
          <w:b w:val="1"/>
          <w:bCs w:val="1"/>
          <w:color w:val="auto"/>
        </w:rPr>
        <w:t xml:space="preserve">5.2 Unsecured General Creditor. </w:t>
      </w:r>
      <w:r>
        <w:rPr>
          <w:rFonts w:ascii="Arial" w:cs="Arial" w:eastAsia="Arial" w:hAnsi="Arial"/>
          <w:sz w:val="20"/>
          <w:szCs w:val="20"/>
          <w:color w:val="auto"/>
        </w:rPr>
        <w:t>The Executive and his or her Beneficiaries, heirs,</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successors, and assigns shall have no legal or equitable rights, claims, or interest in any specific property or assets of the Company. No assets of the Company shall be held under any trust or held in any way as collateral security for the fulfilling of the obligations of the Company under this Agreement. Any and all of the Company’s assets shall be, and remain, the general unpledged, unrestricted assets of the Company. The Company’s obligation under this Agreement shall be merely that of an unfunded and unsecured promise of the entity to pay money in the future, and the rights of the Executive and his or her Beneficiaries shall be no greater than those of unsecured general creditors. It is the intention of the Company that this Agreement be unfunded for purposes of the Code and for purposes of Title I of the Employee Retirement Income Security Act of 1974, as amended.</w:t>
      </w:r>
    </w:p>
    <w:p>
      <w:pPr>
        <w:spacing w:after="0" w:line="166" w:lineRule="exact"/>
        <w:rPr>
          <w:sz w:val="20"/>
          <w:szCs w:val="20"/>
          <w:color w:val="auto"/>
        </w:rPr>
      </w:pPr>
    </w:p>
    <w:p>
      <w:pPr>
        <w:ind w:right="120" w:firstLine="1729"/>
        <w:spacing w:after="0" w:line="246" w:lineRule="auto"/>
        <w:rPr>
          <w:sz w:val="20"/>
          <w:szCs w:val="20"/>
          <w:color w:val="auto"/>
        </w:rPr>
      </w:pPr>
      <w:r>
        <w:rPr>
          <w:rFonts w:ascii="Arial" w:cs="Arial" w:eastAsia="Arial" w:hAnsi="Arial"/>
          <w:sz w:val="20"/>
          <w:szCs w:val="20"/>
          <w:b w:val="1"/>
          <w:bCs w:val="1"/>
          <w:color w:val="auto"/>
        </w:rPr>
        <w:t>5.3 Pension Plans</w:t>
      </w:r>
      <w:r>
        <w:rPr>
          <w:rFonts w:ascii="Arial" w:cs="Arial" w:eastAsia="Arial" w:hAnsi="Arial"/>
          <w:sz w:val="20"/>
          <w:szCs w:val="20"/>
          <w:color w:val="auto"/>
        </w:rPr>
        <w:t>. All payments, benefits and amounts provided under this Agreement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 in addition to and not in substitution for any pension rights under the Company’s tax-qualified pension plan in which the Executive participates, and any disability, workers’ compensation or other Company benefit plan distribution that the Executive is entitled to, under the terms of any such plan, at the time his or her employment by the Company terminates. Notwithstanding the foregoing, this Agreement shall not create an inference that any duplicate payments shall be required.</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VI</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TERM OF AGREEMENT</w:t>
      </w:r>
    </w:p>
    <w:p>
      <w:pPr>
        <w:spacing w:after="0" w:line="183" w:lineRule="exact"/>
        <w:rPr>
          <w:sz w:val="20"/>
          <w:szCs w:val="20"/>
          <w:color w:val="auto"/>
        </w:rPr>
      </w:pPr>
    </w:p>
    <w:p>
      <w:pPr>
        <w:ind w:firstLine="865"/>
        <w:spacing w:after="0" w:line="242" w:lineRule="auto"/>
        <w:rPr>
          <w:sz w:val="20"/>
          <w:szCs w:val="20"/>
          <w:color w:val="auto"/>
        </w:rPr>
      </w:pPr>
      <w:r>
        <w:rPr>
          <w:rFonts w:ascii="Arial" w:cs="Arial" w:eastAsia="Arial" w:hAnsi="Arial"/>
          <w:sz w:val="20"/>
          <w:szCs w:val="20"/>
          <w:color w:val="auto"/>
        </w:rPr>
        <w:t>This Agreement will commence on the Effective Date and shall continue in effect through the 31</w:t>
      </w:r>
      <w:r>
        <w:rPr>
          <w:rFonts w:ascii="Arial" w:cs="Arial" w:eastAsia="Arial" w:hAnsi="Arial"/>
          <w:sz w:val="17"/>
          <w:szCs w:val="17"/>
          <w:color w:val="auto"/>
        </w:rPr>
        <w:t>st</w:t>
      </w:r>
      <w:r>
        <w:rPr>
          <w:rFonts w:ascii="Arial" w:cs="Arial" w:eastAsia="Arial" w:hAnsi="Arial"/>
          <w:sz w:val="20"/>
          <w:szCs w:val="20"/>
          <w:color w:val="auto"/>
        </w:rPr>
        <w:t xml:space="preserve"> of August 2022. However, at the end of such initial period and, if extended, at the end of each additional year thereafter, the term of this Agreement shall be extended automatically for one (1) additional year, unless the Committee (or the Board) delivers written notice at least six (6) months prior to the end of such term, or extended term, to the Executive, that this Agreement will not be extended. In such case, this Agreement will terminate at the end of the term, or extended term, then in progress. If a Potential Change in Control occurs, the Committee (or the Board) may not give notice that the term of this Agreement will not be extended, or further extended, as the case may be, unless and until the Board declares in good faith that the circumstances giving rise to the Potential Change in Control will not result in an actual Change in Control.</w:t>
      </w:r>
    </w:p>
    <w:p>
      <w:pPr>
        <w:spacing w:after="0" w:line="173" w:lineRule="exact"/>
        <w:rPr>
          <w:sz w:val="20"/>
          <w:szCs w:val="20"/>
          <w:color w:val="auto"/>
        </w:rPr>
      </w:pPr>
    </w:p>
    <w:p>
      <w:pPr>
        <w:ind w:right="80" w:firstLine="865"/>
        <w:spacing w:after="0" w:line="253" w:lineRule="auto"/>
        <w:rPr>
          <w:sz w:val="20"/>
          <w:szCs w:val="20"/>
          <w:color w:val="auto"/>
        </w:rPr>
      </w:pPr>
      <w:r>
        <w:rPr>
          <w:rFonts w:ascii="Arial" w:cs="Arial" w:eastAsia="Arial" w:hAnsi="Arial"/>
          <w:sz w:val="20"/>
          <w:szCs w:val="20"/>
          <w:color w:val="auto"/>
        </w:rPr>
        <w:t>Unless the Board expressly determines that the term of this Agreement shall continue in effect, the term of this Agreement will terminate if, prior to a Potential Change in Control, the Executive ceases to perform services on a full-time basis in either the same position Executive was serving on the Effective Date or a more senior position.</w:t>
      </w:r>
    </w:p>
    <w:p>
      <w:pPr>
        <w:spacing w:after="0" w:line="160" w:lineRule="exact"/>
        <w:rPr>
          <w:sz w:val="20"/>
          <w:szCs w:val="20"/>
          <w:color w:val="auto"/>
        </w:rPr>
      </w:pPr>
    </w:p>
    <w:p>
      <w:pPr>
        <w:jc w:val="both"/>
        <w:ind w:right="200" w:firstLine="865"/>
        <w:spacing w:after="0" w:line="272" w:lineRule="auto"/>
        <w:rPr>
          <w:sz w:val="20"/>
          <w:szCs w:val="20"/>
          <w:color w:val="auto"/>
        </w:rPr>
      </w:pPr>
      <w:r>
        <w:rPr>
          <w:rFonts w:ascii="Arial" w:cs="Arial" w:eastAsia="Arial" w:hAnsi="Arial"/>
          <w:sz w:val="19"/>
          <w:szCs w:val="19"/>
          <w:color w:val="auto"/>
        </w:rPr>
        <w:t>Notwithstanding anything to the contrary in this Agreement, in the event a Change in Control occurs during the initial or any extended term, this Agreement will remain in effect for the longer of: (a) eighteen (18) months beyond the month in which such Change in Control occurred; or (b) if the Executive incurs a Qualifying Termination Event, until all obligations of</w:t>
      </w:r>
    </w:p>
    <w:p>
      <w:pPr>
        <w:spacing w:after="0" w:line="119"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6">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232" w:name="page233"/>
    <w:bookmarkEnd w:id="232"/>
    <w:p>
      <w:pPr>
        <w:spacing w:after="0"/>
        <w:rPr>
          <w:sz w:val="20"/>
          <w:szCs w:val="20"/>
          <w:color w:val="auto"/>
        </w:rPr>
      </w:pPr>
      <w:r>
        <w:rPr>
          <w:rFonts w:ascii="Arial" w:cs="Arial" w:eastAsia="Arial" w:hAnsi="Arial"/>
          <w:sz w:val="20"/>
          <w:szCs w:val="20"/>
          <w:color w:val="auto"/>
        </w:rPr>
        <w:t>the Company hereunder have been fulfilled, and until all benefits required hereunder have been paid to the Executive.</w:t>
      </w:r>
    </w:p>
    <w:p>
      <w:pPr>
        <w:spacing w:after="0" w:line="201" w:lineRule="exact"/>
        <w:rPr>
          <w:sz w:val="20"/>
          <w:szCs w:val="20"/>
          <w:color w:val="auto"/>
        </w:rPr>
      </w:pPr>
    </w:p>
    <w:p>
      <w:pPr>
        <w:ind w:right="160" w:firstLine="865"/>
        <w:spacing w:after="0" w:line="244" w:lineRule="auto"/>
        <w:rPr>
          <w:sz w:val="20"/>
          <w:szCs w:val="20"/>
          <w:color w:val="auto"/>
        </w:rPr>
      </w:pPr>
      <w:r>
        <w:rPr>
          <w:rFonts w:ascii="Arial" w:cs="Arial" w:eastAsia="Arial" w:hAnsi="Arial"/>
          <w:sz w:val="20"/>
          <w:szCs w:val="20"/>
          <w:color w:val="auto"/>
        </w:rPr>
        <w:t>Any subsequent Change in Control (“Subsequent Change in Control”) that occurs during the term shall also continue the term until the later of: (a) the date the term then in effect, at the time of such Subsequent Change in Control, would end; or (b) until all obligations of the Company hereunder have been fulfilled and all benefits required hereunder have been paid to the Executive; provided, however, that if one or more Subsequent Changes in Control occur, such event (or events) shall be considered a Change in Control hereunder, and this Agreement will be applicable thereto only if it, or they, occur during a Protected Period in effect at the time of any Subsequent Change in Control.</w:t>
      </w:r>
    </w:p>
    <w:p>
      <w:pPr>
        <w:spacing w:after="0" w:line="169" w:lineRule="exact"/>
        <w:rPr>
          <w:sz w:val="20"/>
          <w:szCs w:val="20"/>
          <w:color w:val="auto"/>
        </w:rPr>
      </w:pPr>
    </w:p>
    <w:p>
      <w:pPr>
        <w:ind w:right="220" w:firstLine="865"/>
        <w:spacing w:after="0" w:line="253" w:lineRule="auto"/>
        <w:rPr>
          <w:sz w:val="20"/>
          <w:szCs w:val="20"/>
          <w:color w:val="auto"/>
        </w:rPr>
      </w:pPr>
      <w:r>
        <w:rPr>
          <w:rFonts w:ascii="Arial" w:cs="Arial" w:eastAsia="Arial" w:hAnsi="Arial"/>
          <w:sz w:val="20"/>
          <w:szCs w:val="20"/>
          <w:color w:val="auto"/>
        </w:rPr>
        <w:t>Notwithstanding anything herein to the contrary, the Executive shall be entitled to receive the benefits provided in this Agreement one time only under this Agreement, regardless of the number of Changes in Control or Subsequent Changes in Control that may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174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8240" w:type="dxa"/>
            <w:vAlign w:val="bottom"/>
          </w:tcPr>
          <w:p>
            <w:pPr>
              <w:jc w:val="center"/>
              <w:ind w:right="2699"/>
              <w:spacing w:after="0"/>
              <w:rPr>
                <w:sz w:val="20"/>
                <w:szCs w:val="20"/>
                <w:color w:val="auto"/>
              </w:rPr>
            </w:pPr>
            <w:r>
              <w:rPr>
                <w:rFonts w:ascii="Arial" w:cs="Arial" w:eastAsia="Arial" w:hAnsi="Arial"/>
                <w:sz w:val="20"/>
                <w:szCs w:val="20"/>
                <w:b w:val="1"/>
                <w:bCs w:val="1"/>
                <w:color w:val="auto"/>
              </w:rPr>
              <w:t>ARTICLE VII</w:t>
            </w:r>
          </w:p>
        </w:tc>
      </w:tr>
      <w:tr>
        <w:trPr>
          <w:trHeight w:val="263"/>
        </w:trPr>
        <w:tc>
          <w:tcPr>
            <w:tcW w:w="1160" w:type="dxa"/>
            <w:vAlign w:val="bottom"/>
          </w:tcPr>
          <w:p>
            <w:pPr>
              <w:spacing w:after="0"/>
              <w:rPr>
                <w:sz w:val="22"/>
                <w:szCs w:val="22"/>
                <w:color w:val="auto"/>
              </w:rPr>
            </w:pPr>
          </w:p>
        </w:tc>
        <w:tc>
          <w:tcPr>
            <w:tcW w:w="8240" w:type="dxa"/>
            <w:vAlign w:val="bottom"/>
          </w:tcPr>
          <w:p>
            <w:pPr>
              <w:jc w:val="center"/>
              <w:ind w:right="2699"/>
              <w:spacing w:after="0"/>
              <w:rPr>
                <w:sz w:val="20"/>
                <w:szCs w:val="20"/>
                <w:color w:val="auto"/>
              </w:rPr>
            </w:pPr>
            <w:r>
              <w:rPr>
                <w:rFonts w:ascii="Arial" w:cs="Arial" w:eastAsia="Arial" w:hAnsi="Arial"/>
                <w:sz w:val="20"/>
                <w:szCs w:val="20"/>
                <w:b w:val="1"/>
                <w:bCs w:val="1"/>
                <w:color w:val="auto"/>
              </w:rPr>
              <w:t>RESOLUTION OF DISPUTES</w:t>
            </w:r>
          </w:p>
        </w:tc>
      </w:tr>
      <w:tr>
        <w:trPr>
          <w:trHeight w:val="419"/>
        </w:trPr>
        <w:tc>
          <w:tcPr>
            <w:tcW w:w="1160" w:type="dxa"/>
            <w:vAlign w:val="bottom"/>
          </w:tcPr>
          <w:p>
            <w:pPr>
              <w:jc w:val="right"/>
              <w:ind w:right="819"/>
              <w:spacing w:after="0"/>
              <w:rPr>
                <w:sz w:val="20"/>
                <w:szCs w:val="20"/>
                <w:color w:val="auto"/>
              </w:rPr>
            </w:pPr>
            <w:r>
              <w:rPr>
                <w:rFonts w:ascii="Arial" w:cs="Arial" w:eastAsia="Arial" w:hAnsi="Arial"/>
                <w:sz w:val="20"/>
                <w:szCs w:val="20"/>
                <w:b w:val="1"/>
                <w:bCs w:val="1"/>
                <w:color w:val="auto"/>
                <w:w w:val="78"/>
              </w:rPr>
              <w:t>7.1</w:t>
            </w:r>
          </w:p>
        </w:tc>
        <w:tc>
          <w:tcPr>
            <w:tcW w:w="8240" w:type="dxa"/>
            <w:vAlign w:val="bottom"/>
          </w:tcPr>
          <w:p>
            <w:pPr>
              <w:ind w:left="900"/>
              <w:spacing w:after="0"/>
              <w:rPr>
                <w:sz w:val="20"/>
                <w:szCs w:val="20"/>
                <w:color w:val="auto"/>
              </w:rPr>
            </w:pPr>
            <w:r>
              <w:rPr>
                <w:rFonts w:ascii="Arial" w:cs="Arial" w:eastAsia="Arial" w:hAnsi="Arial"/>
                <w:sz w:val="20"/>
                <w:szCs w:val="20"/>
                <w:b w:val="1"/>
                <w:bCs w:val="1"/>
                <w:color w:val="auto"/>
                <w:w w:val="92"/>
              </w:rPr>
              <w:t xml:space="preserve">Arbitration of Claims. </w:t>
            </w:r>
            <w:r>
              <w:rPr>
                <w:rFonts w:ascii="Arial" w:cs="Arial" w:eastAsia="Arial" w:hAnsi="Arial"/>
                <w:sz w:val="20"/>
                <w:szCs w:val="20"/>
                <w:color w:val="auto"/>
                <w:w w:val="92"/>
              </w:rPr>
              <w:t>The Company and the Executive hereby consent to the resolution</w:t>
            </w:r>
          </w:p>
        </w:tc>
      </w:tr>
    </w:tbl>
    <w:p>
      <w:pPr>
        <w:spacing w:after="0"/>
        <w:rPr>
          <w:sz w:val="20"/>
          <w:szCs w:val="20"/>
          <w:color w:val="auto"/>
        </w:rPr>
      </w:pPr>
      <w:r>
        <w:rPr>
          <w:rFonts w:ascii="Arial" w:cs="Arial" w:eastAsia="Arial" w:hAnsi="Arial"/>
          <w:sz w:val="20"/>
          <w:szCs w:val="20"/>
          <w:color w:val="auto"/>
        </w:rPr>
        <w:t>by mandatory and binding arbitration of all claims or controversies arising out of or in connection with this Agreement and/or the Exhibits hereto that the Company may have against the Executive, or that the Executive may have against the Company or against its officers, directors, employees or agents acting in their capacity as such. Each party’s promise to resolve all such claims or controversies by arbitration in accordance with this Agreement, rather than through the courts, is consideration for the other party’s like promise. It is further agreed that the decision of an arbitrator on any issue, dispute, claim or controversy submitted for arbitration shall be final and binding upon the Company and the Executive and that judgment may be entered on the award of the arbitrator in any court having proper jurisdiction.</w:t>
      </w:r>
    </w:p>
    <w:p>
      <w:pPr>
        <w:spacing w:after="0" w:line="172" w:lineRule="exact"/>
        <w:rPr>
          <w:sz w:val="20"/>
          <w:szCs w:val="20"/>
          <w:color w:val="auto"/>
        </w:rPr>
      </w:pPr>
    </w:p>
    <w:p>
      <w:pPr>
        <w:ind w:right="60" w:firstLine="865"/>
        <w:spacing w:after="0" w:line="245" w:lineRule="auto"/>
        <w:rPr>
          <w:sz w:val="20"/>
          <w:szCs w:val="20"/>
          <w:color w:val="auto"/>
        </w:rPr>
      </w:pPr>
      <w:r>
        <w:rPr>
          <w:rFonts w:ascii="Arial" w:cs="Arial" w:eastAsia="Arial" w:hAnsi="Arial"/>
          <w:sz w:val="20"/>
          <w:szCs w:val="20"/>
          <w:color w:val="auto"/>
        </w:rPr>
        <w:t xml:space="preserve">Except as otherwise provided in this procedure or by mutual agreement of the parties, any arbitration shall be before a sole arbitrator (the “Arbitrator’) selected from Judicial Arbitration &amp; Mediation Services, Inc., Los Angeles County, California, or its successor (“JAMS”), or if JAMS is no longer able to supply the arbitrator, such arbitrator shall be selected from the American Arbitration Association, and shall be conducted in accordance with the provisions of California Civil Procedure Code Section 1280 </w:t>
      </w:r>
      <w:r>
        <w:rPr>
          <w:rFonts w:ascii="Arial" w:cs="Arial" w:eastAsia="Arial" w:hAnsi="Arial"/>
          <w:sz w:val="20"/>
          <w:szCs w:val="20"/>
          <w:i w:val="1"/>
          <w:iCs w:val="1"/>
          <w:color w:val="auto"/>
        </w:rPr>
        <w:t>et. seq.</w:t>
      </w:r>
      <w:r>
        <w:rPr>
          <w:rFonts w:ascii="Arial" w:cs="Arial" w:eastAsia="Arial" w:hAnsi="Arial"/>
          <w:sz w:val="20"/>
          <w:szCs w:val="20"/>
          <w:color w:val="auto"/>
        </w:rPr>
        <w:t xml:space="preserve"> as the exclusive remedy of such dispute.</w:t>
      </w:r>
    </w:p>
    <w:p>
      <w:pPr>
        <w:spacing w:after="0" w:line="170" w:lineRule="exact"/>
        <w:rPr>
          <w:sz w:val="20"/>
          <w:szCs w:val="20"/>
          <w:color w:val="auto"/>
        </w:rPr>
      </w:pPr>
    </w:p>
    <w:p>
      <w:pPr>
        <w:ind w:right="100" w:firstLine="865"/>
        <w:spacing w:after="0" w:line="261" w:lineRule="auto"/>
        <w:rPr>
          <w:sz w:val="20"/>
          <w:szCs w:val="20"/>
          <w:color w:val="auto"/>
        </w:rPr>
      </w:pPr>
      <w:r>
        <w:rPr>
          <w:rFonts w:ascii="Arial" w:cs="Arial" w:eastAsia="Arial" w:hAnsi="Arial"/>
          <w:sz w:val="19"/>
          <w:szCs w:val="19"/>
          <w:color w:val="auto"/>
        </w:rPr>
        <w:t>The Arbitrator shall interpret this Agreement, any applicable Company policy or rules and regulations, any applicable substantive law (and the law of remedies, if applicable) of the state in which the claim arose, or applicable federal law. In reaching his or her decision, the Arbitrator shall have no authority to change or modify any lawful Company policy, rule or regulation, or this Agreement. Except as provided in the next paragraph, the Arbitrator, and not any federal, state or local court or agency, shall have exclusive and broad authority to resolve any dispute relating to the interpretation, applicability, enforceability or formation of this</w:t>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7">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233" w:name="page234"/>
    <w:bookmarkEnd w:id="233"/>
    <w:p>
      <w:pPr>
        <w:ind w:right="600"/>
        <w:spacing w:after="0" w:line="253" w:lineRule="auto"/>
        <w:rPr>
          <w:sz w:val="20"/>
          <w:szCs w:val="20"/>
          <w:color w:val="auto"/>
        </w:rPr>
      </w:pPr>
      <w:r>
        <w:rPr>
          <w:rFonts w:ascii="Arial" w:cs="Arial" w:eastAsia="Arial" w:hAnsi="Arial"/>
          <w:sz w:val="20"/>
          <w:szCs w:val="20"/>
          <w:color w:val="auto"/>
        </w:rPr>
        <w:t>Agreement, including but not limited to, any claim that all or any part of this Agreement is voidable. The Arbitrator shall have the authority to decide dispositive motions. Following the completion of the arbitration, the Arbitrator shall issue a written decision disclosing the essential findings and conclusions upon which the award is based.</w:t>
      </w:r>
    </w:p>
    <w:p>
      <w:pPr>
        <w:spacing w:after="0" w:line="160" w:lineRule="exact"/>
        <w:rPr>
          <w:sz w:val="20"/>
          <w:szCs w:val="20"/>
          <w:color w:val="auto"/>
        </w:rPr>
      </w:pPr>
    </w:p>
    <w:p>
      <w:pPr>
        <w:ind w:firstLine="865"/>
        <w:spacing w:after="0" w:line="259" w:lineRule="auto"/>
        <w:rPr>
          <w:sz w:val="20"/>
          <w:szCs w:val="20"/>
          <w:color w:val="auto"/>
        </w:rPr>
      </w:pPr>
      <w:r>
        <w:rPr>
          <w:rFonts w:ascii="Arial" w:cs="Arial" w:eastAsia="Arial" w:hAnsi="Arial"/>
          <w:sz w:val="19"/>
          <w:szCs w:val="19"/>
          <w:color w:val="auto"/>
        </w:rPr>
        <w:t>Notwithstanding the foregoing, provisional injunctive relief may, but need not, be sought by the Executive or the Company in a court of law while arbitration proceedings are pending, and any provisional injunctive relief granted by such court shall remain effective until the matter is finally resolved by the Arbitrator in accordance with the foregoing. Final resolution of any dispute through arbitration may include any remedy or relief which would otherwise be available at law and which the Arbitrator deems just and equitable. The Arbitrator shall have the authority to award full damages as provided by law. Any award or relief granted by the Arbitrator hereunder shall be final and binding on the parties hereto and may be enforced by any court of competent jurisdiction.</w:t>
      </w:r>
    </w:p>
    <w:p>
      <w:pPr>
        <w:spacing w:after="0" w:line="157" w:lineRule="exact"/>
        <w:rPr>
          <w:sz w:val="20"/>
          <w:szCs w:val="20"/>
          <w:color w:val="auto"/>
        </w:rPr>
      </w:pPr>
    </w:p>
    <w:p>
      <w:pPr>
        <w:jc w:val="both"/>
        <w:ind w:right="240" w:firstLine="865"/>
        <w:spacing w:after="0" w:line="272" w:lineRule="auto"/>
        <w:rPr>
          <w:sz w:val="20"/>
          <w:szCs w:val="20"/>
          <w:color w:val="auto"/>
        </w:rPr>
      </w:pPr>
      <w:r>
        <w:rPr>
          <w:rFonts w:ascii="Arial" w:cs="Arial" w:eastAsia="Arial" w:hAnsi="Arial"/>
          <w:sz w:val="19"/>
          <w:szCs w:val="19"/>
          <w:color w:val="auto"/>
        </w:rPr>
        <w:t>The Company shall pay the reasonable fees and expenses of the Arbitrator and a stenographic reporter, if employed, and any other costs associated with the arbitration that are unique to arbitration. Each party shall pay its own legal fees and other expenses and costs incurred with respect to the arbitration as and to the same extent as if the matter were being heard in court.</w:t>
      </w:r>
    </w:p>
    <w:p>
      <w:pPr>
        <w:spacing w:after="0" w:line="200" w:lineRule="exact"/>
        <w:rPr>
          <w:sz w:val="20"/>
          <w:szCs w:val="20"/>
          <w:color w:val="auto"/>
        </w:rPr>
      </w:pPr>
    </w:p>
    <w:p>
      <w:pPr>
        <w:spacing w:after="0" w:line="346" w:lineRule="exact"/>
        <w:rPr>
          <w:sz w:val="20"/>
          <w:szCs w:val="20"/>
          <w:color w:val="auto"/>
        </w:rPr>
      </w:pPr>
    </w:p>
    <w:p>
      <w:pPr>
        <w:ind w:left="4940"/>
        <w:spacing w:after="0"/>
        <w:rPr>
          <w:sz w:val="20"/>
          <w:szCs w:val="20"/>
          <w:color w:val="auto"/>
        </w:rPr>
      </w:pPr>
      <w:r>
        <w:rPr>
          <w:rFonts w:ascii="Arial" w:cs="Arial" w:eastAsia="Arial" w:hAnsi="Arial"/>
          <w:sz w:val="20"/>
          <w:szCs w:val="20"/>
          <w:b w:val="1"/>
          <w:bCs w:val="1"/>
          <w:color w:val="auto"/>
        </w:rPr>
        <w:t>ARTICLE VIII</w:t>
      </w:r>
    </w:p>
    <w:p>
      <w:pPr>
        <w:spacing w:after="0" w:line="20"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SUCCESSORS</w:t>
      </w:r>
    </w:p>
    <w:p>
      <w:pPr>
        <w:spacing w:after="0" w:line="183" w:lineRule="exact"/>
        <w:rPr>
          <w:sz w:val="20"/>
          <w:szCs w:val="20"/>
          <w:color w:val="auto"/>
        </w:rPr>
      </w:pPr>
    </w:p>
    <w:p>
      <w:pPr>
        <w:ind w:right="40" w:firstLine="865"/>
        <w:spacing w:after="0" w:line="243" w:lineRule="auto"/>
        <w:rPr>
          <w:sz w:val="20"/>
          <w:szCs w:val="20"/>
          <w:color w:val="auto"/>
        </w:rPr>
      </w:pPr>
      <w:r>
        <w:rPr>
          <w:rFonts w:ascii="Arial" w:cs="Arial" w:eastAsia="Arial" w:hAnsi="Arial"/>
          <w:sz w:val="20"/>
          <w:szCs w:val="20"/>
          <w:color w:val="auto"/>
        </w:rPr>
        <w:t>The Company will require any successor (whether direct or indirect, by purchase, merger, consolidation, or otherwise) of all or substantially all of the business and/or assets of the Company or of any division or subsidiary thereof (the business and/or assets of which constitute at least fifty-one percent (51%) of the total business and/or assets of the Company) to expressly assume and agree to perform the Company’s obligations under this Agreement in the same manner and to the same extent that the Company would be required to perform them if no such succession had taken place. Failure of the Company to obtain such assumption and agreement in a written instrument prior to the effective date of any such succession shall be a breach of this Agreement and shall entitle the Executive to the benefits provided under this Agreement.</w:t>
      </w:r>
    </w:p>
    <w:p>
      <w:pPr>
        <w:spacing w:after="0" w:line="170" w:lineRule="exact"/>
        <w:rPr>
          <w:sz w:val="20"/>
          <w:szCs w:val="20"/>
          <w:color w:val="auto"/>
        </w:rPr>
      </w:pPr>
    </w:p>
    <w:p>
      <w:pPr>
        <w:ind w:right="20" w:firstLine="865"/>
        <w:spacing w:after="0" w:line="248" w:lineRule="auto"/>
        <w:rPr>
          <w:sz w:val="20"/>
          <w:szCs w:val="20"/>
          <w:color w:val="auto"/>
        </w:rPr>
      </w:pPr>
      <w:r>
        <w:rPr>
          <w:rFonts w:ascii="Arial" w:cs="Arial" w:eastAsia="Arial" w:hAnsi="Arial"/>
          <w:sz w:val="20"/>
          <w:szCs w:val="20"/>
          <w:color w:val="auto"/>
        </w:rPr>
        <w:t>This Agreement shall inure to the benefit of and be enforceable by the Executive’s personal or legal representatives, trustees, executors, administrators, successors, heirs, distributees, devisees, and legatees. If the Executive should die while any amount would still be payable to him hereunder had he continued to live, all such amounts, unless otherwise provided herein, shall be paid to the Executive’s Beneficiary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00"/>
          </w:cols>
          <w:pgMar w:left="320" w:top="752" w:right="379" w:bottom="1440" w:gutter="0" w:footer="0" w:header="0"/>
        </w:sectPr>
      </w:pPr>
    </w:p>
    <w:bookmarkStart w:id="234" w:name="page235"/>
    <w:bookmarkEnd w:id="234"/>
    <w:tbl>
      <w:tblPr>
        <w:tblLayout w:type="fixed"/>
        <w:tblInd w:w="174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8240" w:type="dxa"/>
            <w:vAlign w:val="bottom"/>
          </w:tcPr>
          <w:p>
            <w:pPr>
              <w:jc w:val="center"/>
              <w:ind w:right="2699"/>
              <w:spacing w:after="0"/>
              <w:rPr>
                <w:sz w:val="20"/>
                <w:szCs w:val="20"/>
                <w:color w:val="auto"/>
              </w:rPr>
            </w:pPr>
            <w:r>
              <w:rPr>
                <w:rFonts w:ascii="Arial" w:cs="Arial" w:eastAsia="Arial" w:hAnsi="Arial"/>
                <w:sz w:val="20"/>
                <w:szCs w:val="20"/>
                <w:b w:val="1"/>
                <w:bCs w:val="1"/>
                <w:color w:val="auto"/>
              </w:rPr>
              <w:t>ARTICLE IX</w:t>
            </w:r>
          </w:p>
        </w:tc>
      </w:tr>
      <w:tr>
        <w:trPr>
          <w:trHeight w:val="263"/>
        </w:trPr>
        <w:tc>
          <w:tcPr>
            <w:tcW w:w="1160" w:type="dxa"/>
            <w:vAlign w:val="bottom"/>
          </w:tcPr>
          <w:p>
            <w:pPr>
              <w:spacing w:after="0"/>
              <w:rPr>
                <w:sz w:val="22"/>
                <w:szCs w:val="22"/>
                <w:color w:val="auto"/>
              </w:rPr>
            </w:pPr>
          </w:p>
        </w:tc>
        <w:tc>
          <w:tcPr>
            <w:tcW w:w="8240" w:type="dxa"/>
            <w:vAlign w:val="bottom"/>
          </w:tcPr>
          <w:p>
            <w:pPr>
              <w:jc w:val="center"/>
              <w:ind w:right="2679"/>
              <w:spacing w:after="0"/>
              <w:rPr>
                <w:sz w:val="20"/>
                <w:szCs w:val="20"/>
                <w:color w:val="auto"/>
              </w:rPr>
            </w:pPr>
            <w:r>
              <w:rPr>
                <w:rFonts w:ascii="Arial" w:cs="Arial" w:eastAsia="Arial" w:hAnsi="Arial"/>
                <w:sz w:val="20"/>
                <w:szCs w:val="20"/>
                <w:b w:val="1"/>
                <w:bCs w:val="1"/>
                <w:color w:val="auto"/>
              </w:rPr>
              <w:t>MISCELLANEOUS</w:t>
            </w:r>
          </w:p>
        </w:tc>
      </w:tr>
      <w:tr>
        <w:trPr>
          <w:trHeight w:val="419"/>
        </w:trPr>
        <w:tc>
          <w:tcPr>
            <w:tcW w:w="1160" w:type="dxa"/>
            <w:vAlign w:val="bottom"/>
          </w:tcPr>
          <w:p>
            <w:pPr>
              <w:jc w:val="right"/>
              <w:ind w:right="819"/>
              <w:spacing w:after="0"/>
              <w:rPr>
                <w:sz w:val="20"/>
                <w:szCs w:val="20"/>
                <w:color w:val="auto"/>
              </w:rPr>
            </w:pPr>
            <w:r>
              <w:rPr>
                <w:rFonts w:ascii="Arial" w:cs="Arial" w:eastAsia="Arial" w:hAnsi="Arial"/>
                <w:sz w:val="20"/>
                <w:szCs w:val="20"/>
                <w:b w:val="1"/>
                <w:bCs w:val="1"/>
                <w:color w:val="auto"/>
                <w:w w:val="78"/>
              </w:rPr>
              <w:t>9.1</w:t>
            </w:r>
          </w:p>
        </w:tc>
        <w:tc>
          <w:tcPr>
            <w:tcW w:w="8240" w:type="dxa"/>
            <w:vAlign w:val="bottom"/>
          </w:tcPr>
          <w:p>
            <w:pPr>
              <w:ind w:left="900"/>
              <w:spacing w:after="0"/>
              <w:rPr>
                <w:sz w:val="20"/>
                <w:szCs w:val="20"/>
                <w:color w:val="auto"/>
              </w:rPr>
            </w:pPr>
            <w:r>
              <w:rPr>
                <w:rFonts w:ascii="Arial" w:cs="Arial" w:eastAsia="Arial" w:hAnsi="Arial"/>
                <w:sz w:val="20"/>
                <w:szCs w:val="20"/>
                <w:b w:val="1"/>
                <w:bCs w:val="1"/>
                <w:color w:val="auto"/>
                <w:w w:val="91"/>
              </w:rPr>
              <w:t xml:space="preserve">Release and Agreement. </w:t>
            </w:r>
            <w:r>
              <w:rPr>
                <w:rFonts w:ascii="Arial" w:cs="Arial" w:eastAsia="Arial" w:hAnsi="Arial"/>
                <w:sz w:val="20"/>
                <w:szCs w:val="20"/>
                <w:color w:val="auto"/>
                <w:w w:val="91"/>
              </w:rPr>
              <w:t>Notwithstanding anything else contained herein to the contrary,</w:t>
            </w:r>
          </w:p>
        </w:tc>
      </w:tr>
    </w:tbl>
    <w:p>
      <w:pPr>
        <w:spacing w:after="0" w:line="241" w:lineRule="auto"/>
        <w:rPr>
          <w:sz w:val="20"/>
          <w:szCs w:val="20"/>
          <w:color w:val="auto"/>
        </w:rPr>
      </w:pPr>
      <w:r>
        <w:rPr>
          <w:rFonts w:ascii="Arial" w:cs="Arial" w:eastAsia="Arial" w:hAnsi="Arial"/>
          <w:sz w:val="20"/>
          <w:szCs w:val="20"/>
          <w:color w:val="auto"/>
        </w:rPr>
        <w:t xml:space="preserve">the Company’s obligation to pay benefits hereunder to the Executive is subject to the condition precedent that the Executive execute a valid and effective Severance Agreement in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such other form, which is substantially the same as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as the Committee may require) and such executed agreement is received by the Company and is not revoked by the Executive or otherwise rendered unenforceable by the Executive.</w:t>
      </w:r>
    </w:p>
    <w:p>
      <w:pPr>
        <w:spacing w:after="0" w:line="170" w:lineRule="exact"/>
        <w:rPr>
          <w:sz w:val="20"/>
          <w:szCs w:val="20"/>
          <w:color w:val="auto"/>
        </w:rPr>
      </w:pPr>
    </w:p>
    <w:p>
      <w:pPr>
        <w:ind w:right="40" w:firstLine="1729"/>
        <w:spacing w:after="0" w:line="249" w:lineRule="auto"/>
        <w:rPr>
          <w:sz w:val="20"/>
          <w:szCs w:val="20"/>
          <w:color w:val="auto"/>
        </w:rPr>
      </w:pPr>
      <w:r>
        <w:rPr>
          <w:rFonts w:ascii="Arial" w:cs="Arial" w:eastAsia="Arial" w:hAnsi="Arial"/>
          <w:sz w:val="20"/>
          <w:szCs w:val="20"/>
          <w:b w:val="1"/>
          <w:bCs w:val="1"/>
          <w:color w:val="auto"/>
        </w:rPr>
        <w:t>9.2 Employment Status</w:t>
      </w:r>
      <w:r>
        <w:rPr>
          <w:rFonts w:ascii="Arial" w:cs="Arial" w:eastAsia="Arial" w:hAnsi="Arial"/>
          <w:sz w:val="20"/>
          <w:szCs w:val="20"/>
          <w:color w:val="auto"/>
        </w:rPr>
        <w:t>. The Executive and the Company acknowledge that, except as may</w:t>
      </w:r>
      <w:r>
        <w:rPr>
          <w:rFonts w:ascii="Arial" w:cs="Arial" w:eastAsia="Arial" w:hAnsi="Arial"/>
          <w:sz w:val="20"/>
          <w:szCs w:val="20"/>
          <w:b w:val="1"/>
          <w:bCs w:val="1"/>
          <w:color w:val="auto"/>
        </w:rPr>
        <w:t xml:space="preserve"> </w:t>
      </w:r>
      <w:r>
        <w:rPr>
          <w:rFonts w:ascii="Arial" w:cs="Arial" w:eastAsia="Arial" w:hAnsi="Arial"/>
          <w:sz w:val="20"/>
          <w:szCs w:val="20"/>
          <w:color w:val="auto"/>
        </w:rPr>
        <w:t>be provided under any other written agreement between the Executive and the Company, the employment of the Executive by the Company is “at will,” and may be terminated by either the Executive or the Company at any time, subject to applicable law and subject to the express provisions of Article 2.</w:t>
      </w:r>
    </w:p>
    <w:p>
      <w:pPr>
        <w:spacing w:after="0" w:line="161" w:lineRule="exact"/>
        <w:rPr>
          <w:sz w:val="20"/>
          <w:szCs w:val="20"/>
          <w:color w:val="auto"/>
        </w:rPr>
      </w:pPr>
    </w:p>
    <w:p>
      <w:pPr>
        <w:ind w:right="120" w:firstLine="1729"/>
        <w:spacing w:after="0" w:line="249" w:lineRule="auto"/>
        <w:rPr>
          <w:sz w:val="20"/>
          <w:szCs w:val="20"/>
          <w:color w:val="auto"/>
        </w:rPr>
      </w:pPr>
      <w:r>
        <w:rPr>
          <w:rFonts w:ascii="Arial" w:cs="Arial" w:eastAsia="Arial" w:hAnsi="Arial"/>
          <w:sz w:val="20"/>
          <w:szCs w:val="20"/>
          <w:b w:val="1"/>
          <w:bCs w:val="1"/>
          <w:color w:val="auto"/>
        </w:rPr>
        <w:t>9.3 Beneficiaries</w:t>
      </w:r>
      <w:r>
        <w:rPr>
          <w:rFonts w:ascii="Arial" w:cs="Arial" w:eastAsia="Arial" w:hAnsi="Arial"/>
          <w:sz w:val="20"/>
          <w:szCs w:val="20"/>
          <w:color w:val="auto"/>
        </w:rPr>
        <w:t>. Subject to the other provisions of this Section 9.3, the person or persons</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a trustee, personal representative or other fiduciary) last designated in writing by the Executive in accordance with procedures established by the Committee to receive the benefits specified hereunder in the event of the Executive’s death shall be the Executive’s Beneficiary or Beneficiaries.</w:t>
      </w:r>
    </w:p>
    <w:p>
      <w:pPr>
        <w:spacing w:after="0" w:line="165" w:lineRule="exact"/>
        <w:rPr>
          <w:sz w:val="20"/>
          <w:szCs w:val="20"/>
          <w:color w:val="auto"/>
        </w:rPr>
      </w:pPr>
    </w:p>
    <w:p>
      <w:pPr>
        <w:ind w:right="100" w:firstLine="865"/>
        <w:spacing w:after="0" w:line="253" w:lineRule="auto"/>
        <w:rPr>
          <w:sz w:val="20"/>
          <w:szCs w:val="20"/>
          <w:color w:val="auto"/>
        </w:rPr>
      </w:pPr>
      <w:r>
        <w:rPr>
          <w:rFonts w:ascii="Arial" w:cs="Arial" w:eastAsia="Arial" w:hAnsi="Arial"/>
          <w:sz w:val="20"/>
          <w:szCs w:val="20"/>
          <w:color w:val="auto"/>
        </w:rPr>
        <w:t>No beneficiary designation shall become effective until it is filed with the Committee, and no beneficiary designation of someone other than the Executive’s spouse shall be effective unless such designation is consented to by the Executive’s spouse on a form provided by and in accordance with procedures established by the Committee.</w:t>
      </w:r>
    </w:p>
    <w:p>
      <w:pPr>
        <w:spacing w:after="0" w:line="160" w:lineRule="exact"/>
        <w:rPr>
          <w:sz w:val="20"/>
          <w:szCs w:val="20"/>
          <w:color w:val="auto"/>
        </w:rPr>
      </w:pPr>
    </w:p>
    <w:p>
      <w:pPr>
        <w:ind w:right="20" w:firstLine="865"/>
        <w:spacing w:after="0" w:line="256" w:lineRule="auto"/>
        <w:rPr>
          <w:sz w:val="20"/>
          <w:szCs w:val="20"/>
          <w:color w:val="auto"/>
        </w:rPr>
      </w:pPr>
      <w:r>
        <w:rPr>
          <w:rFonts w:ascii="Arial" w:cs="Arial" w:eastAsia="Arial" w:hAnsi="Arial"/>
          <w:sz w:val="19"/>
          <w:szCs w:val="19"/>
          <w:color w:val="auto"/>
        </w:rPr>
        <w:t>If there is no Beneficiary designation in effect, or if there is no surviving designated Beneficiary, then the Executive’s surviving spouse shall be the Beneficiary. If there is no surviving spouse to receive any benefits payable in accordance with the preceding sentence, the duly appointed and currently acting personal representative of the Executive’s estate (which shall include either the Executive’s probate estate or living trust) shall be the Beneficiary. In any case where there is no such personal representative of the Executive’s estate duly appointed and acting in that capacity within 90 days after the Executive’s death (or such extended period as the Committee determines is reasonably necessary to allow such personal representative to be appointed, but not to exceed 180 days after the Executive’s death), then Beneficiary shall mean the person or persons who can verify by affidavit or court order to the satisfaction of the Committee that they are legally entitled to receive the benefits specified hereunder.</w:t>
      </w:r>
    </w:p>
    <w:p>
      <w:pPr>
        <w:spacing w:after="0" w:line="164" w:lineRule="exact"/>
        <w:rPr>
          <w:sz w:val="20"/>
          <w:szCs w:val="20"/>
          <w:color w:val="auto"/>
        </w:rPr>
      </w:pPr>
    </w:p>
    <w:p>
      <w:pPr>
        <w:ind w:right="340" w:firstLine="865"/>
        <w:spacing w:after="0" w:line="279" w:lineRule="auto"/>
        <w:rPr>
          <w:sz w:val="20"/>
          <w:szCs w:val="20"/>
          <w:color w:val="auto"/>
        </w:rPr>
      </w:pPr>
      <w:r>
        <w:rPr>
          <w:rFonts w:ascii="Arial" w:cs="Arial" w:eastAsia="Arial" w:hAnsi="Arial"/>
          <w:sz w:val="18"/>
          <w:szCs w:val="18"/>
          <w:color w:val="auto"/>
        </w:rPr>
        <w:t>Notwithstanding anything else herein to the contrary, in the event any amount is payable under this Agreement to a minor, payment shall not be made to the minor, but instead be paid: (a) to that person’s living parent(s) to act as custodian; (b) if that person’s parents are then divorced, and one parent is the sole custodial parent, to such custodial parent; or (c) if no parent of that person is then living, to a custodian selected by the Committee to hold the funds for the minor under the Uniform Transfers or Gifts to Minors Act in effect in the jurisdiction in which the minor resides. If no parent is living and the Committee decides not to select another</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235" w:name="page236"/>
    <w:bookmarkEnd w:id="235"/>
    <w:p>
      <w:pPr>
        <w:ind w:right="20"/>
        <w:spacing w:after="0" w:line="272" w:lineRule="auto"/>
        <w:rPr>
          <w:sz w:val="20"/>
          <w:szCs w:val="20"/>
          <w:color w:val="auto"/>
        </w:rPr>
      </w:pPr>
      <w:r>
        <w:rPr>
          <w:rFonts w:ascii="Arial" w:cs="Arial" w:eastAsia="Arial" w:hAnsi="Arial"/>
          <w:sz w:val="19"/>
          <w:szCs w:val="19"/>
          <w:color w:val="auto"/>
        </w:rPr>
        <w:t>custodian to hold the funds for the minor, then payment shall be made to the duly appointed and currently acting guardian of the estate for the minor or, if no guardian of the estate for the minor is duly appointed and currently acting within 60 days after the date the amount becomes payable, payment shall be deposited with the court having jurisdiction over the estate of the minor.</w:t>
      </w:r>
    </w:p>
    <w:p>
      <w:pPr>
        <w:spacing w:after="0" w:line="141" w:lineRule="exact"/>
        <w:rPr>
          <w:sz w:val="20"/>
          <w:szCs w:val="20"/>
          <w:color w:val="auto"/>
        </w:rPr>
      </w:pPr>
    </w:p>
    <w:p>
      <w:pPr>
        <w:ind w:right="360" w:firstLine="1729"/>
        <w:spacing w:after="0" w:line="255" w:lineRule="auto"/>
        <w:rPr>
          <w:sz w:val="20"/>
          <w:szCs w:val="20"/>
          <w:color w:val="auto"/>
        </w:rPr>
      </w:pPr>
      <w:r>
        <w:rPr>
          <w:rFonts w:ascii="Arial" w:cs="Arial" w:eastAsia="Arial" w:hAnsi="Arial"/>
          <w:sz w:val="20"/>
          <w:szCs w:val="20"/>
          <w:b w:val="1"/>
          <w:bCs w:val="1"/>
          <w:color w:val="auto"/>
        </w:rPr>
        <w:t xml:space="preserve">9.4 Entire Agreement. </w:t>
      </w:r>
      <w:r>
        <w:rPr>
          <w:rFonts w:ascii="Arial" w:cs="Arial" w:eastAsia="Arial" w:hAnsi="Arial"/>
          <w:sz w:val="20"/>
          <w:szCs w:val="20"/>
          <w:color w:val="auto"/>
        </w:rPr>
        <w:t>This Agreement, including the Exhibits hereto, contains the entire</w:t>
      </w:r>
      <w:r>
        <w:rPr>
          <w:rFonts w:ascii="Arial" w:cs="Arial" w:eastAsia="Arial" w:hAnsi="Arial"/>
          <w:sz w:val="20"/>
          <w:szCs w:val="20"/>
          <w:b w:val="1"/>
          <w:bCs w:val="1"/>
          <w:color w:val="auto"/>
        </w:rPr>
        <w:t xml:space="preserve"> </w:t>
      </w:r>
      <w:r>
        <w:rPr>
          <w:rFonts w:ascii="Arial" w:cs="Arial" w:eastAsia="Arial" w:hAnsi="Arial"/>
          <w:sz w:val="20"/>
          <w:szCs w:val="20"/>
          <w:color w:val="auto"/>
        </w:rPr>
        <w:t>understanding of the Company and the Executive, and supersedes and replaces all prior negotiations and all agreements proposed or otherwise, whether written or oral, with respect to the subject matter hereof.</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900" w:type="dxa"/>
            <w:vAlign w:val="bottom"/>
          </w:tcPr>
          <w:p>
            <w:pPr>
              <w:jc w:val="right"/>
              <w:ind w:right="819"/>
              <w:spacing w:after="0"/>
              <w:rPr>
                <w:sz w:val="20"/>
                <w:szCs w:val="20"/>
                <w:color w:val="auto"/>
              </w:rPr>
            </w:pPr>
            <w:r>
              <w:rPr>
                <w:rFonts w:ascii="Arial" w:cs="Arial" w:eastAsia="Arial" w:hAnsi="Arial"/>
                <w:sz w:val="20"/>
                <w:szCs w:val="20"/>
                <w:b w:val="1"/>
                <w:bCs w:val="1"/>
                <w:color w:val="auto"/>
              </w:rPr>
              <w:t>9.5</w:t>
            </w:r>
          </w:p>
        </w:tc>
        <w:tc>
          <w:tcPr>
            <w:tcW w:w="8200" w:type="dxa"/>
            <w:vAlign w:val="bottom"/>
          </w:tcPr>
          <w:p>
            <w:pPr>
              <w:ind w:left="900"/>
              <w:spacing w:after="0"/>
              <w:rPr>
                <w:sz w:val="20"/>
                <w:szCs w:val="20"/>
                <w:color w:val="auto"/>
              </w:rPr>
            </w:pPr>
            <w:r>
              <w:rPr>
                <w:rFonts w:ascii="Arial" w:cs="Arial" w:eastAsia="Arial" w:hAnsi="Arial"/>
                <w:sz w:val="20"/>
                <w:szCs w:val="20"/>
                <w:b w:val="1"/>
                <w:bCs w:val="1"/>
                <w:color w:val="auto"/>
                <w:w w:val="95"/>
              </w:rPr>
              <w:t>Gender and Number</w:t>
            </w:r>
            <w:r>
              <w:rPr>
                <w:rFonts w:ascii="Arial" w:cs="Arial" w:eastAsia="Arial" w:hAnsi="Arial"/>
                <w:sz w:val="20"/>
                <w:szCs w:val="20"/>
                <w:color w:val="auto"/>
                <w:w w:val="95"/>
              </w:rPr>
              <w:t>. Except where otherwise indicated by the context any masculine</w:t>
            </w:r>
          </w:p>
        </w:tc>
      </w:tr>
      <w:tr>
        <w:trPr>
          <w:trHeight w:val="259"/>
        </w:trPr>
        <w:tc>
          <w:tcPr>
            <w:tcW w:w="11100" w:type="dxa"/>
            <w:vAlign w:val="bottom"/>
            <w:gridSpan w:val="2"/>
          </w:tcPr>
          <w:p>
            <w:pPr>
              <w:spacing w:after="0"/>
              <w:rPr>
                <w:sz w:val="20"/>
                <w:szCs w:val="20"/>
                <w:color w:val="auto"/>
              </w:rPr>
            </w:pPr>
            <w:r>
              <w:rPr>
                <w:rFonts w:ascii="Arial" w:cs="Arial" w:eastAsia="Arial" w:hAnsi="Arial"/>
                <w:sz w:val="20"/>
                <w:szCs w:val="20"/>
                <w:color w:val="auto"/>
              </w:rPr>
              <w:t>term used herein also shall include the feminine, the plural shall include the singular, and the singular shall include the plural.</w:t>
            </w:r>
          </w:p>
        </w:tc>
      </w:tr>
      <w:tr>
        <w:trPr>
          <w:trHeight w:val="419"/>
        </w:trPr>
        <w:tc>
          <w:tcPr>
            <w:tcW w:w="2900" w:type="dxa"/>
            <w:vAlign w:val="bottom"/>
          </w:tcPr>
          <w:p>
            <w:pPr>
              <w:jc w:val="right"/>
              <w:ind w:right="819"/>
              <w:spacing w:after="0"/>
              <w:rPr>
                <w:sz w:val="20"/>
                <w:szCs w:val="20"/>
                <w:color w:val="auto"/>
              </w:rPr>
            </w:pPr>
            <w:r>
              <w:rPr>
                <w:rFonts w:ascii="Arial" w:cs="Arial" w:eastAsia="Arial" w:hAnsi="Arial"/>
                <w:sz w:val="20"/>
                <w:szCs w:val="20"/>
                <w:b w:val="1"/>
                <w:bCs w:val="1"/>
                <w:color w:val="auto"/>
              </w:rPr>
              <w:t>9.6</w:t>
            </w:r>
          </w:p>
        </w:tc>
        <w:tc>
          <w:tcPr>
            <w:tcW w:w="8200" w:type="dxa"/>
            <w:vAlign w:val="bottom"/>
          </w:tcPr>
          <w:p>
            <w:pPr>
              <w:ind w:left="900"/>
              <w:spacing w:after="0"/>
              <w:rPr>
                <w:sz w:val="20"/>
                <w:szCs w:val="20"/>
                <w:color w:val="auto"/>
              </w:rPr>
            </w:pPr>
            <w:r>
              <w:rPr>
                <w:rFonts w:ascii="Arial" w:cs="Arial" w:eastAsia="Arial" w:hAnsi="Arial"/>
                <w:sz w:val="20"/>
                <w:szCs w:val="20"/>
                <w:b w:val="1"/>
                <w:bCs w:val="1"/>
                <w:color w:val="auto"/>
                <w:w w:val="94"/>
              </w:rPr>
              <w:t>Severability</w:t>
            </w:r>
            <w:r>
              <w:rPr>
                <w:rFonts w:ascii="Arial" w:cs="Arial" w:eastAsia="Arial" w:hAnsi="Arial"/>
                <w:sz w:val="20"/>
                <w:szCs w:val="20"/>
                <w:color w:val="auto"/>
                <w:w w:val="94"/>
              </w:rPr>
              <w:t>. In the event any provision of this Agreement shall be held illegal or invalid</w:t>
            </w:r>
          </w:p>
        </w:tc>
      </w:tr>
    </w:tbl>
    <w:p>
      <w:pPr>
        <w:ind w:right="300"/>
        <w:spacing w:after="0" w:line="243" w:lineRule="auto"/>
        <w:rPr>
          <w:sz w:val="20"/>
          <w:szCs w:val="20"/>
          <w:color w:val="auto"/>
        </w:rPr>
      </w:pPr>
      <w:r>
        <w:rPr>
          <w:rFonts w:ascii="Arial" w:cs="Arial" w:eastAsia="Arial" w:hAnsi="Arial"/>
          <w:sz w:val="20"/>
          <w:szCs w:val="20"/>
          <w:color w:val="auto"/>
        </w:rPr>
        <w:t>for any reason, the illegality or invalidity shall not affect the remaining parts of this Agreement, and this Agreement shall be construed and enforced as if the illegal or invalid provision had not been included. Further, the captions of this Agreement are not part of the provisions hereof and shall have no force and effect.</w:t>
      </w:r>
    </w:p>
    <w:p>
      <w:pPr>
        <w:spacing w:after="0" w:line="167" w:lineRule="exact"/>
        <w:rPr>
          <w:sz w:val="20"/>
          <w:szCs w:val="20"/>
          <w:color w:val="auto"/>
        </w:rPr>
      </w:pPr>
    </w:p>
    <w:p>
      <w:pPr>
        <w:ind w:firstLine="1729"/>
        <w:spacing w:after="0" w:line="255" w:lineRule="auto"/>
        <w:rPr>
          <w:sz w:val="20"/>
          <w:szCs w:val="20"/>
          <w:color w:val="auto"/>
        </w:rPr>
      </w:pPr>
      <w:r>
        <w:rPr>
          <w:rFonts w:ascii="Arial" w:cs="Arial" w:eastAsia="Arial" w:hAnsi="Arial"/>
          <w:sz w:val="20"/>
          <w:szCs w:val="20"/>
          <w:b w:val="1"/>
          <w:bCs w:val="1"/>
          <w:color w:val="auto"/>
        </w:rPr>
        <w:t xml:space="preserve">9.7 Modification. </w:t>
      </w:r>
      <w:r>
        <w:rPr>
          <w:rFonts w:ascii="Arial" w:cs="Arial" w:eastAsia="Arial" w:hAnsi="Arial"/>
          <w:sz w:val="20"/>
          <w:szCs w:val="20"/>
          <w:color w:val="auto"/>
        </w:rPr>
        <w:t>No provision of this Agreement may be modified, waived, or discharged</w:t>
      </w:r>
      <w:r>
        <w:rPr>
          <w:rFonts w:ascii="Arial" w:cs="Arial" w:eastAsia="Arial" w:hAnsi="Arial"/>
          <w:sz w:val="20"/>
          <w:szCs w:val="20"/>
          <w:b w:val="1"/>
          <w:bCs w:val="1"/>
          <w:color w:val="auto"/>
        </w:rPr>
        <w:t xml:space="preserve"> </w:t>
      </w:r>
      <w:r>
        <w:rPr>
          <w:rFonts w:ascii="Arial" w:cs="Arial" w:eastAsia="Arial" w:hAnsi="Arial"/>
          <w:sz w:val="20"/>
          <w:szCs w:val="20"/>
          <w:color w:val="auto"/>
        </w:rPr>
        <w:t>unless such modification, waiver, or discharge is agreed to in writing and signed by the Executive (or the Executive’s legal representative) and by an authorized member of the Committee (or the Board) or its designee or legal representative.</w:t>
      </w:r>
    </w:p>
    <w:p>
      <w:pPr>
        <w:spacing w:after="0" w:line="154" w:lineRule="exact"/>
        <w:rPr>
          <w:sz w:val="20"/>
          <w:szCs w:val="20"/>
          <w:color w:val="auto"/>
        </w:rPr>
      </w:pPr>
    </w:p>
    <w:p>
      <w:pPr>
        <w:ind w:right="60" w:firstLine="1729"/>
        <w:spacing w:after="0" w:line="275" w:lineRule="auto"/>
        <w:rPr>
          <w:sz w:val="20"/>
          <w:szCs w:val="20"/>
          <w:color w:val="auto"/>
        </w:rPr>
      </w:pPr>
      <w:r>
        <w:rPr>
          <w:rFonts w:ascii="Arial" w:cs="Arial" w:eastAsia="Arial" w:hAnsi="Arial"/>
          <w:sz w:val="18"/>
          <w:szCs w:val="18"/>
          <w:b w:val="1"/>
          <w:bCs w:val="1"/>
          <w:color w:val="auto"/>
        </w:rPr>
        <w:t xml:space="preserve">9.8 Notice. </w:t>
      </w:r>
      <w:r>
        <w:rPr>
          <w:rFonts w:ascii="Arial" w:cs="Arial" w:eastAsia="Arial" w:hAnsi="Arial"/>
          <w:sz w:val="18"/>
          <w:szCs w:val="18"/>
          <w:color w:val="auto"/>
        </w:rPr>
        <w:t>For purposes of this Agreement, notices, including Notice of Termination,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communications provided for in this Agreement shall be in writing and shall be deemed to have been duly given when delivered or on the date stamped as received by the U.S. Postal Service for delivery by certified or registered mail, postage prepaid and addressed: (a) if to the Executive, to his or her latest address as reflected on the records of the Company, and (b) if to the Company, to Parsons Corporation, 100 West Walnut Street, Pasadena, California 91124, Attn: Chair, Compensation Committee, or to such other address as either party may furnish to the other in writing for the delivery of notices to that party, with specific reference to this Agreement and the importance of the notice, except that a notice of change of address shall be effective only upon receipt by the other party.</w:t>
      </w:r>
    </w:p>
    <w:p>
      <w:pPr>
        <w:spacing w:after="0" w:line="140" w:lineRule="exact"/>
        <w:rPr>
          <w:sz w:val="20"/>
          <w:szCs w:val="20"/>
          <w:color w:val="auto"/>
        </w:rPr>
      </w:pPr>
    </w:p>
    <w:p>
      <w:pPr>
        <w:ind w:firstLine="1729"/>
        <w:spacing w:after="0" w:line="249" w:lineRule="auto"/>
        <w:rPr>
          <w:sz w:val="20"/>
          <w:szCs w:val="20"/>
          <w:color w:val="auto"/>
        </w:rPr>
      </w:pPr>
      <w:r>
        <w:rPr>
          <w:rFonts w:ascii="Arial" w:cs="Arial" w:eastAsia="Arial" w:hAnsi="Arial"/>
          <w:sz w:val="20"/>
          <w:szCs w:val="20"/>
          <w:b w:val="1"/>
          <w:bCs w:val="1"/>
          <w:color w:val="auto"/>
        </w:rPr>
        <w:t xml:space="preserve">9.9 Applicable Law. </w:t>
      </w:r>
      <w:r>
        <w:rPr>
          <w:rFonts w:ascii="Arial" w:cs="Arial" w:eastAsia="Arial" w:hAnsi="Arial"/>
          <w:sz w:val="20"/>
          <w:szCs w:val="20"/>
          <w:color w:val="auto"/>
        </w:rPr>
        <w:t>To the extent not preempted by the laws of the United States, the laws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State of California shall be the controlling law in all matters relating to this Agreement, without regard to principles of conflicts of laws. Any statutory reference in this Agreement shall also be deemed to refer to all final rules and final regulations promulgated under or with respect to the referenced statutory provision.</w:t>
      </w:r>
    </w:p>
    <w:p>
      <w:pPr>
        <w:spacing w:after="0" w:line="161" w:lineRule="exact"/>
        <w:rPr>
          <w:sz w:val="20"/>
          <w:szCs w:val="20"/>
          <w:color w:val="auto"/>
        </w:rPr>
      </w:pPr>
    </w:p>
    <w:p>
      <w:pPr>
        <w:ind w:right="80" w:firstLine="1729"/>
        <w:spacing w:after="0" w:line="249" w:lineRule="auto"/>
        <w:rPr>
          <w:sz w:val="20"/>
          <w:szCs w:val="20"/>
          <w:color w:val="auto"/>
        </w:rPr>
      </w:pPr>
      <w:r>
        <w:rPr>
          <w:rFonts w:ascii="Arial" w:cs="Arial" w:eastAsia="Arial" w:hAnsi="Arial"/>
          <w:sz w:val="20"/>
          <w:szCs w:val="20"/>
          <w:b w:val="1"/>
          <w:bCs w:val="1"/>
          <w:color w:val="auto"/>
        </w:rPr>
        <w:t xml:space="preserve">9.10 Code Sections 280G and 4999. </w:t>
      </w:r>
      <w:r>
        <w:rPr>
          <w:rFonts w:ascii="Arial" w:cs="Arial" w:eastAsia="Arial" w:hAnsi="Arial"/>
          <w:sz w:val="20"/>
          <w:szCs w:val="20"/>
          <w:color w:val="auto"/>
        </w:rPr>
        <w:t>Notwithstanding anything contained in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to the contrary, if following a change in ownership or effective control or in the ownership of a substantial portion of assets (in each case, within the meaning of Section 280G of the Code), the tax imposed by Section 4999 of the Code or any similar or successor tax (the “Excise Tax”) applies to any payments, benefits and/or amounts received by the Executive</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0">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20"/>
          </w:cols>
          <w:pgMar w:left="320" w:top="752" w:right="359" w:bottom="1440" w:gutter="0" w:footer="0" w:header="0"/>
        </w:sectPr>
      </w:pPr>
    </w:p>
    <w:bookmarkStart w:id="236" w:name="page237"/>
    <w:bookmarkEnd w:id="236"/>
    <w:p>
      <w:pPr>
        <w:spacing w:after="0" w:line="241" w:lineRule="auto"/>
        <w:rPr>
          <w:sz w:val="20"/>
          <w:szCs w:val="20"/>
          <w:color w:val="auto"/>
        </w:rPr>
      </w:pPr>
      <w:r>
        <w:rPr>
          <w:rFonts w:ascii="Arial" w:cs="Arial" w:eastAsia="Arial" w:hAnsi="Arial"/>
          <w:sz w:val="20"/>
          <w:szCs w:val="20"/>
          <w:color w:val="auto"/>
        </w:rPr>
        <w:t>pursuant to this Agreement or otherwise (collectively, the “Total Payments”), then the Total Payments shall be reduced (but not below zero) so that the maximum amount of the Total Payments (after reduction) shall be one dollar ($1.00) less than the amount which would cause the Total Payments to be subject to the Excise Tax; provided that such reduction to the Total Payments shall be made only if the total after-tax benefit to the Executive is greater after giving effect to such reduction than if no such reduction had been made. If such a reduction is required, the Company shall reduce or eliminate the Total Payments by first reducing or eliminating any cash payments under this Agreement, then by reducing or eliminating any accelerated vesting of any long-term cash incentive awards, then by reducing or eliminating any other remaining Total Payments, in each case in reverse order beginning with the payments which are to be paid the farthest in time from the date of the transaction triggering the Excise Tax. The provisions of this Section 9.10 shall take precedence over the provisions of any other plan, arrangement or agreement governing the Executive’s rights and entitlements to any benefits or compensation.</w:t>
      </w:r>
    </w:p>
    <w:p>
      <w:pPr>
        <w:spacing w:after="0" w:line="200" w:lineRule="exact"/>
        <w:rPr>
          <w:sz w:val="20"/>
          <w:szCs w:val="20"/>
          <w:color w:val="auto"/>
        </w:rPr>
      </w:pPr>
    </w:p>
    <w:p>
      <w:pPr>
        <w:spacing w:after="0" w:line="377"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executed this Agreement on the date first set forth above.</w:t>
      </w:r>
    </w:p>
    <w:p>
      <w:pPr>
        <w:spacing w:after="0" w:line="201"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Name: George Ball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Parsons Corporation</w:t>
      </w:r>
    </w:p>
    <w:p>
      <w:pPr>
        <w:spacing w:after="0" w:line="306" w:lineRule="exact"/>
        <w:rPr>
          <w:sz w:val="20"/>
          <w:szCs w:val="20"/>
          <w:color w:val="auto"/>
        </w:rPr>
      </w:pPr>
    </w:p>
    <w:p>
      <w:pPr>
        <w:ind w:left="60"/>
        <w:spacing w:after="0"/>
        <w:rPr>
          <w:sz w:val="20"/>
          <w:szCs w:val="20"/>
          <w:color w:val="auto"/>
        </w:rPr>
      </w:pPr>
      <w:r>
        <w:rPr>
          <w:rFonts w:ascii="Arial" w:cs="Arial" w:eastAsia="Arial" w:hAnsi="Arial"/>
          <w:sz w:val="20"/>
          <w:szCs w:val="20"/>
          <w:color w:val="auto"/>
        </w:rPr>
        <w:t>By:</w:t>
      </w:r>
    </w:p>
    <w:p>
      <w:pPr>
        <w:spacing w:after="0" w:line="20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Carey Smith</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20"/>
          <w:szCs w:val="20"/>
          <w:color w:val="auto"/>
        </w:rPr>
        <w:t>Chief Executive Officer</w:t>
      </w:r>
    </w:p>
    <w:p>
      <w:pPr>
        <w:spacing w:after="0" w:line="158"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A-15</w:t>
      </w:r>
    </w:p>
    <w:p>
      <w:pPr>
        <w:sectPr>
          <w:pgSz w:w="11900" w:h="16838" w:orient="portrait"/>
          <w:cols w:equalWidth="0" w:num="1">
            <w:col w:w="11200"/>
          </w:cols>
          <w:pgMar w:left="320" w:top="752" w:right="379" w:bottom="1440" w:gutter="0" w:footer="0" w:header="0"/>
        </w:sectPr>
      </w:pPr>
    </w:p>
    <w:bookmarkStart w:id="237" w:name="page238"/>
    <w:bookmarkEnd w:id="237"/>
    <w:p>
      <w:pPr>
        <w:spacing w:after="0"/>
        <w:rPr>
          <w:sz w:val="20"/>
          <w:szCs w:val="20"/>
          <w:color w:val="auto"/>
        </w:rPr>
      </w:pPr>
      <w:r>
        <w:rPr>
          <w:rFonts w:ascii="Arial" w:cs="Arial" w:eastAsia="Arial" w:hAnsi="Arial"/>
          <w:sz w:val="20"/>
          <w:szCs w:val="20"/>
          <w:color w:val="auto"/>
        </w:rPr>
        <w:t>Exhibit 10.31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PARSONS CORPORATION</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CHANGE IN CONTROL SEVERANCE AGREEMENT</w:t>
      </w:r>
    </w:p>
    <w:p>
      <w:pPr>
        <w:spacing w:after="0" w:line="382"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 xml:space="preserve">THIS CHANGE IN CONTROL SEVERANCE AGREEMENT </w:t>
      </w:r>
      <w:r>
        <w:rPr>
          <w:rFonts w:ascii="Arial" w:cs="Arial" w:eastAsia="Arial" w:hAnsi="Arial"/>
          <w:sz w:val="19"/>
          <w:szCs w:val="19"/>
          <w:color w:val="auto"/>
        </w:rPr>
        <w:t>(this “Agreement”) is made and entered into on this ____</w:t>
      </w:r>
    </w:p>
    <w:p>
      <w:pPr>
        <w:spacing w:after="0" w:line="32" w:lineRule="exact"/>
        <w:rPr>
          <w:sz w:val="20"/>
          <w:szCs w:val="20"/>
          <w:color w:val="auto"/>
        </w:rPr>
      </w:pPr>
    </w:p>
    <w:p>
      <w:pPr>
        <w:ind w:right="260"/>
        <w:spacing w:after="0" w:line="249" w:lineRule="auto"/>
        <w:rPr>
          <w:sz w:val="20"/>
          <w:szCs w:val="20"/>
          <w:color w:val="auto"/>
        </w:rPr>
      </w:pPr>
      <w:r>
        <w:rPr>
          <w:rFonts w:ascii="Arial" w:cs="Arial" w:eastAsia="Arial" w:hAnsi="Arial"/>
          <w:sz w:val="20"/>
          <w:szCs w:val="20"/>
          <w:color w:val="auto"/>
        </w:rPr>
        <w:t>day of August 2021 (the “Effective Date”), by and between Parsons Corporation, a Delaware corporation (hereinafter referred to as the “Company”) and Michael Kolloway (the “Executive”).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RECITALS</w:t>
      </w:r>
    </w:p>
    <w:p>
      <w:pPr>
        <w:spacing w:after="0" w:line="205" w:lineRule="exact"/>
        <w:rPr>
          <w:sz w:val="20"/>
          <w:szCs w:val="20"/>
          <w:color w:val="auto"/>
        </w:rPr>
      </w:pPr>
    </w:p>
    <w:p>
      <w:pPr>
        <w:ind w:right="60" w:firstLine="865"/>
        <w:spacing w:after="0" w:line="324" w:lineRule="auto"/>
        <w:rPr>
          <w:sz w:val="20"/>
          <w:szCs w:val="20"/>
          <w:color w:val="auto"/>
        </w:rPr>
      </w:pPr>
      <w:r>
        <w:rPr>
          <w:rFonts w:ascii="Arial" w:cs="Arial" w:eastAsia="Arial" w:hAnsi="Arial"/>
          <w:sz w:val="18"/>
          <w:szCs w:val="18"/>
          <w:color w:val="auto"/>
        </w:rPr>
        <w:t>The Compensation Committee of the Board of Directors of Parsons Corporation (the “Committee”) and the Board of Directors have approved the Company’s entering into this Agreement with the Executive. The Executive is a key executive of the Company.</w:t>
      </w:r>
    </w:p>
    <w:p>
      <w:pPr>
        <w:spacing w:after="0" w:line="100" w:lineRule="exact"/>
        <w:rPr>
          <w:sz w:val="20"/>
          <w:szCs w:val="20"/>
          <w:color w:val="auto"/>
        </w:rPr>
      </w:pPr>
    </w:p>
    <w:p>
      <w:pPr>
        <w:jc w:val="both"/>
        <w:ind w:right="40" w:firstLine="865"/>
        <w:spacing w:after="0" w:line="284" w:lineRule="auto"/>
        <w:rPr>
          <w:sz w:val="20"/>
          <w:szCs w:val="20"/>
          <w:color w:val="auto"/>
        </w:rPr>
      </w:pPr>
      <w:r>
        <w:rPr>
          <w:rFonts w:ascii="Arial" w:cs="Arial" w:eastAsia="Arial" w:hAnsi="Arial"/>
          <w:sz w:val="18"/>
          <w:szCs w:val="18"/>
          <w:color w:val="auto"/>
        </w:rPr>
        <w:t>Should the possibility of a Change in Control (as defined below) arise, the Committee believes it imperative that the Company should be able to rely upon the Executive to continue in his or her position, and that the Company should be able to receive and rely upon the Executive’s advice, if requested, as to the best interests of the Company and its shareholders without concern that the Executive might be distracted by the personal uncertainties and risks created by the possibility of a Change in Control.</w:t>
      </w:r>
    </w:p>
    <w:p>
      <w:pPr>
        <w:spacing w:after="0" w:line="136" w:lineRule="exact"/>
        <w:rPr>
          <w:sz w:val="20"/>
          <w:szCs w:val="20"/>
          <w:color w:val="auto"/>
        </w:rPr>
      </w:pPr>
    </w:p>
    <w:p>
      <w:pPr>
        <w:ind w:right="20" w:firstLine="865"/>
        <w:spacing w:after="0" w:line="248" w:lineRule="auto"/>
        <w:rPr>
          <w:sz w:val="20"/>
          <w:szCs w:val="20"/>
          <w:color w:val="auto"/>
        </w:rPr>
      </w:pPr>
      <w:r>
        <w:rPr>
          <w:rFonts w:ascii="Arial" w:cs="Arial" w:eastAsia="Arial" w:hAnsi="Arial"/>
          <w:sz w:val="20"/>
          <w:szCs w:val="20"/>
          <w:color w:val="auto"/>
        </w:rPr>
        <w:t>Should the possibility of a Change in Control arise, in addition to his or her regular duties, the Executive may be called upon to assist in the assessment of such a possible Change in Control upon the Company’s shareholders, advise management and the Board of Directors as to whether such a Change in Control would be in the best interests of the Company and its shareholders, and to take such other actions as the Board of Directors might determine to be appropriate.</w:t>
      </w:r>
    </w:p>
    <w:p>
      <w:pPr>
        <w:spacing w:after="0" w:line="161" w:lineRule="exact"/>
        <w:rPr>
          <w:sz w:val="20"/>
          <w:szCs w:val="20"/>
          <w:color w:val="auto"/>
        </w:rPr>
      </w:pPr>
    </w:p>
    <w:p>
      <w:pPr>
        <w:ind w:firstLine="865"/>
        <w:spacing w:after="0" w:line="266"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to assure the Company that it will have the continued dedication of the Executive and the availability of</w:t>
      </w:r>
      <w:r>
        <w:rPr>
          <w:rFonts w:ascii="Arial" w:cs="Arial" w:eastAsia="Arial" w:hAnsi="Arial"/>
          <w:sz w:val="19"/>
          <w:szCs w:val="19"/>
          <w:b w:val="1"/>
          <w:bCs w:val="1"/>
          <w:color w:val="auto"/>
        </w:rPr>
        <w:t xml:space="preserve"> </w:t>
      </w:r>
      <w:r>
        <w:rPr>
          <w:rFonts w:ascii="Arial" w:cs="Arial" w:eastAsia="Arial" w:hAnsi="Arial"/>
          <w:sz w:val="19"/>
          <w:szCs w:val="19"/>
          <w:color w:val="auto"/>
        </w:rPr>
        <w:t>his or her advice and counsel notwithstanding the possibility, threat, or occurrence of a Change in Control, and to induce the Executive to remain in the employ of the Company in the face of these circumstances and for other good and valuable consideration, the receipt and adequacy of which are hereby acknowledged, the Company and the Executive agree as follows: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I</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CERTAIN DEFINITIONS</w:t>
      </w:r>
    </w:p>
    <w:p>
      <w:pPr>
        <w:spacing w:after="0" w:line="183" w:lineRule="exact"/>
        <w:rPr>
          <w:sz w:val="20"/>
          <w:szCs w:val="20"/>
          <w:color w:val="auto"/>
        </w:rPr>
      </w:pPr>
    </w:p>
    <w:p>
      <w:pPr>
        <w:ind w:right="540" w:firstLine="865"/>
        <w:spacing w:after="0" w:line="268" w:lineRule="auto"/>
        <w:rPr>
          <w:sz w:val="20"/>
          <w:szCs w:val="20"/>
          <w:color w:val="auto"/>
        </w:rPr>
      </w:pPr>
      <w:r>
        <w:rPr>
          <w:rFonts w:ascii="Arial" w:cs="Arial" w:eastAsia="Arial" w:hAnsi="Arial"/>
          <w:sz w:val="20"/>
          <w:szCs w:val="20"/>
          <w:color w:val="auto"/>
        </w:rPr>
        <w:t>Whenever used in this Agreement, the following terms shall have the meanings set forth below unless the context clearly indicates to the contrary:</w:t>
      </w:r>
    </w:p>
    <w:p>
      <w:pPr>
        <w:spacing w:after="0" w:line="146" w:lineRule="exact"/>
        <w:rPr>
          <w:sz w:val="20"/>
          <w:szCs w:val="20"/>
          <w:color w:val="auto"/>
        </w:rPr>
      </w:pPr>
    </w:p>
    <w:p>
      <w:pPr>
        <w:ind w:left="1720" w:right="360" w:hanging="856"/>
        <w:spacing w:after="0" w:line="268" w:lineRule="auto"/>
        <w:tabs>
          <w:tab w:leader="none" w:pos="172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“Base Salary” means the salary of record paid to the Executive by the Company as annual salary (whether or not deferred), but excludes amounts received under incentive or other bonus plans.</w:t>
      </w:r>
    </w:p>
    <w:p>
      <w:pPr>
        <w:spacing w:after="0" w:line="323"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1">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sectPr>
      </w:pPr>
    </w:p>
    <w:bookmarkStart w:id="238" w:name="page239"/>
    <w:bookmarkEnd w:id="238"/>
    <w:p>
      <w:pPr>
        <w:ind w:left="860" w:right="880" w:hanging="856"/>
        <w:spacing w:after="0" w:line="268" w:lineRule="auto"/>
        <w:tabs>
          <w:tab w:leader="none" w:pos="86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“Beneficial Owner” shall have the meaning ascribed to such term in Rule 13d-3 of the General Rules and Regulations under the Exchange Act.</w:t>
      </w:r>
    </w:p>
    <w:p>
      <w:pPr>
        <w:spacing w:after="0" w:line="145" w:lineRule="exact"/>
        <w:rPr>
          <w:rFonts w:ascii="Arial" w:cs="Arial" w:eastAsia="Arial" w:hAnsi="Arial"/>
          <w:sz w:val="20"/>
          <w:szCs w:val="20"/>
          <w:color w:val="auto"/>
        </w:rPr>
      </w:pPr>
    </w:p>
    <w:p>
      <w:pPr>
        <w:ind w:left="860" w:right="140" w:hanging="856"/>
        <w:spacing w:after="0" w:line="268" w:lineRule="auto"/>
        <w:tabs>
          <w:tab w:leader="none" w:pos="86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“Beneficiary” means the persons or entities designated or deemed designated by the Executive pursuant to Section 9.3.</w:t>
      </w:r>
    </w:p>
    <w:p>
      <w:pPr>
        <w:spacing w:after="0" w:line="145" w:lineRule="exact"/>
        <w:rPr>
          <w:rFonts w:ascii="Arial" w:cs="Arial" w:eastAsia="Arial" w:hAnsi="Arial"/>
          <w:sz w:val="20"/>
          <w:szCs w:val="20"/>
          <w:color w:val="auto"/>
        </w:rPr>
      </w:pPr>
    </w:p>
    <w:p>
      <w:pPr>
        <w:ind w:left="860" w:hanging="856"/>
        <w:spacing w:after="0"/>
        <w:tabs>
          <w:tab w:leader="none" w:pos="86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“Board” means the Board of Directors of the Company.</w:t>
      </w:r>
    </w:p>
    <w:p>
      <w:pPr>
        <w:spacing w:after="0" w:line="201" w:lineRule="exact"/>
        <w:rPr>
          <w:rFonts w:ascii="Arial" w:cs="Arial" w:eastAsia="Arial" w:hAnsi="Arial"/>
          <w:sz w:val="20"/>
          <w:szCs w:val="20"/>
          <w:color w:val="auto"/>
        </w:rPr>
      </w:pPr>
    </w:p>
    <w:p>
      <w:pPr>
        <w:ind w:left="860" w:hanging="856"/>
        <w:spacing w:after="0"/>
        <w:tabs>
          <w:tab w:leader="none" w:pos="86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“Cause” means the occurrence of any one or more of the following:</w:t>
      </w:r>
    </w:p>
    <w:p>
      <w:pPr>
        <w:spacing w:after="0" w:line="201" w:lineRule="exact"/>
        <w:rPr>
          <w:rFonts w:ascii="Arial" w:cs="Arial" w:eastAsia="Arial" w:hAnsi="Arial"/>
          <w:sz w:val="20"/>
          <w:szCs w:val="20"/>
          <w:color w:val="auto"/>
        </w:rPr>
      </w:pPr>
    </w:p>
    <w:p>
      <w:pPr>
        <w:ind w:left="1720" w:hanging="854"/>
        <w:spacing w:after="0"/>
        <w:tabs>
          <w:tab w:leader="none" w:pos="1720" w:val="left"/>
        </w:tabs>
        <w:numPr>
          <w:ilvl w:val="1"/>
          <w:numId w:val="125"/>
        </w:numPr>
        <w:rPr>
          <w:rFonts w:ascii="Arial" w:cs="Arial" w:eastAsia="Arial" w:hAnsi="Arial"/>
          <w:sz w:val="20"/>
          <w:szCs w:val="20"/>
          <w:color w:val="auto"/>
        </w:rPr>
      </w:pPr>
      <w:r>
        <w:rPr>
          <w:rFonts w:ascii="Arial" w:cs="Arial" w:eastAsia="Arial" w:hAnsi="Arial"/>
          <w:sz w:val="20"/>
          <w:szCs w:val="20"/>
          <w:color w:val="auto"/>
        </w:rPr>
        <w:t>The Executive’s committing an act of fraud or embezzlement upon the Company.</w:t>
      </w:r>
    </w:p>
    <w:p>
      <w:pPr>
        <w:spacing w:after="0" w:line="201" w:lineRule="exact"/>
        <w:rPr>
          <w:rFonts w:ascii="Arial" w:cs="Arial" w:eastAsia="Arial" w:hAnsi="Arial"/>
          <w:sz w:val="20"/>
          <w:szCs w:val="20"/>
          <w:color w:val="auto"/>
        </w:rPr>
      </w:pPr>
    </w:p>
    <w:p>
      <w:pPr>
        <w:ind w:left="1720" w:right="800" w:hanging="854"/>
        <w:spacing w:after="0" w:line="268" w:lineRule="auto"/>
        <w:tabs>
          <w:tab w:leader="none" w:pos="1720" w:val="left"/>
        </w:tabs>
        <w:numPr>
          <w:ilvl w:val="1"/>
          <w:numId w:val="125"/>
        </w:numPr>
        <w:rPr>
          <w:rFonts w:ascii="Arial" w:cs="Arial" w:eastAsia="Arial" w:hAnsi="Arial"/>
          <w:sz w:val="20"/>
          <w:szCs w:val="20"/>
          <w:color w:val="auto"/>
        </w:rPr>
      </w:pPr>
      <w:r>
        <w:rPr>
          <w:rFonts w:ascii="Arial" w:cs="Arial" w:eastAsia="Arial" w:hAnsi="Arial"/>
          <w:sz w:val="20"/>
          <w:szCs w:val="20"/>
          <w:color w:val="auto"/>
        </w:rPr>
        <w:t>The Executive’s conviction of or pleading guilty or nolo contendere to a felony involving fraud, dishonesty or moral turpitude.</w:t>
      </w:r>
    </w:p>
    <w:p>
      <w:pPr>
        <w:spacing w:after="0" w:line="145" w:lineRule="exact"/>
        <w:rPr>
          <w:rFonts w:ascii="Arial" w:cs="Arial" w:eastAsia="Arial" w:hAnsi="Arial"/>
          <w:sz w:val="20"/>
          <w:szCs w:val="20"/>
          <w:color w:val="auto"/>
        </w:rPr>
      </w:pPr>
    </w:p>
    <w:p>
      <w:pPr>
        <w:ind w:left="1720" w:hanging="854"/>
        <w:spacing w:after="0" w:line="253" w:lineRule="auto"/>
        <w:tabs>
          <w:tab w:leader="none" w:pos="1720" w:val="left"/>
        </w:tabs>
        <w:numPr>
          <w:ilvl w:val="1"/>
          <w:numId w:val="125"/>
        </w:numPr>
        <w:rPr>
          <w:rFonts w:ascii="Arial" w:cs="Arial" w:eastAsia="Arial" w:hAnsi="Arial"/>
          <w:sz w:val="20"/>
          <w:szCs w:val="20"/>
          <w:color w:val="auto"/>
        </w:rPr>
      </w:pPr>
      <w:r>
        <w:rPr>
          <w:rFonts w:ascii="Arial" w:cs="Arial" w:eastAsia="Arial" w:hAnsi="Arial"/>
          <w:sz w:val="20"/>
          <w:szCs w:val="20"/>
          <w:color w:val="auto"/>
        </w:rPr>
        <w:t>The Executive’s willful and continued failure to substantially perform material duties which is not remedied in a reasonable period of time after written demand for substantial performances is delivered by the Board.</w:t>
      </w:r>
    </w:p>
    <w:p>
      <w:pPr>
        <w:spacing w:after="0" w:line="160" w:lineRule="exact"/>
        <w:rPr>
          <w:rFonts w:ascii="Arial" w:cs="Arial" w:eastAsia="Arial" w:hAnsi="Arial"/>
          <w:sz w:val="20"/>
          <w:szCs w:val="20"/>
          <w:color w:val="auto"/>
        </w:rPr>
      </w:pPr>
    </w:p>
    <w:p>
      <w:pPr>
        <w:ind w:left="1720" w:hanging="854"/>
        <w:spacing w:after="0"/>
        <w:tabs>
          <w:tab w:leader="none" w:pos="1720" w:val="left"/>
        </w:tabs>
        <w:numPr>
          <w:ilvl w:val="1"/>
          <w:numId w:val="125"/>
        </w:numPr>
        <w:rPr>
          <w:rFonts w:ascii="Arial" w:cs="Arial" w:eastAsia="Arial" w:hAnsi="Arial"/>
          <w:sz w:val="20"/>
          <w:szCs w:val="20"/>
          <w:color w:val="auto"/>
        </w:rPr>
      </w:pPr>
      <w:r>
        <w:rPr>
          <w:rFonts w:ascii="Arial" w:cs="Arial" w:eastAsia="Arial" w:hAnsi="Arial"/>
          <w:sz w:val="20"/>
          <w:szCs w:val="20"/>
          <w:color w:val="auto"/>
        </w:rPr>
        <w:t>The Executive’s material violation of the Company’s Code of Conduct.</w:t>
      </w:r>
    </w:p>
    <w:p>
      <w:pPr>
        <w:spacing w:after="0" w:line="201" w:lineRule="exact"/>
        <w:rPr>
          <w:rFonts w:ascii="Arial" w:cs="Arial" w:eastAsia="Arial" w:hAnsi="Arial"/>
          <w:sz w:val="20"/>
          <w:szCs w:val="20"/>
          <w:color w:val="auto"/>
        </w:rPr>
      </w:pPr>
    </w:p>
    <w:p>
      <w:pPr>
        <w:ind w:left="860" w:right="160" w:hanging="856"/>
        <w:spacing w:after="0" w:line="268" w:lineRule="auto"/>
        <w:tabs>
          <w:tab w:leader="none" w:pos="86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“Change in Control” shall mean and include each of the following, and shall be deemed to have occurred as of the first day that any one or more of the following conditions shall have been satisfied:</w:t>
      </w:r>
    </w:p>
    <w:p>
      <w:pPr>
        <w:spacing w:after="0" w:line="145" w:lineRule="exact"/>
        <w:rPr>
          <w:rFonts w:ascii="Arial" w:cs="Arial" w:eastAsia="Arial" w:hAnsi="Arial"/>
          <w:sz w:val="20"/>
          <w:szCs w:val="20"/>
          <w:color w:val="auto"/>
        </w:rPr>
      </w:pPr>
    </w:p>
    <w:p>
      <w:pPr>
        <w:ind w:left="1720" w:right="40" w:hanging="854"/>
        <w:spacing w:after="0" w:line="254" w:lineRule="auto"/>
        <w:tabs>
          <w:tab w:leader="none" w:pos="1720" w:val="left"/>
        </w:tabs>
        <w:numPr>
          <w:ilvl w:val="1"/>
          <w:numId w:val="125"/>
        </w:numPr>
        <w:rPr>
          <w:rFonts w:ascii="Arial" w:cs="Arial" w:eastAsia="Arial" w:hAnsi="Arial"/>
          <w:sz w:val="19"/>
          <w:szCs w:val="19"/>
          <w:color w:val="auto"/>
        </w:rPr>
      </w:pPr>
      <w:r>
        <w:rPr>
          <w:rFonts w:ascii="Arial" w:cs="Arial" w:eastAsia="Arial" w:hAnsi="Arial"/>
          <w:sz w:val="19"/>
          <w:szCs w:val="19"/>
          <w:color w:val="auto"/>
        </w:rPr>
        <w:t xml:space="preserve">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directly or indirectly acquires beneficial ownership (within the meaning of Rules 13d-3 and 13d-5 under the Exchange Act) of securities of the Company possessing more than 50 % of the total combined voting power of the Company’s securities outstanding immediately after such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following acquisitions shall not constitute a Change in Control: (i) any acquisition by the Company or any of its Subsidiaries; (ii) any acquisition by an employee benefit plan maintained by the Company or any of its Subsidiaries, (iii) any acquisition which complies with Sections 1(f)(iii)(1), (2) or (3) of this Article; or (iv) in respect of an Award held by a particular Holder, any acquisition by the Holder or any group of persons including the Holder (or any entity controlled by the Holder or any group of persons including the Holder); or</w:t>
      </w:r>
    </w:p>
    <w:p>
      <w:pPr>
        <w:spacing w:after="0" w:line="166" w:lineRule="exact"/>
        <w:rPr>
          <w:rFonts w:ascii="Arial" w:cs="Arial" w:eastAsia="Arial" w:hAnsi="Arial"/>
          <w:sz w:val="19"/>
          <w:szCs w:val="19"/>
          <w:color w:val="auto"/>
        </w:rPr>
      </w:pPr>
    </w:p>
    <w:p>
      <w:pPr>
        <w:ind w:left="1720" w:hanging="854"/>
        <w:spacing w:after="0"/>
        <w:tabs>
          <w:tab w:leader="none" w:pos="1720" w:val="left"/>
        </w:tabs>
        <w:numPr>
          <w:ilvl w:val="1"/>
          <w:numId w:val="125"/>
        </w:numPr>
        <w:rPr>
          <w:rFonts w:ascii="Arial" w:cs="Arial" w:eastAsia="Arial" w:hAnsi="Arial"/>
          <w:sz w:val="20"/>
          <w:szCs w:val="20"/>
          <w:color w:val="auto"/>
        </w:rPr>
      </w:pPr>
      <w:r>
        <w:rPr>
          <w:rFonts w:ascii="Arial" w:cs="Arial" w:eastAsia="Arial" w:hAnsi="Arial"/>
          <w:sz w:val="20"/>
          <w:szCs w:val="20"/>
          <w:color w:val="auto"/>
        </w:rPr>
        <w:t>The Incumbent Directors cease for any reason to constitute a majority of the Board;</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40005</wp:posOffset>
            </wp:positionV>
            <wp:extent cx="7182485" cy="412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0300"/>
          </w:cols>
          <w:pgMar w:left="1180" w:top="752" w:right="419" w:bottom="1440" w:gutter="0" w:footer="0" w:header="0"/>
        </w:sectPr>
      </w:pPr>
    </w:p>
    <w:bookmarkStart w:id="239" w:name="page240"/>
    <w:bookmarkEnd w:id="239"/>
    <w:p>
      <w:pPr>
        <w:jc w:val="both"/>
        <w:ind w:left="1720" w:hanging="854"/>
        <w:spacing w:after="0" w:line="245" w:lineRule="auto"/>
        <w:tabs>
          <w:tab w:leader="none" w:pos="172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spacing w:after="0" w:line="169" w:lineRule="exact"/>
        <w:rPr>
          <w:rFonts w:ascii="Arial" w:cs="Arial" w:eastAsia="Arial" w:hAnsi="Arial"/>
          <w:sz w:val="20"/>
          <w:szCs w:val="20"/>
          <w:color w:val="auto"/>
        </w:rPr>
      </w:pPr>
    </w:p>
    <w:p>
      <w:pPr>
        <w:jc w:val="both"/>
        <w:ind w:left="2480" w:hanging="752"/>
        <w:spacing w:after="0" w:line="274" w:lineRule="auto"/>
        <w:tabs>
          <w:tab w:leader="none" w:pos="24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“Successor Entity”)) directly or indirectly, at least a majority of the combined voting power of the Successor Entity’s outstanding voting securities immediately after the transaction, and</w:t>
      </w:r>
    </w:p>
    <w:p>
      <w:pPr>
        <w:spacing w:after="0" w:line="146" w:lineRule="exact"/>
        <w:rPr>
          <w:rFonts w:ascii="Arial" w:cs="Arial" w:eastAsia="Arial" w:hAnsi="Arial"/>
          <w:sz w:val="18"/>
          <w:szCs w:val="18"/>
          <w:color w:val="auto"/>
        </w:rPr>
      </w:pPr>
    </w:p>
    <w:p>
      <w:pPr>
        <w:jc w:val="both"/>
        <w:ind w:left="2480" w:hanging="752"/>
        <w:spacing w:after="0" w:line="261" w:lineRule="auto"/>
        <w:tabs>
          <w:tab w:leader="none" w:pos="2480" w:val="left"/>
        </w:tabs>
        <w:numPr>
          <w:ilvl w:val="1"/>
          <w:numId w:val="126"/>
        </w:numPr>
        <w:rPr>
          <w:rFonts w:ascii="Arial" w:cs="Arial" w:eastAsia="Arial" w:hAnsi="Arial"/>
          <w:sz w:val="19"/>
          <w:szCs w:val="19"/>
          <w:color w:val="auto"/>
        </w:rPr>
      </w:pPr>
      <w:r>
        <w:rPr>
          <w:rFonts w:ascii="Arial" w:cs="Arial" w:eastAsia="Arial" w:hAnsi="Arial"/>
          <w:sz w:val="19"/>
          <w:szCs w:val="19"/>
          <w:color w:val="auto"/>
        </w:rPr>
        <w:t>after which no person or group beneficially owns voting securities representing 50% or more of the combined voting power of the Successor Entity; provided, however, that no person or group shall be treated for purposes of this Section 1(f)(iii)(2) as beneficially owning 50% or more of the combined voting power of the Successor Entity solely as a result of the voting power held in the Company prior to the consummation of the transaction; and</w:t>
      </w:r>
    </w:p>
    <w:p>
      <w:pPr>
        <w:spacing w:after="0" w:line="155" w:lineRule="exact"/>
        <w:rPr>
          <w:rFonts w:ascii="Arial" w:cs="Arial" w:eastAsia="Arial" w:hAnsi="Arial"/>
          <w:sz w:val="19"/>
          <w:szCs w:val="19"/>
          <w:color w:val="auto"/>
        </w:rPr>
      </w:pPr>
    </w:p>
    <w:p>
      <w:pPr>
        <w:jc w:val="both"/>
        <w:ind w:left="2480" w:hanging="752"/>
        <w:spacing w:after="0" w:line="253" w:lineRule="auto"/>
        <w:tabs>
          <w:tab w:leader="none" w:pos="2480" w:val="left"/>
        </w:tabs>
        <w:numPr>
          <w:ilvl w:val="1"/>
          <w:numId w:val="126"/>
        </w:numPr>
        <w:rPr>
          <w:rFonts w:ascii="Arial" w:cs="Arial" w:eastAsia="Arial" w:hAnsi="Arial"/>
          <w:sz w:val="20"/>
          <w:szCs w:val="20"/>
          <w:color w:val="auto"/>
        </w:rPr>
      </w:pPr>
      <w:r>
        <w:rPr>
          <w:rFonts w:ascii="Arial" w:cs="Arial" w:eastAsia="Arial" w:hAnsi="Arial"/>
          <w:sz w:val="20"/>
          <w:szCs w:val="20"/>
          <w:color w:val="auto"/>
        </w:rPr>
        <w:t>after which at least a majority of the members of the board of directors (or the analogous governing body) of the Successor Entity were Board members at the time of the Board's approval of the execution of the initial agreement providing for such transaction; or</w:t>
      </w:r>
    </w:p>
    <w:p>
      <w:pPr>
        <w:spacing w:after="0" w:line="160" w:lineRule="exact"/>
        <w:rPr>
          <w:rFonts w:ascii="Arial" w:cs="Arial" w:eastAsia="Arial" w:hAnsi="Arial"/>
          <w:sz w:val="20"/>
          <w:szCs w:val="20"/>
          <w:color w:val="auto"/>
        </w:rPr>
      </w:pPr>
    </w:p>
    <w:p>
      <w:pPr>
        <w:ind w:left="1720" w:hanging="854"/>
        <w:spacing w:after="0"/>
        <w:tabs>
          <w:tab w:leader="none" w:pos="17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date which is 10 business days prior to the completion of a liquidation or dissolution of the Company.</w:t>
      </w:r>
    </w:p>
    <w:p>
      <w:pPr>
        <w:spacing w:after="0" w:line="224" w:lineRule="exact"/>
        <w:rPr>
          <w:sz w:val="20"/>
          <w:szCs w:val="20"/>
          <w:color w:val="auto"/>
        </w:rPr>
      </w:pPr>
    </w:p>
    <w:p>
      <w:pPr>
        <w:ind w:left="880"/>
        <w:spacing w:after="0" w:line="244" w:lineRule="auto"/>
        <w:rPr>
          <w:sz w:val="20"/>
          <w:szCs w:val="20"/>
          <w:color w:val="auto"/>
        </w:rPr>
      </w:pPr>
      <w:r>
        <w:rPr>
          <w:rFonts w:ascii="Arial" w:cs="Arial" w:eastAsia="Arial" w:hAnsi="Arial"/>
          <w:sz w:val="20"/>
          <w:szCs w:val="20"/>
          <w:color w:val="auto"/>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(i), (ii), (iii) or (iv)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69" w:lineRule="exact"/>
        <w:rPr>
          <w:sz w:val="20"/>
          <w:szCs w:val="20"/>
          <w:color w:val="auto"/>
        </w:rPr>
      </w:pPr>
    </w:p>
    <w:p>
      <w:pPr>
        <w:ind w:left="880" w:right="360"/>
        <w:spacing w:after="0" w:line="268" w:lineRule="auto"/>
        <w:rPr>
          <w:sz w:val="20"/>
          <w:szCs w:val="20"/>
          <w:color w:val="auto"/>
        </w:rPr>
      </w:pPr>
      <w:r>
        <w:rPr>
          <w:rFonts w:ascii="Arial" w:cs="Arial" w:eastAsia="Arial" w:hAnsi="Arial"/>
          <w:sz w:val="20"/>
          <w:szCs w:val="20"/>
          <w:color w:val="auto"/>
        </w:rPr>
        <w:t>For sake of clarity, a Change in Control will not occur by reason of the Parsons Employee Stock Ownership Plan (the “ESOP”) owning less than fifty percent of</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40005</wp:posOffset>
            </wp:positionV>
            <wp:extent cx="7182485" cy="412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0380"/>
          </w:cols>
          <w:pgMar w:left="1180" w:top="752" w:right="339" w:bottom="1440" w:gutter="0" w:footer="0" w:header="0"/>
        </w:sectPr>
      </w:pPr>
    </w:p>
    <w:bookmarkStart w:id="240" w:name="page241"/>
    <w:bookmarkEnd w:id="240"/>
    <w:p>
      <w:pPr>
        <w:ind w:left="880" w:right="300"/>
        <w:spacing w:after="0" w:line="253" w:lineRule="auto"/>
        <w:rPr>
          <w:sz w:val="20"/>
          <w:szCs w:val="20"/>
          <w:color w:val="auto"/>
        </w:rPr>
      </w:pPr>
      <w:r>
        <w:rPr>
          <w:rFonts w:ascii="Arial" w:cs="Arial" w:eastAsia="Arial" w:hAnsi="Arial"/>
          <w:sz w:val="20"/>
          <w:szCs w:val="20"/>
          <w:color w:val="auto"/>
        </w:rPr>
        <w:t>(50%) of the voting power of the Company’s (or any successor thereto) equity securities due to (A) the ESOP making distributions to participants and their beneficiaries, or (B) the ESOP selling equity securities to the public through underwritten registered public offerings.</w:t>
      </w:r>
    </w:p>
    <w:p>
      <w:pPr>
        <w:spacing w:after="0" w:line="160" w:lineRule="exact"/>
        <w:rPr>
          <w:sz w:val="20"/>
          <w:szCs w:val="20"/>
          <w:color w:val="auto"/>
        </w:rPr>
      </w:pPr>
    </w:p>
    <w:p>
      <w:pPr>
        <w:ind w:left="880" w:right="180"/>
        <w:spacing w:after="0" w:line="261" w:lineRule="auto"/>
        <w:rPr>
          <w:sz w:val="20"/>
          <w:szCs w:val="20"/>
          <w:color w:val="auto"/>
        </w:rPr>
      </w:pPr>
      <w:r>
        <w:rPr>
          <w:rFonts w:ascii="Arial" w:cs="Arial" w:eastAsia="Arial" w:hAnsi="Arial"/>
          <w:sz w:val="19"/>
          <w:szCs w:val="19"/>
          <w:color w:val="auto"/>
        </w:rPr>
        <w:t>The Board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56" w:lineRule="exact"/>
        <w:rPr>
          <w:sz w:val="20"/>
          <w:szCs w:val="20"/>
          <w:color w:val="auto"/>
        </w:rPr>
      </w:pPr>
    </w:p>
    <w:p>
      <w:pPr>
        <w:ind w:left="860" w:hanging="856"/>
        <w:spacing w:after="0"/>
        <w:tabs>
          <w:tab w:leader="none" w:pos="86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“Code” means the United States Internal Revenue Code of 1986, as amended.</w:t>
      </w:r>
    </w:p>
    <w:p>
      <w:pPr>
        <w:spacing w:after="0" w:line="201" w:lineRule="exact"/>
        <w:rPr>
          <w:rFonts w:ascii="Arial" w:cs="Arial" w:eastAsia="Arial" w:hAnsi="Arial"/>
          <w:sz w:val="20"/>
          <w:szCs w:val="20"/>
          <w:color w:val="auto"/>
        </w:rPr>
      </w:pPr>
    </w:p>
    <w:p>
      <w:pPr>
        <w:ind w:left="860" w:hanging="856"/>
        <w:spacing w:after="0"/>
        <w:tabs>
          <w:tab w:leader="none" w:pos="86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“Company” means Parsons Corporation, a Delaware corporation, any successor thereto or acquirer thereof.</w:t>
      </w:r>
    </w:p>
    <w:p>
      <w:pPr>
        <w:spacing w:after="0" w:line="212" w:lineRule="exact"/>
        <w:rPr>
          <w:rFonts w:ascii="Arial" w:cs="Arial" w:eastAsia="Arial" w:hAnsi="Arial"/>
          <w:sz w:val="19"/>
          <w:szCs w:val="19"/>
          <w:color w:val="auto"/>
        </w:rPr>
      </w:pPr>
    </w:p>
    <w:p>
      <w:pPr>
        <w:ind w:left="860" w:right="120" w:hanging="856"/>
        <w:spacing w:after="0" w:line="245" w:lineRule="auto"/>
        <w:tabs>
          <w:tab w:leader="none" w:pos="86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“Disability” means, for all purposes of this Agreement, the incapacity of the Executive, due to injury, illness, disease, or bodily or mental infirmity, to engage in the performance of substantially all of the usual duties of his or her employment by the Company, such Disability to be determined by the Board upon receipt and in reliance on competent medical advice from one (l) or more individuals, selected or approved by the Board, who are qualified to give such professional medical advice.</w:t>
      </w:r>
    </w:p>
    <w:p>
      <w:pPr>
        <w:spacing w:after="0" w:line="169" w:lineRule="exact"/>
        <w:rPr>
          <w:rFonts w:ascii="Arial" w:cs="Arial" w:eastAsia="Arial" w:hAnsi="Arial"/>
          <w:sz w:val="20"/>
          <w:szCs w:val="20"/>
          <w:color w:val="auto"/>
        </w:rPr>
      </w:pPr>
    </w:p>
    <w:p>
      <w:pPr>
        <w:ind w:left="860" w:hanging="856"/>
        <w:spacing w:after="0"/>
        <w:tabs>
          <w:tab w:leader="none" w:pos="86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“Exchange Act” means the United States Securities Exchange Act of 1934, as amended.</w:t>
      </w:r>
    </w:p>
    <w:p>
      <w:pPr>
        <w:spacing w:after="0" w:line="201" w:lineRule="exact"/>
        <w:rPr>
          <w:rFonts w:ascii="Arial" w:cs="Arial" w:eastAsia="Arial" w:hAnsi="Arial"/>
          <w:sz w:val="20"/>
          <w:szCs w:val="20"/>
          <w:color w:val="auto"/>
        </w:rPr>
      </w:pPr>
    </w:p>
    <w:p>
      <w:pPr>
        <w:ind w:left="860" w:right="300" w:hanging="856"/>
        <w:spacing w:after="0" w:line="248" w:lineRule="auto"/>
        <w:tabs>
          <w:tab w:leader="none" w:pos="86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“Good Reason” means, without the Executive’s express written consent, the occurrence of any one or more of the following, unless the action or failure giving rise to such occurrence is withdrawn, reversed or cured by the Company within thirty (30) days of the date of the occurrence, and is not thereafter reinstated by the Company during the term of this Agreement:</w:t>
      </w:r>
    </w:p>
    <w:p>
      <w:pPr>
        <w:spacing w:after="0" w:line="165" w:lineRule="exact"/>
        <w:rPr>
          <w:rFonts w:ascii="Arial" w:cs="Arial" w:eastAsia="Arial" w:hAnsi="Arial"/>
          <w:sz w:val="20"/>
          <w:szCs w:val="20"/>
          <w:color w:val="auto"/>
        </w:rPr>
      </w:pPr>
    </w:p>
    <w:p>
      <w:pPr>
        <w:ind w:left="1720" w:right="260" w:hanging="854"/>
        <w:spacing w:after="0" w:line="272" w:lineRule="auto"/>
        <w:tabs>
          <w:tab w:leader="none" w:pos="1720" w:val="left"/>
        </w:tabs>
        <w:numPr>
          <w:ilvl w:val="1"/>
          <w:numId w:val="127"/>
        </w:numPr>
        <w:rPr>
          <w:rFonts w:ascii="Arial" w:cs="Arial" w:eastAsia="Arial" w:hAnsi="Arial"/>
          <w:sz w:val="19"/>
          <w:szCs w:val="19"/>
          <w:color w:val="auto"/>
        </w:rPr>
      </w:pPr>
      <w:r>
        <w:rPr>
          <w:rFonts w:ascii="Arial" w:cs="Arial" w:eastAsia="Arial" w:hAnsi="Arial"/>
          <w:sz w:val="19"/>
          <w:szCs w:val="19"/>
          <w:color w:val="auto"/>
        </w:rPr>
        <w:t>A material reduction in the nature or status of the Executive’s authorities, duties, and/or responsibilities (when such authorities, duties, and/or responsibilities are viewed in the aggregate) from their level in effect on the day immediately prior to the start of the Protected Period.</w:t>
      </w:r>
    </w:p>
    <w:p>
      <w:pPr>
        <w:spacing w:after="0" w:line="144" w:lineRule="exact"/>
        <w:rPr>
          <w:rFonts w:ascii="Arial" w:cs="Arial" w:eastAsia="Arial" w:hAnsi="Arial"/>
          <w:sz w:val="19"/>
          <w:szCs w:val="19"/>
          <w:color w:val="auto"/>
        </w:rPr>
      </w:pPr>
    </w:p>
    <w:p>
      <w:pPr>
        <w:ind w:left="1720" w:right="220" w:hanging="854"/>
        <w:spacing w:after="0" w:line="268" w:lineRule="auto"/>
        <w:tabs>
          <w:tab w:leader="none" w:pos="1720" w:val="left"/>
        </w:tabs>
        <w:numPr>
          <w:ilvl w:val="1"/>
          <w:numId w:val="127"/>
        </w:numPr>
        <w:rPr>
          <w:rFonts w:ascii="Arial" w:cs="Arial" w:eastAsia="Arial" w:hAnsi="Arial"/>
          <w:sz w:val="20"/>
          <w:szCs w:val="20"/>
          <w:color w:val="auto"/>
        </w:rPr>
      </w:pPr>
      <w:r>
        <w:rPr>
          <w:rFonts w:ascii="Arial" w:cs="Arial" w:eastAsia="Arial" w:hAnsi="Arial"/>
          <w:sz w:val="20"/>
          <w:szCs w:val="20"/>
          <w:color w:val="auto"/>
        </w:rPr>
        <w:t>A reduction by the Company of the Executive’s Base Salary as in effect on the day immediately prior to the start of the Protected Period.</w:t>
      </w:r>
    </w:p>
    <w:p>
      <w:pPr>
        <w:spacing w:after="0" w:line="145" w:lineRule="exact"/>
        <w:rPr>
          <w:rFonts w:ascii="Arial" w:cs="Arial" w:eastAsia="Arial" w:hAnsi="Arial"/>
          <w:sz w:val="20"/>
          <w:szCs w:val="20"/>
          <w:color w:val="auto"/>
        </w:rPr>
      </w:pPr>
    </w:p>
    <w:p>
      <w:pPr>
        <w:ind w:left="1720" w:hanging="854"/>
        <w:spacing w:after="0" w:line="248" w:lineRule="auto"/>
        <w:tabs>
          <w:tab w:leader="none" w:pos="1720" w:val="left"/>
        </w:tabs>
        <w:numPr>
          <w:ilvl w:val="1"/>
          <w:numId w:val="127"/>
        </w:numPr>
        <w:rPr>
          <w:rFonts w:ascii="Arial" w:cs="Arial" w:eastAsia="Arial" w:hAnsi="Arial"/>
          <w:sz w:val="20"/>
          <w:szCs w:val="20"/>
          <w:color w:val="auto"/>
        </w:rPr>
      </w:pPr>
      <w:r>
        <w:rPr>
          <w:rFonts w:ascii="Arial" w:cs="Arial" w:eastAsia="Arial" w:hAnsi="Arial"/>
          <w:sz w:val="20"/>
          <w:szCs w:val="20"/>
          <w:color w:val="auto"/>
        </w:rPr>
        <w:t>A material reduction by the Company of the Executive’s aggregate welfare benefits and/or the value of the incentive programs provided under the Company’s management incentive and/or other short and/or long-term incentive programs, as such benefits and opportunities exist on the day immediately prior to the start of the Protected Period.</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40005</wp:posOffset>
            </wp:positionV>
            <wp:extent cx="7182485" cy="412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4">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0380"/>
          </w:cols>
          <w:pgMar w:left="1180" w:top="752" w:right="339" w:bottom="1440" w:gutter="0" w:footer="0" w:header="0"/>
        </w:sectPr>
      </w:pPr>
    </w:p>
    <w:bookmarkStart w:id="241" w:name="page242"/>
    <w:bookmarkEnd w:id="241"/>
    <w:p>
      <w:pPr>
        <w:ind w:left="1720" w:right="380" w:hanging="854"/>
        <w:spacing w:after="0" w:line="294" w:lineRule="auto"/>
        <w:tabs>
          <w:tab w:leader="none" w:pos="1720" w:val="left"/>
        </w:tabs>
        <w:numPr>
          <w:ilvl w:val="1"/>
          <w:numId w:val="128"/>
        </w:numPr>
        <w:rPr>
          <w:rFonts w:ascii="Arial" w:cs="Arial" w:eastAsia="Arial" w:hAnsi="Arial"/>
          <w:sz w:val="19"/>
          <w:szCs w:val="19"/>
          <w:color w:val="auto"/>
        </w:rPr>
      </w:pPr>
      <w:r>
        <w:rPr>
          <w:rFonts w:ascii="Arial" w:cs="Arial" w:eastAsia="Arial" w:hAnsi="Arial"/>
          <w:sz w:val="19"/>
          <w:szCs w:val="19"/>
          <w:color w:val="auto"/>
        </w:rPr>
        <w:t>The relocation of the Executive’s principal office by the Company more than fifty (50) miles from the location of the Executive’s principal office immediately prior to the start of the Protected Period.</w:t>
      </w:r>
    </w:p>
    <w:p>
      <w:pPr>
        <w:spacing w:after="0" w:line="123" w:lineRule="exact"/>
        <w:rPr>
          <w:rFonts w:ascii="Arial" w:cs="Arial" w:eastAsia="Arial" w:hAnsi="Arial"/>
          <w:sz w:val="19"/>
          <w:szCs w:val="19"/>
          <w:color w:val="auto"/>
        </w:rPr>
      </w:pPr>
    </w:p>
    <w:p>
      <w:pPr>
        <w:ind w:left="1720" w:hanging="854"/>
        <w:spacing w:after="0" w:line="268" w:lineRule="auto"/>
        <w:tabs>
          <w:tab w:leader="none" w:pos="1720" w:val="left"/>
        </w:tabs>
        <w:numPr>
          <w:ilvl w:val="1"/>
          <w:numId w:val="128"/>
        </w:numPr>
        <w:rPr>
          <w:rFonts w:ascii="Arial" w:cs="Arial" w:eastAsia="Arial" w:hAnsi="Arial"/>
          <w:sz w:val="20"/>
          <w:szCs w:val="20"/>
          <w:color w:val="auto"/>
        </w:rPr>
      </w:pPr>
      <w:r>
        <w:rPr>
          <w:rFonts w:ascii="Arial" w:cs="Arial" w:eastAsia="Arial" w:hAnsi="Arial"/>
          <w:sz w:val="20"/>
          <w:szCs w:val="20"/>
          <w:color w:val="auto"/>
        </w:rPr>
        <w:t>Any purported termination by the Company of the Executive’s employment that is not affected pursuant to a Notice of Termination satisfying the requirements of Section 3.4.</w:t>
      </w:r>
    </w:p>
    <w:p>
      <w:pPr>
        <w:spacing w:after="0" w:line="145" w:lineRule="exact"/>
        <w:rPr>
          <w:rFonts w:ascii="Arial" w:cs="Arial" w:eastAsia="Arial" w:hAnsi="Arial"/>
          <w:sz w:val="20"/>
          <w:szCs w:val="20"/>
          <w:color w:val="auto"/>
        </w:rPr>
      </w:pPr>
    </w:p>
    <w:p>
      <w:pPr>
        <w:ind w:left="1720" w:right="340" w:hanging="854"/>
        <w:spacing w:after="0" w:line="324" w:lineRule="auto"/>
        <w:tabs>
          <w:tab w:leader="none" w:pos="172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failure of the Company to obtain an agreement from any successor to the Company to assume and agree to perform the Company’s obligations under this Agreement, as contemplated by Article 8.</w:t>
      </w:r>
    </w:p>
    <w:p>
      <w:pPr>
        <w:spacing w:after="0" w:line="100" w:lineRule="exact"/>
        <w:rPr>
          <w:rFonts w:ascii="Arial" w:cs="Arial" w:eastAsia="Arial" w:hAnsi="Arial"/>
          <w:sz w:val="18"/>
          <w:szCs w:val="18"/>
          <w:color w:val="auto"/>
        </w:rPr>
      </w:pPr>
    </w:p>
    <w:p>
      <w:pPr>
        <w:ind w:left="860" w:right="180" w:hanging="856"/>
        <w:spacing w:after="0" w:line="294" w:lineRule="auto"/>
        <w:tabs>
          <w:tab w:leader="none" w:pos="86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“Person” shall have the meaning ascribed to such term in Section 3(a)(9) of the Exchange Act and used in Sections 13(d) and 14(d) thereof, including a group as contemplated by Sections 13(d)(3) and l4(d)(2) thereof</w:t>
      </w:r>
    </w:p>
    <w:p>
      <w:pPr>
        <w:spacing w:after="0" w:line="123" w:lineRule="exact"/>
        <w:rPr>
          <w:rFonts w:ascii="Arial" w:cs="Arial" w:eastAsia="Arial" w:hAnsi="Arial"/>
          <w:sz w:val="19"/>
          <w:szCs w:val="19"/>
          <w:color w:val="auto"/>
        </w:rPr>
      </w:pPr>
    </w:p>
    <w:p>
      <w:pPr>
        <w:ind w:left="860" w:right="600" w:hanging="856"/>
        <w:spacing w:after="0" w:line="268" w:lineRule="auto"/>
        <w:tabs>
          <w:tab w:leader="none" w:pos="86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“Potential Change in Control” shall be deemed to have occurred as of the first day that any one or more of the following conditions shall have been satisfied:</w:t>
      </w:r>
    </w:p>
    <w:p>
      <w:pPr>
        <w:spacing w:after="0" w:line="145" w:lineRule="exact"/>
        <w:rPr>
          <w:rFonts w:ascii="Arial" w:cs="Arial" w:eastAsia="Arial" w:hAnsi="Arial"/>
          <w:sz w:val="20"/>
          <w:szCs w:val="20"/>
          <w:color w:val="auto"/>
        </w:rPr>
      </w:pPr>
    </w:p>
    <w:p>
      <w:pPr>
        <w:ind w:left="1720" w:right="280" w:hanging="854"/>
        <w:spacing w:after="0" w:line="324" w:lineRule="auto"/>
        <w:tabs>
          <w:tab w:leader="none" w:pos="17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Person announces an intention to take an action that, if consummated, would result in a Change of Control and the Board expresses its good faith belief that such announced intention is serious.</w:t>
      </w:r>
    </w:p>
    <w:p>
      <w:pPr>
        <w:spacing w:after="0" w:line="100" w:lineRule="exact"/>
        <w:rPr>
          <w:rFonts w:ascii="Arial" w:cs="Arial" w:eastAsia="Arial" w:hAnsi="Arial"/>
          <w:sz w:val="18"/>
          <w:szCs w:val="18"/>
          <w:color w:val="auto"/>
        </w:rPr>
      </w:pPr>
    </w:p>
    <w:p>
      <w:pPr>
        <w:ind w:left="1720" w:right="40" w:hanging="854"/>
        <w:spacing w:after="0" w:line="268" w:lineRule="auto"/>
        <w:tabs>
          <w:tab w:leader="none" w:pos="1720" w:val="left"/>
        </w:tabs>
        <w:numPr>
          <w:ilvl w:val="1"/>
          <w:numId w:val="129"/>
        </w:numPr>
        <w:rPr>
          <w:rFonts w:ascii="Arial" w:cs="Arial" w:eastAsia="Arial" w:hAnsi="Arial"/>
          <w:sz w:val="20"/>
          <w:szCs w:val="20"/>
          <w:color w:val="auto"/>
        </w:rPr>
      </w:pPr>
      <w:r>
        <w:rPr>
          <w:rFonts w:ascii="Arial" w:cs="Arial" w:eastAsia="Arial" w:hAnsi="Arial"/>
          <w:sz w:val="20"/>
          <w:szCs w:val="20"/>
          <w:color w:val="auto"/>
        </w:rPr>
        <w:t>The Company or the trustees of the Company’s Employee Stock Ownership Plan enters into an agreement that, if consummated, would result in a Change in Control.</w:t>
      </w:r>
    </w:p>
    <w:p>
      <w:pPr>
        <w:spacing w:after="0" w:line="145" w:lineRule="exact"/>
        <w:rPr>
          <w:rFonts w:ascii="Arial" w:cs="Arial" w:eastAsia="Arial" w:hAnsi="Arial"/>
          <w:sz w:val="20"/>
          <w:szCs w:val="20"/>
          <w:color w:val="auto"/>
        </w:rPr>
      </w:pPr>
    </w:p>
    <w:p>
      <w:pPr>
        <w:ind w:left="1720" w:right="120" w:hanging="854"/>
        <w:spacing w:after="0" w:line="248" w:lineRule="auto"/>
        <w:tabs>
          <w:tab w:leader="none" w:pos="1720" w:val="left"/>
        </w:tabs>
        <w:numPr>
          <w:ilvl w:val="1"/>
          <w:numId w:val="129"/>
        </w:numPr>
        <w:rPr>
          <w:rFonts w:ascii="Arial" w:cs="Arial" w:eastAsia="Arial" w:hAnsi="Arial"/>
          <w:sz w:val="20"/>
          <w:szCs w:val="20"/>
          <w:color w:val="auto"/>
        </w:rPr>
      </w:pPr>
      <w:r>
        <w:rPr>
          <w:rFonts w:ascii="Arial" w:cs="Arial" w:eastAsia="Arial" w:hAnsi="Arial"/>
          <w:sz w:val="20"/>
          <w:szCs w:val="20"/>
          <w:color w:val="auto"/>
        </w:rPr>
        <w:t>Any Person (other than the Company or a trustee or other fiduciary holding securities under an employee benefit plan of the Company) becomes the Beneficial Owner, directly or indirectly, of securities of the Company representing ten percent (10%) or more of the combined voting power of the Company’s then outstanding securities.</w:t>
      </w:r>
    </w:p>
    <w:p>
      <w:pPr>
        <w:spacing w:after="0" w:line="165" w:lineRule="exact"/>
        <w:rPr>
          <w:rFonts w:ascii="Arial" w:cs="Arial" w:eastAsia="Arial" w:hAnsi="Arial"/>
          <w:sz w:val="20"/>
          <w:szCs w:val="20"/>
          <w:color w:val="auto"/>
        </w:rPr>
      </w:pPr>
    </w:p>
    <w:p>
      <w:pPr>
        <w:ind w:left="1720" w:hanging="854"/>
        <w:spacing w:after="0"/>
        <w:tabs>
          <w:tab w:leader="none" w:pos="1720" w:val="left"/>
        </w:tabs>
        <w:numPr>
          <w:ilvl w:val="1"/>
          <w:numId w:val="129"/>
        </w:numPr>
        <w:rPr>
          <w:rFonts w:ascii="Arial" w:cs="Arial" w:eastAsia="Arial" w:hAnsi="Arial"/>
          <w:sz w:val="19"/>
          <w:szCs w:val="19"/>
          <w:color w:val="auto"/>
        </w:rPr>
      </w:pPr>
      <w:r>
        <w:rPr>
          <w:rFonts w:ascii="Arial" w:cs="Arial" w:eastAsia="Arial" w:hAnsi="Arial"/>
          <w:sz w:val="19"/>
          <w:szCs w:val="19"/>
          <w:color w:val="auto"/>
        </w:rPr>
        <w:t>The Board declares that a Potential Change in Control has occurred for purposes of this Agreement.</w:t>
      </w:r>
    </w:p>
    <w:p>
      <w:pPr>
        <w:spacing w:after="0" w:line="212" w:lineRule="exact"/>
        <w:rPr>
          <w:rFonts w:ascii="Arial" w:cs="Arial" w:eastAsia="Arial" w:hAnsi="Arial"/>
          <w:sz w:val="19"/>
          <w:szCs w:val="19"/>
          <w:color w:val="auto"/>
        </w:rPr>
      </w:pPr>
    </w:p>
    <w:p>
      <w:pPr>
        <w:ind w:left="860" w:right="620" w:hanging="856"/>
        <w:spacing w:after="0" w:line="268" w:lineRule="auto"/>
        <w:tabs>
          <w:tab w:leader="none" w:pos="86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“Protected Period” means the period related to a Change in Control commencing on the date of the Change in Control and ending on the date that is eighteen (18) months after the Change in Control.</w:t>
      </w:r>
    </w:p>
    <w:p>
      <w:pPr>
        <w:spacing w:after="0" w:line="145" w:lineRule="exact"/>
        <w:rPr>
          <w:rFonts w:ascii="Arial" w:cs="Arial" w:eastAsia="Arial" w:hAnsi="Arial"/>
          <w:sz w:val="20"/>
          <w:szCs w:val="20"/>
          <w:color w:val="auto"/>
        </w:rPr>
      </w:pPr>
    </w:p>
    <w:p>
      <w:pPr>
        <w:ind w:left="860" w:right="280" w:hanging="856"/>
        <w:spacing w:after="0" w:line="253" w:lineRule="auto"/>
        <w:tabs>
          <w:tab w:leader="none" w:pos="86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“Qualifying Termination Event” means the occurrence, upon a Potential Change of Control, of any of one of the events described in sub-sections (i) and (ii) below, and, the occurrence of any one or more of the following events upon a Change in Control, or within the Protected Period following a Change in Control:</w:t>
      </w:r>
    </w:p>
    <w:p>
      <w:pPr>
        <w:spacing w:after="0" w:line="160" w:lineRule="exact"/>
        <w:rPr>
          <w:rFonts w:ascii="Arial" w:cs="Arial" w:eastAsia="Arial" w:hAnsi="Arial"/>
          <w:sz w:val="20"/>
          <w:szCs w:val="20"/>
          <w:color w:val="auto"/>
        </w:rPr>
      </w:pPr>
    </w:p>
    <w:p>
      <w:pPr>
        <w:ind w:left="1720" w:right="300" w:hanging="854"/>
        <w:spacing w:after="0" w:line="268" w:lineRule="auto"/>
        <w:tabs>
          <w:tab w:leader="none" w:pos="1720" w:val="left"/>
        </w:tabs>
        <w:numPr>
          <w:ilvl w:val="1"/>
          <w:numId w:val="129"/>
        </w:numPr>
        <w:rPr>
          <w:rFonts w:ascii="Arial" w:cs="Arial" w:eastAsia="Arial" w:hAnsi="Arial"/>
          <w:sz w:val="20"/>
          <w:szCs w:val="20"/>
          <w:color w:val="auto"/>
        </w:rPr>
      </w:pPr>
      <w:r>
        <w:rPr>
          <w:rFonts w:ascii="Arial" w:cs="Arial" w:eastAsia="Arial" w:hAnsi="Arial"/>
          <w:sz w:val="20"/>
          <w:szCs w:val="20"/>
          <w:color w:val="auto"/>
        </w:rPr>
        <w:t>A termination of the Executive’s employment at the initiation of the Company, without the Executive’s consent, for reasons other than Cause;</w:t>
      </w: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40005</wp:posOffset>
            </wp:positionV>
            <wp:extent cx="7182485" cy="412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0380"/>
          </w:cols>
          <w:pgMar w:left="1180" w:top="752" w:right="339" w:bottom="1440" w:gutter="0" w:footer="0" w:header="0"/>
        </w:sectPr>
      </w:pPr>
    </w:p>
    <w:bookmarkStart w:id="242" w:name="page243"/>
    <w:bookmarkEnd w:id="242"/>
    <w:p>
      <w:pPr>
        <w:ind w:left="2580" w:hanging="854"/>
        <w:spacing w:after="0"/>
        <w:tabs>
          <w:tab w:leader="none" w:pos="258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A voluntary termination of employment by the Executive for Good Reason;</w:t>
      </w:r>
    </w:p>
    <w:p>
      <w:pPr>
        <w:spacing w:after="0" w:line="201" w:lineRule="exact"/>
        <w:rPr>
          <w:rFonts w:ascii="Arial" w:cs="Arial" w:eastAsia="Arial" w:hAnsi="Arial"/>
          <w:sz w:val="20"/>
          <w:szCs w:val="20"/>
          <w:color w:val="auto"/>
        </w:rPr>
      </w:pPr>
    </w:p>
    <w:p>
      <w:pPr>
        <w:ind w:left="2580" w:right="200" w:hanging="854"/>
        <w:spacing w:after="0" w:line="268" w:lineRule="auto"/>
        <w:tabs>
          <w:tab w:leader="none" w:pos="258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A successor company fails or refuses to assume by written instrument the Company’s obligations under this Agreement, as contemplated by Article 8;</w:t>
      </w:r>
    </w:p>
    <w:p>
      <w:pPr>
        <w:spacing w:after="0" w:line="145" w:lineRule="exact"/>
        <w:rPr>
          <w:rFonts w:ascii="Arial" w:cs="Arial" w:eastAsia="Arial" w:hAnsi="Arial"/>
          <w:sz w:val="20"/>
          <w:szCs w:val="20"/>
          <w:color w:val="auto"/>
        </w:rPr>
      </w:pPr>
    </w:p>
    <w:p>
      <w:pPr>
        <w:ind w:left="2580" w:hanging="854"/>
        <w:spacing w:after="0"/>
        <w:tabs>
          <w:tab w:leader="none" w:pos="25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Company or any successor company repudiates or breaches any of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ARTICLE II</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SERVICES DURING CERTAIN EVENTS</w:t>
      </w:r>
    </w:p>
    <w:p>
      <w:pPr>
        <w:spacing w:after="0" w:line="183" w:lineRule="exact"/>
        <w:rPr>
          <w:sz w:val="20"/>
          <w:szCs w:val="20"/>
          <w:color w:val="auto"/>
        </w:rPr>
      </w:pPr>
    </w:p>
    <w:p>
      <w:pPr>
        <w:ind w:right="20" w:firstLine="865"/>
        <w:spacing w:after="0" w:line="244" w:lineRule="auto"/>
        <w:rPr>
          <w:sz w:val="20"/>
          <w:szCs w:val="20"/>
          <w:color w:val="auto"/>
        </w:rPr>
      </w:pPr>
      <w:r>
        <w:rPr>
          <w:rFonts w:ascii="Arial" w:cs="Arial" w:eastAsia="Arial" w:hAnsi="Arial"/>
          <w:sz w:val="20"/>
          <w:szCs w:val="20"/>
          <w:color w:val="auto"/>
        </w:rPr>
        <w:t>If a Potential Change in Control occurs, the Executive agrees that he or she will not voluntarily leave the employ of the Company and will render services until (a) the Board declares, or otherwise indicates, that the circumstances giving rise to the Potential Change in Control will not result in an actual Change in Control, or (b) if a Change in Control occurs, until six (6) months after the Change in Control; provided, however, that, subject to any right that the Executive may have to benefits hereunder, the Company may terminate the Executive’s employment at any time for any reason, and the Executive may terminate his or her employment at any time for Good Reason.</w:t>
      </w:r>
    </w:p>
    <w:p>
      <w:pPr>
        <w:spacing w:after="0" w:line="200" w:lineRule="exact"/>
        <w:rPr>
          <w:sz w:val="20"/>
          <w:szCs w:val="20"/>
          <w:color w:val="auto"/>
        </w:rPr>
      </w:pPr>
    </w:p>
    <w:p>
      <w:pPr>
        <w:spacing w:after="0" w:line="369" w:lineRule="exact"/>
        <w:rPr>
          <w:sz w:val="20"/>
          <w:szCs w:val="20"/>
          <w:color w:val="auto"/>
        </w:rPr>
      </w:pPr>
    </w:p>
    <w:tbl>
      <w:tblPr>
        <w:tblLayout w:type="fixed"/>
        <w:tblInd w:w="174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7800" w:type="dxa"/>
            <w:vAlign w:val="bottom"/>
          </w:tcPr>
          <w:p>
            <w:pPr>
              <w:jc w:val="center"/>
              <w:ind w:right="2259"/>
              <w:spacing w:after="0"/>
              <w:rPr>
                <w:sz w:val="20"/>
                <w:szCs w:val="20"/>
                <w:color w:val="auto"/>
              </w:rPr>
            </w:pPr>
            <w:r>
              <w:rPr>
                <w:rFonts w:ascii="Arial" w:cs="Arial" w:eastAsia="Arial" w:hAnsi="Arial"/>
                <w:sz w:val="20"/>
                <w:szCs w:val="20"/>
                <w:b w:val="1"/>
                <w:bCs w:val="1"/>
                <w:color w:val="auto"/>
              </w:rPr>
              <w:t>ARTICLE III</w:t>
            </w:r>
          </w:p>
        </w:tc>
      </w:tr>
      <w:tr>
        <w:trPr>
          <w:trHeight w:val="263"/>
        </w:trPr>
        <w:tc>
          <w:tcPr>
            <w:tcW w:w="1160" w:type="dxa"/>
            <w:vAlign w:val="bottom"/>
          </w:tcPr>
          <w:p>
            <w:pPr>
              <w:spacing w:after="0"/>
              <w:rPr>
                <w:sz w:val="22"/>
                <w:szCs w:val="22"/>
                <w:color w:val="auto"/>
              </w:rPr>
            </w:pPr>
          </w:p>
        </w:tc>
        <w:tc>
          <w:tcPr>
            <w:tcW w:w="7800" w:type="dxa"/>
            <w:vAlign w:val="bottom"/>
          </w:tcPr>
          <w:p>
            <w:pPr>
              <w:jc w:val="center"/>
              <w:ind w:right="2239"/>
              <w:spacing w:after="0"/>
              <w:rPr>
                <w:sz w:val="20"/>
                <w:szCs w:val="20"/>
                <w:color w:val="auto"/>
              </w:rPr>
            </w:pPr>
            <w:r>
              <w:rPr>
                <w:rFonts w:ascii="Arial" w:cs="Arial" w:eastAsia="Arial" w:hAnsi="Arial"/>
                <w:sz w:val="20"/>
                <w:szCs w:val="20"/>
                <w:b w:val="1"/>
                <w:bCs w:val="1"/>
                <w:color w:val="auto"/>
              </w:rPr>
              <w:t>SEVERANCE BENEFITS</w:t>
            </w:r>
          </w:p>
        </w:tc>
      </w:tr>
      <w:tr>
        <w:trPr>
          <w:trHeight w:val="419"/>
        </w:trPr>
        <w:tc>
          <w:tcPr>
            <w:tcW w:w="1160" w:type="dxa"/>
            <w:vAlign w:val="bottom"/>
          </w:tcPr>
          <w:p>
            <w:pPr>
              <w:jc w:val="right"/>
              <w:ind w:right="819"/>
              <w:spacing w:after="0"/>
              <w:rPr>
                <w:sz w:val="20"/>
                <w:szCs w:val="20"/>
                <w:color w:val="auto"/>
              </w:rPr>
            </w:pPr>
            <w:r>
              <w:rPr>
                <w:rFonts w:ascii="Arial" w:cs="Arial" w:eastAsia="Arial" w:hAnsi="Arial"/>
                <w:sz w:val="20"/>
                <w:szCs w:val="20"/>
                <w:b w:val="1"/>
                <w:bCs w:val="1"/>
                <w:color w:val="auto"/>
                <w:w w:val="78"/>
              </w:rPr>
              <w:t>3.1</w:t>
            </w:r>
          </w:p>
        </w:tc>
        <w:tc>
          <w:tcPr>
            <w:tcW w:w="7800" w:type="dxa"/>
            <w:vAlign w:val="bottom"/>
          </w:tcPr>
          <w:p>
            <w:pPr>
              <w:ind w:left="900"/>
              <w:spacing w:after="0"/>
              <w:rPr>
                <w:sz w:val="20"/>
                <w:szCs w:val="20"/>
                <w:color w:val="auto"/>
              </w:rPr>
            </w:pPr>
            <w:r>
              <w:rPr>
                <w:rFonts w:ascii="Arial" w:cs="Arial" w:eastAsia="Arial" w:hAnsi="Arial"/>
                <w:sz w:val="20"/>
                <w:szCs w:val="20"/>
                <w:b w:val="1"/>
                <w:bCs w:val="1"/>
                <w:color w:val="auto"/>
                <w:w w:val="91"/>
              </w:rPr>
              <w:t>Right to Severance Benefits</w:t>
            </w:r>
            <w:r>
              <w:rPr>
                <w:rFonts w:ascii="Arial" w:cs="Arial" w:eastAsia="Arial" w:hAnsi="Arial"/>
                <w:sz w:val="20"/>
                <w:szCs w:val="20"/>
                <w:color w:val="auto"/>
                <w:w w:val="91"/>
              </w:rPr>
              <w:t>. The Executive shall be entitled to receive the benefits</w:t>
            </w:r>
          </w:p>
        </w:tc>
      </w:tr>
    </w:tbl>
    <w:p>
      <w:pPr>
        <w:spacing w:after="0" w:line="239" w:lineRule="auto"/>
        <w:rPr>
          <w:sz w:val="20"/>
          <w:szCs w:val="20"/>
          <w:color w:val="auto"/>
        </w:rPr>
      </w:pPr>
      <w:r>
        <w:rPr>
          <w:rFonts w:ascii="Arial" w:cs="Arial" w:eastAsia="Arial" w:hAnsi="Arial"/>
          <w:sz w:val="20"/>
          <w:szCs w:val="20"/>
          <w:color w:val="auto"/>
        </w:rPr>
        <w:t xml:space="preserve">described in Section 3.2 if the Executive incurs a Qualifying Termination Event, provided that the Executive must (a) furnish the Company with written notice of Executive’s exercise of the right to receive such benefits within thirty (30) days of the occurrence of a Qualifying Termination Event and (b) execute and deliver to the Company the Severance Agreement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within fifty (50) days of the Qualifying Termination Event and not revoke it pursuant to any revocation rights afforded by law. If the Executive does not timely execute and deliver to the Company the Severance Agreement, or if the Executive has executed the Severance Agreement but revokes it, no severance benefits shall be paid. If more than one Qualifying Termination Event occurs, such events shall constitute a single Qualifying Termination Event and Executive shall be entitled to receive the benefits provided under Section 3.2 (a) through (d) only once.</w:t>
      </w:r>
    </w:p>
    <w:p>
      <w:pPr>
        <w:spacing w:after="0" w:line="174" w:lineRule="exact"/>
        <w:rPr>
          <w:sz w:val="20"/>
          <w:szCs w:val="20"/>
          <w:color w:val="auto"/>
        </w:rPr>
      </w:pPr>
    </w:p>
    <w:p>
      <w:pPr>
        <w:jc w:val="both"/>
        <w:ind w:right="100" w:firstLine="1729"/>
        <w:spacing w:after="0" w:line="249" w:lineRule="auto"/>
        <w:rPr>
          <w:sz w:val="20"/>
          <w:szCs w:val="20"/>
          <w:color w:val="auto"/>
        </w:rPr>
      </w:pPr>
      <w:r>
        <w:rPr>
          <w:rFonts w:ascii="Arial" w:cs="Arial" w:eastAsia="Arial" w:hAnsi="Arial"/>
          <w:sz w:val="20"/>
          <w:szCs w:val="20"/>
          <w:b w:val="1"/>
          <w:bCs w:val="1"/>
          <w:color w:val="auto"/>
        </w:rPr>
        <w:t>3.2 Severance Benefits</w:t>
      </w:r>
      <w:r>
        <w:rPr>
          <w:rFonts w:ascii="Arial" w:cs="Arial" w:eastAsia="Arial" w:hAnsi="Arial"/>
          <w:sz w:val="20"/>
          <w:szCs w:val="20"/>
          <w:color w:val="auto"/>
        </w:rPr>
        <w:t>. If a Qualifying Termination Event occurs and the Executive satisfies</w:t>
      </w:r>
      <w:r>
        <w:rPr>
          <w:rFonts w:ascii="Arial" w:cs="Arial" w:eastAsia="Arial" w:hAnsi="Arial"/>
          <w:sz w:val="20"/>
          <w:szCs w:val="20"/>
          <w:b w:val="1"/>
          <w:bCs w:val="1"/>
          <w:color w:val="auto"/>
        </w:rPr>
        <w:t xml:space="preserve"> </w:t>
      </w:r>
      <w:r>
        <w:rPr>
          <w:rFonts w:ascii="Arial" w:cs="Arial" w:eastAsia="Arial" w:hAnsi="Arial"/>
          <w:sz w:val="20"/>
          <w:szCs w:val="20"/>
          <w:color w:val="auto"/>
        </w:rPr>
        <w:t>the conditions set forth in Section 3.1 above, the Company will pay the Executive as soon as practicable following his or her satisfaction of such conditions, but in no event more than 2½ months following the Qualifying Termination Event, a non-discounted cash lump sum amount equal to the sum of the following:</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6">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00"/>
          </w:cols>
          <w:pgMar w:left="320" w:top="752" w:right="379" w:bottom="1440" w:gutter="0" w:footer="0" w:header="0"/>
        </w:sectPr>
      </w:pPr>
    </w:p>
    <w:bookmarkStart w:id="243" w:name="page244"/>
    <w:bookmarkEnd w:id="243"/>
    <w:p>
      <w:pPr>
        <w:ind w:left="1720" w:right="860" w:hanging="856"/>
        <w:spacing w:after="0" w:line="268" w:lineRule="auto"/>
        <w:tabs>
          <w:tab w:leader="none" w:pos="172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the Executive’s accrued and unpaid Base Salary and accrued vacation pay through the date of Executive’s termination, pursuant to a Qualifying Termination Event;</w:t>
      </w:r>
    </w:p>
    <w:p>
      <w:pPr>
        <w:spacing w:after="0" w:line="145" w:lineRule="exact"/>
        <w:rPr>
          <w:rFonts w:ascii="Arial" w:cs="Arial" w:eastAsia="Arial" w:hAnsi="Arial"/>
          <w:sz w:val="20"/>
          <w:szCs w:val="20"/>
          <w:color w:val="auto"/>
        </w:rPr>
      </w:pPr>
    </w:p>
    <w:p>
      <w:pPr>
        <w:jc w:val="both"/>
        <w:ind w:left="1720" w:right="80" w:hanging="856"/>
        <w:spacing w:after="0" w:line="245" w:lineRule="auto"/>
        <w:tabs>
          <w:tab w:leader="none" w:pos="172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a pro-rata portion (based on the number of days that elapsed in the calendar year before the Qualifying Termination Event occurred) of the greater of (i) the Executive’s target annual bonus for the year of the Qualifying Termination Event or (ii) the Executive’s annual bonus that would have been paid (as determined by the Board in its discretion) assuming the year ended on the date of the Qualifying Termination Event and based on actual performance through that date;</w:t>
      </w:r>
    </w:p>
    <w:p>
      <w:pPr>
        <w:spacing w:after="0" w:line="169" w:lineRule="exact"/>
        <w:rPr>
          <w:rFonts w:ascii="Arial" w:cs="Arial" w:eastAsia="Arial" w:hAnsi="Arial"/>
          <w:sz w:val="20"/>
          <w:szCs w:val="20"/>
          <w:color w:val="auto"/>
        </w:rPr>
      </w:pPr>
    </w:p>
    <w:p>
      <w:pPr>
        <w:ind w:left="1720" w:right="660" w:hanging="856"/>
        <w:spacing w:after="0" w:line="268" w:lineRule="auto"/>
        <w:tabs>
          <w:tab w:leader="none" w:pos="172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an amount equal to the highest rate of the Executive’s annualized Base Salary in effect at any time up to and including the Qualifying Termination Event multiplied by </w:t>
      </w:r>
      <w:r>
        <w:rPr>
          <w:rFonts w:ascii="Arial" w:cs="Arial" w:eastAsia="Arial" w:hAnsi="Arial"/>
          <w:sz w:val="20"/>
          <w:szCs w:val="20"/>
          <w:u w:val="single" w:color="auto"/>
          <w:color w:val="auto"/>
        </w:rPr>
        <w:t>two (2)</w:t>
      </w:r>
      <w:r>
        <w:rPr>
          <w:rFonts w:ascii="Arial" w:cs="Arial" w:eastAsia="Arial" w:hAnsi="Arial"/>
          <w:sz w:val="20"/>
          <w:szCs w:val="20"/>
          <w:color w:val="auto"/>
        </w:rPr>
        <w:t>; and</w:t>
      </w:r>
    </w:p>
    <w:p>
      <w:pPr>
        <w:spacing w:after="0" w:line="145" w:lineRule="exact"/>
        <w:rPr>
          <w:rFonts w:ascii="Arial" w:cs="Arial" w:eastAsia="Arial" w:hAnsi="Arial"/>
          <w:sz w:val="20"/>
          <w:szCs w:val="20"/>
          <w:color w:val="auto"/>
        </w:rPr>
      </w:pPr>
    </w:p>
    <w:p>
      <w:pPr>
        <w:ind w:left="1720" w:hanging="856"/>
        <w:spacing w:after="0" w:line="253" w:lineRule="auto"/>
        <w:tabs>
          <w:tab w:leader="none" w:pos="172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an amount equal to the greater of (i) the Executive’s target annual bonus for the year of the Qualifying Termination Event or (ii) the average of the annual bonuses actually paid to the Executive for the two years preceding the year of the Qualifying Termination Event, multiplied by </w:t>
      </w:r>
      <w:r>
        <w:rPr>
          <w:rFonts w:ascii="Arial" w:cs="Arial" w:eastAsia="Arial" w:hAnsi="Arial"/>
          <w:sz w:val="20"/>
          <w:szCs w:val="20"/>
          <w:u w:val="single" w:color="auto"/>
          <w:color w:val="auto"/>
        </w:rPr>
        <w:t>two (2).</w:t>
      </w:r>
    </w:p>
    <w:p>
      <w:pPr>
        <w:spacing w:after="0" w:line="160" w:lineRule="exact"/>
        <w:rPr>
          <w:sz w:val="20"/>
          <w:szCs w:val="20"/>
          <w:color w:val="auto"/>
        </w:rPr>
      </w:pPr>
    </w:p>
    <w:p>
      <w:pPr>
        <w:ind w:right="40" w:firstLine="865"/>
        <w:spacing w:after="0" w:line="253" w:lineRule="auto"/>
        <w:rPr>
          <w:sz w:val="20"/>
          <w:szCs w:val="20"/>
          <w:color w:val="auto"/>
        </w:rPr>
      </w:pPr>
      <w:r>
        <w:rPr>
          <w:rFonts w:ascii="Arial" w:cs="Arial" w:eastAsia="Arial" w:hAnsi="Arial"/>
          <w:sz w:val="19"/>
          <w:szCs w:val="19"/>
          <w:color w:val="auto"/>
        </w:rPr>
        <w:t xml:space="preserve">In addition to the foregoing, if Executive satisfies the conditions set forth in Section 3.1 above, the Company will pay the Executive as soon as practicable following his or her satisfaction of such conditions, but in no event more that 2½ months following the Qualifying Termination Event, a non-discounted cash lump sum amount equal to the sum of the following: (i) the Company’s estimate of the costs for the Executive’s medical insurance coverage at the level and a cost to the Executive comparable to that provided to the Executive immediately prior to the Qualifying Termination Event for a period of </w:t>
      </w:r>
      <w:r>
        <w:rPr>
          <w:rFonts w:ascii="Arial" w:cs="Arial" w:eastAsia="Arial" w:hAnsi="Arial"/>
          <w:sz w:val="19"/>
          <w:szCs w:val="19"/>
          <w:u w:val="single" w:color="auto"/>
          <w:color w:val="auto"/>
        </w:rPr>
        <w:t>two (2) years</w:t>
      </w:r>
      <w:r>
        <w:rPr>
          <w:rFonts w:ascii="Arial" w:cs="Arial" w:eastAsia="Arial" w:hAnsi="Arial"/>
          <w:sz w:val="19"/>
          <w:szCs w:val="19"/>
          <w:color w:val="auto"/>
        </w:rPr>
        <w:t xml:space="preserve"> following such Qualifying Termination Event (which, in the Company’s discretion, may be based on the applicable COBRA rates); (ii) the Company’s estimate of the costs for the continuation of that level of the Executive’s executive life insurance coverage that is in effect immediately prior to the Qualifying Termination Event for a period of </w:t>
      </w:r>
      <w:r>
        <w:rPr>
          <w:rFonts w:ascii="Arial" w:cs="Arial" w:eastAsia="Arial" w:hAnsi="Arial"/>
          <w:sz w:val="19"/>
          <w:szCs w:val="19"/>
          <w:u w:val="single" w:color="auto"/>
          <w:color w:val="auto"/>
        </w:rPr>
        <w:t>two (2) years</w:t>
      </w:r>
      <w:r>
        <w:rPr>
          <w:rFonts w:ascii="Arial" w:cs="Arial" w:eastAsia="Arial" w:hAnsi="Arial"/>
          <w:sz w:val="19"/>
          <w:szCs w:val="19"/>
          <w:color w:val="auto"/>
        </w:rPr>
        <w:t xml:space="preserve"> following such Qualifying Termination Event, or, if shorter, the period ending on the last day of the level premium rate guarantee period established by the applicable insurer for such coverage; and (iii) the Company’s estimate of the costs for the continuation of the Executive’s executive supplemental disability coverage under the Company’s supplemental disability insurance plan in effect immediately prior to the Qualifying Termination Event for a period of </w:t>
      </w:r>
      <w:r>
        <w:rPr>
          <w:rFonts w:ascii="Arial" w:cs="Arial" w:eastAsia="Arial" w:hAnsi="Arial"/>
          <w:sz w:val="19"/>
          <w:szCs w:val="19"/>
          <w:u w:val="single" w:color="auto"/>
          <w:color w:val="auto"/>
        </w:rPr>
        <w:t>two (2) years</w:t>
      </w:r>
      <w:r>
        <w:rPr>
          <w:rFonts w:ascii="Arial" w:cs="Arial" w:eastAsia="Arial" w:hAnsi="Arial"/>
          <w:sz w:val="19"/>
          <w:szCs w:val="19"/>
          <w:color w:val="auto"/>
        </w:rPr>
        <w:t xml:space="preserve"> following such Qualifying Termination Event (or the date the Executive attains age 65, if earlier), but the cash payment in this clause (iii) will only be paid if the terms of the applicable insurance policy under such disability insurance plan provide that the coverage may be continued following the Qualifying Termination Event and such costs to be estimated using the extent of the coverage allowed under the terms of such policy at a cost to the Company that is no greater than the cost borne by the Company immediately prior to the Qualifying Termination Event.</w:t>
      </w:r>
    </w:p>
    <w:p>
      <w:pPr>
        <w:spacing w:after="0" w:line="169" w:lineRule="exact"/>
        <w:rPr>
          <w:sz w:val="20"/>
          <w:szCs w:val="20"/>
          <w:color w:val="auto"/>
        </w:rPr>
      </w:pPr>
    </w:p>
    <w:p>
      <w:pPr>
        <w:ind w:right="600" w:firstLine="865"/>
        <w:spacing w:after="0" w:line="268" w:lineRule="auto"/>
        <w:rPr>
          <w:sz w:val="20"/>
          <w:szCs w:val="20"/>
          <w:color w:val="auto"/>
        </w:rPr>
      </w:pPr>
      <w:r>
        <w:rPr>
          <w:rFonts w:ascii="Arial" w:cs="Arial" w:eastAsia="Arial" w:hAnsi="Arial"/>
          <w:sz w:val="20"/>
          <w:szCs w:val="20"/>
          <w:color w:val="auto"/>
        </w:rPr>
        <w:t>If the 2½ month period following the Qualifying Termination Event for making the foregoing cash payments spans two calendar years, payment will in all cases be made in the second (later) calendar year.</w:t>
      </w:r>
    </w:p>
    <w:p>
      <w:pPr>
        <w:spacing w:after="0" w:line="12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7">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160"/>
          </w:cols>
          <w:pgMar w:left="320" w:top="752" w:right="419" w:bottom="1440" w:gutter="0" w:footer="0" w:header="0"/>
        </w:sectPr>
      </w:pPr>
    </w:p>
    <w:bookmarkStart w:id="244" w:name="page245"/>
    <w:bookmarkEnd w:id="244"/>
    <w:p>
      <w:pPr>
        <w:ind w:firstLine="865"/>
        <w:spacing w:after="0" w:line="261" w:lineRule="auto"/>
        <w:rPr>
          <w:sz w:val="20"/>
          <w:szCs w:val="20"/>
          <w:color w:val="auto"/>
        </w:rPr>
      </w:pPr>
      <w:r>
        <w:rPr>
          <w:rFonts w:ascii="Arial" w:cs="Arial" w:eastAsia="Arial" w:hAnsi="Arial"/>
          <w:sz w:val="19"/>
          <w:szCs w:val="19"/>
          <w:color w:val="auto"/>
        </w:rPr>
        <w:t>Notwithstanding any provision of this Agreement to the contrary, to the extent that the Company determines that a delay in payment or benefits is required to avoid subjecting the Executive to taxes under Code Section 409A (“Section 409A”), the Executive shall not be entitled to receive any payments of, or benefits that constitute, deferred compensation (as defined in Section 409A) until the earlier of (i) the date which is six (6) months after his or her termination of employment or (ii) the date of his or her death (the “Section 409A Period”), at which time the Company shall pay all delayed payments to the Executive in a lump sum without interest.</w:t>
      </w:r>
    </w:p>
    <w:p>
      <w:pPr>
        <w:spacing w:after="0" w:line="152" w:lineRule="exact"/>
        <w:rPr>
          <w:sz w:val="20"/>
          <w:szCs w:val="20"/>
          <w:color w:val="auto"/>
        </w:rPr>
      </w:pPr>
    </w:p>
    <w:p>
      <w:pPr>
        <w:ind w:right="20" w:firstLine="1729"/>
        <w:spacing w:after="0" w:line="272" w:lineRule="auto"/>
        <w:rPr>
          <w:sz w:val="20"/>
          <w:szCs w:val="20"/>
          <w:color w:val="auto"/>
        </w:rPr>
      </w:pPr>
      <w:r>
        <w:rPr>
          <w:rFonts w:ascii="Arial" w:cs="Arial" w:eastAsia="Arial" w:hAnsi="Arial"/>
          <w:sz w:val="20"/>
          <w:szCs w:val="20"/>
          <w:b w:val="1"/>
          <w:bCs w:val="1"/>
          <w:color w:val="auto"/>
        </w:rPr>
        <w:t>3.3 Termination for Other Reasons</w:t>
      </w:r>
      <w:r>
        <w:rPr>
          <w:rFonts w:ascii="Arial" w:cs="Arial" w:eastAsia="Arial" w:hAnsi="Arial"/>
          <w:sz w:val="20"/>
          <w:szCs w:val="20"/>
          <w:color w:val="auto"/>
        </w:rPr>
        <w:t>. Except as expressly provided below, the Company shall</w:t>
      </w:r>
      <w:r>
        <w:rPr>
          <w:rFonts w:ascii="Arial" w:cs="Arial" w:eastAsia="Arial" w:hAnsi="Arial"/>
          <w:sz w:val="20"/>
          <w:szCs w:val="20"/>
          <w:b w:val="1"/>
          <w:bCs w:val="1"/>
          <w:color w:val="auto"/>
        </w:rPr>
        <w:t xml:space="preserve"> </w:t>
      </w:r>
      <w:r>
        <w:rPr>
          <w:rFonts w:ascii="Arial" w:cs="Arial" w:eastAsia="Arial" w:hAnsi="Arial"/>
          <w:sz w:val="20"/>
          <w:szCs w:val="20"/>
          <w:color w:val="auto"/>
        </w:rPr>
        <w:t>have no obligations (or no further obligations, as the case may be) to the Executive under this Agreement if:</w:t>
      </w:r>
    </w:p>
    <w:p>
      <w:pPr>
        <w:spacing w:after="0" w:line="142" w:lineRule="exact"/>
        <w:rPr>
          <w:sz w:val="20"/>
          <w:szCs w:val="20"/>
          <w:color w:val="auto"/>
        </w:rPr>
      </w:pPr>
    </w:p>
    <w:p>
      <w:pPr>
        <w:ind w:left="1720" w:hanging="856"/>
        <w:spacing w:after="0"/>
        <w:tabs>
          <w:tab w:leader="none" w:pos="172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Executive’s employment is terminated by the Company for Cause;</w:t>
      </w:r>
    </w:p>
    <w:p>
      <w:pPr>
        <w:spacing w:after="0" w:line="201" w:lineRule="exact"/>
        <w:rPr>
          <w:rFonts w:ascii="Arial" w:cs="Arial" w:eastAsia="Arial" w:hAnsi="Arial"/>
          <w:sz w:val="20"/>
          <w:szCs w:val="20"/>
          <w:color w:val="auto"/>
        </w:rPr>
      </w:pPr>
    </w:p>
    <w:p>
      <w:pPr>
        <w:ind w:left="1720" w:right="520" w:hanging="856"/>
        <w:spacing w:after="0" w:line="268" w:lineRule="auto"/>
        <w:tabs>
          <w:tab w:leader="none" w:pos="172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Executive terminates his or her employment with the Company other than for Good Reason during a Protected Period;</w:t>
      </w:r>
    </w:p>
    <w:p>
      <w:pPr>
        <w:spacing w:after="0" w:line="145" w:lineRule="exact"/>
        <w:rPr>
          <w:rFonts w:ascii="Arial" w:cs="Arial" w:eastAsia="Arial" w:hAnsi="Arial"/>
          <w:sz w:val="20"/>
          <w:szCs w:val="20"/>
          <w:color w:val="auto"/>
        </w:rPr>
      </w:pPr>
    </w:p>
    <w:p>
      <w:pPr>
        <w:ind w:left="1720" w:hanging="856"/>
        <w:spacing w:after="0"/>
        <w:tabs>
          <w:tab w:leader="none" w:pos="172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Executive’s employment by the Company terminates due to the Executive’s Disability, retirement or death; or</w:t>
      </w:r>
    </w:p>
    <w:p>
      <w:pPr>
        <w:spacing w:after="0" w:line="212" w:lineRule="exact"/>
        <w:rPr>
          <w:rFonts w:ascii="Arial" w:cs="Arial" w:eastAsia="Arial" w:hAnsi="Arial"/>
          <w:sz w:val="19"/>
          <w:szCs w:val="19"/>
          <w:color w:val="auto"/>
        </w:rPr>
      </w:pPr>
    </w:p>
    <w:p>
      <w:pPr>
        <w:ind w:left="1720" w:right="360" w:hanging="856"/>
        <w:spacing w:after="0" w:line="268" w:lineRule="auto"/>
        <w:tabs>
          <w:tab w:leader="none" w:pos="172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Executive’s employment by the Company is terminated by the Company or the Executive for any reason, if such termination does not occur during a Protected Period.</w:t>
      </w:r>
    </w:p>
    <w:p>
      <w:pPr>
        <w:spacing w:after="0" w:line="145" w:lineRule="exact"/>
        <w:rPr>
          <w:rFonts w:ascii="Arial" w:cs="Arial" w:eastAsia="Arial" w:hAnsi="Arial"/>
          <w:sz w:val="20"/>
          <w:szCs w:val="20"/>
          <w:color w:val="auto"/>
        </w:rPr>
      </w:pPr>
    </w:p>
    <w:p>
      <w:pPr>
        <w:ind w:left="1720" w:right="220" w:hanging="856"/>
        <w:spacing w:after="0" w:line="253" w:lineRule="auto"/>
        <w:tabs>
          <w:tab w:leader="none" w:pos="172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Prior to a Potential Change in Control, Executive ceases to perform services on a full-time basis in either the same position Executive was serving on the Effective Date or a more senior position and as a result the term of this Agreement terminates pursuant to Article VI.</w:t>
      </w:r>
    </w:p>
    <w:p>
      <w:pPr>
        <w:spacing w:after="0" w:line="160" w:lineRule="exact"/>
        <w:rPr>
          <w:sz w:val="20"/>
          <w:szCs w:val="20"/>
          <w:color w:val="auto"/>
        </w:rPr>
      </w:pPr>
    </w:p>
    <w:p>
      <w:pPr>
        <w:jc w:val="both"/>
        <w:ind w:right="100" w:firstLine="865"/>
        <w:spacing w:after="0" w:line="272" w:lineRule="auto"/>
        <w:rPr>
          <w:sz w:val="20"/>
          <w:szCs w:val="20"/>
          <w:color w:val="auto"/>
        </w:rPr>
      </w:pPr>
      <w:r>
        <w:rPr>
          <w:rFonts w:ascii="Arial" w:cs="Arial" w:eastAsia="Arial" w:hAnsi="Arial"/>
          <w:sz w:val="19"/>
          <w:szCs w:val="19"/>
          <w:color w:val="auto"/>
        </w:rPr>
        <w:t>If, during a Protected Period and immediately prior to the Executive’s Disability or retirement, the Executive would have been entitled to terminate employment with the Company for Good Reason, then upon termination of his or her employment for Disability or retirement he shall be deemed to have terminated for Good Reason for purposes of this Agreement.</w:t>
      </w:r>
    </w:p>
    <w:p>
      <w:pPr>
        <w:spacing w:after="0" w:line="145" w:lineRule="exact"/>
        <w:rPr>
          <w:sz w:val="20"/>
          <w:szCs w:val="20"/>
          <w:color w:val="auto"/>
        </w:rPr>
      </w:pPr>
    </w:p>
    <w:p>
      <w:pPr>
        <w:ind w:right="340" w:firstLine="865"/>
        <w:spacing w:after="0" w:line="259" w:lineRule="auto"/>
        <w:rPr>
          <w:sz w:val="20"/>
          <w:szCs w:val="20"/>
          <w:color w:val="auto"/>
        </w:rPr>
      </w:pPr>
      <w:r>
        <w:rPr>
          <w:rFonts w:ascii="Arial" w:cs="Arial" w:eastAsia="Arial" w:hAnsi="Arial"/>
          <w:sz w:val="19"/>
          <w:szCs w:val="19"/>
          <w:color w:val="auto"/>
        </w:rPr>
        <w:t>Notwithstanding anything else contained herein to the contrary, the Executive’s termination of employment on account of reaching the normal retirement age, as such age may be defined from time to time in policies adopted by the Company prior to the commencement of the Protected Period, to the extent such policies are applicable to the Executive immediately prior to the commencement of the Protected Period and to the extent such policies are consistent with applicable law, shall not be a Qualifying Termination Event unless the Executive was otherwise able to terminate employment for Good Reason immediately prior to his or her retirement and his or her retirement occurred during a Protected Period.</w:t>
      </w:r>
    </w:p>
    <w:p>
      <w:pPr>
        <w:spacing w:after="0" w:line="153" w:lineRule="exact"/>
        <w:rPr>
          <w:sz w:val="20"/>
          <w:szCs w:val="20"/>
          <w:color w:val="auto"/>
        </w:rPr>
      </w:pPr>
    </w:p>
    <w:p>
      <w:pPr>
        <w:jc w:val="both"/>
        <w:ind w:right="60" w:firstLine="1729"/>
        <w:spacing w:after="0" w:line="255" w:lineRule="auto"/>
        <w:rPr>
          <w:sz w:val="20"/>
          <w:szCs w:val="20"/>
          <w:color w:val="auto"/>
        </w:rPr>
      </w:pPr>
      <w:r>
        <w:rPr>
          <w:rFonts w:ascii="Arial" w:cs="Arial" w:eastAsia="Arial" w:hAnsi="Arial"/>
          <w:sz w:val="20"/>
          <w:szCs w:val="20"/>
          <w:b w:val="1"/>
          <w:bCs w:val="1"/>
          <w:color w:val="auto"/>
        </w:rPr>
        <w:t>3.4 Notice of Termination</w:t>
      </w:r>
      <w:r>
        <w:rPr>
          <w:rFonts w:ascii="Arial" w:cs="Arial" w:eastAsia="Arial" w:hAnsi="Arial"/>
          <w:sz w:val="20"/>
          <w:szCs w:val="20"/>
          <w:color w:val="auto"/>
        </w:rPr>
        <w:t>. Any termination of the Executive’s employment by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for Cause or by the Executive for Good Reason shall be communicated by Notice of Termination to the other party. For purposes of this Agreement, a “Notice of Termination” shall mean a written notice which shall indicate the specific termination provision</w:t>
      </w:r>
    </w:p>
    <w:p>
      <w:pPr>
        <w:spacing w:after="0" w:line="133"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20"/>
          </w:cols>
          <w:pgMar w:left="320" w:top="752" w:right="359" w:bottom="1440" w:gutter="0" w:footer="0" w:header="0"/>
        </w:sectPr>
      </w:pPr>
    </w:p>
    <w:bookmarkStart w:id="245" w:name="page246"/>
    <w:bookmarkEnd w:id="245"/>
    <w:p>
      <w:pPr>
        <w:ind w:right="380"/>
        <w:spacing w:after="0" w:line="253" w:lineRule="auto"/>
        <w:rPr>
          <w:sz w:val="20"/>
          <w:szCs w:val="20"/>
          <w:color w:val="auto"/>
        </w:rPr>
      </w:pPr>
      <w:r>
        <w:rPr>
          <w:rFonts w:ascii="Arial" w:cs="Arial" w:eastAsia="Arial" w:hAnsi="Arial"/>
          <w:sz w:val="20"/>
          <w:szCs w:val="20"/>
          <w:color w:val="auto"/>
        </w:rPr>
        <w:t>in this Agreement relied upon and shall set forth in reasonable detail the facts and circumstances claimed to provide a basis for termination of the Executive’s employment under the provision so indicated. The Notice of Termination shall be effective on the date specified in Section 9.8 of this Agreement.</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ARTICLE IV</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TAXES</w:t>
      </w:r>
    </w:p>
    <w:p>
      <w:pPr>
        <w:spacing w:after="0" w:line="183" w:lineRule="exact"/>
        <w:rPr>
          <w:sz w:val="20"/>
          <w:szCs w:val="20"/>
          <w:color w:val="auto"/>
        </w:rPr>
      </w:pPr>
    </w:p>
    <w:p>
      <w:pPr>
        <w:ind w:right="60" w:firstLine="865"/>
        <w:spacing w:after="0" w:line="276" w:lineRule="auto"/>
        <w:rPr>
          <w:sz w:val="20"/>
          <w:szCs w:val="20"/>
          <w:color w:val="auto"/>
        </w:rPr>
      </w:pPr>
      <w:r>
        <w:rPr>
          <w:rFonts w:ascii="Arial" w:cs="Arial" w:eastAsia="Arial" w:hAnsi="Arial"/>
          <w:sz w:val="18"/>
          <w:szCs w:val="18"/>
          <w:color w:val="auto"/>
        </w:rPr>
        <w:t>The Company has the right to withhold from any amount otherwise payable to the Executive under or pursuant to this Agreement the amount of any taxes that the Company may legally be required to withhold with respect to such payment (including, without limitation, any United States Federal taxes, and any other state, city, or local taxes). In the event that tax withholding is required with respect to amounts or benefits payable or deliverable by the Company to the Executive and the Company cannot satisfy its tax withholding obligations in the manner described in the preceding sentence, the Company may require the Executive to pay or provide for the payment of such required tax withholding as a condition to the payment or delivery of such amounts or benefits.</w:t>
      </w:r>
    </w:p>
    <w:p>
      <w:pPr>
        <w:spacing w:after="0" w:line="144" w:lineRule="exact"/>
        <w:rPr>
          <w:sz w:val="20"/>
          <w:szCs w:val="20"/>
          <w:color w:val="auto"/>
        </w:rPr>
      </w:pPr>
    </w:p>
    <w:p>
      <w:pPr>
        <w:ind w:right="500" w:firstLine="865"/>
        <w:spacing w:after="0" w:line="268" w:lineRule="auto"/>
        <w:rPr>
          <w:sz w:val="20"/>
          <w:szCs w:val="20"/>
          <w:color w:val="auto"/>
        </w:rPr>
      </w:pPr>
      <w:r>
        <w:rPr>
          <w:rFonts w:ascii="Arial" w:cs="Arial" w:eastAsia="Arial" w:hAnsi="Arial"/>
          <w:sz w:val="20"/>
          <w:szCs w:val="20"/>
          <w:color w:val="auto"/>
        </w:rPr>
        <w:t>The Executive (or his or her Beneficiaries, if applicable) shall be solely responsible for all income and employment taxes arising in connection with this Agreement or benefits hereunder.</w:t>
      </w:r>
    </w:p>
    <w:p>
      <w:pPr>
        <w:spacing w:after="0" w:line="200" w:lineRule="exact"/>
        <w:rPr>
          <w:sz w:val="20"/>
          <w:szCs w:val="20"/>
          <w:color w:val="auto"/>
        </w:rPr>
      </w:pPr>
    </w:p>
    <w:p>
      <w:pPr>
        <w:spacing w:after="0" w:line="346" w:lineRule="exact"/>
        <w:rPr>
          <w:sz w:val="20"/>
          <w:szCs w:val="20"/>
          <w:color w:val="auto"/>
        </w:rPr>
      </w:pPr>
    </w:p>
    <w:tbl>
      <w:tblPr>
        <w:tblLayout w:type="fixed"/>
        <w:tblInd w:w="1740" w:type="dxa"/>
        <w:tblCellMar>
          <w:top w:w="0" w:type="dxa"/>
          <w:left w:w="0" w:type="dxa"/>
          <w:bottom w:w="0" w:type="dxa"/>
          <w:right w:w="0" w:type="dxa"/>
        </w:tblCellMar>
      </w:tblPr>
      <w:tr>
        <w:trPr>
          <w:trHeight w:val="230"/>
        </w:trPr>
        <w:tc>
          <w:tcPr>
            <w:tcW w:w="1040" w:type="dxa"/>
            <w:vAlign w:val="bottom"/>
          </w:tcPr>
          <w:p>
            <w:pPr>
              <w:spacing w:after="0"/>
              <w:rPr>
                <w:sz w:val="19"/>
                <w:szCs w:val="19"/>
                <w:color w:val="auto"/>
              </w:rPr>
            </w:pPr>
          </w:p>
        </w:tc>
        <w:tc>
          <w:tcPr>
            <w:tcW w:w="8300" w:type="dxa"/>
            <w:vAlign w:val="bottom"/>
          </w:tcPr>
          <w:p>
            <w:pPr>
              <w:jc w:val="center"/>
              <w:ind w:right="2519"/>
              <w:spacing w:after="0"/>
              <w:rPr>
                <w:sz w:val="20"/>
                <w:szCs w:val="20"/>
                <w:color w:val="auto"/>
              </w:rPr>
            </w:pPr>
            <w:r>
              <w:rPr>
                <w:rFonts w:ascii="Arial" w:cs="Arial" w:eastAsia="Arial" w:hAnsi="Arial"/>
                <w:sz w:val="20"/>
                <w:szCs w:val="20"/>
                <w:b w:val="1"/>
                <w:bCs w:val="1"/>
                <w:color w:val="auto"/>
              </w:rPr>
              <w:t>ARTICLE V</w:t>
            </w:r>
          </w:p>
        </w:tc>
      </w:tr>
      <w:tr>
        <w:trPr>
          <w:trHeight w:val="263"/>
        </w:trPr>
        <w:tc>
          <w:tcPr>
            <w:tcW w:w="1040" w:type="dxa"/>
            <w:vAlign w:val="bottom"/>
          </w:tcPr>
          <w:p>
            <w:pPr>
              <w:spacing w:after="0"/>
              <w:rPr>
                <w:sz w:val="22"/>
                <w:szCs w:val="22"/>
                <w:color w:val="auto"/>
              </w:rPr>
            </w:pPr>
          </w:p>
        </w:tc>
        <w:tc>
          <w:tcPr>
            <w:tcW w:w="8300" w:type="dxa"/>
            <w:vAlign w:val="bottom"/>
          </w:tcPr>
          <w:p>
            <w:pPr>
              <w:jc w:val="center"/>
              <w:ind w:right="2519"/>
              <w:spacing w:after="0"/>
              <w:rPr>
                <w:sz w:val="20"/>
                <w:szCs w:val="20"/>
                <w:color w:val="auto"/>
              </w:rPr>
            </w:pPr>
            <w:r>
              <w:rPr>
                <w:rFonts w:ascii="Arial" w:cs="Arial" w:eastAsia="Arial" w:hAnsi="Arial"/>
                <w:sz w:val="20"/>
                <w:szCs w:val="20"/>
                <w:b w:val="1"/>
                <w:bCs w:val="1"/>
                <w:color w:val="auto"/>
              </w:rPr>
              <w:t>THE COMPANY’S PAYMENT OBLIGATION</w:t>
            </w:r>
          </w:p>
        </w:tc>
      </w:tr>
      <w:tr>
        <w:trPr>
          <w:trHeight w:val="419"/>
        </w:trPr>
        <w:tc>
          <w:tcPr>
            <w:tcW w:w="1040" w:type="dxa"/>
            <w:vAlign w:val="bottom"/>
          </w:tcPr>
          <w:p>
            <w:pPr>
              <w:jc w:val="right"/>
              <w:ind w:right="699"/>
              <w:spacing w:after="0"/>
              <w:rPr>
                <w:sz w:val="20"/>
                <w:szCs w:val="20"/>
                <w:color w:val="auto"/>
              </w:rPr>
            </w:pPr>
            <w:r>
              <w:rPr>
                <w:rFonts w:ascii="Arial" w:cs="Arial" w:eastAsia="Arial" w:hAnsi="Arial"/>
                <w:sz w:val="20"/>
                <w:szCs w:val="20"/>
                <w:b w:val="1"/>
                <w:bCs w:val="1"/>
                <w:color w:val="auto"/>
                <w:w w:val="78"/>
              </w:rPr>
              <w:t>5.1</w:t>
            </w:r>
          </w:p>
        </w:tc>
        <w:tc>
          <w:tcPr>
            <w:tcW w:w="8300" w:type="dxa"/>
            <w:vAlign w:val="bottom"/>
          </w:tcPr>
          <w:p>
            <w:pPr>
              <w:ind w:left="1020"/>
              <w:spacing w:after="0"/>
              <w:rPr>
                <w:sz w:val="20"/>
                <w:szCs w:val="20"/>
                <w:color w:val="auto"/>
              </w:rPr>
            </w:pPr>
            <w:r>
              <w:rPr>
                <w:rFonts w:ascii="Arial" w:cs="Arial" w:eastAsia="Arial" w:hAnsi="Arial"/>
                <w:sz w:val="20"/>
                <w:szCs w:val="20"/>
                <w:b w:val="1"/>
                <w:bCs w:val="1"/>
                <w:color w:val="auto"/>
                <w:w w:val="92"/>
              </w:rPr>
              <w:t>Payment Obligations Absolute</w:t>
            </w:r>
            <w:r>
              <w:rPr>
                <w:rFonts w:ascii="Arial" w:cs="Arial" w:eastAsia="Arial" w:hAnsi="Arial"/>
                <w:sz w:val="20"/>
                <w:szCs w:val="20"/>
                <w:color w:val="auto"/>
                <w:w w:val="92"/>
              </w:rPr>
              <w:t>. Subject to the Executive’s compliance with Section 9.1</w:t>
            </w:r>
          </w:p>
        </w:tc>
      </w:tr>
    </w:tbl>
    <w:p>
      <w:pPr>
        <w:spacing w:after="0" w:line="269" w:lineRule="auto"/>
        <w:rPr>
          <w:sz w:val="20"/>
          <w:szCs w:val="20"/>
          <w:color w:val="auto"/>
        </w:rPr>
      </w:pPr>
      <w:r>
        <w:rPr>
          <w:rFonts w:ascii="Arial" w:cs="Arial" w:eastAsia="Arial" w:hAnsi="Arial"/>
          <w:sz w:val="18"/>
          <w:szCs w:val="18"/>
          <w:color w:val="auto"/>
        </w:rPr>
        <w:t>and the agreement contemplated thereby, the Company’s obligation to make the payments and the arrangements provided for herein shall be absolute and unconditional, and shall not be affected by any circumstances, including, without limitation, any offset (except an offset for the amount of any debt that is due from Executive to Company for loans, advances or similar items provided by the Company to Executive prior to the date of Executive’s notice to the Company of a Qualifying Termination Event), counterclaim, recoupment, defense, or other right which the Company may have against the Executive or anyone else. All amounts payable by the Company hereunder shall be paid without notice or demand. Each and every payment made hereunder by the Company shall be final, and the Company shall not seek to recover all or any part of such payment from the Executive or from whomsoever may be entitled thereto, for any reasons whatsoever, except as a result of an error in calculating the value of benefits payable under Section 3.2 or as otherwise provided in Article 7 and subject to the Executive’s compliance with Section 9.1 and the agreement contemplated thereby.</w:t>
      </w:r>
    </w:p>
    <w:p>
      <w:pPr>
        <w:spacing w:after="0" w:line="151" w:lineRule="exact"/>
        <w:rPr>
          <w:sz w:val="20"/>
          <w:szCs w:val="20"/>
          <w:color w:val="auto"/>
        </w:rPr>
      </w:pPr>
    </w:p>
    <w:p>
      <w:pPr>
        <w:ind w:right="320" w:firstLine="865"/>
        <w:spacing w:after="0" w:line="272" w:lineRule="auto"/>
        <w:rPr>
          <w:sz w:val="20"/>
          <w:szCs w:val="20"/>
          <w:color w:val="auto"/>
        </w:rPr>
      </w:pPr>
      <w:r>
        <w:rPr>
          <w:rFonts w:ascii="Arial" w:cs="Arial" w:eastAsia="Arial" w:hAnsi="Arial"/>
          <w:sz w:val="19"/>
          <w:szCs w:val="19"/>
          <w:color w:val="auto"/>
        </w:rPr>
        <w:t>The Executive shall not be obligated to seek other employment in mitigation of the amounts payable or arrangements made under any provision of this Agreement, and the obtaining of any such other employment shall in no event effect any reduction of the Company’s obligations to make the payments and arrangements required to be made under this Agreement.</w:t>
      </w:r>
    </w:p>
    <w:p>
      <w:pPr>
        <w:spacing w:after="0" w:line="119"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00"/>
          </w:cols>
          <w:pgMar w:left="320" w:top="752" w:right="379" w:bottom="1440" w:gutter="0" w:footer="0" w:header="0"/>
        </w:sectPr>
      </w:pPr>
    </w:p>
    <w:bookmarkStart w:id="246" w:name="page247"/>
    <w:bookmarkEnd w:id="246"/>
    <w:p>
      <w:pPr>
        <w:ind w:right="60" w:firstLine="1729"/>
        <w:spacing w:after="0" w:line="243" w:lineRule="auto"/>
        <w:rPr>
          <w:sz w:val="20"/>
          <w:szCs w:val="20"/>
          <w:color w:val="auto"/>
        </w:rPr>
      </w:pPr>
      <w:r>
        <w:rPr>
          <w:rFonts w:ascii="Arial" w:cs="Arial" w:eastAsia="Arial" w:hAnsi="Arial"/>
          <w:sz w:val="20"/>
          <w:szCs w:val="20"/>
          <w:b w:val="1"/>
          <w:bCs w:val="1"/>
          <w:color w:val="auto"/>
        </w:rPr>
        <w:t xml:space="preserve">5.2 Unsecured General Creditor. </w:t>
      </w:r>
      <w:r>
        <w:rPr>
          <w:rFonts w:ascii="Arial" w:cs="Arial" w:eastAsia="Arial" w:hAnsi="Arial"/>
          <w:sz w:val="20"/>
          <w:szCs w:val="20"/>
          <w:color w:val="auto"/>
        </w:rPr>
        <w:t>The Executive and his or her Beneficiaries, heirs,</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successors, and assigns shall have no legal or equitable rights, claims, or interest in any specific property or assets of the Company. No assets of the Company shall be held under any trust or held in any way as collateral security for the fulfilling of the obligations of the Company under this Agreement. Any and all of the Company’s assets shall be, and remain, the general unpledged, unrestricted assets of the Company. The Company’s obligation under this Agreement shall be merely that of an unfunded and unsecured promise of the entity to pay money in the future, and the rights of the Executive and his or her Beneficiaries shall be no greater than those of unsecured general creditors. It is the intention of the Company that this Agreement be unfunded for purposes of the Code and for purposes of Title I of the Employee Retirement Income Security Act of 1974, as amended.</w:t>
      </w:r>
    </w:p>
    <w:p>
      <w:pPr>
        <w:spacing w:after="0" w:line="166" w:lineRule="exact"/>
        <w:rPr>
          <w:sz w:val="20"/>
          <w:szCs w:val="20"/>
          <w:color w:val="auto"/>
        </w:rPr>
      </w:pPr>
    </w:p>
    <w:p>
      <w:pPr>
        <w:ind w:right="120" w:firstLine="1729"/>
        <w:spacing w:after="0" w:line="246" w:lineRule="auto"/>
        <w:rPr>
          <w:sz w:val="20"/>
          <w:szCs w:val="20"/>
          <w:color w:val="auto"/>
        </w:rPr>
      </w:pPr>
      <w:r>
        <w:rPr>
          <w:rFonts w:ascii="Arial" w:cs="Arial" w:eastAsia="Arial" w:hAnsi="Arial"/>
          <w:sz w:val="20"/>
          <w:szCs w:val="20"/>
          <w:b w:val="1"/>
          <w:bCs w:val="1"/>
          <w:color w:val="auto"/>
        </w:rPr>
        <w:t>5.3 Pension Plans</w:t>
      </w:r>
      <w:r>
        <w:rPr>
          <w:rFonts w:ascii="Arial" w:cs="Arial" w:eastAsia="Arial" w:hAnsi="Arial"/>
          <w:sz w:val="20"/>
          <w:szCs w:val="20"/>
          <w:color w:val="auto"/>
        </w:rPr>
        <w:t>. All payments, benefits and amounts provided under this Agreement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 in addition to and not in substitution for any pension rights under the Company’s tax-qualified pension plan in which the Executive participates, and any disability, workers’ compensation or other Company benefit plan distribution that the Executive is entitled to, under the terms of any such plan, at the time his or her employment by the Company terminates. Notwithstanding the foregoing, this Agreement shall not create an inference that any duplicate payments shall be required.</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VI</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TERM OF AGREEMENT</w:t>
      </w:r>
    </w:p>
    <w:p>
      <w:pPr>
        <w:spacing w:after="0" w:line="183" w:lineRule="exact"/>
        <w:rPr>
          <w:sz w:val="20"/>
          <w:szCs w:val="20"/>
          <w:color w:val="auto"/>
        </w:rPr>
      </w:pPr>
    </w:p>
    <w:p>
      <w:pPr>
        <w:ind w:firstLine="865"/>
        <w:spacing w:after="0" w:line="242" w:lineRule="auto"/>
        <w:rPr>
          <w:sz w:val="20"/>
          <w:szCs w:val="20"/>
          <w:color w:val="auto"/>
        </w:rPr>
      </w:pPr>
      <w:r>
        <w:rPr>
          <w:rFonts w:ascii="Arial" w:cs="Arial" w:eastAsia="Arial" w:hAnsi="Arial"/>
          <w:sz w:val="20"/>
          <w:szCs w:val="20"/>
          <w:color w:val="auto"/>
        </w:rPr>
        <w:t>This Agreement will commence on the Effective Date and shall continue in effect through the 31</w:t>
      </w:r>
      <w:r>
        <w:rPr>
          <w:rFonts w:ascii="Arial" w:cs="Arial" w:eastAsia="Arial" w:hAnsi="Arial"/>
          <w:sz w:val="17"/>
          <w:szCs w:val="17"/>
          <w:color w:val="auto"/>
        </w:rPr>
        <w:t>st</w:t>
      </w:r>
      <w:r>
        <w:rPr>
          <w:rFonts w:ascii="Arial" w:cs="Arial" w:eastAsia="Arial" w:hAnsi="Arial"/>
          <w:sz w:val="20"/>
          <w:szCs w:val="20"/>
          <w:color w:val="auto"/>
        </w:rPr>
        <w:t xml:space="preserve"> of August 2022. However, at the end of such initial period and, if extended, at the end of each additional year thereafter, the term of this Agreement shall be extended automatically for one (1) additional year, unless the Committee (or the Board) delivers written notice at least six (6) months prior to the end of such term, or extended term, to the Executive, that this Agreement will not be extended. In such case, this Agreement will terminate at the end of the term, or extended term, then in progress. If a Potential Change in Control occurs, the Committee (or the Board) may not give notice that the term of this Agreement will not be extended, or further extended, as the case may be, unless and until the Board declares in good faith that the circumstances giving rise to the Potential Change in Control will not result in an actual Change in Control.</w:t>
      </w:r>
    </w:p>
    <w:p>
      <w:pPr>
        <w:spacing w:after="0" w:line="173" w:lineRule="exact"/>
        <w:rPr>
          <w:sz w:val="20"/>
          <w:szCs w:val="20"/>
          <w:color w:val="auto"/>
        </w:rPr>
      </w:pPr>
    </w:p>
    <w:p>
      <w:pPr>
        <w:ind w:right="80" w:firstLine="865"/>
        <w:spacing w:after="0" w:line="253" w:lineRule="auto"/>
        <w:rPr>
          <w:sz w:val="20"/>
          <w:szCs w:val="20"/>
          <w:color w:val="auto"/>
        </w:rPr>
      </w:pPr>
      <w:r>
        <w:rPr>
          <w:rFonts w:ascii="Arial" w:cs="Arial" w:eastAsia="Arial" w:hAnsi="Arial"/>
          <w:sz w:val="20"/>
          <w:szCs w:val="20"/>
          <w:color w:val="auto"/>
        </w:rPr>
        <w:t>Unless the Board expressly determines that the term of this Agreement shall continue in effect, the term of this Agreement will terminate if, prior to a Potential Change in Control, the Executive ceases to perform services on a full-time basis in either the same position Executive was serving on the Effective Date or a more senior position.</w:t>
      </w:r>
    </w:p>
    <w:p>
      <w:pPr>
        <w:spacing w:after="0" w:line="160" w:lineRule="exact"/>
        <w:rPr>
          <w:sz w:val="20"/>
          <w:szCs w:val="20"/>
          <w:color w:val="auto"/>
        </w:rPr>
      </w:pPr>
    </w:p>
    <w:p>
      <w:pPr>
        <w:jc w:val="both"/>
        <w:ind w:right="200" w:firstLine="865"/>
        <w:spacing w:after="0" w:line="272" w:lineRule="auto"/>
        <w:rPr>
          <w:sz w:val="20"/>
          <w:szCs w:val="20"/>
          <w:color w:val="auto"/>
        </w:rPr>
      </w:pPr>
      <w:r>
        <w:rPr>
          <w:rFonts w:ascii="Arial" w:cs="Arial" w:eastAsia="Arial" w:hAnsi="Arial"/>
          <w:sz w:val="19"/>
          <w:szCs w:val="19"/>
          <w:color w:val="auto"/>
        </w:rPr>
        <w:t>Notwithstanding anything to the contrary in this Agreement, in the event a Change in Control occurs during the initial or any extended term, this Agreement will remain in effect for the longer of: (a) eighteen (18) months beyond the month in which such Change in Control occurred; or (b) if the Executive incurs a Qualifying Termination Event, until all obligations of</w:t>
      </w:r>
    </w:p>
    <w:p>
      <w:pPr>
        <w:spacing w:after="0" w:line="119"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0">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247" w:name="page248"/>
    <w:bookmarkEnd w:id="247"/>
    <w:p>
      <w:pPr>
        <w:spacing w:after="0"/>
        <w:rPr>
          <w:sz w:val="20"/>
          <w:szCs w:val="20"/>
          <w:color w:val="auto"/>
        </w:rPr>
      </w:pPr>
      <w:r>
        <w:rPr>
          <w:rFonts w:ascii="Arial" w:cs="Arial" w:eastAsia="Arial" w:hAnsi="Arial"/>
          <w:sz w:val="20"/>
          <w:szCs w:val="20"/>
          <w:color w:val="auto"/>
        </w:rPr>
        <w:t>the Company hereunder have been fulfilled, and until all benefits required hereunder have been paid to the Executive.</w:t>
      </w:r>
    </w:p>
    <w:p>
      <w:pPr>
        <w:spacing w:after="0" w:line="201" w:lineRule="exact"/>
        <w:rPr>
          <w:sz w:val="20"/>
          <w:szCs w:val="20"/>
          <w:color w:val="auto"/>
        </w:rPr>
      </w:pPr>
    </w:p>
    <w:p>
      <w:pPr>
        <w:ind w:right="160" w:firstLine="865"/>
        <w:spacing w:after="0" w:line="244" w:lineRule="auto"/>
        <w:rPr>
          <w:sz w:val="20"/>
          <w:szCs w:val="20"/>
          <w:color w:val="auto"/>
        </w:rPr>
      </w:pPr>
      <w:r>
        <w:rPr>
          <w:rFonts w:ascii="Arial" w:cs="Arial" w:eastAsia="Arial" w:hAnsi="Arial"/>
          <w:sz w:val="20"/>
          <w:szCs w:val="20"/>
          <w:color w:val="auto"/>
        </w:rPr>
        <w:t>Any subsequent Change in Control (“Subsequent Change in Control”) that occurs during the term shall also continue the term until the later of: (a) the date the term then in effect, at the time of such Subsequent Change in Control, would end; or (b) until all obligations of the Company hereunder have been fulfilled and all benefits required hereunder have been paid to the Executive; provided, however, that if one or more Subsequent Changes in Control occur, such event (or events) shall be considered a Change in Control hereunder, and this Agreement will be applicable thereto only if it, or they, occur during a Protected Period in effect at the time of any Subsequent Change in Control.</w:t>
      </w:r>
    </w:p>
    <w:p>
      <w:pPr>
        <w:spacing w:after="0" w:line="169" w:lineRule="exact"/>
        <w:rPr>
          <w:sz w:val="20"/>
          <w:szCs w:val="20"/>
          <w:color w:val="auto"/>
        </w:rPr>
      </w:pPr>
    </w:p>
    <w:p>
      <w:pPr>
        <w:ind w:right="220" w:firstLine="865"/>
        <w:spacing w:after="0" w:line="253" w:lineRule="auto"/>
        <w:rPr>
          <w:sz w:val="20"/>
          <w:szCs w:val="20"/>
          <w:color w:val="auto"/>
        </w:rPr>
      </w:pPr>
      <w:r>
        <w:rPr>
          <w:rFonts w:ascii="Arial" w:cs="Arial" w:eastAsia="Arial" w:hAnsi="Arial"/>
          <w:sz w:val="20"/>
          <w:szCs w:val="20"/>
          <w:color w:val="auto"/>
        </w:rPr>
        <w:t>Notwithstanding anything herein to the contrary, the Executive shall be entitled to receive the benefits provided in this Agreement one time only under this Agreement, regardless of the number of Changes in Control or Subsequent Changes in Control that may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174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8240" w:type="dxa"/>
            <w:vAlign w:val="bottom"/>
          </w:tcPr>
          <w:p>
            <w:pPr>
              <w:jc w:val="center"/>
              <w:ind w:right="2699"/>
              <w:spacing w:after="0"/>
              <w:rPr>
                <w:sz w:val="20"/>
                <w:szCs w:val="20"/>
                <w:color w:val="auto"/>
              </w:rPr>
            </w:pPr>
            <w:r>
              <w:rPr>
                <w:rFonts w:ascii="Arial" w:cs="Arial" w:eastAsia="Arial" w:hAnsi="Arial"/>
                <w:sz w:val="20"/>
                <w:szCs w:val="20"/>
                <w:b w:val="1"/>
                <w:bCs w:val="1"/>
                <w:color w:val="auto"/>
              </w:rPr>
              <w:t>ARTICLE VII</w:t>
            </w:r>
          </w:p>
        </w:tc>
      </w:tr>
      <w:tr>
        <w:trPr>
          <w:trHeight w:val="263"/>
        </w:trPr>
        <w:tc>
          <w:tcPr>
            <w:tcW w:w="1160" w:type="dxa"/>
            <w:vAlign w:val="bottom"/>
          </w:tcPr>
          <w:p>
            <w:pPr>
              <w:spacing w:after="0"/>
              <w:rPr>
                <w:sz w:val="22"/>
                <w:szCs w:val="22"/>
                <w:color w:val="auto"/>
              </w:rPr>
            </w:pPr>
          </w:p>
        </w:tc>
        <w:tc>
          <w:tcPr>
            <w:tcW w:w="8240" w:type="dxa"/>
            <w:vAlign w:val="bottom"/>
          </w:tcPr>
          <w:p>
            <w:pPr>
              <w:jc w:val="center"/>
              <w:ind w:right="2699"/>
              <w:spacing w:after="0"/>
              <w:rPr>
                <w:sz w:val="20"/>
                <w:szCs w:val="20"/>
                <w:color w:val="auto"/>
              </w:rPr>
            </w:pPr>
            <w:r>
              <w:rPr>
                <w:rFonts w:ascii="Arial" w:cs="Arial" w:eastAsia="Arial" w:hAnsi="Arial"/>
                <w:sz w:val="20"/>
                <w:szCs w:val="20"/>
                <w:b w:val="1"/>
                <w:bCs w:val="1"/>
                <w:color w:val="auto"/>
              </w:rPr>
              <w:t>RESOLUTION OF DISPUTES</w:t>
            </w:r>
          </w:p>
        </w:tc>
      </w:tr>
      <w:tr>
        <w:trPr>
          <w:trHeight w:val="419"/>
        </w:trPr>
        <w:tc>
          <w:tcPr>
            <w:tcW w:w="1160" w:type="dxa"/>
            <w:vAlign w:val="bottom"/>
          </w:tcPr>
          <w:p>
            <w:pPr>
              <w:jc w:val="right"/>
              <w:ind w:right="819"/>
              <w:spacing w:after="0"/>
              <w:rPr>
                <w:sz w:val="20"/>
                <w:szCs w:val="20"/>
                <w:color w:val="auto"/>
              </w:rPr>
            </w:pPr>
            <w:r>
              <w:rPr>
                <w:rFonts w:ascii="Arial" w:cs="Arial" w:eastAsia="Arial" w:hAnsi="Arial"/>
                <w:sz w:val="20"/>
                <w:szCs w:val="20"/>
                <w:b w:val="1"/>
                <w:bCs w:val="1"/>
                <w:color w:val="auto"/>
                <w:w w:val="78"/>
              </w:rPr>
              <w:t>7.1</w:t>
            </w:r>
          </w:p>
        </w:tc>
        <w:tc>
          <w:tcPr>
            <w:tcW w:w="8240" w:type="dxa"/>
            <w:vAlign w:val="bottom"/>
          </w:tcPr>
          <w:p>
            <w:pPr>
              <w:ind w:left="900"/>
              <w:spacing w:after="0"/>
              <w:rPr>
                <w:sz w:val="20"/>
                <w:szCs w:val="20"/>
                <w:color w:val="auto"/>
              </w:rPr>
            </w:pPr>
            <w:r>
              <w:rPr>
                <w:rFonts w:ascii="Arial" w:cs="Arial" w:eastAsia="Arial" w:hAnsi="Arial"/>
                <w:sz w:val="20"/>
                <w:szCs w:val="20"/>
                <w:b w:val="1"/>
                <w:bCs w:val="1"/>
                <w:color w:val="auto"/>
                <w:w w:val="92"/>
              </w:rPr>
              <w:t xml:space="preserve">Arbitration of Claims. </w:t>
            </w:r>
            <w:r>
              <w:rPr>
                <w:rFonts w:ascii="Arial" w:cs="Arial" w:eastAsia="Arial" w:hAnsi="Arial"/>
                <w:sz w:val="20"/>
                <w:szCs w:val="20"/>
                <w:color w:val="auto"/>
                <w:w w:val="92"/>
              </w:rPr>
              <w:t>The Company and the Executive hereby consent to the resolution</w:t>
            </w:r>
          </w:p>
        </w:tc>
      </w:tr>
    </w:tbl>
    <w:p>
      <w:pPr>
        <w:spacing w:after="0"/>
        <w:rPr>
          <w:sz w:val="20"/>
          <w:szCs w:val="20"/>
          <w:color w:val="auto"/>
        </w:rPr>
      </w:pPr>
      <w:r>
        <w:rPr>
          <w:rFonts w:ascii="Arial" w:cs="Arial" w:eastAsia="Arial" w:hAnsi="Arial"/>
          <w:sz w:val="20"/>
          <w:szCs w:val="20"/>
          <w:color w:val="auto"/>
        </w:rPr>
        <w:t>by mandatory and binding arbitration of all claims or controversies arising out of or in connection with this Agreement and/or the Exhibits hereto that the Company may have against the Executive, or that the Executive may have against the Company or against its officers, directors, employees or agents acting in their capacity as such. Each party’s promise to resolve all such claims or controversies by arbitration in accordance with this Agreement, rather than through the courts, is consideration for the other party’s like promise. It is further agreed that the decision of an arbitrator on any issue, dispute, claim or controversy submitted for arbitration shall be final and binding upon the Company and the Executive and that judgment may be entered on the award of the arbitrator in any court having proper jurisdiction.</w:t>
      </w:r>
    </w:p>
    <w:p>
      <w:pPr>
        <w:spacing w:after="0" w:line="172" w:lineRule="exact"/>
        <w:rPr>
          <w:sz w:val="20"/>
          <w:szCs w:val="20"/>
          <w:color w:val="auto"/>
        </w:rPr>
      </w:pPr>
    </w:p>
    <w:p>
      <w:pPr>
        <w:ind w:right="60" w:firstLine="865"/>
        <w:spacing w:after="0" w:line="245" w:lineRule="auto"/>
        <w:rPr>
          <w:sz w:val="20"/>
          <w:szCs w:val="20"/>
          <w:color w:val="auto"/>
        </w:rPr>
      </w:pPr>
      <w:r>
        <w:rPr>
          <w:rFonts w:ascii="Arial" w:cs="Arial" w:eastAsia="Arial" w:hAnsi="Arial"/>
          <w:sz w:val="20"/>
          <w:szCs w:val="20"/>
          <w:color w:val="auto"/>
        </w:rPr>
        <w:t xml:space="preserve">Except as otherwise provided in this procedure or by mutual agreement of the parties, any arbitration shall be before a sole arbitrator (the “Arbitrator’) selected from Judicial Arbitration &amp; Mediation Services, Inc., Los Angeles County, California, or its successor (“JAMS”), or if JAMS is no longer able to supply the arbitrator, such arbitrator shall be selected from the American Arbitration Association, and shall be conducted in accordance with the provisions of California Civil Procedure Code Section 1280 </w:t>
      </w:r>
      <w:r>
        <w:rPr>
          <w:rFonts w:ascii="Arial" w:cs="Arial" w:eastAsia="Arial" w:hAnsi="Arial"/>
          <w:sz w:val="20"/>
          <w:szCs w:val="20"/>
          <w:i w:val="1"/>
          <w:iCs w:val="1"/>
          <w:color w:val="auto"/>
        </w:rPr>
        <w:t>et. seq.</w:t>
      </w:r>
      <w:r>
        <w:rPr>
          <w:rFonts w:ascii="Arial" w:cs="Arial" w:eastAsia="Arial" w:hAnsi="Arial"/>
          <w:sz w:val="20"/>
          <w:szCs w:val="20"/>
          <w:color w:val="auto"/>
        </w:rPr>
        <w:t xml:space="preserve"> as the exclusive remedy of such dispute.</w:t>
      </w:r>
    </w:p>
    <w:p>
      <w:pPr>
        <w:spacing w:after="0" w:line="170" w:lineRule="exact"/>
        <w:rPr>
          <w:sz w:val="20"/>
          <w:szCs w:val="20"/>
          <w:color w:val="auto"/>
        </w:rPr>
      </w:pPr>
    </w:p>
    <w:p>
      <w:pPr>
        <w:ind w:right="100" w:firstLine="865"/>
        <w:spacing w:after="0" w:line="261" w:lineRule="auto"/>
        <w:rPr>
          <w:sz w:val="20"/>
          <w:szCs w:val="20"/>
          <w:color w:val="auto"/>
        </w:rPr>
      </w:pPr>
      <w:r>
        <w:rPr>
          <w:rFonts w:ascii="Arial" w:cs="Arial" w:eastAsia="Arial" w:hAnsi="Arial"/>
          <w:sz w:val="19"/>
          <w:szCs w:val="19"/>
          <w:color w:val="auto"/>
        </w:rPr>
        <w:t>The Arbitrator shall interpret this Agreement, any applicable Company policy or rules and regulations, any applicable substantive law (and the law of remedies, if applicable) of the state in which the claim arose, or applicable federal law. In reaching his or her decision, the Arbitrator shall have no authority to change or modify any lawful Company policy, rule or regulation, or this Agreement. Except as provided in the next paragraph, the Arbitrator, and not any federal, state or local court or agency, shall have exclusive and broad authority to resolve any dispute relating to the interpretation, applicability, enforceability or formation of this</w:t>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1">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248" w:name="page249"/>
    <w:bookmarkEnd w:id="248"/>
    <w:p>
      <w:pPr>
        <w:ind w:right="600"/>
        <w:spacing w:after="0" w:line="253" w:lineRule="auto"/>
        <w:rPr>
          <w:sz w:val="20"/>
          <w:szCs w:val="20"/>
          <w:color w:val="auto"/>
        </w:rPr>
      </w:pPr>
      <w:r>
        <w:rPr>
          <w:rFonts w:ascii="Arial" w:cs="Arial" w:eastAsia="Arial" w:hAnsi="Arial"/>
          <w:sz w:val="20"/>
          <w:szCs w:val="20"/>
          <w:color w:val="auto"/>
        </w:rPr>
        <w:t>Agreement, including but not limited to, any claim that all or any part of this Agreement is voidable. The Arbitrator shall have the authority to decide dispositive motions. Following the completion of the arbitration, the Arbitrator shall issue a written decision disclosing the essential findings and conclusions upon which the award is based.</w:t>
      </w:r>
    </w:p>
    <w:p>
      <w:pPr>
        <w:spacing w:after="0" w:line="160" w:lineRule="exact"/>
        <w:rPr>
          <w:sz w:val="20"/>
          <w:szCs w:val="20"/>
          <w:color w:val="auto"/>
        </w:rPr>
      </w:pPr>
    </w:p>
    <w:p>
      <w:pPr>
        <w:ind w:firstLine="865"/>
        <w:spacing w:after="0" w:line="259" w:lineRule="auto"/>
        <w:rPr>
          <w:sz w:val="20"/>
          <w:szCs w:val="20"/>
          <w:color w:val="auto"/>
        </w:rPr>
      </w:pPr>
      <w:r>
        <w:rPr>
          <w:rFonts w:ascii="Arial" w:cs="Arial" w:eastAsia="Arial" w:hAnsi="Arial"/>
          <w:sz w:val="19"/>
          <w:szCs w:val="19"/>
          <w:color w:val="auto"/>
        </w:rPr>
        <w:t>Notwithstanding the foregoing, provisional injunctive relief may, but need not, be sought by the Executive or the Company in a court of law while arbitration proceedings are pending, and any provisional injunctive relief granted by such court shall remain effective until the matter is finally resolved by the Arbitrator in accordance with the foregoing. Final resolution of any dispute through arbitration may include any remedy or relief which would otherwise be available at law and which the Arbitrator deems just and equitable. The Arbitrator shall have the authority to award full damages as provided by law. Any award or relief granted by the Arbitrator hereunder shall be final and binding on the parties hereto and may be enforced by any court of competent jurisdiction.</w:t>
      </w:r>
    </w:p>
    <w:p>
      <w:pPr>
        <w:spacing w:after="0" w:line="157" w:lineRule="exact"/>
        <w:rPr>
          <w:sz w:val="20"/>
          <w:szCs w:val="20"/>
          <w:color w:val="auto"/>
        </w:rPr>
      </w:pPr>
    </w:p>
    <w:p>
      <w:pPr>
        <w:jc w:val="both"/>
        <w:ind w:right="240" w:firstLine="865"/>
        <w:spacing w:after="0" w:line="272" w:lineRule="auto"/>
        <w:rPr>
          <w:sz w:val="20"/>
          <w:szCs w:val="20"/>
          <w:color w:val="auto"/>
        </w:rPr>
      </w:pPr>
      <w:r>
        <w:rPr>
          <w:rFonts w:ascii="Arial" w:cs="Arial" w:eastAsia="Arial" w:hAnsi="Arial"/>
          <w:sz w:val="19"/>
          <w:szCs w:val="19"/>
          <w:color w:val="auto"/>
        </w:rPr>
        <w:t>The Company shall pay the reasonable fees and expenses of the Arbitrator and a stenographic reporter, if employed, and any other costs associated with the arbitration that are unique to arbitration. Each party shall pay its own legal fees and other expenses and costs incurred with respect to the arbitration as and to the same extent as if the matter were being heard in court.</w:t>
      </w:r>
    </w:p>
    <w:p>
      <w:pPr>
        <w:spacing w:after="0" w:line="200" w:lineRule="exact"/>
        <w:rPr>
          <w:sz w:val="20"/>
          <w:szCs w:val="20"/>
          <w:color w:val="auto"/>
        </w:rPr>
      </w:pPr>
    </w:p>
    <w:p>
      <w:pPr>
        <w:spacing w:after="0" w:line="346" w:lineRule="exact"/>
        <w:rPr>
          <w:sz w:val="20"/>
          <w:szCs w:val="20"/>
          <w:color w:val="auto"/>
        </w:rPr>
      </w:pPr>
    </w:p>
    <w:p>
      <w:pPr>
        <w:ind w:left="4940"/>
        <w:spacing w:after="0"/>
        <w:rPr>
          <w:sz w:val="20"/>
          <w:szCs w:val="20"/>
          <w:color w:val="auto"/>
        </w:rPr>
      </w:pPr>
      <w:r>
        <w:rPr>
          <w:rFonts w:ascii="Arial" w:cs="Arial" w:eastAsia="Arial" w:hAnsi="Arial"/>
          <w:sz w:val="20"/>
          <w:szCs w:val="20"/>
          <w:b w:val="1"/>
          <w:bCs w:val="1"/>
          <w:color w:val="auto"/>
        </w:rPr>
        <w:t>ARTICLE VIII</w:t>
      </w:r>
    </w:p>
    <w:p>
      <w:pPr>
        <w:spacing w:after="0" w:line="20"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SUCCESSORS</w:t>
      </w:r>
    </w:p>
    <w:p>
      <w:pPr>
        <w:spacing w:after="0" w:line="183" w:lineRule="exact"/>
        <w:rPr>
          <w:sz w:val="20"/>
          <w:szCs w:val="20"/>
          <w:color w:val="auto"/>
        </w:rPr>
      </w:pPr>
    </w:p>
    <w:p>
      <w:pPr>
        <w:ind w:right="40" w:firstLine="865"/>
        <w:spacing w:after="0" w:line="243" w:lineRule="auto"/>
        <w:rPr>
          <w:sz w:val="20"/>
          <w:szCs w:val="20"/>
          <w:color w:val="auto"/>
        </w:rPr>
      </w:pPr>
      <w:r>
        <w:rPr>
          <w:rFonts w:ascii="Arial" w:cs="Arial" w:eastAsia="Arial" w:hAnsi="Arial"/>
          <w:sz w:val="20"/>
          <w:szCs w:val="20"/>
          <w:color w:val="auto"/>
        </w:rPr>
        <w:t>The Company will require any successor (whether direct or indirect, by purchase, merger, consolidation, or otherwise) of all or substantially all of the business and/or assets of the Company or of any division or subsidiary thereof (the business and/or assets of which constitute at least fifty-one percent (51%) of the total business and/or assets of the Company) to expressly assume and agree to perform the Company’s obligations under this Agreement in the same manner and to the same extent that the Company would be required to perform them if no such succession had taken place. Failure of the Company to obtain such assumption and agreement in a written instrument prior to the effective date of any such succession shall be a breach of this Agreement and shall entitle the Executive to the benefits provided under this Agreement.</w:t>
      </w:r>
    </w:p>
    <w:p>
      <w:pPr>
        <w:spacing w:after="0" w:line="170" w:lineRule="exact"/>
        <w:rPr>
          <w:sz w:val="20"/>
          <w:szCs w:val="20"/>
          <w:color w:val="auto"/>
        </w:rPr>
      </w:pPr>
    </w:p>
    <w:p>
      <w:pPr>
        <w:ind w:right="20" w:firstLine="865"/>
        <w:spacing w:after="0" w:line="248" w:lineRule="auto"/>
        <w:rPr>
          <w:sz w:val="20"/>
          <w:szCs w:val="20"/>
          <w:color w:val="auto"/>
        </w:rPr>
      </w:pPr>
      <w:r>
        <w:rPr>
          <w:rFonts w:ascii="Arial" w:cs="Arial" w:eastAsia="Arial" w:hAnsi="Arial"/>
          <w:sz w:val="20"/>
          <w:szCs w:val="20"/>
          <w:color w:val="auto"/>
        </w:rPr>
        <w:t>This Agreement shall inure to the benefit of and be enforceable by the Executive’s personal or legal representatives, trustees, executors, administrators, successors, heirs, distributees, devisees, and legatees. If the Executive should die while any amount would still be payable to him hereunder had he continued to live, all such amounts, unless otherwise provided herein, shall be paid to the Executive’s Beneficiary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00"/>
          </w:cols>
          <w:pgMar w:left="320" w:top="752" w:right="379" w:bottom="1440" w:gutter="0" w:footer="0" w:header="0"/>
        </w:sectPr>
      </w:pPr>
    </w:p>
    <w:bookmarkStart w:id="249" w:name="page250"/>
    <w:bookmarkEnd w:id="249"/>
    <w:tbl>
      <w:tblPr>
        <w:tblLayout w:type="fixed"/>
        <w:tblInd w:w="174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8240" w:type="dxa"/>
            <w:vAlign w:val="bottom"/>
          </w:tcPr>
          <w:p>
            <w:pPr>
              <w:jc w:val="center"/>
              <w:ind w:right="2699"/>
              <w:spacing w:after="0"/>
              <w:rPr>
                <w:sz w:val="20"/>
                <w:szCs w:val="20"/>
                <w:color w:val="auto"/>
              </w:rPr>
            </w:pPr>
            <w:r>
              <w:rPr>
                <w:rFonts w:ascii="Arial" w:cs="Arial" w:eastAsia="Arial" w:hAnsi="Arial"/>
                <w:sz w:val="20"/>
                <w:szCs w:val="20"/>
                <w:b w:val="1"/>
                <w:bCs w:val="1"/>
                <w:color w:val="auto"/>
              </w:rPr>
              <w:t>ARTICLE IX</w:t>
            </w:r>
          </w:p>
        </w:tc>
      </w:tr>
      <w:tr>
        <w:trPr>
          <w:trHeight w:val="263"/>
        </w:trPr>
        <w:tc>
          <w:tcPr>
            <w:tcW w:w="1160" w:type="dxa"/>
            <w:vAlign w:val="bottom"/>
          </w:tcPr>
          <w:p>
            <w:pPr>
              <w:spacing w:after="0"/>
              <w:rPr>
                <w:sz w:val="22"/>
                <w:szCs w:val="22"/>
                <w:color w:val="auto"/>
              </w:rPr>
            </w:pPr>
          </w:p>
        </w:tc>
        <w:tc>
          <w:tcPr>
            <w:tcW w:w="8240" w:type="dxa"/>
            <w:vAlign w:val="bottom"/>
          </w:tcPr>
          <w:p>
            <w:pPr>
              <w:jc w:val="center"/>
              <w:ind w:right="2679"/>
              <w:spacing w:after="0"/>
              <w:rPr>
                <w:sz w:val="20"/>
                <w:szCs w:val="20"/>
                <w:color w:val="auto"/>
              </w:rPr>
            </w:pPr>
            <w:r>
              <w:rPr>
                <w:rFonts w:ascii="Arial" w:cs="Arial" w:eastAsia="Arial" w:hAnsi="Arial"/>
                <w:sz w:val="20"/>
                <w:szCs w:val="20"/>
                <w:b w:val="1"/>
                <w:bCs w:val="1"/>
                <w:color w:val="auto"/>
              </w:rPr>
              <w:t>MISCELLANEOUS</w:t>
            </w:r>
          </w:p>
        </w:tc>
      </w:tr>
      <w:tr>
        <w:trPr>
          <w:trHeight w:val="419"/>
        </w:trPr>
        <w:tc>
          <w:tcPr>
            <w:tcW w:w="1160" w:type="dxa"/>
            <w:vAlign w:val="bottom"/>
          </w:tcPr>
          <w:p>
            <w:pPr>
              <w:jc w:val="right"/>
              <w:ind w:right="819"/>
              <w:spacing w:after="0"/>
              <w:rPr>
                <w:sz w:val="20"/>
                <w:szCs w:val="20"/>
                <w:color w:val="auto"/>
              </w:rPr>
            </w:pPr>
            <w:r>
              <w:rPr>
                <w:rFonts w:ascii="Arial" w:cs="Arial" w:eastAsia="Arial" w:hAnsi="Arial"/>
                <w:sz w:val="20"/>
                <w:szCs w:val="20"/>
                <w:b w:val="1"/>
                <w:bCs w:val="1"/>
                <w:color w:val="auto"/>
                <w:w w:val="78"/>
              </w:rPr>
              <w:t>9.1</w:t>
            </w:r>
          </w:p>
        </w:tc>
        <w:tc>
          <w:tcPr>
            <w:tcW w:w="8240" w:type="dxa"/>
            <w:vAlign w:val="bottom"/>
          </w:tcPr>
          <w:p>
            <w:pPr>
              <w:ind w:left="900"/>
              <w:spacing w:after="0"/>
              <w:rPr>
                <w:sz w:val="20"/>
                <w:szCs w:val="20"/>
                <w:color w:val="auto"/>
              </w:rPr>
            </w:pPr>
            <w:r>
              <w:rPr>
                <w:rFonts w:ascii="Arial" w:cs="Arial" w:eastAsia="Arial" w:hAnsi="Arial"/>
                <w:sz w:val="20"/>
                <w:szCs w:val="20"/>
                <w:b w:val="1"/>
                <w:bCs w:val="1"/>
                <w:color w:val="auto"/>
                <w:w w:val="91"/>
              </w:rPr>
              <w:t xml:space="preserve">Release and Agreement. </w:t>
            </w:r>
            <w:r>
              <w:rPr>
                <w:rFonts w:ascii="Arial" w:cs="Arial" w:eastAsia="Arial" w:hAnsi="Arial"/>
                <w:sz w:val="20"/>
                <w:szCs w:val="20"/>
                <w:color w:val="auto"/>
                <w:w w:val="91"/>
              </w:rPr>
              <w:t>Notwithstanding anything else contained herein to the contrary,</w:t>
            </w:r>
          </w:p>
        </w:tc>
      </w:tr>
    </w:tbl>
    <w:p>
      <w:pPr>
        <w:spacing w:after="0" w:line="241" w:lineRule="auto"/>
        <w:rPr>
          <w:sz w:val="20"/>
          <w:szCs w:val="20"/>
          <w:color w:val="auto"/>
        </w:rPr>
      </w:pPr>
      <w:r>
        <w:rPr>
          <w:rFonts w:ascii="Arial" w:cs="Arial" w:eastAsia="Arial" w:hAnsi="Arial"/>
          <w:sz w:val="20"/>
          <w:szCs w:val="20"/>
          <w:color w:val="auto"/>
        </w:rPr>
        <w:t xml:space="preserve">the Company’s obligation to pay benefits hereunder to the Executive is subject to the condition precedent that the Executive execute a valid and effective Severance Agreement in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such other form, which is substantially the same as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as the Committee may require) and such executed agreement is received by the Company and is not revoked by the Executive or otherwise rendered unenforceable by the Executive.</w:t>
      </w:r>
    </w:p>
    <w:p>
      <w:pPr>
        <w:spacing w:after="0" w:line="170" w:lineRule="exact"/>
        <w:rPr>
          <w:sz w:val="20"/>
          <w:szCs w:val="20"/>
          <w:color w:val="auto"/>
        </w:rPr>
      </w:pPr>
    </w:p>
    <w:p>
      <w:pPr>
        <w:ind w:right="40" w:firstLine="1729"/>
        <w:spacing w:after="0" w:line="249" w:lineRule="auto"/>
        <w:rPr>
          <w:sz w:val="20"/>
          <w:szCs w:val="20"/>
          <w:color w:val="auto"/>
        </w:rPr>
      </w:pPr>
      <w:r>
        <w:rPr>
          <w:rFonts w:ascii="Arial" w:cs="Arial" w:eastAsia="Arial" w:hAnsi="Arial"/>
          <w:sz w:val="20"/>
          <w:szCs w:val="20"/>
          <w:b w:val="1"/>
          <w:bCs w:val="1"/>
          <w:color w:val="auto"/>
        </w:rPr>
        <w:t>9.2 Employment Status</w:t>
      </w:r>
      <w:r>
        <w:rPr>
          <w:rFonts w:ascii="Arial" w:cs="Arial" w:eastAsia="Arial" w:hAnsi="Arial"/>
          <w:sz w:val="20"/>
          <w:szCs w:val="20"/>
          <w:color w:val="auto"/>
        </w:rPr>
        <w:t>. The Executive and the Company acknowledge that, except as may</w:t>
      </w:r>
      <w:r>
        <w:rPr>
          <w:rFonts w:ascii="Arial" w:cs="Arial" w:eastAsia="Arial" w:hAnsi="Arial"/>
          <w:sz w:val="20"/>
          <w:szCs w:val="20"/>
          <w:b w:val="1"/>
          <w:bCs w:val="1"/>
          <w:color w:val="auto"/>
        </w:rPr>
        <w:t xml:space="preserve"> </w:t>
      </w:r>
      <w:r>
        <w:rPr>
          <w:rFonts w:ascii="Arial" w:cs="Arial" w:eastAsia="Arial" w:hAnsi="Arial"/>
          <w:sz w:val="20"/>
          <w:szCs w:val="20"/>
          <w:color w:val="auto"/>
        </w:rPr>
        <w:t>be provided under any other written agreement between the Executive and the Company, the employment of the Executive by the Company is “at will,” and may be terminated by either the Executive or the Company at any time, subject to applicable law and subject to the express provisions of Article 2.</w:t>
      </w:r>
    </w:p>
    <w:p>
      <w:pPr>
        <w:spacing w:after="0" w:line="161" w:lineRule="exact"/>
        <w:rPr>
          <w:sz w:val="20"/>
          <w:szCs w:val="20"/>
          <w:color w:val="auto"/>
        </w:rPr>
      </w:pPr>
    </w:p>
    <w:p>
      <w:pPr>
        <w:ind w:right="120" w:firstLine="1729"/>
        <w:spacing w:after="0" w:line="249" w:lineRule="auto"/>
        <w:rPr>
          <w:sz w:val="20"/>
          <w:szCs w:val="20"/>
          <w:color w:val="auto"/>
        </w:rPr>
      </w:pPr>
      <w:r>
        <w:rPr>
          <w:rFonts w:ascii="Arial" w:cs="Arial" w:eastAsia="Arial" w:hAnsi="Arial"/>
          <w:sz w:val="20"/>
          <w:szCs w:val="20"/>
          <w:b w:val="1"/>
          <w:bCs w:val="1"/>
          <w:color w:val="auto"/>
        </w:rPr>
        <w:t>9.3 Beneficiaries</w:t>
      </w:r>
      <w:r>
        <w:rPr>
          <w:rFonts w:ascii="Arial" w:cs="Arial" w:eastAsia="Arial" w:hAnsi="Arial"/>
          <w:sz w:val="20"/>
          <w:szCs w:val="20"/>
          <w:color w:val="auto"/>
        </w:rPr>
        <w:t>. Subject to the other provisions of this Section 9.3, the person or persons</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a trustee, personal representative or other fiduciary) last designated in writing by the Executive in accordance with procedures established by the Committee to receive the benefits specified hereunder in the event of the Executive’s death shall be the Executive’s Beneficiary or Beneficiaries.</w:t>
      </w:r>
    </w:p>
    <w:p>
      <w:pPr>
        <w:spacing w:after="0" w:line="165" w:lineRule="exact"/>
        <w:rPr>
          <w:sz w:val="20"/>
          <w:szCs w:val="20"/>
          <w:color w:val="auto"/>
        </w:rPr>
      </w:pPr>
    </w:p>
    <w:p>
      <w:pPr>
        <w:ind w:right="100" w:firstLine="865"/>
        <w:spacing w:after="0" w:line="253" w:lineRule="auto"/>
        <w:rPr>
          <w:sz w:val="20"/>
          <w:szCs w:val="20"/>
          <w:color w:val="auto"/>
        </w:rPr>
      </w:pPr>
      <w:r>
        <w:rPr>
          <w:rFonts w:ascii="Arial" w:cs="Arial" w:eastAsia="Arial" w:hAnsi="Arial"/>
          <w:sz w:val="20"/>
          <w:szCs w:val="20"/>
          <w:color w:val="auto"/>
        </w:rPr>
        <w:t>No beneficiary designation shall become effective until it is filed with the Committee, and no beneficiary designation of someone other than the Executive’s spouse shall be effective unless such designation is consented to by the Executive’s spouse on a form provided by and in accordance with procedures established by the Committee.</w:t>
      </w:r>
    </w:p>
    <w:p>
      <w:pPr>
        <w:spacing w:after="0" w:line="160" w:lineRule="exact"/>
        <w:rPr>
          <w:sz w:val="20"/>
          <w:szCs w:val="20"/>
          <w:color w:val="auto"/>
        </w:rPr>
      </w:pPr>
    </w:p>
    <w:p>
      <w:pPr>
        <w:ind w:right="20" w:firstLine="865"/>
        <w:spacing w:after="0" w:line="256" w:lineRule="auto"/>
        <w:rPr>
          <w:sz w:val="20"/>
          <w:szCs w:val="20"/>
          <w:color w:val="auto"/>
        </w:rPr>
      </w:pPr>
      <w:r>
        <w:rPr>
          <w:rFonts w:ascii="Arial" w:cs="Arial" w:eastAsia="Arial" w:hAnsi="Arial"/>
          <w:sz w:val="19"/>
          <w:szCs w:val="19"/>
          <w:color w:val="auto"/>
        </w:rPr>
        <w:t>If there is no Beneficiary designation in effect, or if there is no surviving designated Beneficiary, then the Executive’s surviving spouse shall be the Beneficiary. If there is no surviving spouse to receive any benefits payable in accordance with the preceding sentence, the duly appointed and currently acting personal representative of the Executive’s estate (which shall include either the Executive’s probate estate or living trust) shall be the Beneficiary. In any case where there is no such personal representative of the Executive’s estate duly appointed and acting in that capacity within 90 days after the Executive’s death (or such extended period as the Committee determines is reasonably necessary to allow such personal representative to be appointed, but not to exceed 180 days after the Executive’s death), then Beneficiary shall mean the person or persons who can verify by affidavit or court order to the satisfaction of the Committee that they are legally entitled to receive the benefits specified hereunder.</w:t>
      </w:r>
    </w:p>
    <w:p>
      <w:pPr>
        <w:spacing w:after="0" w:line="164" w:lineRule="exact"/>
        <w:rPr>
          <w:sz w:val="20"/>
          <w:szCs w:val="20"/>
          <w:color w:val="auto"/>
        </w:rPr>
      </w:pPr>
    </w:p>
    <w:p>
      <w:pPr>
        <w:ind w:right="340" w:firstLine="865"/>
        <w:spacing w:after="0" w:line="279" w:lineRule="auto"/>
        <w:rPr>
          <w:sz w:val="20"/>
          <w:szCs w:val="20"/>
          <w:color w:val="auto"/>
        </w:rPr>
      </w:pPr>
      <w:r>
        <w:rPr>
          <w:rFonts w:ascii="Arial" w:cs="Arial" w:eastAsia="Arial" w:hAnsi="Arial"/>
          <w:sz w:val="18"/>
          <w:szCs w:val="18"/>
          <w:color w:val="auto"/>
        </w:rPr>
        <w:t>Notwithstanding anything else herein to the contrary, in the event any amount is payable under this Agreement to a minor, payment shall not be made to the minor, but instead be paid: (a) to that person’s living parent(s) to act as custodian; (b) if that person’s parents are then divorced, and one parent is the sole custodial parent, to such custodial parent; or (c) if no parent of that person is then living, to a custodian selected by the Committee to hold the funds for the minor under the Uniform Transfers or Gifts to Minors Act in effect in the jurisdiction in which the minor resides. If no parent is living and the Committee decides not to select another</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250" w:name="page251"/>
    <w:bookmarkEnd w:id="250"/>
    <w:p>
      <w:pPr>
        <w:ind w:right="20"/>
        <w:spacing w:after="0" w:line="272" w:lineRule="auto"/>
        <w:rPr>
          <w:sz w:val="20"/>
          <w:szCs w:val="20"/>
          <w:color w:val="auto"/>
        </w:rPr>
      </w:pPr>
      <w:r>
        <w:rPr>
          <w:rFonts w:ascii="Arial" w:cs="Arial" w:eastAsia="Arial" w:hAnsi="Arial"/>
          <w:sz w:val="19"/>
          <w:szCs w:val="19"/>
          <w:color w:val="auto"/>
        </w:rPr>
        <w:t>custodian to hold the funds for the minor, then payment shall be made to the duly appointed and currently acting guardian of the estate for the minor or, if no guardian of the estate for the minor is duly appointed and currently acting within 60 days after the date the amount becomes payable, payment shall be deposited with the court having jurisdiction over the estate of the minor.</w:t>
      </w:r>
    </w:p>
    <w:p>
      <w:pPr>
        <w:spacing w:after="0" w:line="141" w:lineRule="exact"/>
        <w:rPr>
          <w:sz w:val="20"/>
          <w:szCs w:val="20"/>
          <w:color w:val="auto"/>
        </w:rPr>
      </w:pPr>
    </w:p>
    <w:p>
      <w:pPr>
        <w:ind w:right="360" w:firstLine="1729"/>
        <w:spacing w:after="0" w:line="255" w:lineRule="auto"/>
        <w:rPr>
          <w:sz w:val="20"/>
          <w:szCs w:val="20"/>
          <w:color w:val="auto"/>
        </w:rPr>
      </w:pPr>
      <w:r>
        <w:rPr>
          <w:rFonts w:ascii="Arial" w:cs="Arial" w:eastAsia="Arial" w:hAnsi="Arial"/>
          <w:sz w:val="20"/>
          <w:szCs w:val="20"/>
          <w:b w:val="1"/>
          <w:bCs w:val="1"/>
          <w:color w:val="auto"/>
        </w:rPr>
        <w:t xml:space="preserve">9.4 Entire Agreement. </w:t>
      </w:r>
      <w:r>
        <w:rPr>
          <w:rFonts w:ascii="Arial" w:cs="Arial" w:eastAsia="Arial" w:hAnsi="Arial"/>
          <w:sz w:val="20"/>
          <w:szCs w:val="20"/>
          <w:color w:val="auto"/>
        </w:rPr>
        <w:t>This Agreement, including the Exhibits hereto, contains the entire</w:t>
      </w:r>
      <w:r>
        <w:rPr>
          <w:rFonts w:ascii="Arial" w:cs="Arial" w:eastAsia="Arial" w:hAnsi="Arial"/>
          <w:sz w:val="20"/>
          <w:szCs w:val="20"/>
          <w:b w:val="1"/>
          <w:bCs w:val="1"/>
          <w:color w:val="auto"/>
        </w:rPr>
        <w:t xml:space="preserve"> </w:t>
      </w:r>
      <w:r>
        <w:rPr>
          <w:rFonts w:ascii="Arial" w:cs="Arial" w:eastAsia="Arial" w:hAnsi="Arial"/>
          <w:sz w:val="20"/>
          <w:szCs w:val="20"/>
          <w:color w:val="auto"/>
        </w:rPr>
        <w:t>understanding of the Company and the Executive, and supersedes and replaces all prior negotiations and all agreements proposed or otherwise, whether written or oral, with respect to the subject matter hereof.</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900" w:type="dxa"/>
            <w:vAlign w:val="bottom"/>
          </w:tcPr>
          <w:p>
            <w:pPr>
              <w:jc w:val="right"/>
              <w:ind w:right="819"/>
              <w:spacing w:after="0"/>
              <w:rPr>
                <w:sz w:val="20"/>
                <w:szCs w:val="20"/>
                <w:color w:val="auto"/>
              </w:rPr>
            </w:pPr>
            <w:r>
              <w:rPr>
                <w:rFonts w:ascii="Arial" w:cs="Arial" w:eastAsia="Arial" w:hAnsi="Arial"/>
                <w:sz w:val="20"/>
                <w:szCs w:val="20"/>
                <w:b w:val="1"/>
                <w:bCs w:val="1"/>
                <w:color w:val="auto"/>
              </w:rPr>
              <w:t>9.5</w:t>
            </w:r>
          </w:p>
        </w:tc>
        <w:tc>
          <w:tcPr>
            <w:tcW w:w="8200" w:type="dxa"/>
            <w:vAlign w:val="bottom"/>
          </w:tcPr>
          <w:p>
            <w:pPr>
              <w:ind w:left="900"/>
              <w:spacing w:after="0"/>
              <w:rPr>
                <w:sz w:val="20"/>
                <w:szCs w:val="20"/>
                <w:color w:val="auto"/>
              </w:rPr>
            </w:pPr>
            <w:r>
              <w:rPr>
                <w:rFonts w:ascii="Arial" w:cs="Arial" w:eastAsia="Arial" w:hAnsi="Arial"/>
                <w:sz w:val="20"/>
                <w:szCs w:val="20"/>
                <w:b w:val="1"/>
                <w:bCs w:val="1"/>
                <w:color w:val="auto"/>
                <w:w w:val="95"/>
              </w:rPr>
              <w:t>Gender and Number</w:t>
            </w:r>
            <w:r>
              <w:rPr>
                <w:rFonts w:ascii="Arial" w:cs="Arial" w:eastAsia="Arial" w:hAnsi="Arial"/>
                <w:sz w:val="20"/>
                <w:szCs w:val="20"/>
                <w:color w:val="auto"/>
                <w:w w:val="95"/>
              </w:rPr>
              <w:t>. Except where otherwise indicated by the context any masculine</w:t>
            </w:r>
          </w:p>
        </w:tc>
      </w:tr>
      <w:tr>
        <w:trPr>
          <w:trHeight w:val="259"/>
        </w:trPr>
        <w:tc>
          <w:tcPr>
            <w:tcW w:w="11100" w:type="dxa"/>
            <w:vAlign w:val="bottom"/>
            <w:gridSpan w:val="2"/>
          </w:tcPr>
          <w:p>
            <w:pPr>
              <w:spacing w:after="0"/>
              <w:rPr>
                <w:sz w:val="20"/>
                <w:szCs w:val="20"/>
                <w:color w:val="auto"/>
              </w:rPr>
            </w:pPr>
            <w:r>
              <w:rPr>
                <w:rFonts w:ascii="Arial" w:cs="Arial" w:eastAsia="Arial" w:hAnsi="Arial"/>
                <w:sz w:val="20"/>
                <w:szCs w:val="20"/>
                <w:color w:val="auto"/>
              </w:rPr>
              <w:t>term used herein also shall include the feminine, the plural shall include the singular, and the singular shall include the plural.</w:t>
            </w:r>
          </w:p>
        </w:tc>
      </w:tr>
      <w:tr>
        <w:trPr>
          <w:trHeight w:val="419"/>
        </w:trPr>
        <w:tc>
          <w:tcPr>
            <w:tcW w:w="2900" w:type="dxa"/>
            <w:vAlign w:val="bottom"/>
          </w:tcPr>
          <w:p>
            <w:pPr>
              <w:jc w:val="right"/>
              <w:ind w:right="819"/>
              <w:spacing w:after="0"/>
              <w:rPr>
                <w:sz w:val="20"/>
                <w:szCs w:val="20"/>
                <w:color w:val="auto"/>
              </w:rPr>
            </w:pPr>
            <w:r>
              <w:rPr>
                <w:rFonts w:ascii="Arial" w:cs="Arial" w:eastAsia="Arial" w:hAnsi="Arial"/>
                <w:sz w:val="20"/>
                <w:szCs w:val="20"/>
                <w:b w:val="1"/>
                <w:bCs w:val="1"/>
                <w:color w:val="auto"/>
              </w:rPr>
              <w:t>9.6</w:t>
            </w:r>
          </w:p>
        </w:tc>
        <w:tc>
          <w:tcPr>
            <w:tcW w:w="8200" w:type="dxa"/>
            <w:vAlign w:val="bottom"/>
          </w:tcPr>
          <w:p>
            <w:pPr>
              <w:ind w:left="900"/>
              <w:spacing w:after="0"/>
              <w:rPr>
                <w:sz w:val="20"/>
                <w:szCs w:val="20"/>
                <w:color w:val="auto"/>
              </w:rPr>
            </w:pPr>
            <w:r>
              <w:rPr>
                <w:rFonts w:ascii="Arial" w:cs="Arial" w:eastAsia="Arial" w:hAnsi="Arial"/>
                <w:sz w:val="20"/>
                <w:szCs w:val="20"/>
                <w:b w:val="1"/>
                <w:bCs w:val="1"/>
                <w:color w:val="auto"/>
                <w:w w:val="94"/>
              </w:rPr>
              <w:t>Severability</w:t>
            </w:r>
            <w:r>
              <w:rPr>
                <w:rFonts w:ascii="Arial" w:cs="Arial" w:eastAsia="Arial" w:hAnsi="Arial"/>
                <w:sz w:val="20"/>
                <w:szCs w:val="20"/>
                <w:color w:val="auto"/>
                <w:w w:val="94"/>
              </w:rPr>
              <w:t>. In the event any provision of this Agreement shall be held illegal or invalid</w:t>
            </w:r>
          </w:p>
        </w:tc>
      </w:tr>
    </w:tbl>
    <w:p>
      <w:pPr>
        <w:ind w:right="300"/>
        <w:spacing w:after="0" w:line="243" w:lineRule="auto"/>
        <w:rPr>
          <w:sz w:val="20"/>
          <w:szCs w:val="20"/>
          <w:color w:val="auto"/>
        </w:rPr>
      </w:pPr>
      <w:r>
        <w:rPr>
          <w:rFonts w:ascii="Arial" w:cs="Arial" w:eastAsia="Arial" w:hAnsi="Arial"/>
          <w:sz w:val="20"/>
          <w:szCs w:val="20"/>
          <w:color w:val="auto"/>
        </w:rPr>
        <w:t>for any reason, the illegality or invalidity shall not affect the remaining parts of this Agreement, and this Agreement shall be construed and enforced as if the illegal or invalid provision had not been included. Further, the captions of this Agreement are not part of the provisions hereof and shall have no force and effect.</w:t>
      </w:r>
    </w:p>
    <w:p>
      <w:pPr>
        <w:spacing w:after="0" w:line="167" w:lineRule="exact"/>
        <w:rPr>
          <w:sz w:val="20"/>
          <w:szCs w:val="20"/>
          <w:color w:val="auto"/>
        </w:rPr>
      </w:pPr>
    </w:p>
    <w:p>
      <w:pPr>
        <w:ind w:firstLine="1729"/>
        <w:spacing w:after="0" w:line="255" w:lineRule="auto"/>
        <w:rPr>
          <w:sz w:val="20"/>
          <w:szCs w:val="20"/>
          <w:color w:val="auto"/>
        </w:rPr>
      </w:pPr>
      <w:r>
        <w:rPr>
          <w:rFonts w:ascii="Arial" w:cs="Arial" w:eastAsia="Arial" w:hAnsi="Arial"/>
          <w:sz w:val="20"/>
          <w:szCs w:val="20"/>
          <w:b w:val="1"/>
          <w:bCs w:val="1"/>
          <w:color w:val="auto"/>
        </w:rPr>
        <w:t xml:space="preserve">9.7 Modification. </w:t>
      </w:r>
      <w:r>
        <w:rPr>
          <w:rFonts w:ascii="Arial" w:cs="Arial" w:eastAsia="Arial" w:hAnsi="Arial"/>
          <w:sz w:val="20"/>
          <w:szCs w:val="20"/>
          <w:color w:val="auto"/>
        </w:rPr>
        <w:t>No provision of this Agreement may be modified, waived, or discharged</w:t>
      </w:r>
      <w:r>
        <w:rPr>
          <w:rFonts w:ascii="Arial" w:cs="Arial" w:eastAsia="Arial" w:hAnsi="Arial"/>
          <w:sz w:val="20"/>
          <w:szCs w:val="20"/>
          <w:b w:val="1"/>
          <w:bCs w:val="1"/>
          <w:color w:val="auto"/>
        </w:rPr>
        <w:t xml:space="preserve"> </w:t>
      </w:r>
      <w:r>
        <w:rPr>
          <w:rFonts w:ascii="Arial" w:cs="Arial" w:eastAsia="Arial" w:hAnsi="Arial"/>
          <w:sz w:val="20"/>
          <w:szCs w:val="20"/>
          <w:color w:val="auto"/>
        </w:rPr>
        <w:t>unless such modification, waiver, or discharge is agreed to in writing and signed by the Executive (or the Executive’s legal representative) and by an authorized member of the Committee (or the Board) or its designee or legal representative.</w:t>
      </w:r>
    </w:p>
    <w:p>
      <w:pPr>
        <w:spacing w:after="0" w:line="154" w:lineRule="exact"/>
        <w:rPr>
          <w:sz w:val="20"/>
          <w:szCs w:val="20"/>
          <w:color w:val="auto"/>
        </w:rPr>
      </w:pPr>
    </w:p>
    <w:p>
      <w:pPr>
        <w:ind w:right="60" w:firstLine="1729"/>
        <w:spacing w:after="0" w:line="275" w:lineRule="auto"/>
        <w:rPr>
          <w:sz w:val="20"/>
          <w:szCs w:val="20"/>
          <w:color w:val="auto"/>
        </w:rPr>
      </w:pPr>
      <w:r>
        <w:rPr>
          <w:rFonts w:ascii="Arial" w:cs="Arial" w:eastAsia="Arial" w:hAnsi="Arial"/>
          <w:sz w:val="18"/>
          <w:szCs w:val="18"/>
          <w:b w:val="1"/>
          <w:bCs w:val="1"/>
          <w:color w:val="auto"/>
        </w:rPr>
        <w:t xml:space="preserve">9.8 Notice. </w:t>
      </w:r>
      <w:r>
        <w:rPr>
          <w:rFonts w:ascii="Arial" w:cs="Arial" w:eastAsia="Arial" w:hAnsi="Arial"/>
          <w:sz w:val="18"/>
          <w:szCs w:val="18"/>
          <w:color w:val="auto"/>
        </w:rPr>
        <w:t>For purposes of this Agreement, notices, including Notice of Termination,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communications provided for in this Agreement shall be in writing and shall be deemed to have been duly given when delivered or on the date stamped as received by the U.S. Postal Service for delivery by certified or registered mail, postage prepaid and addressed: (a) if to the Executive, to his or her latest address as reflected on the records of the Company, and (b) if to the Company, to Parsons Corporation, 100 West Walnut Street, Pasadena, California 91124, Attn: Chair, Compensation Committee, or to such other address as either party may furnish to the other in writing for the delivery of notices to that party, with specific reference to this Agreement and the importance of the notice, except that a notice of change of address shall be effective only upon receipt by the other party.</w:t>
      </w:r>
    </w:p>
    <w:p>
      <w:pPr>
        <w:spacing w:after="0" w:line="140" w:lineRule="exact"/>
        <w:rPr>
          <w:sz w:val="20"/>
          <w:szCs w:val="20"/>
          <w:color w:val="auto"/>
        </w:rPr>
      </w:pPr>
    </w:p>
    <w:p>
      <w:pPr>
        <w:ind w:firstLine="1729"/>
        <w:spacing w:after="0" w:line="249" w:lineRule="auto"/>
        <w:rPr>
          <w:sz w:val="20"/>
          <w:szCs w:val="20"/>
          <w:color w:val="auto"/>
        </w:rPr>
      </w:pPr>
      <w:r>
        <w:rPr>
          <w:rFonts w:ascii="Arial" w:cs="Arial" w:eastAsia="Arial" w:hAnsi="Arial"/>
          <w:sz w:val="20"/>
          <w:szCs w:val="20"/>
          <w:b w:val="1"/>
          <w:bCs w:val="1"/>
          <w:color w:val="auto"/>
        </w:rPr>
        <w:t xml:space="preserve">9.9 Applicable Law. </w:t>
      </w:r>
      <w:r>
        <w:rPr>
          <w:rFonts w:ascii="Arial" w:cs="Arial" w:eastAsia="Arial" w:hAnsi="Arial"/>
          <w:sz w:val="20"/>
          <w:szCs w:val="20"/>
          <w:color w:val="auto"/>
        </w:rPr>
        <w:t>To the extent not preempted by the laws of the United States, the laws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State of California shall be the controlling law in all matters relating to this Agreement, without regard to principles of conflicts of laws. Any statutory reference in this Agreement shall also be deemed to refer to all final rules and final regulations promulgated under or with respect to the referenced statutory provision.</w:t>
      </w:r>
    </w:p>
    <w:p>
      <w:pPr>
        <w:spacing w:after="0" w:line="161" w:lineRule="exact"/>
        <w:rPr>
          <w:sz w:val="20"/>
          <w:szCs w:val="20"/>
          <w:color w:val="auto"/>
        </w:rPr>
      </w:pPr>
    </w:p>
    <w:p>
      <w:pPr>
        <w:ind w:right="80" w:firstLine="1729"/>
        <w:spacing w:after="0" w:line="249" w:lineRule="auto"/>
        <w:rPr>
          <w:sz w:val="20"/>
          <w:szCs w:val="20"/>
          <w:color w:val="auto"/>
        </w:rPr>
      </w:pPr>
      <w:r>
        <w:rPr>
          <w:rFonts w:ascii="Arial" w:cs="Arial" w:eastAsia="Arial" w:hAnsi="Arial"/>
          <w:sz w:val="20"/>
          <w:szCs w:val="20"/>
          <w:b w:val="1"/>
          <w:bCs w:val="1"/>
          <w:color w:val="auto"/>
        </w:rPr>
        <w:t xml:space="preserve">9.10 Code Sections 280G and 4999. </w:t>
      </w:r>
      <w:r>
        <w:rPr>
          <w:rFonts w:ascii="Arial" w:cs="Arial" w:eastAsia="Arial" w:hAnsi="Arial"/>
          <w:sz w:val="20"/>
          <w:szCs w:val="20"/>
          <w:color w:val="auto"/>
        </w:rPr>
        <w:t>Notwithstanding anything contained in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to the contrary, if following a change in ownership or effective control or in the ownership of a substantial portion of assets (in each case, within the meaning of Section 280G of the Code), the tax imposed by Section 4999 of the Code or any similar or successor tax (the “Excise Tax”) applies to any payments, benefits and/or amounts received by the Executive</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4">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20"/>
          </w:cols>
          <w:pgMar w:left="320" w:top="752" w:right="359" w:bottom="1440" w:gutter="0" w:footer="0" w:header="0"/>
        </w:sectPr>
      </w:pPr>
    </w:p>
    <w:bookmarkStart w:id="251" w:name="page252"/>
    <w:bookmarkEnd w:id="251"/>
    <w:p>
      <w:pPr>
        <w:spacing w:after="0" w:line="241" w:lineRule="auto"/>
        <w:rPr>
          <w:sz w:val="20"/>
          <w:szCs w:val="20"/>
          <w:color w:val="auto"/>
        </w:rPr>
      </w:pPr>
      <w:r>
        <w:rPr>
          <w:rFonts w:ascii="Arial" w:cs="Arial" w:eastAsia="Arial" w:hAnsi="Arial"/>
          <w:sz w:val="20"/>
          <w:szCs w:val="20"/>
          <w:color w:val="auto"/>
        </w:rPr>
        <w:t>pursuant to this Agreement or otherwise (collectively, the “Total Payments”), then the Total Payments shall be reduced (but not below zero) so that the maximum amount of the Total Payments (after reduction) shall be one dollar ($1.00) less than the amount which would cause the Total Payments to be subject to the Excise Tax; provided that such reduction to the Total Payments shall be made only if the total after-tax benefit to the Executive is greater after giving effect to such reduction than if no such reduction had been made. If such a reduction is required, the Company shall reduce or eliminate the Total Payments by first reducing or eliminating any cash payments under this Agreement, then by reducing or eliminating any accelerated vesting of any long-term cash incentive awards, then by reducing or eliminating any other remaining Total Payments, in each case in reverse order beginning with the payments which are to be paid the farthest in time from the date of the transaction triggering the Excise Tax. The provisions of this Section 9.10 shall take precedence over the provisions of any other plan, arrangement or agreement governing the Executive’s rights and entitlements to any benefits or compensation.</w:t>
      </w:r>
    </w:p>
    <w:p>
      <w:pPr>
        <w:spacing w:after="0" w:line="200" w:lineRule="exact"/>
        <w:rPr>
          <w:sz w:val="20"/>
          <w:szCs w:val="20"/>
          <w:color w:val="auto"/>
        </w:rPr>
      </w:pPr>
    </w:p>
    <w:p>
      <w:pPr>
        <w:spacing w:after="0" w:line="377"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executed this Agreement on the date first set forth above.</w:t>
      </w:r>
    </w:p>
    <w:p>
      <w:pPr>
        <w:spacing w:after="0" w:line="201"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Name: Michael Kolloway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Parsons Corporation</w:t>
      </w:r>
    </w:p>
    <w:p>
      <w:pPr>
        <w:spacing w:after="0" w:line="306" w:lineRule="exact"/>
        <w:rPr>
          <w:sz w:val="20"/>
          <w:szCs w:val="20"/>
          <w:color w:val="auto"/>
        </w:rPr>
      </w:pPr>
    </w:p>
    <w:p>
      <w:pPr>
        <w:ind w:left="60"/>
        <w:spacing w:after="0"/>
        <w:rPr>
          <w:sz w:val="20"/>
          <w:szCs w:val="20"/>
          <w:color w:val="auto"/>
        </w:rPr>
      </w:pPr>
      <w:r>
        <w:rPr>
          <w:rFonts w:ascii="Arial" w:cs="Arial" w:eastAsia="Arial" w:hAnsi="Arial"/>
          <w:sz w:val="20"/>
          <w:szCs w:val="20"/>
          <w:color w:val="auto"/>
        </w:rPr>
        <w:t>By:</w:t>
      </w:r>
    </w:p>
    <w:p>
      <w:pPr>
        <w:spacing w:after="0" w:line="20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Carey Smith</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20"/>
          <w:szCs w:val="20"/>
          <w:color w:val="auto"/>
        </w:rPr>
        <w:t>Chief Executive Officer</w:t>
      </w:r>
    </w:p>
    <w:p>
      <w:pPr>
        <w:spacing w:after="0" w:line="158"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A-15</w:t>
      </w:r>
    </w:p>
    <w:p>
      <w:pPr>
        <w:sectPr>
          <w:pgSz w:w="11900" w:h="16838" w:orient="portrait"/>
          <w:cols w:equalWidth="0" w:num="1">
            <w:col w:w="11200"/>
          </w:cols>
          <w:pgMar w:left="320" w:top="752" w:right="379" w:bottom="1440" w:gutter="0" w:footer="0" w:header="0"/>
        </w:sectPr>
      </w:pPr>
    </w:p>
    <w:bookmarkStart w:id="252" w:name="page253"/>
    <w:bookmarkEnd w:id="252"/>
    <w:p>
      <w:pPr>
        <w:spacing w:after="0"/>
        <w:rPr>
          <w:sz w:val="20"/>
          <w:szCs w:val="20"/>
          <w:color w:val="auto"/>
        </w:rPr>
      </w:pPr>
      <w:r>
        <w:rPr>
          <w:rFonts w:ascii="Arial" w:cs="Arial" w:eastAsia="Arial" w:hAnsi="Arial"/>
          <w:sz w:val="20"/>
          <w:szCs w:val="20"/>
          <w:color w:val="auto"/>
        </w:rPr>
        <w:t>Exhibit 10.32</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PARSONS CORPORATION</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CHANGE IN CONTROL SEVERANCE AGREEMENT</w:t>
      </w:r>
    </w:p>
    <w:p>
      <w:pPr>
        <w:spacing w:after="0" w:line="382"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 xml:space="preserve">THIS CHANGE IN CONTROL SEVERANCE AGREEMENT </w:t>
      </w:r>
      <w:r>
        <w:rPr>
          <w:rFonts w:ascii="Arial" w:cs="Arial" w:eastAsia="Arial" w:hAnsi="Arial"/>
          <w:sz w:val="19"/>
          <w:szCs w:val="19"/>
          <w:color w:val="auto"/>
        </w:rPr>
        <w:t>(this “Agreement”) is made and entered into on this ____</w:t>
      </w:r>
    </w:p>
    <w:p>
      <w:pPr>
        <w:spacing w:after="0" w:line="32" w:lineRule="exact"/>
        <w:rPr>
          <w:sz w:val="20"/>
          <w:szCs w:val="20"/>
          <w:color w:val="auto"/>
        </w:rPr>
      </w:pPr>
    </w:p>
    <w:p>
      <w:pPr>
        <w:ind w:right="260"/>
        <w:spacing w:after="0" w:line="249" w:lineRule="auto"/>
        <w:rPr>
          <w:sz w:val="20"/>
          <w:szCs w:val="20"/>
          <w:color w:val="auto"/>
        </w:rPr>
      </w:pPr>
      <w:r>
        <w:rPr>
          <w:rFonts w:ascii="Arial" w:cs="Arial" w:eastAsia="Arial" w:hAnsi="Arial"/>
          <w:sz w:val="20"/>
          <w:szCs w:val="20"/>
          <w:color w:val="auto"/>
        </w:rPr>
        <w:t>day of August 2021 (the “Effective Date”), by and between Parsons Corporation, a Delaware corporation (hereinafter referred to as the “Company”) and David Spille (the “Executive”).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RECITALS</w:t>
      </w:r>
    </w:p>
    <w:p>
      <w:pPr>
        <w:spacing w:after="0" w:line="205" w:lineRule="exact"/>
        <w:rPr>
          <w:sz w:val="20"/>
          <w:szCs w:val="20"/>
          <w:color w:val="auto"/>
        </w:rPr>
      </w:pPr>
    </w:p>
    <w:p>
      <w:pPr>
        <w:ind w:right="60" w:firstLine="865"/>
        <w:spacing w:after="0" w:line="324" w:lineRule="auto"/>
        <w:rPr>
          <w:sz w:val="20"/>
          <w:szCs w:val="20"/>
          <w:color w:val="auto"/>
        </w:rPr>
      </w:pPr>
      <w:r>
        <w:rPr>
          <w:rFonts w:ascii="Arial" w:cs="Arial" w:eastAsia="Arial" w:hAnsi="Arial"/>
          <w:sz w:val="18"/>
          <w:szCs w:val="18"/>
          <w:color w:val="auto"/>
        </w:rPr>
        <w:t>The Compensation Committee of the Board of Directors of Parsons Corporation (the “Committee”) and the Board of Directors have approved the Company’s entering into this Agreement with the Executive. The Executive is a key executive of the Company.</w:t>
      </w:r>
    </w:p>
    <w:p>
      <w:pPr>
        <w:spacing w:after="0" w:line="100" w:lineRule="exact"/>
        <w:rPr>
          <w:sz w:val="20"/>
          <w:szCs w:val="20"/>
          <w:color w:val="auto"/>
        </w:rPr>
      </w:pPr>
    </w:p>
    <w:p>
      <w:pPr>
        <w:jc w:val="both"/>
        <w:ind w:right="40" w:firstLine="865"/>
        <w:spacing w:after="0" w:line="284" w:lineRule="auto"/>
        <w:rPr>
          <w:sz w:val="20"/>
          <w:szCs w:val="20"/>
          <w:color w:val="auto"/>
        </w:rPr>
      </w:pPr>
      <w:r>
        <w:rPr>
          <w:rFonts w:ascii="Arial" w:cs="Arial" w:eastAsia="Arial" w:hAnsi="Arial"/>
          <w:sz w:val="18"/>
          <w:szCs w:val="18"/>
          <w:color w:val="auto"/>
        </w:rPr>
        <w:t>Should the possibility of a Change in Control (as defined below) arise, the Committee believes it imperative that the Company should be able to rely upon the Executive to continue in his or her position, and that the Company should be able to receive and rely upon the Executive’s advice, if requested, as to the best interests of the Company and its shareholders without concern that the Executive might be distracted by the personal uncertainties and risks created by the possibility of a Change in Control.</w:t>
      </w:r>
    </w:p>
    <w:p>
      <w:pPr>
        <w:spacing w:after="0" w:line="136" w:lineRule="exact"/>
        <w:rPr>
          <w:sz w:val="20"/>
          <w:szCs w:val="20"/>
          <w:color w:val="auto"/>
        </w:rPr>
      </w:pPr>
    </w:p>
    <w:p>
      <w:pPr>
        <w:ind w:right="20" w:firstLine="865"/>
        <w:spacing w:after="0" w:line="248" w:lineRule="auto"/>
        <w:rPr>
          <w:sz w:val="20"/>
          <w:szCs w:val="20"/>
          <w:color w:val="auto"/>
        </w:rPr>
      </w:pPr>
      <w:r>
        <w:rPr>
          <w:rFonts w:ascii="Arial" w:cs="Arial" w:eastAsia="Arial" w:hAnsi="Arial"/>
          <w:sz w:val="20"/>
          <w:szCs w:val="20"/>
          <w:color w:val="auto"/>
        </w:rPr>
        <w:t>Should the possibility of a Change in Control arise, in addition to his or her regular duties, the Executive may be called upon to assist in the assessment of such a possible Change in Control upon the Company’s shareholders, advise management and the Board of Directors as to whether such a Change in Control would be in the best interests of the Company and its shareholders, and to take such other actions as the Board of Directors might determine to be appropriate.</w:t>
      </w:r>
    </w:p>
    <w:p>
      <w:pPr>
        <w:spacing w:after="0" w:line="161" w:lineRule="exact"/>
        <w:rPr>
          <w:sz w:val="20"/>
          <w:szCs w:val="20"/>
          <w:color w:val="auto"/>
        </w:rPr>
      </w:pPr>
    </w:p>
    <w:p>
      <w:pPr>
        <w:ind w:firstLine="865"/>
        <w:spacing w:after="0" w:line="266"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to assure the Company that it will have the continued dedication of the Executive and the availability of</w:t>
      </w:r>
      <w:r>
        <w:rPr>
          <w:rFonts w:ascii="Arial" w:cs="Arial" w:eastAsia="Arial" w:hAnsi="Arial"/>
          <w:sz w:val="19"/>
          <w:szCs w:val="19"/>
          <w:b w:val="1"/>
          <w:bCs w:val="1"/>
          <w:color w:val="auto"/>
        </w:rPr>
        <w:t xml:space="preserve"> </w:t>
      </w:r>
      <w:r>
        <w:rPr>
          <w:rFonts w:ascii="Arial" w:cs="Arial" w:eastAsia="Arial" w:hAnsi="Arial"/>
          <w:sz w:val="19"/>
          <w:szCs w:val="19"/>
          <w:color w:val="auto"/>
        </w:rPr>
        <w:t>his or her advice and counsel notwithstanding the possibility, threat, or occurrence of a Change in Control, and to induce the Executive to remain in the employ of the Company in the face of these circumstances and for other good and valuable consideration, the receipt and adequacy of which are hereby acknowledged, the Company and the Executive agree as follows: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I</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CERTAIN DEFINITIONS</w:t>
      </w:r>
    </w:p>
    <w:p>
      <w:pPr>
        <w:spacing w:after="0" w:line="183" w:lineRule="exact"/>
        <w:rPr>
          <w:sz w:val="20"/>
          <w:szCs w:val="20"/>
          <w:color w:val="auto"/>
        </w:rPr>
      </w:pPr>
    </w:p>
    <w:p>
      <w:pPr>
        <w:ind w:right="540" w:firstLine="865"/>
        <w:spacing w:after="0" w:line="268" w:lineRule="auto"/>
        <w:rPr>
          <w:sz w:val="20"/>
          <w:szCs w:val="20"/>
          <w:color w:val="auto"/>
        </w:rPr>
      </w:pPr>
      <w:r>
        <w:rPr>
          <w:rFonts w:ascii="Arial" w:cs="Arial" w:eastAsia="Arial" w:hAnsi="Arial"/>
          <w:sz w:val="20"/>
          <w:szCs w:val="20"/>
          <w:color w:val="auto"/>
        </w:rPr>
        <w:t>Whenever used in this Agreement, the following terms shall have the meanings set forth below unless the context clearly indicates to the contrary:</w:t>
      </w:r>
    </w:p>
    <w:p>
      <w:pPr>
        <w:spacing w:after="0" w:line="146" w:lineRule="exact"/>
        <w:rPr>
          <w:sz w:val="20"/>
          <w:szCs w:val="20"/>
          <w:color w:val="auto"/>
        </w:rPr>
      </w:pPr>
    </w:p>
    <w:p>
      <w:pPr>
        <w:ind w:left="1720" w:right="360" w:hanging="856"/>
        <w:spacing w:after="0" w:line="268" w:lineRule="auto"/>
        <w:tabs>
          <w:tab w:leader="none" w:pos="172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“Base Salary” means the salary of record paid to the Executive by the Company as annual salary (whether or not deferred), but excludes amounts received under incentive or other bonus plans.</w:t>
      </w:r>
    </w:p>
    <w:p>
      <w:pPr>
        <w:spacing w:after="0" w:line="323"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sectPr>
      </w:pPr>
    </w:p>
    <w:bookmarkStart w:id="253" w:name="page254"/>
    <w:bookmarkEnd w:id="253"/>
    <w:p>
      <w:pPr>
        <w:ind w:left="860" w:right="880" w:hanging="856"/>
        <w:spacing w:after="0" w:line="268" w:lineRule="auto"/>
        <w:tabs>
          <w:tab w:leader="none" w:pos="86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“Beneficial Owner” shall have the meaning ascribed to such term in Rule 13d-3 of the General Rules and Regulations under the Exchange Act.</w:t>
      </w:r>
    </w:p>
    <w:p>
      <w:pPr>
        <w:spacing w:after="0" w:line="145" w:lineRule="exact"/>
        <w:rPr>
          <w:rFonts w:ascii="Arial" w:cs="Arial" w:eastAsia="Arial" w:hAnsi="Arial"/>
          <w:sz w:val="20"/>
          <w:szCs w:val="20"/>
          <w:color w:val="auto"/>
        </w:rPr>
      </w:pPr>
    </w:p>
    <w:p>
      <w:pPr>
        <w:ind w:left="860" w:right="140" w:hanging="856"/>
        <w:spacing w:after="0" w:line="268" w:lineRule="auto"/>
        <w:tabs>
          <w:tab w:leader="none" w:pos="86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“Beneficiary” means the persons or entities designated or deemed designated by the Executive pursuant to Section 9.3.</w:t>
      </w:r>
    </w:p>
    <w:p>
      <w:pPr>
        <w:spacing w:after="0" w:line="145" w:lineRule="exact"/>
        <w:rPr>
          <w:rFonts w:ascii="Arial" w:cs="Arial" w:eastAsia="Arial" w:hAnsi="Arial"/>
          <w:sz w:val="20"/>
          <w:szCs w:val="20"/>
          <w:color w:val="auto"/>
        </w:rPr>
      </w:pPr>
    </w:p>
    <w:p>
      <w:pPr>
        <w:ind w:left="860" w:hanging="856"/>
        <w:spacing w:after="0"/>
        <w:tabs>
          <w:tab w:leader="none" w:pos="86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“Board” means the Board of Directors of the Company.</w:t>
      </w:r>
    </w:p>
    <w:p>
      <w:pPr>
        <w:spacing w:after="0" w:line="201" w:lineRule="exact"/>
        <w:rPr>
          <w:rFonts w:ascii="Arial" w:cs="Arial" w:eastAsia="Arial" w:hAnsi="Arial"/>
          <w:sz w:val="20"/>
          <w:szCs w:val="20"/>
          <w:color w:val="auto"/>
        </w:rPr>
      </w:pPr>
    </w:p>
    <w:p>
      <w:pPr>
        <w:ind w:left="860" w:hanging="856"/>
        <w:spacing w:after="0"/>
        <w:tabs>
          <w:tab w:leader="none" w:pos="86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“Cause” means the occurrence of any one or more of the following:</w:t>
      </w:r>
    </w:p>
    <w:p>
      <w:pPr>
        <w:spacing w:after="0" w:line="201" w:lineRule="exact"/>
        <w:rPr>
          <w:rFonts w:ascii="Arial" w:cs="Arial" w:eastAsia="Arial" w:hAnsi="Arial"/>
          <w:sz w:val="20"/>
          <w:szCs w:val="20"/>
          <w:color w:val="auto"/>
        </w:rPr>
      </w:pPr>
    </w:p>
    <w:p>
      <w:pPr>
        <w:ind w:left="1720" w:hanging="854"/>
        <w:spacing w:after="0"/>
        <w:tabs>
          <w:tab w:leader="none" w:pos="1720" w:val="left"/>
        </w:tabs>
        <w:numPr>
          <w:ilvl w:val="1"/>
          <w:numId w:val="134"/>
        </w:numPr>
        <w:rPr>
          <w:rFonts w:ascii="Arial" w:cs="Arial" w:eastAsia="Arial" w:hAnsi="Arial"/>
          <w:sz w:val="20"/>
          <w:szCs w:val="20"/>
          <w:color w:val="auto"/>
        </w:rPr>
      </w:pPr>
      <w:r>
        <w:rPr>
          <w:rFonts w:ascii="Arial" w:cs="Arial" w:eastAsia="Arial" w:hAnsi="Arial"/>
          <w:sz w:val="20"/>
          <w:szCs w:val="20"/>
          <w:color w:val="auto"/>
        </w:rPr>
        <w:t>The Executive’s committing an act of fraud or embezzlement upon the Company.</w:t>
      </w:r>
    </w:p>
    <w:p>
      <w:pPr>
        <w:spacing w:after="0" w:line="201" w:lineRule="exact"/>
        <w:rPr>
          <w:rFonts w:ascii="Arial" w:cs="Arial" w:eastAsia="Arial" w:hAnsi="Arial"/>
          <w:sz w:val="20"/>
          <w:szCs w:val="20"/>
          <w:color w:val="auto"/>
        </w:rPr>
      </w:pPr>
    </w:p>
    <w:p>
      <w:pPr>
        <w:ind w:left="1720" w:right="800" w:hanging="854"/>
        <w:spacing w:after="0" w:line="268" w:lineRule="auto"/>
        <w:tabs>
          <w:tab w:leader="none" w:pos="1720" w:val="left"/>
        </w:tabs>
        <w:numPr>
          <w:ilvl w:val="1"/>
          <w:numId w:val="134"/>
        </w:numPr>
        <w:rPr>
          <w:rFonts w:ascii="Arial" w:cs="Arial" w:eastAsia="Arial" w:hAnsi="Arial"/>
          <w:sz w:val="20"/>
          <w:szCs w:val="20"/>
          <w:color w:val="auto"/>
        </w:rPr>
      </w:pPr>
      <w:r>
        <w:rPr>
          <w:rFonts w:ascii="Arial" w:cs="Arial" w:eastAsia="Arial" w:hAnsi="Arial"/>
          <w:sz w:val="20"/>
          <w:szCs w:val="20"/>
          <w:color w:val="auto"/>
        </w:rPr>
        <w:t>The Executive’s conviction of or pleading guilty or nolo contendere to a felony involving fraud, dishonesty or moral turpitude.</w:t>
      </w:r>
    </w:p>
    <w:p>
      <w:pPr>
        <w:spacing w:after="0" w:line="145" w:lineRule="exact"/>
        <w:rPr>
          <w:rFonts w:ascii="Arial" w:cs="Arial" w:eastAsia="Arial" w:hAnsi="Arial"/>
          <w:sz w:val="20"/>
          <w:szCs w:val="20"/>
          <w:color w:val="auto"/>
        </w:rPr>
      </w:pPr>
    </w:p>
    <w:p>
      <w:pPr>
        <w:ind w:left="1720" w:hanging="854"/>
        <w:spacing w:after="0" w:line="253" w:lineRule="auto"/>
        <w:tabs>
          <w:tab w:leader="none" w:pos="1720" w:val="left"/>
        </w:tabs>
        <w:numPr>
          <w:ilvl w:val="1"/>
          <w:numId w:val="134"/>
        </w:numPr>
        <w:rPr>
          <w:rFonts w:ascii="Arial" w:cs="Arial" w:eastAsia="Arial" w:hAnsi="Arial"/>
          <w:sz w:val="20"/>
          <w:szCs w:val="20"/>
          <w:color w:val="auto"/>
        </w:rPr>
      </w:pPr>
      <w:r>
        <w:rPr>
          <w:rFonts w:ascii="Arial" w:cs="Arial" w:eastAsia="Arial" w:hAnsi="Arial"/>
          <w:sz w:val="20"/>
          <w:szCs w:val="20"/>
          <w:color w:val="auto"/>
        </w:rPr>
        <w:t>The Executive’s willful and continued failure to substantially perform material duties which is not remedied in a reasonable period of time after written demand for substantial performances is delivered by the Board.</w:t>
      </w:r>
    </w:p>
    <w:p>
      <w:pPr>
        <w:spacing w:after="0" w:line="160" w:lineRule="exact"/>
        <w:rPr>
          <w:rFonts w:ascii="Arial" w:cs="Arial" w:eastAsia="Arial" w:hAnsi="Arial"/>
          <w:sz w:val="20"/>
          <w:szCs w:val="20"/>
          <w:color w:val="auto"/>
        </w:rPr>
      </w:pPr>
    </w:p>
    <w:p>
      <w:pPr>
        <w:ind w:left="1720" w:hanging="854"/>
        <w:spacing w:after="0"/>
        <w:tabs>
          <w:tab w:leader="none" w:pos="1720" w:val="left"/>
        </w:tabs>
        <w:numPr>
          <w:ilvl w:val="1"/>
          <w:numId w:val="134"/>
        </w:numPr>
        <w:rPr>
          <w:rFonts w:ascii="Arial" w:cs="Arial" w:eastAsia="Arial" w:hAnsi="Arial"/>
          <w:sz w:val="20"/>
          <w:szCs w:val="20"/>
          <w:color w:val="auto"/>
        </w:rPr>
      </w:pPr>
      <w:r>
        <w:rPr>
          <w:rFonts w:ascii="Arial" w:cs="Arial" w:eastAsia="Arial" w:hAnsi="Arial"/>
          <w:sz w:val="20"/>
          <w:szCs w:val="20"/>
          <w:color w:val="auto"/>
        </w:rPr>
        <w:t>The Executive’s material violation of the Company’s Code of Conduct.</w:t>
      </w:r>
    </w:p>
    <w:p>
      <w:pPr>
        <w:spacing w:after="0" w:line="201" w:lineRule="exact"/>
        <w:rPr>
          <w:rFonts w:ascii="Arial" w:cs="Arial" w:eastAsia="Arial" w:hAnsi="Arial"/>
          <w:sz w:val="20"/>
          <w:szCs w:val="20"/>
          <w:color w:val="auto"/>
        </w:rPr>
      </w:pPr>
    </w:p>
    <w:p>
      <w:pPr>
        <w:ind w:left="860" w:right="160" w:hanging="856"/>
        <w:spacing w:after="0" w:line="268" w:lineRule="auto"/>
        <w:tabs>
          <w:tab w:leader="none" w:pos="86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“Change in Control” shall mean and include each of the following, and shall be deemed to have occurred as of the first day that any one or more of the following conditions shall have been satisfied:</w:t>
      </w:r>
    </w:p>
    <w:p>
      <w:pPr>
        <w:spacing w:after="0" w:line="145" w:lineRule="exact"/>
        <w:rPr>
          <w:rFonts w:ascii="Arial" w:cs="Arial" w:eastAsia="Arial" w:hAnsi="Arial"/>
          <w:sz w:val="20"/>
          <w:szCs w:val="20"/>
          <w:color w:val="auto"/>
        </w:rPr>
      </w:pPr>
    </w:p>
    <w:p>
      <w:pPr>
        <w:ind w:left="1720" w:right="40" w:hanging="854"/>
        <w:spacing w:after="0" w:line="254" w:lineRule="auto"/>
        <w:tabs>
          <w:tab w:leader="none" w:pos="1720" w:val="left"/>
        </w:tabs>
        <w:numPr>
          <w:ilvl w:val="1"/>
          <w:numId w:val="134"/>
        </w:numPr>
        <w:rPr>
          <w:rFonts w:ascii="Arial" w:cs="Arial" w:eastAsia="Arial" w:hAnsi="Arial"/>
          <w:sz w:val="19"/>
          <w:szCs w:val="19"/>
          <w:color w:val="auto"/>
        </w:rPr>
      </w:pPr>
      <w:r>
        <w:rPr>
          <w:rFonts w:ascii="Arial" w:cs="Arial" w:eastAsia="Arial" w:hAnsi="Arial"/>
          <w:sz w:val="19"/>
          <w:szCs w:val="19"/>
          <w:color w:val="auto"/>
        </w:rPr>
        <w:t xml:space="preserve">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directly or indirectly acquires beneficial ownership (within the meaning of Rules 13d-3 and 13d-5 under the Exchange Act) of securities of the Company possessing more than 50 % of the total combined voting power of the Company’s securities outstanding immediately after such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following acquisitions shall not constitute a Change in Control: (i) any acquisition by the Company or any of its Subsidiaries; (ii) any acquisition by an employee benefit plan maintained by the Company or any of its Subsidiaries, (iii) any acquisition which complies with Sections 1(f)(iii)(1), (2) or (3) of this Article; or (iv) in respect of an Award held by a particular Holder, any acquisition by the Holder or any group of persons including the Holder (or any entity controlled by the Holder or any group of persons including the Holder); or</w:t>
      </w:r>
    </w:p>
    <w:p>
      <w:pPr>
        <w:spacing w:after="0" w:line="166" w:lineRule="exact"/>
        <w:rPr>
          <w:rFonts w:ascii="Arial" w:cs="Arial" w:eastAsia="Arial" w:hAnsi="Arial"/>
          <w:sz w:val="19"/>
          <w:szCs w:val="19"/>
          <w:color w:val="auto"/>
        </w:rPr>
      </w:pPr>
    </w:p>
    <w:p>
      <w:pPr>
        <w:ind w:left="1720" w:hanging="854"/>
        <w:spacing w:after="0"/>
        <w:tabs>
          <w:tab w:leader="none" w:pos="1720" w:val="left"/>
        </w:tabs>
        <w:numPr>
          <w:ilvl w:val="1"/>
          <w:numId w:val="134"/>
        </w:numPr>
        <w:rPr>
          <w:rFonts w:ascii="Arial" w:cs="Arial" w:eastAsia="Arial" w:hAnsi="Arial"/>
          <w:sz w:val="20"/>
          <w:szCs w:val="20"/>
          <w:color w:val="auto"/>
        </w:rPr>
      </w:pPr>
      <w:r>
        <w:rPr>
          <w:rFonts w:ascii="Arial" w:cs="Arial" w:eastAsia="Arial" w:hAnsi="Arial"/>
          <w:sz w:val="20"/>
          <w:szCs w:val="20"/>
          <w:color w:val="auto"/>
        </w:rPr>
        <w:t>The Incumbent Directors cease for any reason to constitute a majority of the Board;</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40005</wp:posOffset>
            </wp:positionV>
            <wp:extent cx="7182485" cy="412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6">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0300"/>
          </w:cols>
          <w:pgMar w:left="1180" w:top="752" w:right="419" w:bottom="1440" w:gutter="0" w:footer="0" w:header="0"/>
        </w:sectPr>
      </w:pPr>
    </w:p>
    <w:bookmarkStart w:id="254" w:name="page255"/>
    <w:bookmarkEnd w:id="254"/>
    <w:p>
      <w:pPr>
        <w:jc w:val="both"/>
        <w:ind w:left="1720" w:hanging="854"/>
        <w:spacing w:after="0" w:line="245" w:lineRule="auto"/>
        <w:tabs>
          <w:tab w:leader="none" w:pos="172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spacing w:after="0" w:line="169" w:lineRule="exact"/>
        <w:rPr>
          <w:rFonts w:ascii="Arial" w:cs="Arial" w:eastAsia="Arial" w:hAnsi="Arial"/>
          <w:sz w:val="20"/>
          <w:szCs w:val="20"/>
          <w:color w:val="auto"/>
        </w:rPr>
      </w:pPr>
    </w:p>
    <w:p>
      <w:pPr>
        <w:jc w:val="both"/>
        <w:ind w:left="2480" w:hanging="752"/>
        <w:spacing w:after="0" w:line="274" w:lineRule="auto"/>
        <w:tabs>
          <w:tab w:leader="none" w:pos="24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“Successor Entity”)) directly or indirectly, at least a majority of the combined voting power of the Successor Entity’s outstanding voting securities immediately after the transaction, and</w:t>
      </w:r>
    </w:p>
    <w:p>
      <w:pPr>
        <w:spacing w:after="0" w:line="146" w:lineRule="exact"/>
        <w:rPr>
          <w:rFonts w:ascii="Arial" w:cs="Arial" w:eastAsia="Arial" w:hAnsi="Arial"/>
          <w:sz w:val="18"/>
          <w:szCs w:val="18"/>
          <w:color w:val="auto"/>
        </w:rPr>
      </w:pPr>
    </w:p>
    <w:p>
      <w:pPr>
        <w:jc w:val="both"/>
        <w:ind w:left="2480" w:hanging="752"/>
        <w:spacing w:after="0" w:line="261" w:lineRule="auto"/>
        <w:tabs>
          <w:tab w:leader="none" w:pos="2480" w:val="left"/>
        </w:tabs>
        <w:numPr>
          <w:ilvl w:val="1"/>
          <w:numId w:val="135"/>
        </w:numPr>
        <w:rPr>
          <w:rFonts w:ascii="Arial" w:cs="Arial" w:eastAsia="Arial" w:hAnsi="Arial"/>
          <w:sz w:val="19"/>
          <w:szCs w:val="19"/>
          <w:color w:val="auto"/>
        </w:rPr>
      </w:pPr>
      <w:r>
        <w:rPr>
          <w:rFonts w:ascii="Arial" w:cs="Arial" w:eastAsia="Arial" w:hAnsi="Arial"/>
          <w:sz w:val="19"/>
          <w:szCs w:val="19"/>
          <w:color w:val="auto"/>
        </w:rPr>
        <w:t>after which no person or group beneficially owns voting securities representing 50% or more of the combined voting power of the Successor Entity; provided, however, that no person or group shall be treated for purposes of this Section 1(f)(iii)(2) as beneficially owning 50% or more of the combined voting power of the Successor Entity solely as a result of the voting power held in the Company prior to the consummation of the transaction; and</w:t>
      </w:r>
    </w:p>
    <w:p>
      <w:pPr>
        <w:spacing w:after="0" w:line="155" w:lineRule="exact"/>
        <w:rPr>
          <w:rFonts w:ascii="Arial" w:cs="Arial" w:eastAsia="Arial" w:hAnsi="Arial"/>
          <w:sz w:val="19"/>
          <w:szCs w:val="19"/>
          <w:color w:val="auto"/>
        </w:rPr>
      </w:pPr>
    </w:p>
    <w:p>
      <w:pPr>
        <w:jc w:val="both"/>
        <w:ind w:left="2480" w:hanging="752"/>
        <w:spacing w:after="0" w:line="253" w:lineRule="auto"/>
        <w:tabs>
          <w:tab w:leader="none" w:pos="2480" w:val="left"/>
        </w:tabs>
        <w:numPr>
          <w:ilvl w:val="1"/>
          <w:numId w:val="135"/>
        </w:numPr>
        <w:rPr>
          <w:rFonts w:ascii="Arial" w:cs="Arial" w:eastAsia="Arial" w:hAnsi="Arial"/>
          <w:sz w:val="20"/>
          <w:szCs w:val="20"/>
          <w:color w:val="auto"/>
        </w:rPr>
      </w:pPr>
      <w:r>
        <w:rPr>
          <w:rFonts w:ascii="Arial" w:cs="Arial" w:eastAsia="Arial" w:hAnsi="Arial"/>
          <w:sz w:val="20"/>
          <w:szCs w:val="20"/>
          <w:color w:val="auto"/>
        </w:rPr>
        <w:t>after which at least a majority of the members of the board of directors (or the analogous governing body) of the Successor Entity were Board members at the time of the Board's approval of the execution of the initial agreement providing for such transaction; or</w:t>
      </w:r>
    </w:p>
    <w:p>
      <w:pPr>
        <w:spacing w:after="0" w:line="160" w:lineRule="exact"/>
        <w:rPr>
          <w:rFonts w:ascii="Arial" w:cs="Arial" w:eastAsia="Arial" w:hAnsi="Arial"/>
          <w:sz w:val="20"/>
          <w:szCs w:val="20"/>
          <w:color w:val="auto"/>
        </w:rPr>
      </w:pPr>
    </w:p>
    <w:p>
      <w:pPr>
        <w:ind w:left="1720" w:hanging="854"/>
        <w:spacing w:after="0"/>
        <w:tabs>
          <w:tab w:leader="none" w:pos="17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date which is 10 business days prior to the completion of a liquidation or dissolution of the Company.</w:t>
      </w:r>
    </w:p>
    <w:p>
      <w:pPr>
        <w:spacing w:after="0" w:line="224" w:lineRule="exact"/>
        <w:rPr>
          <w:sz w:val="20"/>
          <w:szCs w:val="20"/>
          <w:color w:val="auto"/>
        </w:rPr>
      </w:pPr>
    </w:p>
    <w:p>
      <w:pPr>
        <w:ind w:left="880"/>
        <w:spacing w:after="0" w:line="244" w:lineRule="auto"/>
        <w:rPr>
          <w:sz w:val="20"/>
          <w:szCs w:val="20"/>
          <w:color w:val="auto"/>
        </w:rPr>
      </w:pPr>
      <w:r>
        <w:rPr>
          <w:rFonts w:ascii="Arial" w:cs="Arial" w:eastAsia="Arial" w:hAnsi="Arial"/>
          <w:sz w:val="20"/>
          <w:szCs w:val="20"/>
          <w:color w:val="auto"/>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(i), (ii), (iii) or (iv)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69" w:lineRule="exact"/>
        <w:rPr>
          <w:sz w:val="20"/>
          <w:szCs w:val="20"/>
          <w:color w:val="auto"/>
        </w:rPr>
      </w:pPr>
    </w:p>
    <w:p>
      <w:pPr>
        <w:ind w:left="880" w:right="360"/>
        <w:spacing w:after="0" w:line="268" w:lineRule="auto"/>
        <w:rPr>
          <w:sz w:val="20"/>
          <w:szCs w:val="20"/>
          <w:color w:val="auto"/>
        </w:rPr>
      </w:pPr>
      <w:r>
        <w:rPr>
          <w:rFonts w:ascii="Arial" w:cs="Arial" w:eastAsia="Arial" w:hAnsi="Arial"/>
          <w:sz w:val="20"/>
          <w:szCs w:val="20"/>
          <w:color w:val="auto"/>
        </w:rPr>
        <w:t>For sake of clarity, a Change in Control will not occur by reason of the Parsons Employee Stock Ownership Plan (the “ESOP”) owning less than fifty percent of</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40005</wp:posOffset>
            </wp:positionV>
            <wp:extent cx="7182485" cy="412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7">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0380"/>
          </w:cols>
          <w:pgMar w:left="1180" w:top="752" w:right="339" w:bottom="1440" w:gutter="0" w:footer="0" w:header="0"/>
        </w:sectPr>
      </w:pPr>
    </w:p>
    <w:bookmarkStart w:id="255" w:name="page256"/>
    <w:bookmarkEnd w:id="255"/>
    <w:p>
      <w:pPr>
        <w:ind w:left="880" w:right="300"/>
        <w:spacing w:after="0" w:line="253" w:lineRule="auto"/>
        <w:rPr>
          <w:sz w:val="20"/>
          <w:szCs w:val="20"/>
          <w:color w:val="auto"/>
        </w:rPr>
      </w:pPr>
      <w:r>
        <w:rPr>
          <w:rFonts w:ascii="Arial" w:cs="Arial" w:eastAsia="Arial" w:hAnsi="Arial"/>
          <w:sz w:val="20"/>
          <w:szCs w:val="20"/>
          <w:color w:val="auto"/>
        </w:rPr>
        <w:t>(50%) of the voting power of the Company’s (or any successor thereto) equity securities due to (A) the ESOP making distributions to participants and their beneficiaries, or (B) the ESOP selling equity securities to the public through underwritten registered public offerings.</w:t>
      </w:r>
    </w:p>
    <w:p>
      <w:pPr>
        <w:spacing w:after="0" w:line="160" w:lineRule="exact"/>
        <w:rPr>
          <w:sz w:val="20"/>
          <w:szCs w:val="20"/>
          <w:color w:val="auto"/>
        </w:rPr>
      </w:pPr>
    </w:p>
    <w:p>
      <w:pPr>
        <w:ind w:left="880" w:right="180"/>
        <w:spacing w:after="0" w:line="261" w:lineRule="auto"/>
        <w:rPr>
          <w:sz w:val="20"/>
          <w:szCs w:val="20"/>
          <w:color w:val="auto"/>
        </w:rPr>
      </w:pPr>
      <w:r>
        <w:rPr>
          <w:rFonts w:ascii="Arial" w:cs="Arial" w:eastAsia="Arial" w:hAnsi="Arial"/>
          <w:sz w:val="19"/>
          <w:szCs w:val="19"/>
          <w:color w:val="auto"/>
        </w:rPr>
        <w:t>The Board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56" w:lineRule="exact"/>
        <w:rPr>
          <w:sz w:val="20"/>
          <w:szCs w:val="20"/>
          <w:color w:val="auto"/>
        </w:rPr>
      </w:pPr>
    </w:p>
    <w:p>
      <w:pPr>
        <w:ind w:left="860" w:hanging="856"/>
        <w:spacing w:after="0"/>
        <w:tabs>
          <w:tab w:leader="none" w:pos="86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“Code” means the United States Internal Revenue Code of 1986, as amended.</w:t>
      </w:r>
    </w:p>
    <w:p>
      <w:pPr>
        <w:spacing w:after="0" w:line="201" w:lineRule="exact"/>
        <w:rPr>
          <w:rFonts w:ascii="Arial" w:cs="Arial" w:eastAsia="Arial" w:hAnsi="Arial"/>
          <w:sz w:val="20"/>
          <w:szCs w:val="20"/>
          <w:color w:val="auto"/>
        </w:rPr>
      </w:pPr>
    </w:p>
    <w:p>
      <w:pPr>
        <w:ind w:left="860" w:hanging="856"/>
        <w:spacing w:after="0"/>
        <w:tabs>
          <w:tab w:leader="none" w:pos="86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“Company” means Parsons Corporation, a Delaware corporation, any successor thereto or acquirer thereof.</w:t>
      </w:r>
    </w:p>
    <w:p>
      <w:pPr>
        <w:spacing w:after="0" w:line="212" w:lineRule="exact"/>
        <w:rPr>
          <w:rFonts w:ascii="Arial" w:cs="Arial" w:eastAsia="Arial" w:hAnsi="Arial"/>
          <w:sz w:val="19"/>
          <w:szCs w:val="19"/>
          <w:color w:val="auto"/>
        </w:rPr>
      </w:pPr>
    </w:p>
    <w:p>
      <w:pPr>
        <w:ind w:left="860" w:right="120" w:hanging="856"/>
        <w:spacing w:after="0" w:line="245" w:lineRule="auto"/>
        <w:tabs>
          <w:tab w:leader="none" w:pos="86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“Disability” means, for all purposes of this Agreement, the incapacity of the Executive, due to injury, illness, disease, or bodily or mental infirmity, to engage in the performance of substantially all of the usual duties of his or her employment by the Company, such Disability to be determined by the Board upon receipt and in reliance on competent medical advice from one (l) or more individuals, selected or approved by the Board, who are qualified to give such professional medical advice.</w:t>
      </w:r>
    </w:p>
    <w:p>
      <w:pPr>
        <w:spacing w:after="0" w:line="169" w:lineRule="exact"/>
        <w:rPr>
          <w:rFonts w:ascii="Arial" w:cs="Arial" w:eastAsia="Arial" w:hAnsi="Arial"/>
          <w:sz w:val="20"/>
          <w:szCs w:val="20"/>
          <w:color w:val="auto"/>
        </w:rPr>
      </w:pPr>
    </w:p>
    <w:p>
      <w:pPr>
        <w:ind w:left="860" w:hanging="856"/>
        <w:spacing w:after="0"/>
        <w:tabs>
          <w:tab w:leader="none" w:pos="86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“Exchange Act” means the United States Securities Exchange Act of 1934, as amended.</w:t>
      </w:r>
    </w:p>
    <w:p>
      <w:pPr>
        <w:spacing w:after="0" w:line="201" w:lineRule="exact"/>
        <w:rPr>
          <w:rFonts w:ascii="Arial" w:cs="Arial" w:eastAsia="Arial" w:hAnsi="Arial"/>
          <w:sz w:val="20"/>
          <w:szCs w:val="20"/>
          <w:color w:val="auto"/>
        </w:rPr>
      </w:pPr>
    </w:p>
    <w:p>
      <w:pPr>
        <w:ind w:left="860" w:right="300" w:hanging="856"/>
        <w:spacing w:after="0" w:line="248" w:lineRule="auto"/>
        <w:tabs>
          <w:tab w:leader="none" w:pos="86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“Good Reason” means, without the Executive’s express written consent, the occurrence of any one or more of the following, unless the action or failure giving rise to such occurrence is withdrawn, reversed or cured by the Company within thirty (30) days of the date of the occurrence, and is not thereafter reinstated by the Company during the term of this Agreement:</w:t>
      </w:r>
    </w:p>
    <w:p>
      <w:pPr>
        <w:spacing w:after="0" w:line="165" w:lineRule="exact"/>
        <w:rPr>
          <w:rFonts w:ascii="Arial" w:cs="Arial" w:eastAsia="Arial" w:hAnsi="Arial"/>
          <w:sz w:val="20"/>
          <w:szCs w:val="20"/>
          <w:color w:val="auto"/>
        </w:rPr>
      </w:pPr>
    </w:p>
    <w:p>
      <w:pPr>
        <w:ind w:left="1720" w:right="260" w:hanging="854"/>
        <w:spacing w:after="0" w:line="272" w:lineRule="auto"/>
        <w:tabs>
          <w:tab w:leader="none" w:pos="1720" w:val="left"/>
        </w:tabs>
        <w:numPr>
          <w:ilvl w:val="1"/>
          <w:numId w:val="136"/>
        </w:numPr>
        <w:rPr>
          <w:rFonts w:ascii="Arial" w:cs="Arial" w:eastAsia="Arial" w:hAnsi="Arial"/>
          <w:sz w:val="19"/>
          <w:szCs w:val="19"/>
          <w:color w:val="auto"/>
        </w:rPr>
      </w:pPr>
      <w:r>
        <w:rPr>
          <w:rFonts w:ascii="Arial" w:cs="Arial" w:eastAsia="Arial" w:hAnsi="Arial"/>
          <w:sz w:val="19"/>
          <w:szCs w:val="19"/>
          <w:color w:val="auto"/>
        </w:rPr>
        <w:t>A material reduction in the nature or status of the Executive’s authorities, duties, and/or responsibilities (when such authorities, duties, and/or responsibilities are viewed in the aggregate) from their level in effect on the day immediately prior to the start of the Protected Period.</w:t>
      </w:r>
    </w:p>
    <w:p>
      <w:pPr>
        <w:spacing w:after="0" w:line="144" w:lineRule="exact"/>
        <w:rPr>
          <w:rFonts w:ascii="Arial" w:cs="Arial" w:eastAsia="Arial" w:hAnsi="Arial"/>
          <w:sz w:val="19"/>
          <w:szCs w:val="19"/>
          <w:color w:val="auto"/>
        </w:rPr>
      </w:pPr>
    </w:p>
    <w:p>
      <w:pPr>
        <w:ind w:left="1720" w:right="220" w:hanging="854"/>
        <w:spacing w:after="0" w:line="268" w:lineRule="auto"/>
        <w:tabs>
          <w:tab w:leader="none" w:pos="1720" w:val="left"/>
        </w:tabs>
        <w:numPr>
          <w:ilvl w:val="1"/>
          <w:numId w:val="136"/>
        </w:numPr>
        <w:rPr>
          <w:rFonts w:ascii="Arial" w:cs="Arial" w:eastAsia="Arial" w:hAnsi="Arial"/>
          <w:sz w:val="20"/>
          <w:szCs w:val="20"/>
          <w:color w:val="auto"/>
        </w:rPr>
      </w:pPr>
      <w:r>
        <w:rPr>
          <w:rFonts w:ascii="Arial" w:cs="Arial" w:eastAsia="Arial" w:hAnsi="Arial"/>
          <w:sz w:val="20"/>
          <w:szCs w:val="20"/>
          <w:color w:val="auto"/>
        </w:rPr>
        <w:t>A reduction by the Company of the Executive’s Base Salary as in effect on the day immediately prior to the start of the Protected Period.</w:t>
      </w:r>
    </w:p>
    <w:p>
      <w:pPr>
        <w:spacing w:after="0" w:line="145" w:lineRule="exact"/>
        <w:rPr>
          <w:rFonts w:ascii="Arial" w:cs="Arial" w:eastAsia="Arial" w:hAnsi="Arial"/>
          <w:sz w:val="20"/>
          <w:szCs w:val="20"/>
          <w:color w:val="auto"/>
        </w:rPr>
      </w:pPr>
    </w:p>
    <w:p>
      <w:pPr>
        <w:ind w:left="1720" w:hanging="854"/>
        <w:spacing w:after="0" w:line="248" w:lineRule="auto"/>
        <w:tabs>
          <w:tab w:leader="none" w:pos="1720" w:val="left"/>
        </w:tabs>
        <w:numPr>
          <w:ilvl w:val="1"/>
          <w:numId w:val="136"/>
        </w:numPr>
        <w:rPr>
          <w:rFonts w:ascii="Arial" w:cs="Arial" w:eastAsia="Arial" w:hAnsi="Arial"/>
          <w:sz w:val="20"/>
          <w:szCs w:val="20"/>
          <w:color w:val="auto"/>
        </w:rPr>
      </w:pPr>
      <w:r>
        <w:rPr>
          <w:rFonts w:ascii="Arial" w:cs="Arial" w:eastAsia="Arial" w:hAnsi="Arial"/>
          <w:sz w:val="20"/>
          <w:szCs w:val="20"/>
          <w:color w:val="auto"/>
        </w:rPr>
        <w:t>A material reduction by the Company of the Executive’s aggregate welfare benefits and/or the value of the incentive programs provided under the Company’s management incentive and/or other short and/or long-term incentive programs, as such benefits and opportunities exist on the day immediately prior to the start of the Protected Period.</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40005</wp:posOffset>
            </wp:positionV>
            <wp:extent cx="7182485" cy="412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0380"/>
          </w:cols>
          <w:pgMar w:left="1180" w:top="752" w:right="339" w:bottom="1440" w:gutter="0" w:footer="0" w:header="0"/>
        </w:sectPr>
      </w:pPr>
    </w:p>
    <w:bookmarkStart w:id="256" w:name="page257"/>
    <w:bookmarkEnd w:id="256"/>
    <w:p>
      <w:pPr>
        <w:ind w:left="1720" w:right="380" w:hanging="854"/>
        <w:spacing w:after="0" w:line="294" w:lineRule="auto"/>
        <w:tabs>
          <w:tab w:leader="none" w:pos="1720" w:val="left"/>
        </w:tabs>
        <w:numPr>
          <w:ilvl w:val="1"/>
          <w:numId w:val="137"/>
        </w:numPr>
        <w:rPr>
          <w:rFonts w:ascii="Arial" w:cs="Arial" w:eastAsia="Arial" w:hAnsi="Arial"/>
          <w:sz w:val="19"/>
          <w:szCs w:val="19"/>
          <w:color w:val="auto"/>
        </w:rPr>
      </w:pPr>
      <w:r>
        <w:rPr>
          <w:rFonts w:ascii="Arial" w:cs="Arial" w:eastAsia="Arial" w:hAnsi="Arial"/>
          <w:sz w:val="19"/>
          <w:szCs w:val="19"/>
          <w:color w:val="auto"/>
        </w:rPr>
        <w:t>The relocation of the Executive’s principal office by the Company more than fifty (50) miles from the location of the Executive’s principal office immediately prior to the start of the Protected Period.</w:t>
      </w:r>
    </w:p>
    <w:p>
      <w:pPr>
        <w:spacing w:after="0" w:line="123" w:lineRule="exact"/>
        <w:rPr>
          <w:rFonts w:ascii="Arial" w:cs="Arial" w:eastAsia="Arial" w:hAnsi="Arial"/>
          <w:sz w:val="19"/>
          <w:szCs w:val="19"/>
          <w:color w:val="auto"/>
        </w:rPr>
      </w:pPr>
    </w:p>
    <w:p>
      <w:pPr>
        <w:ind w:left="1720" w:hanging="854"/>
        <w:spacing w:after="0" w:line="268" w:lineRule="auto"/>
        <w:tabs>
          <w:tab w:leader="none" w:pos="1720" w:val="left"/>
        </w:tabs>
        <w:numPr>
          <w:ilvl w:val="1"/>
          <w:numId w:val="137"/>
        </w:numPr>
        <w:rPr>
          <w:rFonts w:ascii="Arial" w:cs="Arial" w:eastAsia="Arial" w:hAnsi="Arial"/>
          <w:sz w:val="20"/>
          <w:szCs w:val="20"/>
          <w:color w:val="auto"/>
        </w:rPr>
      </w:pPr>
      <w:r>
        <w:rPr>
          <w:rFonts w:ascii="Arial" w:cs="Arial" w:eastAsia="Arial" w:hAnsi="Arial"/>
          <w:sz w:val="20"/>
          <w:szCs w:val="20"/>
          <w:color w:val="auto"/>
        </w:rPr>
        <w:t>Any purported termination by the Company of the Executive’s employment that is not affected pursuant to a Notice of Termination satisfying the requirements of Section 3.4.</w:t>
      </w:r>
    </w:p>
    <w:p>
      <w:pPr>
        <w:spacing w:after="0" w:line="145" w:lineRule="exact"/>
        <w:rPr>
          <w:rFonts w:ascii="Arial" w:cs="Arial" w:eastAsia="Arial" w:hAnsi="Arial"/>
          <w:sz w:val="20"/>
          <w:szCs w:val="20"/>
          <w:color w:val="auto"/>
        </w:rPr>
      </w:pPr>
    </w:p>
    <w:p>
      <w:pPr>
        <w:ind w:left="1720" w:right="340" w:hanging="854"/>
        <w:spacing w:after="0" w:line="324" w:lineRule="auto"/>
        <w:tabs>
          <w:tab w:leader="none" w:pos="17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failure of the Company to obtain an agreement from any successor to the Company to assume and agree to perform the Company’s obligations under this Agreement, as contemplated by Article 8.</w:t>
      </w:r>
    </w:p>
    <w:p>
      <w:pPr>
        <w:spacing w:after="0" w:line="100" w:lineRule="exact"/>
        <w:rPr>
          <w:rFonts w:ascii="Arial" w:cs="Arial" w:eastAsia="Arial" w:hAnsi="Arial"/>
          <w:sz w:val="18"/>
          <w:szCs w:val="18"/>
          <w:color w:val="auto"/>
        </w:rPr>
      </w:pPr>
    </w:p>
    <w:p>
      <w:pPr>
        <w:ind w:left="860" w:right="180" w:hanging="856"/>
        <w:spacing w:after="0" w:line="294" w:lineRule="auto"/>
        <w:tabs>
          <w:tab w:leader="none" w:pos="86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“Person” shall have the meaning ascribed to such term in Section 3(a)(9) of the Exchange Act and used in Sections 13(d) and 14(d) thereof, including a group as contemplated by Sections 13(d)(3) and l4(d)(2) thereof</w:t>
      </w:r>
    </w:p>
    <w:p>
      <w:pPr>
        <w:spacing w:after="0" w:line="123" w:lineRule="exact"/>
        <w:rPr>
          <w:rFonts w:ascii="Arial" w:cs="Arial" w:eastAsia="Arial" w:hAnsi="Arial"/>
          <w:sz w:val="19"/>
          <w:szCs w:val="19"/>
          <w:color w:val="auto"/>
        </w:rPr>
      </w:pPr>
    </w:p>
    <w:p>
      <w:pPr>
        <w:ind w:left="860" w:right="600" w:hanging="856"/>
        <w:spacing w:after="0" w:line="268" w:lineRule="auto"/>
        <w:tabs>
          <w:tab w:leader="none" w:pos="86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“Potential Change in Control” shall be deemed to have occurred as of the first day that any one or more of the following conditions shall have been satisfied:</w:t>
      </w:r>
    </w:p>
    <w:p>
      <w:pPr>
        <w:spacing w:after="0" w:line="145" w:lineRule="exact"/>
        <w:rPr>
          <w:rFonts w:ascii="Arial" w:cs="Arial" w:eastAsia="Arial" w:hAnsi="Arial"/>
          <w:sz w:val="20"/>
          <w:szCs w:val="20"/>
          <w:color w:val="auto"/>
        </w:rPr>
      </w:pPr>
    </w:p>
    <w:p>
      <w:pPr>
        <w:ind w:left="1720" w:right="280" w:hanging="854"/>
        <w:spacing w:after="0" w:line="324" w:lineRule="auto"/>
        <w:tabs>
          <w:tab w:leader="none" w:pos="17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Any Person announces an intention to take an action that, if consummated, would result in a Change of Control and the Board expresses its good faith belief that such announced intention is serious.</w:t>
      </w:r>
    </w:p>
    <w:p>
      <w:pPr>
        <w:spacing w:after="0" w:line="100" w:lineRule="exact"/>
        <w:rPr>
          <w:rFonts w:ascii="Arial" w:cs="Arial" w:eastAsia="Arial" w:hAnsi="Arial"/>
          <w:sz w:val="18"/>
          <w:szCs w:val="18"/>
          <w:color w:val="auto"/>
        </w:rPr>
      </w:pPr>
    </w:p>
    <w:p>
      <w:pPr>
        <w:ind w:left="1720" w:right="40" w:hanging="854"/>
        <w:spacing w:after="0" w:line="268" w:lineRule="auto"/>
        <w:tabs>
          <w:tab w:leader="none" w:pos="1720" w:val="left"/>
        </w:tabs>
        <w:numPr>
          <w:ilvl w:val="1"/>
          <w:numId w:val="138"/>
        </w:numPr>
        <w:rPr>
          <w:rFonts w:ascii="Arial" w:cs="Arial" w:eastAsia="Arial" w:hAnsi="Arial"/>
          <w:sz w:val="20"/>
          <w:szCs w:val="20"/>
          <w:color w:val="auto"/>
        </w:rPr>
      </w:pPr>
      <w:r>
        <w:rPr>
          <w:rFonts w:ascii="Arial" w:cs="Arial" w:eastAsia="Arial" w:hAnsi="Arial"/>
          <w:sz w:val="20"/>
          <w:szCs w:val="20"/>
          <w:color w:val="auto"/>
        </w:rPr>
        <w:t>The Company or the trustees of the Company’s Employee Stock Ownership Plan enters into an agreement that, if consummated, would result in a Change in Control.</w:t>
      </w:r>
    </w:p>
    <w:p>
      <w:pPr>
        <w:spacing w:after="0" w:line="145" w:lineRule="exact"/>
        <w:rPr>
          <w:rFonts w:ascii="Arial" w:cs="Arial" w:eastAsia="Arial" w:hAnsi="Arial"/>
          <w:sz w:val="20"/>
          <w:szCs w:val="20"/>
          <w:color w:val="auto"/>
        </w:rPr>
      </w:pPr>
    </w:p>
    <w:p>
      <w:pPr>
        <w:ind w:left="1720" w:right="120" w:hanging="854"/>
        <w:spacing w:after="0" w:line="248" w:lineRule="auto"/>
        <w:tabs>
          <w:tab w:leader="none" w:pos="1720" w:val="left"/>
        </w:tabs>
        <w:numPr>
          <w:ilvl w:val="1"/>
          <w:numId w:val="138"/>
        </w:numPr>
        <w:rPr>
          <w:rFonts w:ascii="Arial" w:cs="Arial" w:eastAsia="Arial" w:hAnsi="Arial"/>
          <w:sz w:val="20"/>
          <w:szCs w:val="20"/>
          <w:color w:val="auto"/>
        </w:rPr>
      </w:pPr>
      <w:r>
        <w:rPr>
          <w:rFonts w:ascii="Arial" w:cs="Arial" w:eastAsia="Arial" w:hAnsi="Arial"/>
          <w:sz w:val="20"/>
          <w:szCs w:val="20"/>
          <w:color w:val="auto"/>
        </w:rPr>
        <w:t>Any Person (other than the Company or a trustee or other fiduciary holding securities under an employee benefit plan of the Company) becomes the Beneficial Owner, directly or indirectly, of securities of the Company representing ten percent (10%) or more of the combined voting power of the Company’s then outstanding securities.</w:t>
      </w:r>
    </w:p>
    <w:p>
      <w:pPr>
        <w:spacing w:after="0" w:line="165" w:lineRule="exact"/>
        <w:rPr>
          <w:rFonts w:ascii="Arial" w:cs="Arial" w:eastAsia="Arial" w:hAnsi="Arial"/>
          <w:sz w:val="20"/>
          <w:szCs w:val="20"/>
          <w:color w:val="auto"/>
        </w:rPr>
      </w:pPr>
    </w:p>
    <w:p>
      <w:pPr>
        <w:ind w:left="1720" w:hanging="854"/>
        <w:spacing w:after="0"/>
        <w:tabs>
          <w:tab w:leader="none" w:pos="1720" w:val="left"/>
        </w:tabs>
        <w:numPr>
          <w:ilvl w:val="1"/>
          <w:numId w:val="138"/>
        </w:numPr>
        <w:rPr>
          <w:rFonts w:ascii="Arial" w:cs="Arial" w:eastAsia="Arial" w:hAnsi="Arial"/>
          <w:sz w:val="19"/>
          <w:szCs w:val="19"/>
          <w:color w:val="auto"/>
        </w:rPr>
      </w:pPr>
      <w:r>
        <w:rPr>
          <w:rFonts w:ascii="Arial" w:cs="Arial" w:eastAsia="Arial" w:hAnsi="Arial"/>
          <w:sz w:val="19"/>
          <w:szCs w:val="19"/>
          <w:color w:val="auto"/>
        </w:rPr>
        <w:t>The Board declares that a Potential Change in Control has occurred for purposes of this Agreement.</w:t>
      </w:r>
    </w:p>
    <w:p>
      <w:pPr>
        <w:spacing w:after="0" w:line="212" w:lineRule="exact"/>
        <w:rPr>
          <w:rFonts w:ascii="Arial" w:cs="Arial" w:eastAsia="Arial" w:hAnsi="Arial"/>
          <w:sz w:val="19"/>
          <w:szCs w:val="19"/>
          <w:color w:val="auto"/>
        </w:rPr>
      </w:pPr>
    </w:p>
    <w:p>
      <w:pPr>
        <w:ind w:left="860" w:right="620" w:hanging="856"/>
        <w:spacing w:after="0" w:line="268" w:lineRule="auto"/>
        <w:tabs>
          <w:tab w:leader="none" w:pos="86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“Protected Period” means the period related to a Change in Control commencing on the date of the Change in Control and ending on the date that is eighteen (18) months after the Change in Control.</w:t>
      </w:r>
    </w:p>
    <w:p>
      <w:pPr>
        <w:spacing w:after="0" w:line="145" w:lineRule="exact"/>
        <w:rPr>
          <w:rFonts w:ascii="Arial" w:cs="Arial" w:eastAsia="Arial" w:hAnsi="Arial"/>
          <w:sz w:val="20"/>
          <w:szCs w:val="20"/>
          <w:color w:val="auto"/>
        </w:rPr>
      </w:pPr>
    </w:p>
    <w:p>
      <w:pPr>
        <w:ind w:left="860" w:right="280" w:hanging="856"/>
        <w:spacing w:after="0" w:line="253" w:lineRule="auto"/>
        <w:tabs>
          <w:tab w:leader="none" w:pos="86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“Qualifying Termination Event” means the occurrence, upon a Potential Change of Control, of any of one of the events described in sub-sections (i) and (ii) below, and, the occurrence of any one or more of the following events upon a Change in Control, or within the Protected Period following a Change in Control:</w:t>
      </w:r>
    </w:p>
    <w:p>
      <w:pPr>
        <w:spacing w:after="0" w:line="160" w:lineRule="exact"/>
        <w:rPr>
          <w:rFonts w:ascii="Arial" w:cs="Arial" w:eastAsia="Arial" w:hAnsi="Arial"/>
          <w:sz w:val="20"/>
          <w:szCs w:val="20"/>
          <w:color w:val="auto"/>
        </w:rPr>
      </w:pPr>
    </w:p>
    <w:p>
      <w:pPr>
        <w:ind w:left="1720" w:right="300" w:hanging="854"/>
        <w:spacing w:after="0" w:line="268" w:lineRule="auto"/>
        <w:tabs>
          <w:tab w:leader="none" w:pos="1720" w:val="left"/>
        </w:tabs>
        <w:numPr>
          <w:ilvl w:val="1"/>
          <w:numId w:val="138"/>
        </w:numPr>
        <w:rPr>
          <w:rFonts w:ascii="Arial" w:cs="Arial" w:eastAsia="Arial" w:hAnsi="Arial"/>
          <w:sz w:val="20"/>
          <w:szCs w:val="20"/>
          <w:color w:val="auto"/>
        </w:rPr>
      </w:pPr>
      <w:r>
        <w:rPr>
          <w:rFonts w:ascii="Arial" w:cs="Arial" w:eastAsia="Arial" w:hAnsi="Arial"/>
          <w:sz w:val="20"/>
          <w:szCs w:val="20"/>
          <w:color w:val="auto"/>
        </w:rPr>
        <w:t>A termination of the Executive’s employment at the initiation of the Company, without the Executive’s consent, for reasons other than Cause;</w:t>
      </w: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40005</wp:posOffset>
            </wp:positionV>
            <wp:extent cx="7182485" cy="4127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0380"/>
          </w:cols>
          <w:pgMar w:left="1180" w:top="752" w:right="339" w:bottom="1440" w:gutter="0" w:footer="0" w:header="0"/>
        </w:sectPr>
      </w:pPr>
    </w:p>
    <w:bookmarkStart w:id="257" w:name="page258"/>
    <w:bookmarkEnd w:id="257"/>
    <w:p>
      <w:pPr>
        <w:ind w:left="2580" w:hanging="854"/>
        <w:spacing w:after="0"/>
        <w:tabs>
          <w:tab w:leader="none" w:pos="258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A voluntary termination of employment by the Executive for Good Reason;</w:t>
      </w:r>
    </w:p>
    <w:p>
      <w:pPr>
        <w:spacing w:after="0" w:line="201" w:lineRule="exact"/>
        <w:rPr>
          <w:rFonts w:ascii="Arial" w:cs="Arial" w:eastAsia="Arial" w:hAnsi="Arial"/>
          <w:sz w:val="20"/>
          <w:szCs w:val="20"/>
          <w:color w:val="auto"/>
        </w:rPr>
      </w:pPr>
    </w:p>
    <w:p>
      <w:pPr>
        <w:ind w:left="2580" w:right="200" w:hanging="854"/>
        <w:spacing w:after="0" w:line="268" w:lineRule="auto"/>
        <w:tabs>
          <w:tab w:leader="none" w:pos="258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A successor company fails or refuses to assume by written instrument the Company’s obligations under this Agreement, as contemplated by Article 8;</w:t>
      </w:r>
    </w:p>
    <w:p>
      <w:pPr>
        <w:spacing w:after="0" w:line="145" w:lineRule="exact"/>
        <w:rPr>
          <w:rFonts w:ascii="Arial" w:cs="Arial" w:eastAsia="Arial" w:hAnsi="Arial"/>
          <w:sz w:val="20"/>
          <w:szCs w:val="20"/>
          <w:color w:val="auto"/>
        </w:rPr>
      </w:pPr>
    </w:p>
    <w:p>
      <w:pPr>
        <w:ind w:left="2580" w:hanging="854"/>
        <w:spacing w:after="0"/>
        <w:tabs>
          <w:tab w:leader="none" w:pos="25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Company or any successor company repudiates or breaches any of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ARTICLE II</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SERVICES DURING CERTAIN EVENTS</w:t>
      </w:r>
    </w:p>
    <w:p>
      <w:pPr>
        <w:spacing w:after="0" w:line="183" w:lineRule="exact"/>
        <w:rPr>
          <w:sz w:val="20"/>
          <w:szCs w:val="20"/>
          <w:color w:val="auto"/>
        </w:rPr>
      </w:pPr>
    </w:p>
    <w:p>
      <w:pPr>
        <w:ind w:right="20" w:firstLine="865"/>
        <w:spacing w:after="0" w:line="244" w:lineRule="auto"/>
        <w:rPr>
          <w:sz w:val="20"/>
          <w:szCs w:val="20"/>
          <w:color w:val="auto"/>
        </w:rPr>
      </w:pPr>
      <w:r>
        <w:rPr>
          <w:rFonts w:ascii="Arial" w:cs="Arial" w:eastAsia="Arial" w:hAnsi="Arial"/>
          <w:sz w:val="20"/>
          <w:szCs w:val="20"/>
          <w:color w:val="auto"/>
        </w:rPr>
        <w:t>If a Potential Change in Control occurs, the Executive agrees that he or she will not voluntarily leave the employ of the Company and will render services until (a) the Board declares, or otherwise indicates, that the circumstances giving rise to the Potential Change in Control will not result in an actual Change in Control, or (b) if a Change in Control occurs, until six (6) months after the Change in Control; provided, however, that, subject to any right that the Executive may have to benefits hereunder, the Company may terminate the Executive’s employment at any time for any reason, and the Executive may terminate his or her employment at any time for Good Reason.</w:t>
      </w:r>
    </w:p>
    <w:p>
      <w:pPr>
        <w:spacing w:after="0" w:line="200" w:lineRule="exact"/>
        <w:rPr>
          <w:sz w:val="20"/>
          <w:szCs w:val="20"/>
          <w:color w:val="auto"/>
        </w:rPr>
      </w:pPr>
    </w:p>
    <w:p>
      <w:pPr>
        <w:spacing w:after="0" w:line="369" w:lineRule="exact"/>
        <w:rPr>
          <w:sz w:val="20"/>
          <w:szCs w:val="20"/>
          <w:color w:val="auto"/>
        </w:rPr>
      </w:pPr>
    </w:p>
    <w:tbl>
      <w:tblPr>
        <w:tblLayout w:type="fixed"/>
        <w:tblInd w:w="174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7800" w:type="dxa"/>
            <w:vAlign w:val="bottom"/>
          </w:tcPr>
          <w:p>
            <w:pPr>
              <w:jc w:val="center"/>
              <w:ind w:right="2259"/>
              <w:spacing w:after="0"/>
              <w:rPr>
                <w:sz w:val="20"/>
                <w:szCs w:val="20"/>
                <w:color w:val="auto"/>
              </w:rPr>
            </w:pPr>
            <w:r>
              <w:rPr>
                <w:rFonts w:ascii="Arial" w:cs="Arial" w:eastAsia="Arial" w:hAnsi="Arial"/>
                <w:sz w:val="20"/>
                <w:szCs w:val="20"/>
                <w:b w:val="1"/>
                <w:bCs w:val="1"/>
                <w:color w:val="auto"/>
              </w:rPr>
              <w:t>ARTICLE III</w:t>
            </w:r>
          </w:p>
        </w:tc>
      </w:tr>
      <w:tr>
        <w:trPr>
          <w:trHeight w:val="263"/>
        </w:trPr>
        <w:tc>
          <w:tcPr>
            <w:tcW w:w="1160" w:type="dxa"/>
            <w:vAlign w:val="bottom"/>
          </w:tcPr>
          <w:p>
            <w:pPr>
              <w:spacing w:after="0"/>
              <w:rPr>
                <w:sz w:val="22"/>
                <w:szCs w:val="22"/>
                <w:color w:val="auto"/>
              </w:rPr>
            </w:pPr>
          </w:p>
        </w:tc>
        <w:tc>
          <w:tcPr>
            <w:tcW w:w="7800" w:type="dxa"/>
            <w:vAlign w:val="bottom"/>
          </w:tcPr>
          <w:p>
            <w:pPr>
              <w:jc w:val="center"/>
              <w:ind w:right="2239"/>
              <w:spacing w:after="0"/>
              <w:rPr>
                <w:sz w:val="20"/>
                <w:szCs w:val="20"/>
                <w:color w:val="auto"/>
              </w:rPr>
            </w:pPr>
            <w:r>
              <w:rPr>
                <w:rFonts w:ascii="Arial" w:cs="Arial" w:eastAsia="Arial" w:hAnsi="Arial"/>
                <w:sz w:val="20"/>
                <w:szCs w:val="20"/>
                <w:b w:val="1"/>
                <w:bCs w:val="1"/>
                <w:color w:val="auto"/>
              </w:rPr>
              <w:t>SEVERANCE BENEFITS</w:t>
            </w:r>
          </w:p>
        </w:tc>
      </w:tr>
      <w:tr>
        <w:trPr>
          <w:trHeight w:val="419"/>
        </w:trPr>
        <w:tc>
          <w:tcPr>
            <w:tcW w:w="1160" w:type="dxa"/>
            <w:vAlign w:val="bottom"/>
          </w:tcPr>
          <w:p>
            <w:pPr>
              <w:jc w:val="right"/>
              <w:ind w:right="819"/>
              <w:spacing w:after="0"/>
              <w:rPr>
                <w:sz w:val="20"/>
                <w:szCs w:val="20"/>
                <w:color w:val="auto"/>
              </w:rPr>
            </w:pPr>
            <w:r>
              <w:rPr>
                <w:rFonts w:ascii="Arial" w:cs="Arial" w:eastAsia="Arial" w:hAnsi="Arial"/>
                <w:sz w:val="20"/>
                <w:szCs w:val="20"/>
                <w:b w:val="1"/>
                <w:bCs w:val="1"/>
                <w:color w:val="auto"/>
                <w:w w:val="78"/>
              </w:rPr>
              <w:t>3.1</w:t>
            </w:r>
          </w:p>
        </w:tc>
        <w:tc>
          <w:tcPr>
            <w:tcW w:w="7800" w:type="dxa"/>
            <w:vAlign w:val="bottom"/>
          </w:tcPr>
          <w:p>
            <w:pPr>
              <w:ind w:left="900"/>
              <w:spacing w:after="0"/>
              <w:rPr>
                <w:sz w:val="20"/>
                <w:szCs w:val="20"/>
                <w:color w:val="auto"/>
              </w:rPr>
            </w:pPr>
            <w:r>
              <w:rPr>
                <w:rFonts w:ascii="Arial" w:cs="Arial" w:eastAsia="Arial" w:hAnsi="Arial"/>
                <w:sz w:val="20"/>
                <w:szCs w:val="20"/>
                <w:b w:val="1"/>
                <w:bCs w:val="1"/>
                <w:color w:val="auto"/>
                <w:w w:val="91"/>
              </w:rPr>
              <w:t>Right to Severance Benefits</w:t>
            </w:r>
            <w:r>
              <w:rPr>
                <w:rFonts w:ascii="Arial" w:cs="Arial" w:eastAsia="Arial" w:hAnsi="Arial"/>
                <w:sz w:val="20"/>
                <w:szCs w:val="20"/>
                <w:color w:val="auto"/>
                <w:w w:val="91"/>
              </w:rPr>
              <w:t>. The Executive shall be entitled to receive the benefits</w:t>
            </w:r>
          </w:p>
        </w:tc>
      </w:tr>
    </w:tbl>
    <w:p>
      <w:pPr>
        <w:spacing w:after="0" w:line="239" w:lineRule="auto"/>
        <w:rPr>
          <w:sz w:val="20"/>
          <w:szCs w:val="20"/>
          <w:color w:val="auto"/>
        </w:rPr>
      </w:pPr>
      <w:r>
        <w:rPr>
          <w:rFonts w:ascii="Arial" w:cs="Arial" w:eastAsia="Arial" w:hAnsi="Arial"/>
          <w:sz w:val="20"/>
          <w:szCs w:val="20"/>
          <w:color w:val="auto"/>
        </w:rPr>
        <w:t xml:space="preserve">described in Section 3.2 if the Executive incurs a Qualifying Termination Event, provided that the Executive must (a) furnish the Company with written notice of Executive’s exercise of the right to receive such benefits within thirty (30) days of the occurrence of a Qualifying Termination Event and (b) execute and deliver to the Company the Severance Agreement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within fifty (50) days of the Qualifying Termination Event and not revoke it pursuant to any revocation rights afforded by law. If the Executive does not timely execute and deliver to the Company the Severance Agreement, or if the Executive has executed the Severance Agreement but revokes it, no severance benefits shall be paid. If more than one Qualifying Termination Event occurs, such events shall constitute a single Qualifying Termination Event and Executive shall be entitled to receive the benefits provided under Section 3.2 (a) through (d) only once.</w:t>
      </w:r>
    </w:p>
    <w:p>
      <w:pPr>
        <w:spacing w:after="0" w:line="174" w:lineRule="exact"/>
        <w:rPr>
          <w:sz w:val="20"/>
          <w:szCs w:val="20"/>
          <w:color w:val="auto"/>
        </w:rPr>
      </w:pPr>
    </w:p>
    <w:p>
      <w:pPr>
        <w:jc w:val="both"/>
        <w:ind w:right="100" w:firstLine="1729"/>
        <w:spacing w:after="0" w:line="249" w:lineRule="auto"/>
        <w:rPr>
          <w:sz w:val="20"/>
          <w:szCs w:val="20"/>
          <w:color w:val="auto"/>
        </w:rPr>
      </w:pPr>
      <w:r>
        <w:rPr>
          <w:rFonts w:ascii="Arial" w:cs="Arial" w:eastAsia="Arial" w:hAnsi="Arial"/>
          <w:sz w:val="20"/>
          <w:szCs w:val="20"/>
          <w:b w:val="1"/>
          <w:bCs w:val="1"/>
          <w:color w:val="auto"/>
        </w:rPr>
        <w:t>3.2 Severance Benefits</w:t>
      </w:r>
      <w:r>
        <w:rPr>
          <w:rFonts w:ascii="Arial" w:cs="Arial" w:eastAsia="Arial" w:hAnsi="Arial"/>
          <w:sz w:val="20"/>
          <w:szCs w:val="20"/>
          <w:color w:val="auto"/>
        </w:rPr>
        <w:t>. If a Qualifying Termination Event occurs and the Executive satisfies</w:t>
      </w:r>
      <w:r>
        <w:rPr>
          <w:rFonts w:ascii="Arial" w:cs="Arial" w:eastAsia="Arial" w:hAnsi="Arial"/>
          <w:sz w:val="20"/>
          <w:szCs w:val="20"/>
          <w:b w:val="1"/>
          <w:bCs w:val="1"/>
          <w:color w:val="auto"/>
        </w:rPr>
        <w:t xml:space="preserve"> </w:t>
      </w:r>
      <w:r>
        <w:rPr>
          <w:rFonts w:ascii="Arial" w:cs="Arial" w:eastAsia="Arial" w:hAnsi="Arial"/>
          <w:sz w:val="20"/>
          <w:szCs w:val="20"/>
          <w:color w:val="auto"/>
        </w:rPr>
        <w:t>the conditions set forth in Section 3.1 above, the Company will pay the Executive as soon as practicable following his or her satisfaction of such conditions, but in no event more than 2½ months following the Qualifying Termination Event, a non-discounted cash lump sum amount equal to the sum of the following:</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0">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00"/>
          </w:cols>
          <w:pgMar w:left="320" w:top="752" w:right="379" w:bottom="1440" w:gutter="0" w:footer="0" w:header="0"/>
        </w:sectPr>
      </w:pPr>
    </w:p>
    <w:bookmarkStart w:id="258" w:name="page259"/>
    <w:bookmarkEnd w:id="258"/>
    <w:p>
      <w:pPr>
        <w:ind w:left="1720" w:right="860" w:hanging="856"/>
        <w:spacing w:after="0" w:line="268" w:lineRule="auto"/>
        <w:tabs>
          <w:tab w:leader="none" w:pos="172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the Executive’s accrued and unpaid Base Salary and accrued vacation pay through the date of Executive’s termination, pursuant to a Qualifying Termination Event;</w:t>
      </w:r>
    </w:p>
    <w:p>
      <w:pPr>
        <w:spacing w:after="0" w:line="145" w:lineRule="exact"/>
        <w:rPr>
          <w:rFonts w:ascii="Arial" w:cs="Arial" w:eastAsia="Arial" w:hAnsi="Arial"/>
          <w:sz w:val="20"/>
          <w:szCs w:val="20"/>
          <w:color w:val="auto"/>
        </w:rPr>
      </w:pPr>
    </w:p>
    <w:p>
      <w:pPr>
        <w:jc w:val="both"/>
        <w:ind w:left="1720" w:right="80" w:hanging="856"/>
        <w:spacing w:after="0" w:line="245" w:lineRule="auto"/>
        <w:tabs>
          <w:tab w:leader="none" w:pos="172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a pro-rata portion (based on the number of days that elapsed in the calendar year before the Qualifying Termination Event occurred) of the greater of (i) the Executive’s target annual bonus for the year of the Qualifying Termination Event or (ii) the Executive’s annual bonus that would have been paid (as determined by the Board in its discretion) assuming the year ended on the date of the Qualifying Termination Event and based on actual performance through that date;</w:t>
      </w:r>
    </w:p>
    <w:p>
      <w:pPr>
        <w:spacing w:after="0" w:line="169" w:lineRule="exact"/>
        <w:rPr>
          <w:rFonts w:ascii="Arial" w:cs="Arial" w:eastAsia="Arial" w:hAnsi="Arial"/>
          <w:sz w:val="20"/>
          <w:szCs w:val="20"/>
          <w:color w:val="auto"/>
        </w:rPr>
      </w:pPr>
    </w:p>
    <w:p>
      <w:pPr>
        <w:ind w:left="1720" w:right="660" w:hanging="856"/>
        <w:spacing w:after="0" w:line="268" w:lineRule="auto"/>
        <w:tabs>
          <w:tab w:leader="none" w:pos="172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 xml:space="preserve">an amount equal to the highest rate of the Executive’s annualized Base Salary in effect at any time up to and including the Qualifying Termination Event multiplied by </w:t>
      </w:r>
      <w:r>
        <w:rPr>
          <w:rFonts w:ascii="Arial" w:cs="Arial" w:eastAsia="Arial" w:hAnsi="Arial"/>
          <w:sz w:val="20"/>
          <w:szCs w:val="20"/>
          <w:u w:val="single" w:color="auto"/>
          <w:color w:val="auto"/>
        </w:rPr>
        <w:t>two (2)</w:t>
      </w:r>
      <w:r>
        <w:rPr>
          <w:rFonts w:ascii="Arial" w:cs="Arial" w:eastAsia="Arial" w:hAnsi="Arial"/>
          <w:sz w:val="20"/>
          <w:szCs w:val="20"/>
          <w:color w:val="auto"/>
        </w:rPr>
        <w:t>; and</w:t>
      </w:r>
    </w:p>
    <w:p>
      <w:pPr>
        <w:spacing w:after="0" w:line="145" w:lineRule="exact"/>
        <w:rPr>
          <w:rFonts w:ascii="Arial" w:cs="Arial" w:eastAsia="Arial" w:hAnsi="Arial"/>
          <w:sz w:val="20"/>
          <w:szCs w:val="20"/>
          <w:color w:val="auto"/>
        </w:rPr>
      </w:pPr>
    </w:p>
    <w:p>
      <w:pPr>
        <w:ind w:left="1720" w:hanging="856"/>
        <w:spacing w:after="0" w:line="253" w:lineRule="auto"/>
        <w:tabs>
          <w:tab w:leader="none" w:pos="172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 xml:space="preserve">an amount equal to the greater of (i) the Executive’s target annual bonus for the year of the Qualifying Termination Event or (ii) the average of the annual bonuses actually paid to the Executive for the two years preceding the year of the Qualifying Termination Event, multiplied by </w:t>
      </w:r>
      <w:r>
        <w:rPr>
          <w:rFonts w:ascii="Arial" w:cs="Arial" w:eastAsia="Arial" w:hAnsi="Arial"/>
          <w:sz w:val="20"/>
          <w:szCs w:val="20"/>
          <w:u w:val="single" w:color="auto"/>
          <w:color w:val="auto"/>
        </w:rPr>
        <w:t>two (2).</w:t>
      </w:r>
    </w:p>
    <w:p>
      <w:pPr>
        <w:spacing w:after="0" w:line="160" w:lineRule="exact"/>
        <w:rPr>
          <w:sz w:val="20"/>
          <w:szCs w:val="20"/>
          <w:color w:val="auto"/>
        </w:rPr>
      </w:pPr>
    </w:p>
    <w:p>
      <w:pPr>
        <w:ind w:right="40" w:firstLine="865"/>
        <w:spacing w:after="0" w:line="253" w:lineRule="auto"/>
        <w:rPr>
          <w:sz w:val="20"/>
          <w:szCs w:val="20"/>
          <w:color w:val="auto"/>
        </w:rPr>
      </w:pPr>
      <w:r>
        <w:rPr>
          <w:rFonts w:ascii="Arial" w:cs="Arial" w:eastAsia="Arial" w:hAnsi="Arial"/>
          <w:sz w:val="19"/>
          <w:szCs w:val="19"/>
          <w:color w:val="auto"/>
        </w:rPr>
        <w:t xml:space="preserve">In addition to the foregoing, if Executive satisfies the conditions set forth in Section 3.1 above, the Company will pay the Executive as soon as practicable following his or her satisfaction of such conditions, but in no event more that 2½ months following the Qualifying Termination Event, a non-discounted cash lump sum amount equal to the sum of the following: (i) the Company’s estimate of the costs for the Executive’s medical insurance coverage at the level and a cost to the Executive comparable to that provided to the Executive immediately prior to the Qualifying Termination Event for a period of </w:t>
      </w:r>
      <w:r>
        <w:rPr>
          <w:rFonts w:ascii="Arial" w:cs="Arial" w:eastAsia="Arial" w:hAnsi="Arial"/>
          <w:sz w:val="19"/>
          <w:szCs w:val="19"/>
          <w:u w:val="single" w:color="auto"/>
          <w:color w:val="auto"/>
        </w:rPr>
        <w:t>two (2) years</w:t>
      </w:r>
      <w:r>
        <w:rPr>
          <w:rFonts w:ascii="Arial" w:cs="Arial" w:eastAsia="Arial" w:hAnsi="Arial"/>
          <w:sz w:val="19"/>
          <w:szCs w:val="19"/>
          <w:color w:val="auto"/>
        </w:rPr>
        <w:t xml:space="preserve"> following such Qualifying Termination Event (which, in the Company’s discretion, may be based on the applicable COBRA rates); (ii) the Company’s estimate of the costs for the continuation of that level of the Executive’s executive life insurance coverage that is in effect immediately prior to the Qualifying Termination Event for a period of </w:t>
      </w:r>
      <w:r>
        <w:rPr>
          <w:rFonts w:ascii="Arial" w:cs="Arial" w:eastAsia="Arial" w:hAnsi="Arial"/>
          <w:sz w:val="19"/>
          <w:szCs w:val="19"/>
          <w:u w:val="single" w:color="auto"/>
          <w:color w:val="auto"/>
        </w:rPr>
        <w:t>two (2) years</w:t>
      </w:r>
      <w:r>
        <w:rPr>
          <w:rFonts w:ascii="Arial" w:cs="Arial" w:eastAsia="Arial" w:hAnsi="Arial"/>
          <w:sz w:val="19"/>
          <w:szCs w:val="19"/>
          <w:color w:val="auto"/>
        </w:rPr>
        <w:t xml:space="preserve"> following such Qualifying Termination Event, or, if shorter, the period ending on the last day of the level premium rate guarantee period established by the applicable insurer for such coverage; and (iii) the Company’s estimate of the costs for the continuation of the Executive’s executive supplemental disability coverage under the Company’s supplemental disability insurance plan in effect immediately prior to the Qualifying Termination Event for a period of </w:t>
      </w:r>
      <w:r>
        <w:rPr>
          <w:rFonts w:ascii="Arial" w:cs="Arial" w:eastAsia="Arial" w:hAnsi="Arial"/>
          <w:sz w:val="19"/>
          <w:szCs w:val="19"/>
          <w:u w:val="single" w:color="auto"/>
          <w:color w:val="auto"/>
        </w:rPr>
        <w:t>two (2) years</w:t>
      </w:r>
      <w:r>
        <w:rPr>
          <w:rFonts w:ascii="Arial" w:cs="Arial" w:eastAsia="Arial" w:hAnsi="Arial"/>
          <w:sz w:val="19"/>
          <w:szCs w:val="19"/>
          <w:color w:val="auto"/>
        </w:rPr>
        <w:t xml:space="preserve"> following such Qualifying Termination Event (or the date the Executive attains age 65, if earlier), but the cash payment in this clause (iii) will only be paid if the terms of the applicable insurance policy under such disability insurance plan provide that the coverage may be continued following the Qualifying Termination Event and such costs to be estimated using the extent of the coverage allowed under the terms of such policy at a cost to the Company that is no greater than the cost borne by the Company immediately prior to the Qualifying Termination Event.</w:t>
      </w:r>
    </w:p>
    <w:p>
      <w:pPr>
        <w:spacing w:after="0" w:line="169" w:lineRule="exact"/>
        <w:rPr>
          <w:sz w:val="20"/>
          <w:szCs w:val="20"/>
          <w:color w:val="auto"/>
        </w:rPr>
      </w:pPr>
    </w:p>
    <w:p>
      <w:pPr>
        <w:ind w:right="600" w:firstLine="865"/>
        <w:spacing w:after="0" w:line="268" w:lineRule="auto"/>
        <w:rPr>
          <w:sz w:val="20"/>
          <w:szCs w:val="20"/>
          <w:color w:val="auto"/>
        </w:rPr>
      </w:pPr>
      <w:r>
        <w:rPr>
          <w:rFonts w:ascii="Arial" w:cs="Arial" w:eastAsia="Arial" w:hAnsi="Arial"/>
          <w:sz w:val="20"/>
          <w:szCs w:val="20"/>
          <w:color w:val="auto"/>
        </w:rPr>
        <w:t>If the 2½ month period following the Qualifying Termination Event for making the foregoing cash payments spans two calendar years, payment will in all cases be made in the second (later) calendar year.</w:t>
      </w:r>
    </w:p>
    <w:p>
      <w:pPr>
        <w:spacing w:after="0" w:line="12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1">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160"/>
          </w:cols>
          <w:pgMar w:left="320" w:top="752" w:right="419" w:bottom="1440" w:gutter="0" w:footer="0" w:header="0"/>
        </w:sectPr>
      </w:pPr>
    </w:p>
    <w:bookmarkStart w:id="259" w:name="page260"/>
    <w:bookmarkEnd w:id="259"/>
    <w:p>
      <w:pPr>
        <w:ind w:firstLine="865"/>
        <w:spacing w:after="0" w:line="261" w:lineRule="auto"/>
        <w:rPr>
          <w:sz w:val="20"/>
          <w:szCs w:val="20"/>
          <w:color w:val="auto"/>
        </w:rPr>
      </w:pPr>
      <w:r>
        <w:rPr>
          <w:rFonts w:ascii="Arial" w:cs="Arial" w:eastAsia="Arial" w:hAnsi="Arial"/>
          <w:sz w:val="19"/>
          <w:szCs w:val="19"/>
          <w:color w:val="auto"/>
        </w:rPr>
        <w:t>Notwithstanding any provision of this Agreement to the contrary, to the extent that the Company determines that a delay in payment or benefits is required to avoid subjecting the Executive to taxes under Code Section 409A (“Section 409A”), the Executive shall not be entitled to receive any payments of, or benefits that constitute, deferred compensation (as defined in Section 409A) until the earlier of (i) the date which is six (6) months after his or her termination of employment or (ii) the date of his or her death (the “Section 409A Period”), at which time the Company shall pay all delayed payments to the Executive in a lump sum without interest.</w:t>
      </w:r>
    </w:p>
    <w:p>
      <w:pPr>
        <w:spacing w:after="0" w:line="152" w:lineRule="exact"/>
        <w:rPr>
          <w:sz w:val="20"/>
          <w:szCs w:val="20"/>
          <w:color w:val="auto"/>
        </w:rPr>
      </w:pPr>
    </w:p>
    <w:p>
      <w:pPr>
        <w:ind w:right="20" w:firstLine="1729"/>
        <w:spacing w:after="0" w:line="272" w:lineRule="auto"/>
        <w:rPr>
          <w:sz w:val="20"/>
          <w:szCs w:val="20"/>
          <w:color w:val="auto"/>
        </w:rPr>
      </w:pPr>
      <w:r>
        <w:rPr>
          <w:rFonts w:ascii="Arial" w:cs="Arial" w:eastAsia="Arial" w:hAnsi="Arial"/>
          <w:sz w:val="20"/>
          <w:szCs w:val="20"/>
          <w:b w:val="1"/>
          <w:bCs w:val="1"/>
          <w:color w:val="auto"/>
        </w:rPr>
        <w:t>3.3 Termination for Other Reasons</w:t>
      </w:r>
      <w:r>
        <w:rPr>
          <w:rFonts w:ascii="Arial" w:cs="Arial" w:eastAsia="Arial" w:hAnsi="Arial"/>
          <w:sz w:val="20"/>
          <w:szCs w:val="20"/>
          <w:color w:val="auto"/>
        </w:rPr>
        <w:t>. Except as expressly provided below, the Company shall</w:t>
      </w:r>
      <w:r>
        <w:rPr>
          <w:rFonts w:ascii="Arial" w:cs="Arial" w:eastAsia="Arial" w:hAnsi="Arial"/>
          <w:sz w:val="20"/>
          <w:szCs w:val="20"/>
          <w:b w:val="1"/>
          <w:bCs w:val="1"/>
          <w:color w:val="auto"/>
        </w:rPr>
        <w:t xml:space="preserve"> </w:t>
      </w:r>
      <w:r>
        <w:rPr>
          <w:rFonts w:ascii="Arial" w:cs="Arial" w:eastAsia="Arial" w:hAnsi="Arial"/>
          <w:sz w:val="20"/>
          <w:szCs w:val="20"/>
          <w:color w:val="auto"/>
        </w:rPr>
        <w:t>have no obligations (or no further obligations, as the case may be) to the Executive under this Agreement if:</w:t>
      </w:r>
    </w:p>
    <w:p>
      <w:pPr>
        <w:spacing w:after="0" w:line="142" w:lineRule="exact"/>
        <w:rPr>
          <w:sz w:val="20"/>
          <w:szCs w:val="20"/>
          <w:color w:val="auto"/>
        </w:rPr>
      </w:pPr>
    </w:p>
    <w:p>
      <w:pPr>
        <w:ind w:left="1720" w:hanging="856"/>
        <w:spacing w:after="0"/>
        <w:tabs>
          <w:tab w:leader="none" w:pos="172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Executive’s employment is terminated by the Company for Cause;</w:t>
      </w:r>
    </w:p>
    <w:p>
      <w:pPr>
        <w:spacing w:after="0" w:line="201" w:lineRule="exact"/>
        <w:rPr>
          <w:rFonts w:ascii="Arial" w:cs="Arial" w:eastAsia="Arial" w:hAnsi="Arial"/>
          <w:sz w:val="20"/>
          <w:szCs w:val="20"/>
          <w:color w:val="auto"/>
        </w:rPr>
      </w:pPr>
    </w:p>
    <w:p>
      <w:pPr>
        <w:ind w:left="1720" w:right="520" w:hanging="856"/>
        <w:spacing w:after="0" w:line="268" w:lineRule="auto"/>
        <w:tabs>
          <w:tab w:leader="none" w:pos="172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Executive terminates his or her employment with the Company other than for Good Reason during a Protected Period;</w:t>
      </w:r>
    </w:p>
    <w:p>
      <w:pPr>
        <w:spacing w:after="0" w:line="145" w:lineRule="exact"/>
        <w:rPr>
          <w:rFonts w:ascii="Arial" w:cs="Arial" w:eastAsia="Arial" w:hAnsi="Arial"/>
          <w:sz w:val="20"/>
          <w:szCs w:val="20"/>
          <w:color w:val="auto"/>
        </w:rPr>
      </w:pPr>
    </w:p>
    <w:p>
      <w:pPr>
        <w:ind w:left="1720" w:hanging="856"/>
        <w:spacing w:after="0"/>
        <w:tabs>
          <w:tab w:leader="none" w:pos="172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Executive’s employment by the Company terminates due to the Executive’s Disability, retirement or death; or</w:t>
      </w:r>
    </w:p>
    <w:p>
      <w:pPr>
        <w:spacing w:after="0" w:line="212" w:lineRule="exact"/>
        <w:rPr>
          <w:rFonts w:ascii="Arial" w:cs="Arial" w:eastAsia="Arial" w:hAnsi="Arial"/>
          <w:sz w:val="19"/>
          <w:szCs w:val="19"/>
          <w:color w:val="auto"/>
        </w:rPr>
      </w:pPr>
    </w:p>
    <w:p>
      <w:pPr>
        <w:ind w:left="1720" w:right="360" w:hanging="856"/>
        <w:spacing w:after="0" w:line="268" w:lineRule="auto"/>
        <w:tabs>
          <w:tab w:leader="none" w:pos="172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Executive’s employment by the Company is terminated by the Company or the Executive for any reason, if such termination does not occur during a Protected Period.</w:t>
      </w:r>
    </w:p>
    <w:p>
      <w:pPr>
        <w:spacing w:after="0" w:line="145" w:lineRule="exact"/>
        <w:rPr>
          <w:rFonts w:ascii="Arial" w:cs="Arial" w:eastAsia="Arial" w:hAnsi="Arial"/>
          <w:sz w:val="20"/>
          <w:szCs w:val="20"/>
          <w:color w:val="auto"/>
        </w:rPr>
      </w:pPr>
    </w:p>
    <w:p>
      <w:pPr>
        <w:ind w:left="1720" w:right="220" w:hanging="856"/>
        <w:spacing w:after="0" w:line="253" w:lineRule="auto"/>
        <w:tabs>
          <w:tab w:leader="none" w:pos="172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Prior to a Potential Change in Control, Executive ceases to perform services on a full-time basis in either the same position Executive was serving on the Effective Date or a more senior position and as a result the term of this Agreement terminates pursuant to Article VI.</w:t>
      </w:r>
    </w:p>
    <w:p>
      <w:pPr>
        <w:spacing w:after="0" w:line="160" w:lineRule="exact"/>
        <w:rPr>
          <w:sz w:val="20"/>
          <w:szCs w:val="20"/>
          <w:color w:val="auto"/>
        </w:rPr>
      </w:pPr>
    </w:p>
    <w:p>
      <w:pPr>
        <w:jc w:val="both"/>
        <w:ind w:right="100" w:firstLine="865"/>
        <w:spacing w:after="0" w:line="272" w:lineRule="auto"/>
        <w:rPr>
          <w:sz w:val="20"/>
          <w:szCs w:val="20"/>
          <w:color w:val="auto"/>
        </w:rPr>
      </w:pPr>
      <w:r>
        <w:rPr>
          <w:rFonts w:ascii="Arial" w:cs="Arial" w:eastAsia="Arial" w:hAnsi="Arial"/>
          <w:sz w:val="19"/>
          <w:szCs w:val="19"/>
          <w:color w:val="auto"/>
        </w:rPr>
        <w:t>If, during a Protected Period and immediately prior to the Executive’s Disability or retirement, the Executive would have been entitled to terminate employment with the Company for Good Reason, then upon termination of his or her employment for Disability or retirement he shall be deemed to have terminated for Good Reason for purposes of this Agreement.</w:t>
      </w:r>
    </w:p>
    <w:p>
      <w:pPr>
        <w:spacing w:after="0" w:line="145" w:lineRule="exact"/>
        <w:rPr>
          <w:sz w:val="20"/>
          <w:szCs w:val="20"/>
          <w:color w:val="auto"/>
        </w:rPr>
      </w:pPr>
    </w:p>
    <w:p>
      <w:pPr>
        <w:ind w:right="340" w:firstLine="865"/>
        <w:spacing w:after="0" w:line="259" w:lineRule="auto"/>
        <w:rPr>
          <w:sz w:val="20"/>
          <w:szCs w:val="20"/>
          <w:color w:val="auto"/>
        </w:rPr>
      </w:pPr>
      <w:r>
        <w:rPr>
          <w:rFonts w:ascii="Arial" w:cs="Arial" w:eastAsia="Arial" w:hAnsi="Arial"/>
          <w:sz w:val="19"/>
          <w:szCs w:val="19"/>
          <w:color w:val="auto"/>
        </w:rPr>
        <w:t>Notwithstanding anything else contained herein to the contrary, the Executive’s termination of employment on account of reaching the normal retirement age, as such age may be defined from time to time in policies adopted by the Company prior to the commencement of the Protected Period, to the extent such policies are applicable to the Executive immediately prior to the commencement of the Protected Period and to the extent such policies are consistent with applicable law, shall not be a Qualifying Termination Event unless the Executive was otherwise able to terminate employment for Good Reason immediately prior to his or her retirement and his or her retirement occurred during a Protected Period.</w:t>
      </w:r>
    </w:p>
    <w:p>
      <w:pPr>
        <w:spacing w:after="0" w:line="153" w:lineRule="exact"/>
        <w:rPr>
          <w:sz w:val="20"/>
          <w:szCs w:val="20"/>
          <w:color w:val="auto"/>
        </w:rPr>
      </w:pPr>
    </w:p>
    <w:p>
      <w:pPr>
        <w:jc w:val="both"/>
        <w:ind w:right="60" w:firstLine="1729"/>
        <w:spacing w:after="0" w:line="255" w:lineRule="auto"/>
        <w:rPr>
          <w:sz w:val="20"/>
          <w:szCs w:val="20"/>
          <w:color w:val="auto"/>
        </w:rPr>
      </w:pPr>
      <w:r>
        <w:rPr>
          <w:rFonts w:ascii="Arial" w:cs="Arial" w:eastAsia="Arial" w:hAnsi="Arial"/>
          <w:sz w:val="20"/>
          <w:szCs w:val="20"/>
          <w:b w:val="1"/>
          <w:bCs w:val="1"/>
          <w:color w:val="auto"/>
        </w:rPr>
        <w:t>3.4 Notice of Termination</w:t>
      </w:r>
      <w:r>
        <w:rPr>
          <w:rFonts w:ascii="Arial" w:cs="Arial" w:eastAsia="Arial" w:hAnsi="Arial"/>
          <w:sz w:val="20"/>
          <w:szCs w:val="20"/>
          <w:color w:val="auto"/>
        </w:rPr>
        <w:t>. Any termination of the Executive’s employment by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for Cause or by the Executive for Good Reason shall be communicated by Notice of Termination to the other party. For purposes of this Agreement, a “Notice of Termination” shall mean a written notice which shall indicate the specific termination provision</w:t>
      </w:r>
    </w:p>
    <w:p>
      <w:pPr>
        <w:spacing w:after="0" w:line="133"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20"/>
          </w:cols>
          <w:pgMar w:left="320" w:top="752" w:right="359" w:bottom="1440" w:gutter="0" w:footer="0" w:header="0"/>
        </w:sectPr>
      </w:pPr>
    </w:p>
    <w:bookmarkStart w:id="260" w:name="page261"/>
    <w:bookmarkEnd w:id="260"/>
    <w:p>
      <w:pPr>
        <w:ind w:right="380"/>
        <w:spacing w:after="0" w:line="253" w:lineRule="auto"/>
        <w:rPr>
          <w:sz w:val="20"/>
          <w:szCs w:val="20"/>
          <w:color w:val="auto"/>
        </w:rPr>
      </w:pPr>
      <w:r>
        <w:rPr>
          <w:rFonts w:ascii="Arial" w:cs="Arial" w:eastAsia="Arial" w:hAnsi="Arial"/>
          <w:sz w:val="20"/>
          <w:szCs w:val="20"/>
          <w:color w:val="auto"/>
        </w:rPr>
        <w:t>in this Agreement relied upon and shall set forth in reasonable detail the facts and circumstances claimed to provide a basis for termination of the Executive’s employment under the provision so indicated. The Notice of Termination shall be effective on the date specified in Section 9.8 of this Agreement.</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ARTICLE IV</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TAXES</w:t>
      </w:r>
    </w:p>
    <w:p>
      <w:pPr>
        <w:spacing w:after="0" w:line="183" w:lineRule="exact"/>
        <w:rPr>
          <w:sz w:val="20"/>
          <w:szCs w:val="20"/>
          <w:color w:val="auto"/>
        </w:rPr>
      </w:pPr>
    </w:p>
    <w:p>
      <w:pPr>
        <w:ind w:right="60" w:firstLine="865"/>
        <w:spacing w:after="0" w:line="276" w:lineRule="auto"/>
        <w:rPr>
          <w:sz w:val="20"/>
          <w:szCs w:val="20"/>
          <w:color w:val="auto"/>
        </w:rPr>
      </w:pPr>
      <w:r>
        <w:rPr>
          <w:rFonts w:ascii="Arial" w:cs="Arial" w:eastAsia="Arial" w:hAnsi="Arial"/>
          <w:sz w:val="18"/>
          <w:szCs w:val="18"/>
          <w:color w:val="auto"/>
        </w:rPr>
        <w:t>The Company has the right to withhold from any amount otherwise payable to the Executive under or pursuant to this Agreement the amount of any taxes that the Company may legally be required to withhold with respect to such payment (including, without limitation, any United States Federal taxes, and any other state, city, or local taxes). In the event that tax withholding is required with respect to amounts or benefits payable or deliverable by the Company to the Executive and the Company cannot satisfy its tax withholding obligations in the manner described in the preceding sentence, the Company may require the Executive to pay or provide for the payment of such required tax withholding as a condition to the payment or delivery of such amounts or benefits.</w:t>
      </w:r>
    </w:p>
    <w:p>
      <w:pPr>
        <w:spacing w:after="0" w:line="144" w:lineRule="exact"/>
        <w:rPr>
          <w:sz w:val="20"/>
          <w:szCs w:val="20"/>
          <w:color w:val="auto"/>
        </w:rPr>
      </w:pPr>
    </w:p>
    <w:p>
      <w:pPr>
        <w:ind w:right="500" w:firstLine="865"/>
        <w:spacing w:after="0" w:line="268" w:lineRule="auto"/>
        <w:rPr>
          <w:sz w:val="20"/>
          <w:szCs w:val="20"/>
          <w:color w:val="auto"/>
        </w:rPr>
      </w:pPr>
      <w:r>
        <w:rPr>
          <w:rFonts w:ascii="Arial" w:cs="Arial" w:eastAsia="Arial" w:hAnsi="Arial"/>
          <w:sz w:val="20"/>
          <w:szCs w:val="20"/>
          <w:color w:val="auto"/>
        </w:rPr>
        <w:t>The Executive (or his or her Beneficiaries, if applicable) shall be solely responsible for all income and employment taxes arising in connection with this Agreement or benefits hereunder.</w:t>
      </w:r>
    </w:p>
    <w:p>
      <w:pPr>
        <w:spacing w:after="0" w:line="200" w:lineRule="exact"/>
        <w:rPr>
          <w:sz w:val="20"/>
          <w:szCs w:val="20"/>
          <w:color w:val="auto"/>
        </w:rPr>
      </w:pPr>
    </w:p>
    <w:p>
      <w:pPr>
        <w:spacing w:after="0" w:line="346" w:lineRule="exact"/>
        <w:rPr>
          <w:sz w:val="20"/>
          <w:szCs w:val="20"/>
          <w:color w:val="auto"/>
        </w:rPr>
      </w:pPr>
    </w:p>
    <w:tbl>
      <w:tblPr>
        <w:tblLayout w:type="fixed"/>
        <w:tblInd w:w="1740" w:type="dxa"/>
        <w:tblCellMar>
          <w:top w:w="0" w:type="dxa"/>
          <w:left w:w="0" w:type="dxa"/>
          <w:bottom w:w="0" w:type="dxa"/>
          <w:right w:w="0" w:type="dxa"/>
        </w:tblCellMar>
      </w:tblPr>
      <w:tr>
        <w:trPr>
          <w:trHeight w:val="230"/>
        </w:trPr>
        <w:tc>
          <w:tcPr>
            <w:tcW w:w="1040" w:type="dxa"/>
            <w:vAlign w:val="bottom"/>
          </w:tcPr>
          <w:p>
            <w:pPr>
              <w:spacing w:after="0"/>
              <w:rPr>
                <w:sz w:val="19"/>
                <w:szCs w:val="19"/>
                <w:color w:val="auto"/>
              </w:rPr>
            </w:pPr>
          </w:p>
        </w:tc>
        <w:tc>
          <w:tcPr>
            <w:tcW w:w="8300" w:type="dxa"/>
            <w:vAlign w:val="bottom"/>
          </w:tcPr>
          <w:p>
            <w:pPr>
              <w:jc w:val="center"/>
              <w:ind w:right="2519"/>
              <w:spacing w:after="0"/>
              <w:rPr>
                <w:sz w:val="20"/>
                <w:szCs w:val="20"/>
                <w:color w:val="auto"/>
              </w:rPr>
            </w:pPr>
            <w:r>
              <w:rPr>
                <w:rFonts w:ascii="Arial" w:cs="Arial" w:eastAsia="Arial" w:hAnsi="Arial"/>
                <w:sz w:val="20"/>
                <w:szCs w:val="20"/>
                <w:b w:val="1"/>
                <w:bCs w:val="1"/>
                <w:color w:val="auto"/>
              </w:rPr>
              <w:t>ARTICLE V</w:t>
            </w:r>
          </w:p>
        </w:tc>
      </w:tr>
      <w:tr>
        <w:trPr>
          <w:trHeight w:val="263"/>
        </w:trPr>
        <w:tc>
          <w:tcPr>
            <w:tcW w:w="1040" w:type="dxa"/>
            <w:vAlign w:val="bottom"/>
          </w:tcPr>
          <w:p>
            <w:pPr>
              <w:spacing w:after="0"/>
              <w:rPr>
                <w:sz w:val="22"/>
                <w:szCs w:val="22"/>
                <w:color w:val="auto"/>
              </w:rPr>
            </w:pPr>
          </w:p>
        </w:tc>
        <w:tc>
          <w:tcPr>
            <w:tcW w:w="8300" w:type="dxa"/>
            <w:vAlign w:val="bottom"/>
          </w:tcPr>
          <w:p>
            <w:pPr>
              <w:jc w:val="center"/>
              <w:ind w:right="2519"/>
              <w:spacing w:after="0"/>
              <w:rPr>
                <w:sz w:val="20"/>
                <w:szCs w:val="20"/>
                <w:color w:val="auto"/>
              </w:rPr>
            </w:pPr>
            <w:r>
              <w:rPr>
                <w:rFonts w:ascii="Arial" w:cs="Arial" w:eastAsia="Arial" w:hAnsi="Arial"/>
                <w:sz w:val="20"/>
                <w:szCs w:val="20"/>
                <w:b w:val="1"/>
                <w:bCs w:val="1"/>
                <w:color w:val="auto"/>
              </w:rPr>
              <w:t>THE COMPANY’S PAYMENT OBLIGATION</w:t>
            </w:r>
          </w:p>
        </w:tc>
      </w:tr>
      <w:tr>
        <w:trPr>
          <w:trHeight w:val="419"/>
        </w:trPr>
        <w:tc>
          <w:tcPr>
            <w:tcW w:w="1040" w:type="dxa"/>
            <w:vAlign w:val="bottom"/>
          </w:tcPr>
          <w:p>
            <w:pPr>
              <w:jc w:val="right"/>
              <w:ind w:right="699"/>
              <w:spacing w:after="0"/>
              <w:rPr>
                <w:sz w:val="20"/>
                <w:szCs w:val="20"/>
                <w:color w:val="auto"/>
              </w:rPr>
            </w:pPr>
            <w:r>
              <w:rPr>
                <w:rFonts w:ascii="Arial" w:cs="Arial" w:eastAsia="Arial" w:hAnsi="Arial"/>
                <w:sz w:val="20"/>
                <w:szCs w:val="20"/>
                <w:b w:val="1"/>
                <w:bCs w:val="1"/>
                <w:color w:val="auto"/>
                <w:w w:val="78"/>
              </w:rPr>
              <w:t>5.1</w:t>
            </w:r>
          </w:p>
        </w:tc>
        <w:tc>
          <w:tcPr>
            <w:tcW w:w="8300" w:type="dxa"/>
            <w:vAlign w:val="bottom"/>
          </w:tcPr>
          <w:p>
            <w:pPr>
              <w:ind w:left="1020"/>
              <w:spacing w:after="0"/>
              <w:rPr>
                <w:sz w:val="20"/>
                <w:szCs w:val="20"/>
                <w:color w:val="auto"/>
              </w:rPr>
            </w:pPr>
            <w:r>
              <w:rPr>
                <w:rFonts w:ascii="Arial" w:cs="Arial" w:eastAsia="Arial" w:hAnsi="Arial"/>
                <w:sz w:val="20"/>
                <w:szCs w:val="20"/>
                <w:b w:val="1"/>
                <w:bCs w:val="1"/>
                <w:color w:val="auto"/>
                <w:w w:val="92"/>
              </w:rPr>
              <w:t>Payment Obligations Absolute</w:t>
            </w:r>
            <w:r>
              <w:rPr>
                <w:rFonts w:ascii="Arial" w:cs="Arial" w:eastAsia="Arial" w:hAnsi="Arial"/>
                <w:sz w:val="20"/>
                <w:szCs w:val="20"/>
                <w:color w:val="auto"/>
                <w:w w:val="92"/>
              </w:rPr>
              <w:t>. Subject to the Executive’s compliance with Section 9.1</w:t>
            </w:r>
          </w:p>
        </w:tc>
      </w:tr>
    </w:tbl>
    <w:p>
      <w:pPr>
        <w:spacing w:after="0" w:line="269" w:lineRule="auto"/>
        <w:rPr>
          <w:sz w:val="20"/>
          <w:szCs w:val="20"/>
          <w:color w:val="auto"/>
        </w:rPr>
      </w:pPr>
      <w:r>
        <w:rPr>
          <w:rFonts w:ascii="Arial" w:cs="Arial" w:eastAsia="Arial" w:hAnsi="Arial"/>
          <w:sz w:val="18"/>
          <w:szCs w:val="18"/>
          <w:color w:val="auto"/>
        </w:rPr>
        <w:t>and the agreement contemplated thereby, the Company’s obligation to make the payments and the arrangements provided for herein shall be absolute and unconditional, and shall not be affected by any circumstances, including, without limitation, any offset (except an offset for the amount of any debt that is due from Executive to Company for loans, advances or similar items provided by the Company to Executive prior to the date of Executive’s notice to the Company of a Qualifying Termination Event), counterclaim, recoupment, defense, or other right which the Company may have against the Executive or anyone else. All amounts payable by the Company hereunder shall be paid without notice or demand. Each and every payment made hereunder by the Company shall be final, and the Company shall not seek to recover all or any part of such payment from the Executive or from whomsoever may be entitled thereto, for any reasons whatsoever, except as a result of an error in calculating the value of benefits payable under Section 3.2 or as otherwise provided in Article 7 and subject to the Executive’s compliance with Section 9.1 and the agreement contemplated thereby.</w:t>
      </w:r>
    </w:p>
    <w:p>
      <w:pPr>
        <w:spacing w:after="0" w:line="151" w:lineRule="exact"/>
        <w:rPr>
          <w:sz w:val="20"/>
          <w:szCs w:val="20"/>
          <w:color w:val="auto"/>
        </w:rPr>
      </w:pPr>
    </w:p>
    <w:p>
      <w:pPr>
        <w:ind w:right="320" w:firstLine="865"/>
        <w:spacing w:after="0" w:line="272" w:lineRule="auto"/>
        <w:rPr>
          <w:sz w:val="20"/>
          <w:szCs w:val="20"/>
          <w:color w:val="auto"/>
        </w:rPr>
      </w:pPr>
      <w:r>
        <w:rPr>
          <w:rFonts w:ascii="Arial" w:cs="Arial" w:eastAsia="Arial" w:hAnsi="Arial"/>
          <w:sz w:val="19"/>
          <w:szCs w:val="19"/>
          <w:color w:val="auto"/>
        </w:rPr>
        <w:t>The Executive shall not be obligated to seek other employment in mitigation of the amounts payable or arrangements made under any provision of this Agreement, and the obtaining of any such other employment shall in no event effect any reduction of the Company’s obligations to make the payments and arrangements required to be made under this Agreement.</w:t>
      </w:r>
    </w:p>
    <w:p>
      <w:pPr>
        <w:spacing w:after="0" w:line="119"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00"/>
          </w:cols>
          <w:pgMar w:left="320" w:top="752" w:right="379" w:bottom="1440" w:gutter="0" w:footer="0" w:header="0"/>
        </w:sectPr>
      </w:pPr>
    </w:p>
    <w:bookmarkStart w:id="261" w:name="page262"/>
    <w:bookmarkEnd w:id="261"/>
    <w:p>
      <w:pPr>
        <w:ind w:right="60" w:firstLine="1729"/>
        <w:spacing w:after="0" w:line="243" w:lineRule="auto"/>
        <w:rPr>
          <w:sz w:val="20"/>
          <w:szCs w:val="20"/>
          <w:color w:val="auto"/>
        </w:rPr>
      </w:pPr>
      <w:r>
        <w:rPr>
          <w:rFonts w:ascii="Arial" w:cs="Arial" w:eastAsia="Arial" w:hAnsi="Arial"/>
          <w:sz w:val="20"/>
          <w:szCs w:val="20"/>
          <w:b w:val="1"/>
          <w:bCs w:val="1"/>
          <w:color w:val="auto"/>
        </w:rPr>
        <w:t xml:space="preserve">5.2 Unsecured General Creditor. </w:t>
      </w:r>
      <w:r>
        <w:rPr>
          <w:rFonts w:ascii="Arial" w:cs="Arial" w:eastAsia="Arial" w:hAnsi="Arial"/>
          <w:sz w:val="20"/>
          <w:szCs w:val="20"/>
          <w:color w:val="auto"/>
        </w:rPr>
        <w:t>The Executive and his or her Beneficiaries, heirs,</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successors, and assigns shall have no legal or equitable rights, claims, or interest in any specific property or assets of the Company. No assets of the Company shall be held under any trust or held in any way as collateral security for the fulfilling of the obligations of the Company under this Agreement. Any and all of the Company’s assets shall be, and remain, the general unpledged, unrestricted assets of the Company. The Company’s obligation under this Agreement shall be merely that of an unfunded and unsecured promise of the entity to pay money in the future, and the rights of the Executive and his or her Beneficiaries shall be no greater than those of unsecured general creditors. It is the intention of the Company that this Agreement be unfunded for purposes of the Code and for purposes of Title I of the Employee Retirement Income Security Act of 1974, as amended.</w:t>
      </w:r>
    </w:p>
    <w:p>
      <w:pPr>
        <w:spacing w:after="0" w:line="166" w:lineRule="exact"/>
        <w:rPr>
          <w:sz w:val="20"/>
          <w:szCs w:val="20"/>
          <w:color w:val="auto"/>
        </w:rPr>
      </w:pPr>
    </w:p>
    <w:p>
      <w:pPr>
        <w:ind w:right="120" w:firstLine="1729"/>
        <w:spacing w:after="0" w:line="246" w:lineRule="auto"/>
        <w:rPr>
          <w:sz w:val="20"/>
          <w:szCs w:val="20"/>
          <w:color w:val="auto"/>
        </w:rPr>
      </w:pPr>
      <w:r>
        <w:rPr>
          <w:rFonts w:ascii="Arial" w:cs="Arial" w:eastAsia="Arial" w:hAnsi="Arial"/>
          <w:sz w:val="20"/>
          <w:szCs w:val="20"/>
          <w:b w:val="1"/>
          <w:bCs w:val="1"/>
          <w:color w:val="auto"/>
        </w:rPr>
        <w:t>5.3 Pension Plans</w:t>
      </w:r>
      <w:r>
        <w:rPr>
          <w:rFonts w:ascii="Arial" w:cs="Arial" w:eastAsia="Arial" w:hAnsi="Arial"/>
          <w:sz w:val="20"/>
          <w:szCs w:val="20"/>
          <w:color w:val="auto"/>
        </w:rPr>
        <w:t>. All payments, benefits and amounts provided under this Agreement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 in addition to and not in substitution for any pension rights under the Company’s tax-qualified pension plan in which the Executive participates, and any disability, workers’ compensation or other Company benefit plan distribution that the Executive is entitled to, under the terms of any such plan, at the time his or her employment by the Company terminates. Notwithstanding the foregoing, this Agreement shall not create an inference that any duplicate payments shall be required.</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VI</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TERM OF AGREEMENT</w:t>
      </w:r>
    </w:p>
    <w:p>
      <w:pPr>
        <w:spacing w:after="0" w:line="183" w:lineRule="exact"/>
        <w:rPr>
          <w:sz w:val="20"/>
          <w:szCs w:val="20"/>
          <w:color w:val="auto"/>
        </w:rPr>
      </w:pPr>
    </w:p>
    <w:p>
      <w:pPr>
        <w:ind w:firstLine="865"/>
        <w:spacing w:after="0" w:line="242" w:lineRule="auto"/>
        <w:rPr>
          <w:sz w:val="20"/>
          <w:szCs w:val="20"/>
          <w:color w:val="auto"/>
        </w:rPr>
      </w:pPr>
      <w:r>
        <w:rPr>
          <w:rFonts w:ascii="Arial" w:cs="Arial" w:eastAsia="Arial" w:hAnsi="Arial"/>
          <w:sz w:val="20"/>
          <w:szCs w:val="20"/>
          <w:color w:val="auto"/>
        </w:rPr>
        <w:t>This Agreement will commence on the Effective Date and shall continue in effect through the 31</w:t>
      </w:r>
      <w:r>
        <w:rPr>
          <w:rFonts w:ascii="Arial" w:cs="Arial" w:eastAsia="Arial" w:hAnsi="Arial"/>
          <w:sz w:val="17"/>
          <w:szCs w:val="17"/>
          <w:color w:val="auto"/>
        </w:rPr>
        <w:t>st</w:t>
      </w:r>
      <w:r>
        <w:rPr>
          <w:rFonts w:ascii="Arial" w:cs="Arial" w:eastAsia="Arial" w:hAnsi="Arial"/>
          <w:sz w:val="20"/>
          <w:szCs w:val="20"/>
          <w:color w:val="auto"/>
        </w:rPr>
        <w:t xml:space="preserve"> of August 2022. However, at the end of such initial period and, if extended, at the end of each additional year thereafter, the term of this Agreement shall be extended automatically for one (1) additional year, unless the Committee (or the Board) delivers written notice at least six (6) months prior to the end of such term, or extended term, to the Executive, that this Agreement will not be extended. In such case, this Agreement will terminate at the end of the term, or extended term, then in progress. If a Potential Change in Control occurs, the Committee (or the Board) may not give notice that the term of this Agreement will not be extended, or further extended, as the case may be, unless and until the Board declares in good faith that the circumstances giving rise to the Potential Change in Control will not result in an actual Change in Control.</w:t>
      </w:r>
    </w:p>
    <w:p>
      <w:pPr>
        <w:spacing w:after="0" w:line="173" w:lineRule="exact"/>
        <w:rPr>
          <w:sz w:val="20"/>
          <w:szCs w:val="20"/>
          <w:color w:val="auto"/>
        </w:rPr>
      </w:pPr>
    </w:p>
    <w:p>
      <w:pPr>
        <w:ind w:right="80" w:firstLine="865"/>
        <w:spacing w:after="0" w:line="253" w:lineRule="auto"/>
        <w:rPr>
          <w:sz w:val="20"/>
          <w:szCs w:val="20"/>
          <w:color w:val="auto"/>
        </w:rPr>
      </w:pPr>
      <w:r>
        <w:rPr>
          <w:rFonts w:ascii="Arial" w:cs="Arial" w:eastAsia="Arial" w:hAnsi="Arial"/>
          <w:sz w:val="20"/>
          <w:szCs w:val="20"/>
          <w:color w:val="auto"/>
        </w:rPr>
        <w:t>Unless the Board expressly determines that the term of this Agreement shall continue in effect, the term of this Agreement will terminate if, prior to a Potential Change in Control, the Executive ceases to perform services on a full-time basis in either the same position Executive was serving on the Effective Date or a more senior position.</w:t>
      </w:r>
    </w:p>
    <w:p>
      <w:pPr>
        <w:spacing w:after="0" w:line="160" w:lineRule="exact"/>
        <w:rPr>
          <w:sz w:val="20"/>
          <w:szCs w:val="20"/>
          <w:color w:val="auto"/>
        </w:rPr>
      </w:pPr>
    </w:p>
    <w:p>
      <w:pPr>
        <w:jc w:val="both"/>
        <w:ind w:right="200" w:firstLine="865"/>
        <w:spacing w:after="0" w:line="272" w:lineRule="auto"/>
        <w:rPr>
          <w:sz w:val="20"/>
          <w:szCs w:val="20"/>
          <w:color w:val="auto"/>
        </w:rPr>
      </w:pPr>
      <w:r>
        <w:rPr>
          <w:rFonts w:ascii="Arial" w:cs="Arial" w:eastAsia="Arial" w:hAnsi="Arial"/>
          <w:sz w:val="19"/>
          <w:szCs w:val="19"/>
          <w:color w:val="auto"/>
        </w:rPr>
        <w:t>Notwithstanding anything to the contrary in this Agreement, in the event a Change in Control occurs during the initial or any extended term, this Agreement will remain in effect for the longer of: (a) eighteen (18) months beyond the month in which such Change in Control occurred; or (b) if the Executive incurs a Qualifying Termination Event, until all obligations of</w:t>
      </w:r>
    </w:p>
    <w:p>
      <w:pPr>
        <w:spacing w:after="0" w:line="119"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4">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262" w:name="page263"/>
    <w:bookmarkEnd w:id="262"/>
    <w:p>
      <w:pPr>
        <w:spacing w:after="0"/>
        <w:rPr>
          <w:sz w:val="20"/>
          <w:szCs w:val="20"/>
          <w:color w:val="auto"/>
        </w:rPr>
      </w:pPr>
      <w:r>
        <w:rPr>
          <w:rFonts w:ascii="Arial" w:cs="Arial" w:eastAsia="Arial" w:hAnsi="Arial"/>
          <w:sz w:val="20"/>
          <w:szCs w:val="20"/>
          <w:color w:val="auto"/>
        </w:rPr>
        <w:t>the Company hereunder have been fulfilled, and until all benefits required hereunder have been paid to the Executive.</w:t>
      </w:r>
    </w:p>
    <w:p>
      <w:pPr>
        <w:spacing w:after="0" w:line="201" w:lineRule="exact"/>
        <w:rPr>
          <w:sz w:val="20"/>
          <w:szCs w:val="20"/>
          <w:color w:val="auto"/>
        </w:rPr>
      </w:pPr>
    </w:p>
    <w:p>
      <w:pPr>
        <w:ind w:right="160" w:firstLine="865"/>
        <w:spacing w:after="0" w:line="244" w:lineRule="auto"/>
        <w:rPr>
          <w:sz w:val="20"/>
          <w:szCs w:val="20"/>
          <w:color w:val="auto"/>
        </w:rPr>
      </w:pPr>
      <w:r>
        <w:rPr>
          <w:rFonts w:ascii="Arial" w:cs="Arial" w:eastAsia="Arial" w:hAnsi="Arial"/>
          <w:sz w:val="20"/>
          <w:szCs w:val="20"/>
          <w:color w:val="auto"/>
        </w:rPr>
        <w:t>Any subsequent Change in Control (“Subsequent Change in Control”) that occurs during the term shall also continue the term until the later of: (a) the date the term then in effect, at the time of such Subsequent Change in Control, would end; or (b) until all obligations of the Company hereunder have been fulfilled and all benefits required hereunder have been paid to the Executive; provided, however, that if one or more Subsequent Changes in Control occur, such event (or events) shall be considered a Change in Control hereunder, and this Agreement will be applicable thereto only if it, or they, occur during a Protected Period in effect at the time of any Subsequent Change in Control.</w:t>
      </w:r>
    </w:p>
    <w:p>
      <w:pPr>
        <w:spacing w:after="0" w:line="169" w:lineRule="exact"/>
        <w:rPr>
          <w:sz w:val="20"/>
          <w:szCs w:val="20"/>
          <w:color w:val="auto"/>
        </w:rPr>
      </w:pPr>
    </w:p>
    <w:p>
      <w:pPr>
        <w:ind w:right="220" w:firstLine="865"/>
        <w:spacing w:after="0" w:line="253" w:lineRule="auto"/>
        <w:rPr>
          <w:sz w:val="20"/>
          <w:szCs w:val="20"/>
          <w:color w:val="auto"/>
        </w:rPr>
      </w:pPr>
      <w:r>
        <w:rPr>
          <w:rFonts w:ascii="Arial" w:cs="Arial" w:eastAsia="Arial" w:hAnsi="Arial"/>
          <w:sz w:val="20"/>
          <w:szCs w:val="20"/>
          <w:color w:val="auto"/>
        </w:rPr>
        <w:t>Notwithstanding anything herein to the contrary, the Executive shall be entitled to receive the benefits provided in this Agreement one time only under this Agreement, regardless of the number of Changes in Control or Subsequent Changes in Control that may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174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8240" w:type="dxa"/>
            <w:vAlign w:val="bottom"/>
          </w:tcPr>
          <w:p>
            <w:pPr>
              <w:jc w:val="center"/>
              <w:ind w:right="2699"/>
              <w:spacing w:after="0"/>
              <w:rPr>
                <w:sz w:val="20"/>
                <w:szCs w:val="20"/>
                <w:color w:val="auto"/>
              </w:rPr>
            </w:pPr>
            <w:r>
              <w:rPr>
                <w:rFonts w:ascii="Arial" w:cs="Arial" w:eastAsia="Arial" w:hAnsi="Arial"/>
                <w:sz w:val="20"/>
                <w:szCs w:val="20"/>
                <w:b w:val="1"/>
                <w:bCs w:val="1"/>
                <w:color w:val="auto"/>
              </w:rPr>
              <w:t>ARTICLE VII</w:t>
            </w:r>
          </w:p>
        </w:tc>
      </w:tr>
      <w:tr>
        <w:trPr>
          <w:trHeight w:val="263"/>
        </w:trPr>
        <w:tc>
          <w:tcPr>
            <w:tcW w:w="1160" w:type="dxa"/>
            <w:vAlign w:val="bottom"/>
          </w:tcPr>
          <w:p>
            <w:pPr>
              <w:spacing w:after="0"/>
              <w:rPr>
                <w:sz w:val="22"/>
                <w:szCs w:val="22"/>
                <w:color w:val="auto"/>
              </w:rPr>
            </w:pPr>
          </w:p>
        </w:tc>
        <w:tc>
          <w:tcPr>
            <w:tcW w:w="8240" w:type="dxa"/>
            <w:vAlign w:val="bottom"/>
          </w:tcPr>
          <w:p>
            <w:pPr>
              <w:jc w:val="center"/>
              <w:ind w:right="2699"/>
              <w:spacing w:after="0"/>
              <w:rPr>
                <w:sz w:val="20"/>
                <w:szCs w:val="20"/>
                <w:color w:val="auto"/>
              </w:rPr>
            </w:pPr>
            <w:r>
              <w:rPr>
                <w:rFonts w:ascii="Arial" w:cs="Arial" w:eastAsia="Arial" w:hAnsi="Arial"/>
                <w:sz w:val="20"/>
                <w:szCs w:val="20"/>
                <w:b w:val="1"/>
                <w:bCs w:val="1"/>
                <w:color w:val="auto"/>
              </w:rPr>
              <w:t>RESOLUTION OF DISPUTES</w:t>
            </w:r>
          </w:p>
        </w:tc>
      </w:tr>
      <w:tr>
        <w:trPr>
          <w:trHeight w:val="419"/>
        </w:trPr>
        <w:tc>
          <w:tcPr>
            <w:tcW w:w="1160" w:type="dxa"/>
            <w:vAlign w:val="bottom"/>
          </w:tcPr>
          <w:p>
            <w:pPr>
              <w:jc w:val="right"/>
              <w:ind w:right="819"/>
              <w:spacing w:after="0"/>
              <w:rPr>
                <w:sz w:val="20"/>
                <w:szCs w:val="20"/>
                <w:color w:val="auto"/>
              </w:rPr>
            </w:pPr>
            <w:r>
              <w:rPr>
                <w:rFonts w:ascii="Arial" w:cs="Arial" w:eastAsia="Arial" w:hAnsi="Arial"/>
                <w:sz w:val="20"/>
                <w:szCs w:val="20"/>
                <w:b w:val="1"/>
                <w:bCs w:val="1"/>
                <w:color w:val="auto"/>
                <w:w w:val="78"/>
              </w:rPr>
              <w:t>7.1</w:t>
            </w:r>
          </w:p>
        </w:tc>
        <w:tc>
          <w:tcPr>
            <w:tcW w:w="8240" w:type="dxa"/>
            <w:vAlign w:val="bottom"/>
          </w:tcPr>
          <w:p>
            <w:pPr>
              <w:ind w:left="900"/>
              <w:spacing w:after="0"/>
              <w:rPr>
                <w:sz w:val="20"/>
                <w:szCs w:val="20"/>
                <w:color w:val="auto"/>
              </w:rPr>
            </w:pPr>
            <w:r>
              <w:rPr>
                <w:rFonts w:ascii="Arial" w:cs="Arial" w:eastAsia="Arial" w:hAnsi="Arial"/>
                <w:sz w:val="20"/>
                <w:szCs w:val="20"/>
                <w:b w:val="1"/>
                <w:bCs w:val="1"/>
                <w:color w:val="auto"/>
                <w:w w:val="92"/>
              </w:rPr>
              <w:t xml:space="preserve">Arbitration of Claims. </w:t>
            </w:r>
            <w:r>
              <w:rPr>
                <w:rFonts w:ascii="Arial" w:cs="Arial" w:eastAsia="Arial" w:hAnsi="Arial"/>
                <w:sz w:val="20"/>
                <w:szCs w:val="20"/>
                <w:color w:val="auto"/>
                <w:w w:val="92"/>
              </w:rPr>
              <w:t>The Company and the Executive hereby consent to the resolution</w:t>
            </w:r>
          </w:p>
        </w:tc>
      </w:tr>
    </w:tbl>
    <w:p>
      <w:pPr>
        <w:spacing w:after="0"/>
        <w:rPr>
          <w:sz w:val="20"/>
          <w:szCs w:val="20"/>
          <w:color w:val="auto"/>
        </w:rPr>
      </w:pPr>
      <w:r>
        <w:rPr>
          <w:rFonts w:ascii="Arial" w:cs="Arial" w:eastAsia="Arial" w:hAnsi="Arial"/>
          <w:sz w:val="20"/>
          <w:szCs w:val="20"/>
          <w:color w:val="auto"/>
        </w:rPr>
        <w:t>by mandatory and binding arbitration of all claims or controversies arising out of or in connection with this Agreement and/or the Exhibits hereto that the Company may have against the Executive, or that the Executive may have against the Company or against its officers, directors, employees or agents acting in their capacity as such. Each party’s promise to resolve all such claims or controversies by arbitration in accordance with this Agreement, rather than through the courts, is consideration for the other party’s like promise. It is further agreed that the decision of an arbitrator on any issue, dispute, claim or controversy submitted for arbitration shall be final and binding upon the Company and the Executive and that judgment may be entered on the award of the arbitrator in any court having proper jurisdiction.</w:t>
      </w:r>
    </w:p>
    <w:p>
      <w:pPr>
        <w:spacing w:after="0" w:line="172" w:lineRule="exact"/>
        <w:rPr>
          <w:sz w:val="20"/>
          <w:szCs w:val="20"/>
          <w:color w:val="auto"/>
        </w:rPr>
      </w:pPr>
    </w:p>
    <w:p>
      <w:pPr>
        <w:ind w:right="60" w:firstLine="865"/>
        <w:spacing w:after="0" w:line="245" w:lineRule="auto"/>
        <w:rPr>
          <w:sz w:val="20"/>
          <w:szCs w:val="20"/>
          <w:color w:val="auto"/>
        </w:rPr>
      </w:pPr>
      <w:r>
        <w:rPr>
          <w:rFonts w:ascii="Arial" w:cs="Arial" w:eastAsia="Arial" w:hAnsi="Arial"/>
          <w:sz w:val="20"/>
          <w:szCs w:val="20"/>
          <w:color w:val="auto"/>
        </w:rPr>
        <w:t xml:space="preserve">Except as otherwise provided in this procedure or by mutual agreement of the parties, any arbitration shall be before a sole arbitrator (the “Arbitrator’) selected from Judicial Arbitration &amp; Mediation Services, Inc., Los Angeles County, California, or its successor (“JAMS”), or if JAMS is no longer able to supply the arbitrator, such arbitrator shall be selected from the American Arbitration Association, and shall be conducted in accordance with the provisions of California Civil Procedure Code Section 1280 </w:t>
      </w:r>
      <w:r>
        <w:rPr>
          <w:rFonts w:ascii="Arial" w:cs="Arial" w:eastAsia="Arial" w:hAnsi="Arial"/>
          <w:sz w:val="20"/>
          <w:szCs w:val="20"/>
          <w:i w:val="1"/>
          <w:iCs w:val="1"/>
          <w:color w:val="auto"/>
        </w:rPr>
        <w:t>et. seq.</w:t>
      </w:r>
      <w:r>
        <w:rPr>
          <w:rFonts w:ascii="Arial" w:cs="Arial" w:eastAsia="Arial" w:hAnsi="Arial"/>
          <w:sz w:val="20"/>
          <w:szCs w:val="20"/>
          <w:color w:val="auto"/>
        </w:rPr>
        <w:t xml:space="preserve"> as the exclusive remedy of such dispute.</w:t>
      </w:r>
    </w:p>
    <w:p>
      <w:pPr>
        <w:spacing w:after="0" w:line="170" w:lineRule="exact"/>
        <w:rPr>
          <w:sz w:val="20"/>
          <w:szCs w:val="20"/>
          <w:color w:val="auto"/>
        </w:rPr>
      </w:pPr>
    </w:p>
    <w:p>
      <w:pPr>
        <w:ind w:right="100" w:firstLine="865"/>
        <w:spacing w:after="0" w:line="261" w:lineRule="auto"/>
        <w:rPr>
          <w:sz w:val="20"/>
          <w:szCs w:val="20"/>
          <w:color w:val="auto"/>
        </w:rPr>
      </w:pPr>
      <w:r>
        <w:rPr>
          <w:rFonts w:ascii="Arial" w:cs="Arial" w:eastAsia="Arial" w:hAnsi="Arial"/>
          <w:sz w:val="19"/>
          <w:szCs w:val="19"/>
          <w:color w:val="auto"/>
        </w:rPr>
        <w:t>The Arbitrator shall interpret this Agreement, any applicable Company policy or rules and regulations, any applicable substantive law (and the law of remedies, if applicable) of the state in which the claim arose, or applicable federal law. In reaching his or her decision, the Arbitrator shall have no authority to change or modify any lawful Company policy, rule or regulation, or this Agreement. Except as provided in the next paragraph, the Arbitrator, and not any federal, state or local court or agency, shall have exclusive and broad authority to resolve any dispute relating to the interpretation, applicability, enforceability or formation of this</w:t>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263" w:name="page264"/>
    <w:bookmarkEnd w:id="263"/>
    <w:p>
      <w:pPr>
        <w:ind w:right="600"/>
        <w:spacing w:after="0" w:line="253" w:lineRule="auto"/>
        <w:rPr>
          <w:sz w:val="20"/>
          <w:szCs w:val="20"/>
          <w:color w:val="auto"/>
        </w:rPr>
      </w:pPr>
      <w:r>
        <w:rPr>
          <w:rFonts w:ascii="Arial" w:cs="Arial" w:eastAsia="Arial" w:hAnsi="Arial"/>
          <w:sz w:val="20"/>
          <w:szCs w:val="20"/>
          <w:color w:val="auto"/>
        </w:rPr>
        <w:t>Agreement, including but not limited to, any claim that all or any part of this Agreement is voidable. The Arbitrator shall have the authority to decide dispositive motions. Following the completion of the arbitration, the Arbitrator shall issue a written decision disclosing the essential findings and conclusions upon which the award is based.</w:t>
      </w:r>
    </w:p>
    <w:p>
      <w:pPr>
        <w:spacing w:after="0" w:line="160" w:lineRule="exact"/>
        <w:rPr>
          <w:sz w:val="20"/>
          <w:szCs w:val="20"/>
          <w:color w:val="auto"/>
        </w:rPr>
      </w:pPr>
    </w:p>
    <w:p>
      <w:pPr>
        <w:ind w:firstLine="865"/>
        <w:spacing w:after="0" w:line="259" w:lineRule="auto"/>
        <w:rPr>
          <w:sz w:val="20"/>
          <w:szCs w:val="20"/>
          <w:color w:val="auto"/>
        </w:rPr>
      </w:pPr>
      <w:r>
        <w:rPr>
          <w:rFonts w:ascii="Arial" w:cs="Arial" w:eastAsia="Arial" w:hAnsi="Arial"/>
          <w:sz w:val="19"/>
          <w:szCs w:val="19"/>
          <w:color w:val="auto"/>
        </w:rPr>
        <w:t>Notwithstanding the foregoing, provisional injunctive relief may, but need not, be sought by the Executive or the Company in a court of law while arbitration proceedings are pending, and any provisional injunctive relief granted by such court shall remain effective until the matter is finally resolved by the Arbitrator in accordance with the foregoing. Final resolution of any dispute through arbitration may include any remedy or relief which would otherwise be available at law and which the Arbitrator deems just and equitable. The Arbitrator shall have the authority to award full damages as provided by law. Any award or relief granted by the Arbitrator hereunder shall be final and binding on the parties hereto and may be enforced by any court of competent jurisdiction.</w:t>
      </w:r>
    </w:p>
    <w:p>
      <w:pPr>
        <w:spacing w:after="0" w:line="157" w:lineRule="exact"/>
        <w:rPr>
          <w:sz w:val="20"/>
          <w:szCs w:val="20"/>
          <w:color w:val="auto"/>
        </w:rPr>
      </w:pPr>
    </w:p>
    <w:p>
      <w:pPr>
        <w:jc w:val="both"/>
        <w:ind w:right="240" w:firstLine="865"/>
        <w:spacing w:after="0" w:line="272" w:lineRule="auto"/>
        <w:rPr>
          <w:sz w:val="20"/>
          <w:szCs w:val="20"/>
          <w:color w:val="auto"/>
        </w:rPr>
      </w:pPr>
      <w:r>
        <w:rPr>
          <w:rFonts w:ascii="Arial" w:cs="Arial" w:eastAsia="Arial" w:hAnsi="Arial"/>
          <w:sz w:val="19"/>
          <w:szCs w:val="19"/>
          <w:color w:val="auto"/>
        </w:rPr>
        <w:t>The Company shall pay the reasonable fees and expenses of the Arbitrator and a stenographic reporter, if employed, and any other costs associated with the arbitration that are unique to arbitration. Each party shall pay its own legal fees and other expenses and costs incurred with respect to the arbitration as and to the same extent as if the matter were being heard in court.</w:t>
      </w:r>
    </w:p>
    <w:p>
      <w:pPr>
        <w:spacing w:after="0" w:line="200" w:lineRule="exact"/>
        <w:rPr>
          <w:sz w:val="20"/>
          <w:szCs w:val="20"/>
          <w:color w:val="auto"/>
        </w:rPr>
      </w:pPr>
    </w:p>
    <w:p>
      <w:pPr>
        <w:spacing w:after="0" w:line="346" w:lineRule="exact"/>
        <w:rPr>
          <w:sz w:val="20"/>
          <w:szCs w:val="20"/>
          <w:color w:val="auto"/>
        </w:rPr>
      </w:pPr>
    </w:p>
    <w:p>
      <w:pPr>
        <w:ind w:left="4940"/>
        <w:spacing w:after="0"/>
        <w:rPr>
          <w:sz w:val="20"/>
          <w:szCs w:val="20"/>
          <w:color w:val="auto"/>
        </w:rPr>
      </w:pPr>
      <w:r>
        <w:rPr>
          <w:rFonts w:ascii="Arial" w:cs="Arial" w:eastAsia="Arial" w:hAnsi="Arial"/>
          <w:sz w:val="20"/>
          <w:szCs w:val="20"/>
          <w:b w:val="1"/>
          <w:bCs w:val="1"/>
          <w:color w:val="auto"/>
        </w:rPr>
        <w:t>ARTICLE VIII</w:t>
      </w:r>
    </w:p>
    <w:p>
      <w:pPr>
        <w:spacing w:after="0" w:line="20"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SUCCESSORS</w:t>
      </w:r>
    </w:p>
    <w:p>
      <w:pPr>
        <w:spacing w:after="0" w:line="183" w:lineRule="exact"/>
        <w:rPr>
          <w:sz w:val="20"/>
          <w:szCs w:val="20"/>
          <w:color w:val="auto"/>
        </w:rPr>
      </w:pPr>
    </w:p>
    <w:p>
      <w:pPr>
        <w:ind w:right="40" w:firstLine="865"/>
        <w:spacing w:after="0" w:line="243" w:lineRule="auto"/>
        <w:rPr>
          <w:sz w:val="20"/>
          <w:szCs w:val="20"/>
          <w:color w:val="auto"/>
        </w:rPr>
      </w:pPr>
      <w:r>
        <w:rPr>
          <w:rFonts w:ascii="Arial" w:cs="Arial" w:eastAsia="Arial" w:hAnsi="Arial"/>
          <w:sz w:val="20"/>
          <w:szCs w:val="20"/>
          <w:color w:val="auto"/>
        </w:rPr>
        <w:t>The Company will require any successor (whether direct or indirect, by purchase, merger, consolidation, or otherwise) of all or substantially all of the business and/or assets of the Company or of any division or subsidiary thereof (the business and/or assets of which constitute at least fifty-one percent (51%) of the total business and/or assets of the Company) to expressly assume and agree to perform the Company’s obligations under this Agreement in the same manner and to the same extent that the Company would be required to perform them if no such succession had taken place. Failure of the Company to obtain such assumption and agreement in a written instrument prior to the effective date of any such succession shall be a breach of this Agreement and shall entitle the Executive to the benefits provided under this Agreement.</w:t>
      </w:r>
    </w:p>
    <w:p>
      <w:pPr>
        <w:spacing w:after="0" w:line="170" w:lineRule="exact"/>
        <w:rPr>
          <w:sz w:val="20"/>
          <w:szCs w:val="20"/>
          <w:color w:val="auto"/>
        </w:rPr>
      </w:pPr>
    </w:p>
    <w:p>
      <w:pPr>
        <w:ind w:right="20" w:firstLine="865"/>
        <w:spacing w:after="0" w:line="248" w:lineRule="auto"/>
        <w:rPr>
          <w:sz w:val="20"/>
          <w:szCs w:val="20"/>
          <w:color w:val="auto"/>
        </w:rPr>
      </w:pPr>
      <w:r>
        <w:rPr>
          <w:rFonts w:ascii="Arial" w:cs="Arial" w:eastAsia="Arial" w:hAnsi="Arial"/>
          <w:sz w:val="20"/>
          <w:szCs w:val="20"/>
          <w:color w:val="auto"/>
        </w:rPr>
        <w:t>This Agreement shall inure to the benefit of and be enforceable by the Executive’s personal or legal representatives, trustees, executors, administrators, successors, heirs, distributees, devisees, and legatees. If the Executive should die while any amount would still be payable to him hereunder had he continued to live, all such amounts, unless otherwise provided herein, shall be paid to the Executive’s Beneficiary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6">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00"/>
          </w:cols>
          <w:pgMar w:left="320" w:top="752" w:right="379" w:bottom="1440" w:gutter="0" w:footer="0" w:header="0"/>
        </w:sectPr>
      </w:pPr>
    </w:p>
    <w:bookmarkStart w:id="264" w:name="page265"/>
    <w:bookmarkEnd w:id="264"/>
    <w:tbl>
      <w:tblPr>
        <w:tblLayout w:type="fixed"/>
        <w:tblInd w:w="174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8240" w:type="dxa"/>
            <w:vAlign w:val="bottom"/>
          </w:tcPr>
          <w:p>
            <w:pPr>
              <w:jc w:val="center"/>
              <w:ind w:right="2699"/>
              <w:spacing w:after="0"/>
              <w:rPr>
                <w:sz w:val="20"/>
                <w:szCs w:val="20"/>
                <w:color w:val="auto"/>
              </w:rPr>
            </w:pPr>
            <w:r>
              <w:rPr>
                <w:rFonts w:ascii="Arial" w:cs="Arial" w:eastAsia="Arial" w:hAnsi="Arial"/>
                <w:sz w:val="20"/>
                <w:szCs w:val="20"/>
                <w:b w:val="1"/>
                <w:bCs w:val="1"/>
                <w:color w:val="auto"/>
              </w:rPr>
              <w:t>ARTICLE IX</w:t>
            </w:r>
          </w:p>
        </w:tc>
      </w:tr>
      <w:tr>
        <w:trPr>
          <w:trHeight w:val="263"/>
        </w:trPr>
        <w:tc>
          <w:tcPr>
            <w:tcW w:w="1160" w:type="dxa"/>
            <w:vAlign w:val="bottom"/>
          </w:tcPr>
          <w:p>
            <w:pPr>
              <w:spacing w:after="0"/>
              <w:rPr>
                <w:sz w:val="22"/>
                <w:szCs w:val="22"/>
                <w:color w:val="auto"/>
              </w:rPr>
            </w:pPr>
          </w:p>
        </w:tc>
        <w:tc>
          <w:tcPr>
            <w:tcW w:w="8240" w:type="dxa"/>
            <w:vAlign w:val="bottom"/>
          </w:tcPr>
          <w:p>
            <w:pPr>
              <w:jc w:val="center"/>
              <w:ind w:right="2679"/>
              <w:spacing w:after="0"/>
              <w:rPr>
                <w:sz w:val="20"/>
                <w:szCs w:val="20"/>
                <w:color w:val="auto"/>
              </w:rPr>
            </w:pPr>
            <w:r>
              <w:rPr>
                <w:rFonts w:ascii="Arial" w:cs="Arial" w:eastAsia="Arial" w:hAnsi="Arial"/>
                <w:sz w:val="20"/>
                <w:szCs w:val="20"/>
                <w:b w:val="1"/>
                <w:bCs w:val="1"/>
                <w:color w:val="auto"/>
              </w:rPr>
              <w:t>MISCELLANEOUS</w:t>
            </w:r>
          </w:p>
        </w:tc>
      </w:tr>
      <w:tr>
        <w:trPr>
          <w:trHeight w:val="419"/>
        </w:trPr>
        <w:tc>
          <w:tcPr>
            <w:tcW w:w="1160" w:type="dxa"/>
            <w:vAlign w:val="bottom"/>
          </w:tcPr>
          <w:p>
            <w:pPr>
              <w:jc w:val="right"/>
              <w:ind w:right="819"/>
              <w:spacing w:after="0"/>
              <w:rPr>
                <w:sz w:val="20"/>
                <w:szCs w:val="20"/>
                <w:color w:val="auto"/>
              </w:rPr>
            </w:pPr>
            <w:r>
              <w:rPr>
                <w:rFonts w:ascii="Arial" w:cs="Arial" w:eastAsia="Arial" w:hAnsi="Arial"/>
                <w:sz w:val="20"/>
                <w:szCs w:val="20"/>
                <w:b w:val="1"/>
                <w:bCs w:val="1"/>
                <w:color w:val="auto"/>
                <w:w w:val="78"/>
              </w:rPr>
              <w:t>9.1</w:t>
            </w:r>
          </w:p>
        </w:tc>
        <w:tc>
          <w:tcPr>
            <w:tcW w:w="8240" w:type="dxa"/>
            <w:vAlign w:val="bottom"/>
          </w:tcPr>
          <w:p>
            <w:pPr>
              <w:ind w:left="900"/>
              <w:spacing w:after="0"/>
              <w:rPr>
                <w:sz w:val="20"/>
                <w:szCs w:val="20"/>
                <w:color w:val="auto"/>
              </w:rPr>
            </w:pPr>
            <w:r>
              <w:rPr>
                <w:rFonts w:ascii="Arial" w:cs="Arial" w:eastAsia="Arial" w:hAnsi="Arial"/>
                <w:sz w:val="20"/>
                <w:szCs w:val="20"/>
                <w:b w:val="1"/>
                <w:bCs w:val="1"/>
                <w:color w:val="auto"/>
                <w:w w:val="91"/>
              </w:rPr>
              <w:t xml:space="preserve">Release and Agreement. </w:t>
            </w:r>
            <w:r>
              <w:rPr>
                <w:rFonts w:ascii="Arial" w:cs="Arial" w:eastAsia="Arial" w:hAnsi="Arial"/>
                <w:sz w:val="20"/>
                <w:szCs w:val="20"/>
                <w:color w:val="auto"/>
                <w:w w:val="91"/>
              </w:rPr>
              <w:t>Notwithstanding anything else contained herein to the contrary,</w:t>
            </w:r>
          </w:p>
        </w:tc>
      </w:tr>
    </w:tbl>
    <w:p>
      <w:pPr>
        <w:spacing w:after="0" w:line="241" w:lineRule="auto"/>
        <w:rPr>
          <w:sz w:val="20"/>
          <w:szCs w:val="20"/>
          <w:color w:val="auto"/>
        </w:rPr>
      </w:pPr>
      <w:r>
        <w:rPr>
          <w:rFonts w:ascii="Arial" w:cs="Arial" w:eastAsia="Arial" w:hAnsi="Arial"/>
          <w:sz w:val="20"/>
          <w:szCs w:val="20"/>
          <w:color w:val="auto"/>
        </w:rPr>
        <w:t xml:space="preserve">the Company’s obligation to pay benefits hereunder to the Executive is subject to the condition precedent that the Executive execute a valid and effective Severance Agreement in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such other form, which is substantially the same as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as the Committee may require) and such executed agreement is received by the Company and is not revoked by the Executive or otherwise rendered unenforceable by the Executive.</w:t>
      </w:r>
    </w:p>
    <w:p>
      <w:pPr>
        <w:spacing w:after="0" w:line="170" w:lineRule="exact"/>
        <w:rPr>
          <w:sz w:val="20"/>
          <w:szCs w:val="20"/>
          <w:color w:val="auto"/>
        </w:rPr>
      </w:pPr>
    </w:p>
    <w:p>
      <w:pPr>
        <w:ind w:right="40" w:firstLine="1729"/>
        <w:spacing w:after="0" w:line="249" w:lineRule="auto"/>
        <w:rPr>
          <w:sz w:val="20"/>
          <w:szCs w:val="20"/>
          <w:color w:val="auto"/>
        </w:rPr>
      </w:pPr>
      <w:r>
        <w:rPr>
          <w:rFonts w:ascii="Arial" w:cs="Arial" w:eastAsia="Arial" w:hAnsi="Arial"/>
          <w:sz w:val="20"/>
          <w:szCs w:val="20"/>
          <w:b w:val="1"/>
          <w:bCs w:val="1"/>
          <w:color w:val="auto"/>
        </w:rPr>
        <w:t>9.2 Employment Status</w:t>
      </w:r>
      <w:r>
        <w:rPr>
          <w:rFonts w:ascii="Arial" w:cs="Arial" w:eastAsia="Arial" w:hAnsi="Arial"/>
          <w:sz w:val="20"/>
          <w:szCs w:val="20"/>
          <w:color w:val="auto"/>
        </w:rPr>
        <w:t>. The Executive and the Company acknowledge that, except as may</w:t>
      </w:r>
      <w:r>
        <w:rPr>
          <w:rFonts w:ascii="Arial" w:cs="Arial" w:eastAsia="Arial" w:hAnsi="Arial"/>
          <w:sz w:val="20"/>
          <w:szCs w:val="20"/>
          <w:b w:val="1"/>
          <w:bCs w:val="1"/>
          <w:color w:val="auto"/>
        </w:rPr>
        <w:t xml:space="preserve"> </w:t>
      </w:r>
      <w:r>
        <w:rPr>
          <w:rFonts w:ascii="Arial" w:cs="Arial" w:eastAsia="Arial" w:hAnsi="Arial"/>
          <w:sz w:val="20"/>
          <w:szCs w:val="20"/>
          <w:color w:val="auto"/>
        </w:rPr>
        <w:t>be provided under any other written agreement between the Executive and the Company, the employment of the Executive by the Company is “at will,” and may be terminated by either the Executive or the Company at any time, subject to applicable law and subject to the express provisions of Article 2.</w:t>
      </w:r>
    </w:p>
    <w:p>
      <w:pPr>
        <w:spacing w:after="0" w:line="161" w:lineRule="exact"/>
        <w:rPr>
          <w:sz w:val="20"/>
          <w:szCs w:val="20"/>
          <w:color w:val="auto"/>
        </w:rPr>
      </w:pPr>
    </w:p>
    <w:p>
      <w:pPr>
        <w:ind w:right="120" w:firstLine="1729"/>
        <w:spacing w:after="0" w:line="249" w:lineRule="auto"/>
        <w:rPr>
          <w:sz w:val="20"/>
          <w:szCs w:val="20"/>
          <w:color w:val="auto"/>
        </w:rPr>
      </w:pPr>
      <w:r>
        <w:rPr>
          <w:rFonts w:ascii="Arial" w:cs="Arial" w:eastAsia="Arial" w:hAnsi="Arial"/>
          <w:sz w:val="20"/>
          <w:szCs w:val="20"/>
          <w:b w:val="1"/>
          <w:bCs w:val="1"/>
          <w:color w:val="auto"/>
        </w:rPr>
        <w:t>9.3 Beneficiaries</w:t>
      </w:r>
      <w:r>
        <w:rPr>
          <w:rFonts w:ascii="Arial" w:cs="Arial" w:eastAsia="Arial" w:hAnsi="Arial"/>
          <w:sz w:val="20"/>
          <w:szCs w:val="20"/>
          <w:color w:val="auto"/>
        </w:rPr>
        <w:t>. Subject to the other provisions of this Section 9.3, the person or persons</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a trustee, personal representative or other fiduciary) last designated in writing by the Executive in accordance with procedures established by the Committee to receive the benefits specified hereunder in the event of the Executive’s death shall be the Executive’s Beneficiary or Beneficiaries.</w:t>
      </w:r>
    </w:p>
    <w:p>
      <w:pPr>
        <w:spacing w:after="0" w:line="165" w:lineRule="exact"/>
        <w:rPr>
          <w:sz w:val="20"/>
          <w:szCs w:val="20"/>
          <w:color w:val="auto"/>
        </w:rPr>
      </w:pPr>
    </w:p>
    <w:p>
      <w:pPr>
        <w:ind w:right="100" w:firstLine="865"/>
        <w:spacing w:after="0" w:line="253" w:lineRule="auto"/>
        <w:rPr>
          <w:sz w:val="20"/>
          <w:szCs w:val="20"/>
          <w:color w:val="auto"/>
        </w:rPr>
      </w:pPr>
      <w:r>
        <w:rPr>
          <w:rFonts w:ascii="Arial" w:cs="Arial" w:eastAsia="Arial" w:hAnsi="Arial"/>
          <w:sz w:val="20"/>
          <w:szCs w:val="20"/>
          <w:color w:val="auto"/>
        </w:rPr>
        <w:t>No beneficiary designation shall become effective until it is filed with the Committee, and no beneficiary designation of someone other than the Executive’s spouse shall be effective unless such designation is consented to by the Executive’s spouse on a form provided by and in accordance with procedures established by the Committee.</w:t>
      </w:r>
    </w:p>
    <w:p>
      <w:pPr>
        <w:spacing w:after="0" w:line="160" w:lineRule="exact"/>
        <w:rPr>
          <w:sz w:val="20"/>
          <w:szCs w:val="20"/>
          <w:color w:val="auto"/>
        </w:rPr>
      </w:pPr>
    </w:p>
    <w:p>
      <w:pPr>
        <w:ind w:right="20" w:firstLine="865"/>
        <w:spacing w:after="0" w:line="256" w:lineRule="auto"/>
        <w:rPr>
          <w:sz w:val="20"/>
          <w:szCs w:val="20"/>
          <w:color w:val="auto"/>
        </w:rPr>
      </w:pPr>
      <w:r>
        <w:rPr>
          <w:rFonts w:ascii="Arial" w:cs="Arial" w:eastAsia="Arial" w:hAnsi="Arial"/>
          <w:sz w:val="19"/>
          <w:szCs w:val="19"/>
          <w:color w:val="auto"/>
        </w:rPr>
        <w:t>If there is no Beneficiary designation in effect, or if there is no surviving designated Beneficiary, then the Executive’s surviving spouse shall be the Beneficiary. If there is no surviving spouse to receive any benefits payable in accordance with the preceding sentence, the duly appointed and currently acting personal representative of the Executive’s estate (which shall include either the Executive’s probate estate or living trust) shall be the Beneficiary. In any case where there is no such personal representative of the Executive’s estate duly appointed and acting in that capacity within 90 days after the Executive’s death (or such extended period as the Committee determines is reasonably necessary to allow such personal representative to be appointed, but not to exceed 180 days after the Executive’s death), then Beneficiary shall mean the person or persons who can verify by affidavit or court order to the satisfaction of the Committee that they are legally entitled to receive the benefits specified hereunder.</w:t>
      </w:r>
    </w:p>
    <w:p>
      <w:pPr>
        <w:spacing w:after="0" w:line="164" w:lineRule="exact"/>
        <w:rPr>
          <w:sz w:val="20"/>
          <w:szCs w:val="20"/>
          <w:color w:val="auto"/>
        </w:rPr>
      </w:pPr>
    </w:p>
    <w:p>
      <w:pPr>
        <w:ind w:right="340" w:firstLine="865"/>
        <w:spacing w:after="0" w:line="279" w:lineRule="auto"/>
        <w:rPr>
          <w:sz w:val="20"/>
          <w:szCs w:val="20"/>
          <w:color w:val="auto"/>
        </w:rPr>
      </w:pPr>
      <w:r>
        <w:rPr>
          <w:rFonts w:ascii="Arial" w:cs="Arial" w:eastAsia="Arial" w:hAnsi="Arial"/>
          <w:sz w:val="18"/>
          <w:szCs w:val="18"/>
          <w:color w:val="auto"/>
        </w:rPr>
        <w:t>Notwithstanding anything else herein to the contrary, in the event any amount is payable under this Agreement to a minor, payment shall not be made to the minor, but instead be paid: (a) to that person’s living parent(s) to act as custodian; (b) if that person’s parents are then divorced, and one parent is the sole custodial parent, to such custodial parent; or (c) if no parent of that person is then living, to a custodian selected by the Committee to hold the funds for the minor under the Uniform Transfers or Gifts to Minors Act in effect in the jurisdiction in which the minor resides. If no parent is living and the Committee decides not to select another</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7">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265" w:name="page266"/>
    <w:bookmarkEnd w:id="265"/>
    <w:p>
      <w:pPr>
        <w:ind w:right="20"/>
        <w:spacing w:after="0" w:line="272" w:lineRule="auto"/>
        <w:rPr>
          <w:sz w:val="20"/>
          <w:szCs w:val="20"/>
          <w:color w:val="auto"/>
        </w:rPr>
      </w:pPr>
      <w:r>
        <w:rPr>
          <w:rFonts w:ascii="Arial" w:cs="Arial" w:eastAsia="Arial" w:hAnsi="Arial"/>
          <w:sz w:val="19"/>
          <w:szCs w:val="19"/>
          <w:color w:val="auto"/>
        </w:rPr>
        <w:t>custodian to hold the funds for the minor, then payment shall be made to the duly appointed and currently acting guardian of the estate for the minor or, if no guardian of the estate for the minor is duly appointed and currently acting within 60 days after the date the amount becomes payable, payment shall be deposited with the court having jurisdiction over the estate of the minor.</w:t>
      </w:r>
    </w:p>
    <w:p>
      <w:pPr>
        <w:spacing w:after="0" w:line="141" w:lineRule="exact"/>
        <w:rPr>
          <w:sz w:val="20"/>
          <w:szCs w:val="20"/>
          <w:color w:val="auto"/>
        </w:rPr>
      </w:pPr>
    </w:p>
    <w:p>
      <w:pPr>
        <w:ind w:right="360" w:firstLine="1729"/>
        <w:spacing w:after="0" w:line="255" w:lineRule="auto"/>
        <w:rPr>
          <w:sz w:val="20"/>
          <w:szCs w:val="20"/>
          <w:color w:val="auto"/>
        </w:rPr>
      </w:pPr>
      <w:r>
        <w:rPr>
          <w:rFonts w:ascii="Arial" w:cs="Arial" w:eastAsia="Arial" w:hAnsi="Arial"/>
          <w:sz w:val="20"/>
          <w:szCs w:val="20"/>
          <w:b w:val="1"/>
          <w:bCs w:val="1"/>
          <w:color w:val="auto"/>
        </w:rPr>
        <w:t xml:space="preserve">9.4 Entire Agreement. </w:t>
      </w:r>
      <w:r>
        <w:rPr>
          <w:rFonts w:ascii="Arial" w:cs="Arial" w:eastAsia="Arial" w:hAnsi="Arial"/>
          <w:sz w:val="20"/>
          <w:szCs w:val="20"/>
          <w:color w:val="auto"/>
        </w:rPr>
        <w:t>This Agreement, including the Exhibits hereto, contains the entire</w:t>
      </w:r>
      <w:r>
        <w:rPr>
          <w:rFonts w:ascii="Arial" w:cs="Arial" w:eastAsia="Arial" w:hAnsi="Arial"/>
          <w:sz w:val="20"/>
          <w:szCs w:val="20"/>
          <w:b w:val="1"/>
          <w:bCs w:val="1"/>
          <w:color w:val="auto"/>
        </w:rPr>
        <w:t xml:space="preserve"> </w:t>
      </w:r>
      <w:r>
        <w:rPr>
          <w:rFonts w:ascii="Arial" w:cs="Arial" w:eastAsia="Arial" w:hAnsi="Arial"/>
          <w:sz w:val="20"/>
          <w:szCs w:val="20"/>
          <w:color w:val="auto"/>
        </w:rPr>
        <w:t>understanding of the Company and the Executive, and supersedes and replaces all prior negotiations and all agreements proposed or otherwise, whether written or oral, with respect to the subject matter hereof.</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900" w:type="dxa"/>
            <w:vAlign w:val="bottom"/>
          </w:tcPr>
          <w:p>
            <w:pPr>
              <w:jc w:val="right"/>
              <w:ind w:right="819"/>
              <w:spacing w:after="0"/>
              <w:rPr>
                <w:sz w:val="20"/>
                <w:szCs w:val="20"/>
                <w:color w:val="auto"/>
              </w:rPr>
            </w:pPr>
            <w:r>
              <w:rPr>
                <w:rFonts w:ascii="Arial" w:cs="Arial" w:eastAsia="Arial" w:hAnsi="Arial"/>
                <w:sz w:val="20"/>
                <w:szCs w:val="20"/>
                <w:b w:val="1"/>
                <w:bCs w:val="1"/>
                <w:color w:val="auto"/>
              </w:rPr>
              <w:t>9.5</w:t>
            </w:r>
          </w:p>
        </w:tc>
        <w:tc>
          <w:tcPr>
            <w:tcW w:w="8200" w:type="dxa"/>
            <w:vAlign w:val="bottom"/>
          </w:tcPr>
          <w:p>
            <w:pPr>
              <w:ind w:left="900"/>
              <w:spacing w:after="0"/>
              <w:rPr>
                <w:sz w:val="20"/>
                <w:szCs w:val="20"/>
                <w:color w:val="auto"/>
              </w:rPr>
            </w:pPr>
            <w:r>
              <w:rPr>
                <w:rFonts w:ascii="Arial" w:cs="Arial" w:eastAsia="Arial" w:hAnsi="Arial"/>
                <w:sz w:val="20"/>
                <w:szCs w:val="20"/>
                <w:b w:val="1"/>
                <w:bCs w:val="1"/>
                <w:color w:val="auto"/>
                <w:w w:val="95"/>
              </w:rPr>
              <w:t>Gender and Number</w:t>
            </w:r>
            <w:r>
              <w:rPr>
                <w:rFonts w:ascii="Arial" w:cs="Arial" w:eastAsia="Arial" w:hAnsi="Arial"/>
                <w:sz w:val="20"/>
                <w:szCs w:val="20"/>
                <w:color w:val="auto"/>
                <w:w w:val="95"/>
              </w:rPr>
              <w:t>. Except where otherwise indicated by the context any masculine</w:t>
            </w:r>
          </w:p>
        </w:tc>
      </w:tr>
      <w:tr>
        <w:trPr>
          <w:trHeight w:val="259"/>
        </w:trPr>
        <w:tc>
          <w:tcPr>
            <w:tcW w:w="11100" w:type="dxa"/>
            <w:vAlign w:val="bottom"/>
            <w:gridSpan w:val="2"/>
          </w:tcPr>
          <w:p>
            <w:pPr>
              <w:spacing w:after="0"/>
              <w:rPr>
                <w:sz w:val="20"/>
                <w:szCs w:val="20"/>
                <w:color w:val="auto"/>
              </w:rPr>
            </w:pPr>
            <w:r>
              <w:rPr>
                <w:rFonts w:ascii="Arial" w:cs="Arial" w:eastAsia="Arial" w:hAnsi="Arial"/>
                <w:sz w:val="20"/>
                <w:szCs w:val="20"/>
                <w:color w:val="auto"/>
              </w:rPr>
              <w:t>term used herein also shall include the feminine, the plural shall include the singular, and the singular shall include the plural.</w:t>
            </w:r>
          </w:p>
        </w:tc>
      </w:tr>
      <w:tr>
        <w:trPr>
          <w:trHeight w:val="419"/>
        </w:trPr>
        <w:tc>
          <w:tcPr>
            <w:tcW w:w="2900" w:type="dxa"/>
            <w:vAlign w:val="bottom"/>
          </w:tcPr>
          <w:p>
            <w:pPr>
              <w:jc w:val="right"/>
              <w:ind w:right="819"/>
              <w:spacing w:after="0"/>
              <w:rPr>
                <w:sz w:val="20"/>
                <w:szCs w:val="20"/>
                <w:color w:val="auto"/>
              </w:rPr>
            </w:pPr>
            <w:r>
              <w:rPr>
                <w:rFonts w:ascii="Arial" w:cs="Arial" w:eastAsia="Arial" w:hAnsi="Arial"/>
                <w:sz w:val="20"/>
                <w:szCs w:val="20"/>
                <w:b w:val="1"/>
                <w:bCs w:val="1"/>
                <w:color w:val="auto"/>
              </w:rPr>
              <w:t>9.6</w:t>
            </w:r>
          </w:p>
        </w:tc>
        <w:tc>
          <w:tcPr>
            <w:tcW w:w="8200" w:type="dxa"/>
            <w:vAlign w:val="bottom"/>
          </w:tcPr>
          <w:p>
            <w:pPr>
              <w:ind w:left="900"/>
              <w:spacing w:after="0"/>
              <w:rPr>
                <w:sz w:val="20"/>
                <w:szCs w:val="20"/>
                <w:color w:val="auto"/>
              </w:rPr>
            </w:pPr>
            <w:r>
              <w:rPr>
                <w:rFonts w:ascii="Arial" w:cs="Arial" w:eastAsia="Arial" w:hAnsi="Arial"/>
                <w:sz w:val="20"/>
                <w:szCs w:val="20"/>
                <w:b w:val="1"/>
                <w:bCs w:val="1"/>
                <w:color w:val="auto"/>
                <w:w w:val="94"/>
              </w:rPr>
              <w:t>Severability</w:t>
            </w:r>
            <w:r>
              <w:rPr>
                <w:rFonts w:ascii="Arial" w:cs="Arial" w:eastAsia="Arial" w:hAnsi="Arial"/>
                <w:sz w:val="20"/>
                <w:szCs w:val="20"/>
                <w:color w:val="auto"/>
                <w:w w:val="94"/>
              </w:rPr>
              <w:t>. In the event any provision of this Agreement shall be held illegal or invalid</w:t>
            </w:r>
          </w:p>
        </w:tc>
      </w:tr>
    </w:tbl>
    <w:p>
      <w:pPr>
        <w:ind w:right="300"/>
        <w:spacing w:after="0" w:line="243" w:lineRule="auto"/>
        <w:rPr>
          <w:sz w:val="20"/>
          <w:szCs w:val="20"/>
          <w:color w:val="auto"/>
        </w:rPr>
      </w:pPr>
      <w:r>
        <w:rPr>
          <w:rFonts w:ascii="Arial" w:cs="Arial" w:eastAsia="Arial" w:hAnsi="Arial"/>
          <w:sz w:val="20"/>
          <w:szCs w:val="20"/>
          <w:color w:val="auto"/>
        </w:rPr>
        <w:t>for any reason, the illegality or invalidity shall not affect the remaining parts of this Agreement, and this Agreement shall be construed and enforced as if the illegal or invalid provision had not been included. Further, the captions of this Agreement are not part of the provisions hereof and shall have no force and effect.</w:t>
      </w:r>
    </w:p>
    <w:p>
      <w:pPr>
        <w:spacing w:after="0" w:line="167" w:lineRule="exact"/>
        <w:rPr>
          <w:sz w:val="20"/>
          <w:szCs w:val="20"/>
          <w:color w:val="auto"/>
        </w:rPr>
      </w:pPr>
    </w:p>
    <w:p>
      <w:pPr>
        <w:ind w:firstLine="1729"/>
        <w:spacing w:after="0" w:line="255" w:lineRule="auto"/>
        <w:rPr>
          <w:sz w:val="20"/>
          <w:szCs w:val="20"/>
          <w:color w:val="auto"/>
        </w:rPr>
      </w:pPr>
      <w:r>
        <w:rPr>
          <w:rFonts w:ascii="Arial" w:cs="Arial" w:eastAsia="Arial" w:hAnsi="Arial"/>
          <w:sz w:val="20"/>
          <w:szCs w:val="20"/>
          <w:b w:val="1"/>
          <w:bCs w:val="1"/>
          <w:color w:val="auto"/>
        </w:rPr>
        <w:t xml:space="preserve">9.7 Modification. </w:t>
      </w:r>
      <w:r>
        <w:rPr>
          <w:rFonts w:ascii="Arial" w:cs="Arial" w:eastAsia="Arial" w:hAnsi="Arial"/>
          <w:sz w:val="20"/>
          <w:szCs w:val="20"/>
          <w:color w:val="auto"/>
        </w:rPr>
        <w:t>No provision of this Agreement may be modified, waived, or discharged</w:t>
      </w:r>
      <w:r>
        <w:rPr>
          <w:rFonts w:ascii="Arial" w:cs="Arial" w:eastAsia="Arial" w:hAnsi="Arial"/>
          <w:sz w:val="20"/>
          <w:szCs w:val="20"/>
          <w:b w:val="1"/>
          <w:bCs w:val="1"/>
          <w:color w:val="auto"/>
        </w:rPr>
        <w:t xml:space="preserve"> </w:t>
      </w:r>
      <w:r>
        <w:rPr>
          <w:rFonts w:ascii="Arial" w:cs="Arial" w:eastAsia="Arial" w:hAnsi="Arial"/>
          <w:sz w:val="20"/>
          <w:szCs w:val="20"/>
          <w:color w:val="auto"/>
        </w:rPr>
        <w:t>unless such modification, waiver, or discharge is agreed to in writing and signed by the Executive (or the Executive’s legal representative) and by an authorized member of the Committee (or the Board) or its designee or legal representative.</w:t>
      </w:r>
    </w:p>
    <w:p>
      <w:pPr>
        <w:spacing w:after="0" w:line="154" w:lineRule="exact"/>
        <w:rPr>
          <w:sz w:val="20"/>
          <w:szCs w:val="20"/>
          <w:color w:val="auto"/>
        </w:rPr>
      </w:pPr>
    </w:p>
    <w:p>
      <w:pPr>
        <w:ind w:right="60" w:firstLine="1729"/>
        <w:spacing w:after="0" w:line="275" w:lineRule="auto"/>
        <w:rPr>
          <w:sz w:val="20"/>
          <w:szCs w:val="20"/>
          <w:color w:val="auto"/>
        </w:rPr>
      </w:pPr>
      <w:r>
        <w:rPr>
          <w:rFonts w:ascii="Arial" w:cs="Arial" w:eastAsia="Arial" w:hAnsi="Arial"/>
          <w:sz w:val="18"/>
          <w:szCs w:val="18"/>
          <w:b w:val="1"/>
          <w:bCs w:val="1"/>
          <w:color w:val="auto"/>
        </w:rPr>
        <w:t xml:space="preserve">9.8 Notice. </w:t>
      </w:r>
      <w:r>
        <w:rPr>
          <w:rFonts w:ascii="Arial" w:cs="Arial" w:eastAsia="Arial" w:hAnsi="Arial"/>
          <w:sz w:val="18"/>
          <w:szCs w:val="18"/>
          <w:color w:val="auto"/>
        </w:rPr>
        <w:t>For purposes of this Agreement, notices, including Notice of Termination,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communications provided for in this Agreement shall be in writing and shall be deemed to have been duly given when delivered or on the date stamped as received by the U.S. Postal Service for delivery by certified or registered mail, postage prepaid and addressed: (a) if to the Executive, to his or her latest address as reflected on the records of the Company, and (b) if to the Company, to Parsons Corporation, 100 West Walnut Street, Pasadena, California 91124, Attn: Chair, Compensation Committee, or to such other address as either party may furnish to the other in writing for the delivery of notices to that party, with specific reference to this Agreement and the importance of the notice, except that a notice of change of address shall be effective only upon receipt by the other party.</w:t>
      </w:r>
    </w:p>
    <w:p>
      <w:pPr>
        <w:spacing w:after="0" w:line="140" w:lineRule="exact"/>
        <w:rPr>
          <w:sz w:val="20"/>
          <w:szCs w:val="20"/>
          <w:color w:val="auto"/>
        </w:rPr>
      </w:pPr>
    </w:p>
    <w:p>
      <w:pPr>
        <w:ind w:firstLine="1729"/>
        <w:spacing w:after="0" w:line="249" w:lineRule="auto"/>
        <w:rPr>
          <w:sz w:val="20"/>
          <w:szCs w:val="20"/>
          <w:color w:val="auto"/>
        </w:rPr>
      </w:pPr>
      <w:r>
        <w:rPr>
          <w:rFonts w:ascii="Arial" w:cs="Arial" w:eastAsia="Arial" w:hAnsi="Arial"/>
          <w:sz w:val="20"/>
          <w:szCs w:val="20"/>
          <w:b w:val="1"/>
          <w:bCs w:val="1"/>
          <w:color w:val="auto"/>
        </w:rPr>
        <w:t xml:space="preserve">9.9 Applicable Law. </w:t>
      </w:r>
      <w:r>
        <w:rPr>
          <w:rFonts w:ascii="Arial" w:cs="Arial" w:eastAsia="Arial" w:hAnsi="Arial"/>
          <w:sz w:val="20"/>
          <w:szCs w:val="20"/>
          <w:color w:val="auto"/>
        </w:rPr>
        <w:t>To the extent not preempted by the laws of the United States, the laws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State of California shall be the controlling law in all matters relating to this Agreement, without regard to principles of conflicts of laws. Any statutory reference in this Agreement shall also be deemed to refer to all final rules and final regulations promulgated under or with respect to the referenced statutory provision.</w:t>
      </w:r>
    </w:p>
    <w:p>
      <w:pPr>
        <w:spacing w:after="0" w:line="161" w:lineRule="exact"/>
        <w:rPr>
          <w:sz w:val="20"/>
          <w:szCs w:val="20"/>
          <w:color w:val="auto"/>
        </w:rPr>
      </w:pPr>
    </w:p>
    <w:p>
      <w:pPr>
        <w:ind w:right="80" w:firstLine="1729"/>
        <w:spacing w:after="0" w:line="249" w:lineRule="auto"/>
        <w:rPr>
          <w:sz w:val="20"/>
          <w:szCs w:val="20"/>
          <w:color w:val="auto"/>
        </w:rPr>
      </w:pPr>
      <w:r>
        <w:rPr>
          <w:rFonts w:ascii="Arial" w:cs="Arial" w:eastAsia="Arial" w:hAnsi="Arial"/>
          <w:sz w:val="20"/>
          <w:szCs w:val="20"/>
          <w:b w:val="1"/>
          <w:bCs w:val="1"/>
          <w:color w:val="auto"/>
        </w:rPr>
        <w:t xml:space="preserve">9.10 Code Sections 280G and 4999. </w:t>
      </w:r>
      <w:r>
        <w:rPr>
          <w:rFonts w:ascii="Arial" w:cs="Arial" w:eastAsia="Arial" w:hAnsi="Arial"/>
          <w:sz w:val="20"/>
          <w:szCs w:val="20"/>
          <w:color w:val="auto"/>
        </w:rPr>
        <w:t>Notwithstanding anything contained in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to the contrary, if following a change in ownership or effective control or in the ownership of a substantial portion of assets (in each case, within the meaning of Section 280G of the Code), the tax imposed by Section 4999 of the Code or any similar or successor tax (the “Excise Tax”) applies to any payments, benefits and/or amounts received by the Executive</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20"/>
          </w:cols>
          <w:pgMar w:left="320" w:top="752" w:right="359" w:bottom="1440" w:gutter="0" w:footer="0" w:header="0"/>
        </w:sectPr>
      </w:pPr>
    </w:p>
    <w:bookmarkStart w:id="266" w:name="page267"/>
    <w:bookmarkEnd w:id="266"/>
    <w:p>
      <w:pPr>
        <w:spacing w:after="0" w:line="241" w:lineRule="auto"/>
        <w:rPr>
          <w:sz w:val="20"/>
          <w:szCs w:val="20"/>
          <w:color w:val="auto"/>
        </w:rPr>
      </w:pPr>
      <w:r>
        <w:rPr>
          <w:rFonts w:ascii="Arial" w:cs="Arial" w:eastAsia="Arial" w:hAnsi="Arial"/>
          <w:sz w:val="20"/>
          <w:szCs w:val="20"/>
          <w:color w:val="auto"/>
        </w:rPr>
        <w:t>pursuant to this Agreement or otherwise (collectively, the “Total Payments”), then the Total Payments shall be reduced (but not below zero) so that the maximum amount of the Total Payments (after reduction) shall be one dollar ($1.00) less than the amount which would cause the Total Payments to be subject to the Excise Tax; provided that such reduction to the Total Payments shall be made only if the total after-tax benefit to the Executive is greater after giving effect to such reduction than if no such reduction had been made. If such a reduction is required, the Company shall reduce or eliminate the Total Payments by first reducing or eliminating any cash payments under this Agreement, then by reducing or eliminating any accelerated vesting of any long-term cash incentive awards, then by reducing or eliminating any other remaining Total Payments, in each case in reverse order beginning with the payments which are to be paid the farthest in time from the date of the transaction triggering the Excise Tax. The provisions of this Section 9.10 shall take precedence over the provisions of any other plan, arrangement or agreement governing the Executive’s rights and entitlements to any benefits or compensation.</w:t>
      </w:r>
    </w:p>
    <w:p>
      <w:pPr>
        <w:spacing w:after="0" w:line="200" w:lineRule="exact"/>
        <w:rPr>
          <w:sz w:val="20"/>
          <w:szCs w:val="20"/>
          <w:color w:val="auto"/>
        </w:rPr>
      </w:pPr>
    </w:p>
    <w:p>
      <w:pPr>
        <w:spacing w:after="0" w:line="377"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executed this Agreement on the date first set forth above.</w:t>
      </w:r>
    </w:p>
    <w:p>
      <w:pPr>
        <w:spacing w:after="0" w:line="201"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Name: David Spille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Parsons Corporation</w:t>
      </w:r>
    </w:p>
    <w:p>
      <w:pPr>
        <w:spacing w:after="0" w:line="306" w:lineRule="exact"/>
        <w:rPr>
          <w:sz w:val="20"/>
          <w:szCs w:val="20"/>
          <w:color w:val="auto"/>
        </w:rPr>
      </w:pPr>
    </w:p>
    <w:p>
      <w:pPr>
        <w:ind w:left="60"/>
        <w:spacing w:after="0"/>
        <w:rPr>
          <w:sz w:val="20"/>
          <w:szCs w:val="20"/>
          <w:color w:val="auto"/>
        </w:rPr>
      </w:pPr>
      <w:r>
        <w:rPr>
          <w:rFonts w:ascii="Arial" w:cs="Arial" w:eastAsia="Arial" w:hAnsi="Arial"/>
          <w:sz w:val="20"/>
          <w:szCs w:val="20"/>
          <w:color w:val="auto"/>
        </w:rPr>
        <w:t>By:</w:t>
      </w:r>
    </w:p>
    <w:p>
      <w:pPr>
        <w:spacing w:after="0" w:line="20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Carey Smith</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20"/>
          <w:szCs w:val="20"/>
          <w:color w:val="auto"/>
        </w:rPr>
        <w:t>Chief Executive Officer</w:t>
      </w:r>
    </w:p>
    <w:p>
      <w:pPr>
        <w:spacing w:after="0" w:line="158"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A-15</w:t>
      </w:r>
    </w:p>
    <w:p>
      <w:pPr>
        <w:sectPr>
          <w:pgSz w:w="11900" w:h="16838" w:orient="portrait"/>
          <w:cols w:equalWidth="0" w:num="1">
            <w:col w:w="11200"/>
          </w:cols>
          <w:pgMar w:left="320" w:top="752" w:right="379" w:bottom="1440" w:gutter="0" w:footer="0" w:header="0"/>
        </w:sectPr>
      </w:pPr>
    </w:p>
    <w:bookmarkStart w:id="267" w:name="page268"/>
    <w:bookmarkEnd w:id="267"/>
    <w:p>
      <w:pPr>
        <w:spacing w:after="0"/>
        <w:rPr>
          <w:sz w:val="20"/>
          <w:szCs w:val="20"/>
          <w:color w:val="auto"/>
        </w:rPr>
      </w:pPr>
      <w:r>
        <w:rPr>
          <w:rFonts w:ascii="Arial" w:cs="Arial" w:eastAsia="Arial" w:hAnsi="Arial"/>
          <w:sz w:val="20"/>
          <w:szCs w:val="20"/>
          <w:color w:val="auto"/>
        </w:rPr>
        <w:t>Exhibit 10.33</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PARSONS CORPORATION</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CHANGE IN CONTROL SEVERANCE AGREEMENT</w:t>
      </w:r>
    </w:p>
    <w:p>
      <w:pPr>
        <w:spacing w:after="0" w:line="382"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 xml:space="preserve">THIS CHANGE IN CONTROL SEVERANCE AGREEMENT </w:t>
      </w:r>
      <w:r>
        <w:rPr>
          <w:rFonts w:ascii="Arial" w:cs="Arial" w:eastAsia="Arial" w:hAnsi="Arial"/>
          <w:sz w:val="19"/>
          <w:szCs w:val="19"/>
          <w:color w:val="auto"/>
        </w:rPr>
        <w:t>(this “Agreement”) is made and entered into on this _____</w:t>
      </w:r>
    </w:p>
    <w:p>
      <w:pPr>
        <w:spacing w:after="0" w:line="32" w:lineRule="exact"/>
        <w:rPr>
          <w:sz w:val="20"/>
          <w:szCs w:val="20"/>
          <w:color w:val="auto"/>
        </w:rPr>
      </w:pPr>
    </w:p>
    <w:p>
      <w:pPr>
        <w:ind w:right="220"/>
        <w:spacing w:after="0" w:line="249" w:lineRule="auto"/>
        <w:rPr>
          <w:sz w:val="20"/>
          <w:szCs w:val="20"/>
          <w:color w:val="auto"/>
        </w:rPr>
      </w:pPr>
      <w:r>
        <w:rPr>
          <w:rFonts w:ascii="Arial" w:cs="Arial" w:eastAsia="Arial" w:hAnsi="Arial"/>
          <w:sz w:val="20"/>
          <w:szCs w:val="20"/>
          <w:color w:val="auto"/>
        </w:rPr>
        <w:t>day of October 2021 (the “Effective Date”), by and between Parsons Corporation, a Delaware corporation (hereinafter referred to as the “Company”) and Matthew Ofilos (the “Executive”).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RECITALS</w:t>
      </w:r>
    </w:p>
    <w:p>
      <w:pPr>
        <w:spacing w:after="0" w:line="205" w:lineRule="exact"/>
        <w:rPr>
          <w:sz w:val="20"/>
          <w:szCs w:val="20"/>
          <w:color w:val="auto"/>
        </w:rPr>
      </w:pPr>
    </w:p>
    <w:p>
      <w:pPr>
        <w:ind w:right="80" w:firstLine="865"/>
        <w:spacing w:after="0" w:line="324" w:lineRule="auto"/>
        <w:rPr>
          <w:sz w:val="20"/>
          <w:szCs w:val="20"/>
          <w:color w:val="auto"/>
        </w:rPr>
      </w:pPr>
      <w:r>
        <w:rPr>
          <w:rFonts w:ascii="Arial" w:cs="Arial" w:eastAsia="Arial" w:hAnsi="Arial"/>
          <w:sz w:val="18"/>
          <w:szCs w:val="18"/>
          <w:color w:val="auto"/>
        </w:rPr>
        <w:t>The Compensation Committee of the Board of Directors of Parsons Corporation (the “Committee”) and the Board of Directors have approved the Company’s entering into this Agreement with the Executive. The Executive is a key executive of the Company.</w:t>
      </w:r>
    </w:p>
    <w:p>
      <w:pPr>
        <w:spacing w:after="0" w:line="100" w:lineRule="exact"/>
        <w:rPr>
          <w:sz w:val="20"/>
          <w:szCs w:val="20"/>
          <w:color w:val="auto"/>
        </w:rPr>
      </w:pPr>
    </w:p>
    <w:p>
      <w:pPr>
        <w:ind w:right="100" w:firstLine="865"/>
        <w:spacing w:after="0" w:line="265" w:lineRule="auto"/>
        <w:rPr>
          <w:sz w:val="20"/>
          <w:szCs w:val="20"/>
          <w:color w:val="auto"/>
        </w:rPr>
      </w:pPr>
      <w:r>
        <w:rPr>
          <w:rFonts w:ascii="Arial" w:cs="Arial" w:eastAsia="Arial" w:hAnsi="Arial"/>
          <w:sz w:val="19"/>
          <w:szCs w:val="19"/>
          <w:color w:val="auto"/>
        </w:rPr>
        <w:t>Should the possibility of a Change in Control (as defined below) arise, the Committee believes it imperative that the Company should be able to rely upon the Executive to continue in his position, and that the Company should be able to receive and rely upon the Executive’s advice, if requested, as to the best interests of the Company and its shareholders without concern that the Executive might be distracted by the personal uncertainties and risks created by the possibility of a Change in Control.</w:t>
      </w:r>
    </w:p>
    <w:p>
      <w:pPr>
        <w:spacing w:after="0" w:line="151" w:lineRule="exact"/>
        <w:rPr>
          <w:sz w:val="20"/>
          <w:szCs w:val="20"/>
          <w:color w:val="auto"/>
        </w:rPr>
      </w:pPr>
    </w:p>
    <w:p>
      <w:pPr>
        <w:jc w:val="both"/>
        <w:ind w:right="60" w:firstLine="865"/>
        <w:spacing w:after="0" w:line="248" w:lineRule="auto"/>
        <w:rPr>
          <w:sz w:val="20"/>
          <w:szCs w:val="20"/>
          <w:color w:val="auto"/>
        </w:rPr>
      </w:pPr>
      <w:r>
        <w:rPr>
          <w:rFonts w:ascii="Arial" w:cs="Arial" w:eastAsia="Arial" w:hAnsi="Arial"/>
          <w:sz w:val="20"/>
          <w:szCs w:val="20"/>
          <w:color w:val="auto"/>
        </w:rPr>
        <w:t>Should the possibility of a Change in Control arise, in addition to his regular duties, the Executive may be called upon to assist in the assessment of such a possible Change in Control upon the Company’s shareholders, advise management and the Board of Directors as to whether such a Change in Control would be in the best interests of the Company and its shareholders, and to take such other actions as the Board of Directors might determine to be appropriate.</w:t>
      </w:r>
    </w:p>
    <w:p>
      <w:pPr>
        <w:spacing w:after="0" w:line="161" w:lineRule="exact"/>
        <w:rPr>
          <w:sz w:val="20"/>
          <w:szCs w:val="20"/>
          <w:color w:val="auto"/>
        </w:rPr>
      </w:pPr>
    </w:p>
    <w:p>
      <w:pPr>
        <w:jc w:val="both"/>
        <w:ind w:firstLine="865"/>
        <w:spacing w:after="0" w:line="266"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to assure the Company that it will have the continued dedication of the Executive and the availability of</w:t>
      </w:r>
      <w:r>
        <w:rPr>
          <w:rFonts w:ascii="Arial" w:cs="Arial" w:eastAsia="Arial" w:hAnsi="Arial"/>
          <w:sz w:val="19"/>
          <w:szCs w:val="19"/>
          <w:b w:val="1"/>
          <w:bCs w:val="1"/>
          <w:color w:val="auto"/>
        </w:rPr>
        <w:t xml:space="preserve"> </w:t>
      </w:r>
      <w:r>
        <w:rPr>
          <w:rFonts w:ascii="Arial" w:cs="Arial" w:eastAsia="Arial" w:hAnsi="Arial"/>
          <w:sz w:val="19"/>
          <w:szCs w:val="19"/>
          <w:color w:val="auto"/>
        </w:rPr>
        <w:t>his advice and counsel notwithstanding the possibility, threat, or occurrence of a Change in Control, and to induce the Executive to remain in the employ of the Company in the face of these circumstances and for other good and valuable consideration, the receipt and adequacy of which are hereby acknowledged, the Company and the Executive agree as follows: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I</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CERTAIN DEFINITIONS</w:t>
      </w:r>
    </w:p>
    <w:p>
      <w:pPr>
        <w:spacing w:after="0" w:line="183" w:lineRule="exact"/>
        <w:rPr>
          <w:sz w:val="20"/>
          <w:szCs w:val="20"/>
          <w:color w:val="auto"/>
        </w:rPr>
      </w:pPr>
    </w:p>
    <w:p>
      <w:pPr>
        <w:ind w:right="560" w:firstLine="865"/>
        <w:spacing w:after="0" w:line="268" w:lineRule="auto"/>
        <w:rPr>
          <w:sz w:val="20"/>
          <w:szCs w:val="20"/>
          <w:color w:val="auto"/>
        </w:rPr>
      </w:pPr>
      <w:r>
        <w:rPr>
          <w:rFonts w:ascii="Arial" w:cs="Arial" w:eastAsia="Arial" w:hAnsi="Arial"/>
          <w:sz w:val="20"/>
          <w:szCs w:val="20"/>
          <w:color w:val="auto"/>
        </w:rPr>
        <w:t>Whenever used in this Agreement, the following terms shall have the meanings set forth below unless the context clearly indicates to the contrary:</w:t>
      </w:r>
    </w:p>
    <w:p>
      <w:pPr>
        <w:spacing w:after="0" w:line="146" w:lineRule="exact"/>
        <w:rPr>
          <w:sz w:val="20"/>
          <w:szCs w:val="20"/>
          <w:color w:val="auto"/>
        </w:rPr>
      </w:pPr>
    </w:p>
    <w:p>
      <w:pPr>
        <w:ind w:left="1720" w:right="380" w:hanging="856"/>
        <w:spacing w:after="0" w:line="268" w:lineRule="auto"/>
        <w:tabs>
          <w:tab w:leader="none" w:pos="172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“Base Salary” means the salary of record paid to the Executive by the Company as annual salary (whether or not deferred), but excludes amounts received under incentive or other bonus plans.</w:t>
      </w:r>
    </w:p>
    <w:p>
      <w:pPr>
        <w:spacing w:after="0" w:line="323"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68" w:name="page269"/>
    <w:bookmarkEnd w:id="268"/>
    <w:p>
      <w:pPr>
        <w:ind w:left="860" w:right="880" w:hanging="856"/>
        <w:spacing w:after="0" w:line="268" w:lineRule="auto"/>
        <w:tabs>
          <w:tab w:leader="none" w:pos="86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“Beneficial Owner” shall have the meaning ascribed to such term in Rule 13d-3 of the General Rules and Regulations under the Exchange Act.</w:t>
      </w:r>
    </w:p>
    <w:p>
      <w:pPr>
        <w:spacing w:after="0" w:line="145" w:lineRule="exact"/>
        <w:rPr>
          <w:rFonts w:ascii="Arial" w:cs="Arial" w:eastAsia="Arial" w:hAnsi="Arial"/>
          <w:sz w:val="20"/>
          <w:szCs w:val="20"/>
          <w:color w:val="auto"/>
        </w:rPr>
      </w:pPr>
    </w:p>
    <w:p>
      <w:pPr>
        <w:ind w:left="860" w:right="140" w:hanging="856"/>
        <w:spacing w:after="0" w:line="268" w:lineRule="auto"/>
        <w:tabs>
          <w:tab w:leader="none" w:pos="86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“Beneficiary” means the persons or entities designated or deemed designated by the Executive pursuant to Section 9.3.</w:t>
      </w:r>
    </w:p>
    <w:p>
      <w:pPr>
        <w:spacing w:after="0" w:line="145" w:lineRule="exact"/>
        <w:rPr>
          <w:rFonts w:ascii="Arial" w:cs="Arial" w:eastAsia="Arial" w:hAnsi="Arial"/>
          <w:sz w:val="20"/>
          <w:szCs w:val="20"/>
          <w:color w:val="auto"/>
        </w:rPr>
      </w:pPr>
    </w:p>
    <w:p>
      <w:pPr>
        <w:ind w:left="860" w:hanging="856"/>
        <w:spacing w:after="0"/>
        <w:tabs>
          <w:tab w:leader="none" w:pos="86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“Board” means the Board of Directors of the Company.</w:t>
      </w:r>
    </w:p>
    <w:p>
      <w:pPr>
        <w:spacing w:after="0" w:line="201" w:lineRule="exact"/>
        <w:rPr>
          <w:rFonts w:ascii="Arial" w:cs="Arial" w:eastAsia="Arial" w:hAnsi="Arial"/>
          <w:sz w:val="20"/>
          <w:szCs w:val="20"/>
          <w:color w:val="auto"/>
        </w:rPr>
      </w:pPr>
    </w:p>
    <w:p>
      <w:pPr>
        <w:ind w:left="860" w:hanging="856"/>
        <w:spacing w:after="0"/>
        <w:tabs>
          <w:tab w:leader="none" w:pos="86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“Cause” means the occurrence of any one or more of the following:</w:t>
      </w:r>
    </w:p>
    <w:p>
      <w:pPr>
        <w:spacing w:after="0" w:line="201" w:lineRule="exact"/>
        <w:rPr>
          <w:rFonts w:ascii="Arial" w:cs="Arial" w:eastAsia="Arial" w:hAnsi="Arial"/>
          <w:sz w:val="20"/>
          <w:szCs w:val="20"/>
          <w:color w:val="auto"/>
        </w:rPr>
      </w:pPr>
    </w:p>
    <w:p>
      <w:pPr>
        <w:ind w:left="1720" w:hanging="854"/>
        <w:spacing w:after="0"/>
        <w:tabs>
          <w:tab w:leader="none" w:pos="1720" w:val="left"/>
        </w:tabs>
        <w:numPr>
          <w:ilvl w:val="1"/>
          <w:numId w:val="143"/>
        </w:numPr>
        <w:rPr>
          <w:rFonts w:ascii="Arial" w:cs="Arial" w:eastAsia="Arial" w:hAnsi="Arial"/>
          <w:sz w:val="20"/>
          <w:szCs w:val="20"/>
          <w:color w:val="auto"/>
        </w:rPr>
      </w:pPr>
      <w:r>
        <w:rPr>
          <w:rFonts w:ascii="Arial" w:cs="Arial" w:eastAsia="Arial" w:hAnsi="Arial"/>
          <w:sz w:val="20"/>
          <w:szCs w:val="20"/>
          <w:color w:val="auto"/>
        </w:rPr>
        <w:t>The Executive’s committing an act of fraud or embezzlement upon the Company.</w:t>
      </w:r>
    </w:p>
    <w:p>
      <w:pPr>
        <w:spacing w:after="0" w:line="201" w:lineRule="exact"/>
        <w:rPr>
          <w:rFonts w:ascii="Arial" w:cs="Arial" w:eastAsia="Arial" w:hAnsi="Arial"/>
          <w:sz w:val="20"/>
          <w:szCs w:val="20"/>
          <w:color w:val="auto"/>
        </w:rPr>
      </w:pPr>
    </w:p>
    <w:p>
      <w:pPr>
        <w:ind w:left="1720" w:right="800" w:hanging="854"/>
        <w:spacing w:after="0" w:line="268" w:lineRule="auto"/>
        <w:tabs>
          <w:tab w:leader="none" w:pos="1720" w:val="left"/>
        </w:tabs>
        <w:numPr>
          <w:ilvl w:val="1"/>
          <w:numId w:val="143"/>
        </w:numPr>
        <w:rPr>
          <w:rFonts w:ascii="Arial" w:cs="Arial" w:eastAsia="Arial" w:hAnsi="Arial"/>
          <w:sz w:val="20"/>
          <w:szCs w:val="20"/>
          <w:color w:val="auto"/>
        </w:rPr>
      </w:pPr>
      <w:r>
        <w:rPr>
          <w:rFonts w:ascii="Arial" w:cs="Arial" w:eastAsia="Arial" w:hAnsi="Arial"/>
          <w:sz w:val="20"/>
          <w:szCs w:val="20"/>
          <w:color w:val="auto"/>
        </w:rPr>
        <w:t>The Executive’s conviction of or pleading guilty or nolo contendere to a felony involving fraud, dishonesty or moral turpitude.</w:t>
      </w:r>
    </w:p>
    <w:p>
      <w:pPr>
        <w:spacing w:after="0" w:line="145" w:lineRule="exact"/>
        <w:rPr>
          <w:rFonts w:ascii="Arial" w:cs="Arial" w:eastAsia="Arial" w:hAnsi="Arial"/>
          <w:sz w:val="20"/>
          <w:szCs w:val="20"/>
          <w:color w:val="auto"/>
        </w:rPr>
      </w:pPr>
    </w:p>
    <w:p>
      <w:pPr>
        <w:ind w:left="1720" w:hanging="854"/>
        <w:spacing w:after="0" w:line="253" w:lineRule="auto"/>
        <w:tabs>
          <w:tab w:leader="none" w:pos="1720" w:val="left"/>
        </w:tabs>
        <w:numPr>
          <w:ilvl w:val="1"/>
          <w:numId w:val="143"/>
        </w:numPr>
        <w:rPr>
          <w:rFonts w:ascii="Arial" w:cs="Arial" w:eastAsia="Arial" w:hAnsi="Arial"/>
          <w:sz w:val="20"/>
          <w:szCs w:val="20"/>
          <w:color w:val="auto"/>
        </w:rPr>
      </w:pPr>
      <w:r>
        <w:rPr>
          <w:rFonts w:ascii="Arial" w:cs="Arial" w:eastAsia="Arial" w:hAnsi="Arial"/>
          <w:sz w:val="20"/>
          <w:szCs w:val="20"/>
          <w:color w:val="auto"/>
        </w:rPr>
        <w:t>The Executive’s willful and continued failure to substantially perform material duties which is not remedied in a reasonable period of time after written demand for substantial performances is delivered by the Board.</w:t>
      </w:r>
    </w:p>
    <w:p>
      <w:pPr>
        <w:spacing w:after="0" w:line="160" w:lineRule="exact"/>
        <w:rPr>
          <w:rFonts w:ascii="Arial" w:cs="Arial" w:eastAsia="Arial" w:hAnsi="Arial"/>
          <w:sz w:val="20"/>
          <w:szCs w:val="20"/>
          <w:color w:val="auto"/>
        </w:rPr>
      </w:pPr>
    </w:p>
    <w:p>
      <w:pPr>
        <w:ind w:left="1720" w:hanging="854"/>
        <w:spacing w:after="0"/>
        <w:tabs>
          <w:tab w:leader="none" w:pos="1720" w:val="left"/>
        </w:tabs>
        <w:numPr>
          <w:ilvl w:val="1"/>
          <w:numId w:val="143"/>
        </w:numPr>
        <w:rPr>
          <w:rFonts w:ascii="Arial" w:cs="Arial" w:eastAsia="Arial" w:hAnsi="Arial"/>
          <w:sz w:val="20"/>
          <w:szCs w:val="20"/>
          <w:color w:val="auto"/>
        </w:rPr>
      </w:pPr>
      <w:r>
        <w:rPr>
          <w:rFonts w:ascii="Arial" w:cs="Arial" w:eastAsia="Arial" w:hAnsi="Arial"/>
          <w:sz w:val="20"/>
          <w:szCs w:val="20"/>
          <w:color w:val="auto"/>
        </w:rPr>
        <w:t>The Executive’s material violation of the Company’s Code of Conduct.</w:t>
      </w:r>
    </w:p>
    <w:p>
      <w:pPr>
        <w:spacing w:after="0" w:line="201" w:lineRule="exact"/>
        <w:rPr>
          <w:rFonts w:ascii="Arial" w:cs="Arial" w:eastAsia="Arial" w:hAnsi="Arial"/>
          <w:sz w:val="20"/>
          <w:szCs w:val="20"/>
          <w:color w:val="auto"/>
        </w:rPr>
      </w:pPr>
    </w:p>
    <w:p>
      <w:pPr>
        <w:ind w:left="860" w:right="160" w:hanging="856"/>
        <w:spacing w:after="0" w:line="268" w:lineRule="auto"/>
        <w:tabs>
          <w:tab w:leader="none" w:pos="86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“Change in Control” shall mean and include each of the following, and shall be deemed to have occurred as of the first day that any one or more of the following conditions shall have been satisfied:</w:t>
      </w:r>
    </w:p>
    <w:p>
      <w:pPr>
        <w:spacing w:after="0" w:line="145" w:lineRule="exact"/>
        <w:rPr>
          <w:rFonts w:ascii="Arial" w:cs="Arial" w:eastAsia="Arial" w:hAnsi="Arial"/>
          <w:sz w:val="20"/>
          <w:szCs w:val="20"/>
          <w:color w:val="auto"/>
        </w:rPr>
      </w:pPr>
    </w:p>
    <w:p>
      <w:pPr>
        <w:ind w:left="1720" w:right="40" w:hanging="854"/>
        <w:spacing w:after="0" w:line="254" w:lineRule="auto"/>
        <w:tabs>
          <w:tab w:leader="none" w:pos="1720" w:val="left"/>
        </w:tabs>
        <w:numPr>
          <w:ilvl w:val="1"/>
          <w:numId w:val="143"/>
        </w:numPr>
        <w:rPr>
          <w:rFonts w:ascii="Arial" w:cs="Arial" w:eastAsia="Arial" w:hAnsi="Arial"/>
          <w:sz w:val="19"/>
          <w:szCs w:val="19"/>
          <w:color w:val="auto"/>
        </w:rPr>
      </w:pPr>
      <w:r>
        <w:rPr>
          <w:rFonts w:ascii="Arial" w:cs="Arial" w:eastAsia="Arial" w:hAnsi="Arial"/>
          <w:sz w:val="19"/>
          <w:szCs w:val="19"/>
          <w:color w:val="auto"/>
        </w:rPr>
        <w:t xml:space="preserve">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directly or indirectly acquires beneficial ownership (within the meaning of Rules 13d-3 and 13d-5 under the Exchange Act) of securities of the Company possessing more than 50 % of the total combined voting power of the Company’s securities outstanding immediately after such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following acquisitions shall not constitute a Change in Control: (i) any acquisition by the Company or any of its Subsidiaries; (ii) any acquisition by an employee benefit plan maintained by the Company or any of its Subsidiaries, (iii) any acquisition which complies with Sections 1(f)(iii)(1), (2) or (3) of this Article; or (iv) in respect of an Award held by a particular Holder, any acquisition by the Holder or any group of persons including the Holder (or any entity controlled by the Holder or any group of persons including the Holder); or</w:t>
      </w:r>
    </w:p>
    <w:p>
      <w:pPr>
        <w:spacing w:after="0" w:line="166" w:lineRule="exact"/>
        <w:rPr>
          <w:rFonts w:ascii="Arial" w:cs="Arial" w:eastAsia="Arial" w:hAnsi="Arial"/>
          <w:sz w:val="19"/>
          <w:szCs w:val="19"/>
          <w:color w:val="auto"/>
        </w:rPr>
      </w:pPr>
    </w:p>
    <w:p>
      <w:pPr>
        <w:ind w:left="1720" w:hanging="854"/>
        <w:spacing w:after="0"/>
        <w:tabs>
          <w:tab w:leader="none" w:pos="1720" w:val="left"/>
        </w:tabs>
        <w:numPr>
          <w:ilvl w:val="1"/>
          <w:numId w:val="143"/>
        </w:numPr>
        <w:rPr>
          <w:rFonts w:ascii="Arial" w:cs="Arial" w:eastAsia="Arial" w:hAnsi="Arial"/>
          <w:sz w:val="20"/>
          <w:szCs w:val="20"/>
          <w:color w:val="auto"/>
        </w:rPr>
      </w:pPr>
      <w:r>
        <w:rPr>
          <w:rFonts w:ascii="Arial" w:cs="Arial" w:eastAsia="Arial" w:hAnsi="Arial"/>
          <w:sz w:val="20"/>
          <w:szCs w:val="20"/>
          <w:color w:val="auto"/>
        </w:rPr>
        <w:t>The Incumbent Directors cease for any reason to constitute a majority of the Board;</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40005</wp:posOffset>
            </wp:positionV>
            <wp:extent cx="7182485" cy="412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0">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0300"/>
          </w:cols>
          <w:pgMar w:left="1180" w:top="752" w:right="419" w:bottom="1440" w:gutter="0" w:footer="0" w:header="0"/>
        </w:sectPr>
      </w:pPr>
    </w:p>
    <w:bookmarkStart w:id="269" w:name="page270"/>
    <w:bookmarkEnd w:id="269"/>
    <w:p>
      <w:pPr>
        <w:jc w:val="both"/>
        <w:ind w:left="1720" w:hanging="854"/>
        <w:spacing w:after="0" w:line="245" w:lineRule="auto"/>
        <w:tabs>
          <w:tab w:leader="none" w:pos="172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spacing w:after="0" w:line="169" w:lineRule="exact"/>
        <w:rPr>
          <w:rFonts w:ascii="Arial" w:cs="Arial" w:eastAsia="Arial" w:hAnsi="Arial"/>
          <w:sz w:val="20"/>
          <w:szCs w:val="20"/>
          <w:color w:val="auto"/>
        </w:rPr>
      </w:pPr>
    </w:p>
    <w:p>
      <w:pPr>
        <w:jc w:val="both"/>
        <w:ind w:left="2480" w:hanging="752"/>
        <w:spacing w:after="0" w:line="274" w:lineRule="auto"/>
        <w:tabs>
          <w:tab w:leader="none" w:pos="24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“Successor Entity”)) directly or indirectly, at least a majority of the combined voting power of the Successor Entity’s outstanding voting securities immediately after the transaction, and</w:t>
      </w:r>
    </w:p>
    <w:p>
      <w:pPr>
        <w:spacing w:after="0" w:line="146" w:lineRule="exact"/>
        <w:rPr>
          <w:rFonts w:ascii="Arial" w:cs="Arial" w:eastAsia="Arial" w:hAnsi="Arial"/>
          <w:sz w:val="18"/>
          <w:szCs w:val="18"/>
          <w:color w:val="auto"/>
        </w:rPr>
      </w:pPr>
    </w:p>
    <w:p>
      <w:pPr>
        <w:jc w:val="both"/>
        <w:ind w:left="2480" w:hanging="752"/>
        <w:spacing w:after="0" w:line="261" w:lineRule="auto"/>
        <w:tabs>
          <w:tab w:leader="none" w:pos="2480" w:val="left"/>
        </w:tabs>
        <w:numPr>
          <w:ilvl w:val="1"/>
          <w:numId w:val="144"/>
        </w:numPr>
        <w:rPr>
          <w:rFonts w:ascii="Arial" w:cs="Arial" w:eastAsia="Arial" w:hAnsi="Arial"/>
          <w:sz w:val="19"/>
          <w:szCs w:val="19"/>
          <w:color w:val="auto"/>
        </w:rPr>
      </w:pPr>
      <w:r>
        <w:rPr>
          <w:rFonts w:ascii="Arial" w:cs="Arial" w:eastAsia="Arial" w:hAnsi="Arial"/>
          <w:sz w:val="19"/>
          <w:szCs w:val="19"/>
          <w:color w:val="auto"/>
        </w:rPr>
        <w:t>after which no person or group beneficially owns voting securities representing 50% or more of the combined voting power of the Successor Entity; provided, however, that no person or group shall be treated for purposes of this Section 1(f)(iii)(2) as beneficially owning 50% or more of the combined voting power of the Successor Entity solely as a result of the voting power held in the Company prior to the consummation of the transaction; and</w:t>
      </w:r>
    </w:p>
    <w:p>
      <w:pPr>
        <w:spacing w:after="0" w:line="155" w:lineRule="exact"/>
        <w:rPr>
          <w:rFonts w:ascii="Arial" w:cs="Arial" w:eastAsia="Arial" w:hAnsi="Arial"/>
          <w:sz w:val="19"/>
          <w:szCs w:val="19"/>
          <w:color w:val="auto"/>
        </w:rPr>
      </w:pPr>
    </w:p>
    <w:p>
      <w:pPr>
        <w:jc w:val="both"/>
        <w:ind w:left="2480" w:hanging="752"/>
        <w:spacing w:after="0" w:line="253" w:lineRule="auto"/>
        <w:tabs>
          <w:tab w:leader="none" w:pos="2480" w:val="left"/>
        </w:tabs>
        <w:numPr>
          <w:ilvl w:val="1"/>
          <w:numId w:val="144"/>
        </w:numPr>
        <w:rPr>
          <w:rFonts w:ascii="Arial" w:cs="Arial" w:eastAsia="Arial" w:hAnsi="Arial"/>
          <w:sz w:val="20"/>
          <w:szCs w:val="20"/>
          <w:color w:val="auto"/>
        </w:rPr>
      </w:pPr>
      <w:r>
        <w:rPr>
          <w:rFonts w:ascii="Arial" w:cs="Arial" w:eastAsia="Arial" w:hAnsi="Arial"/>
          <w:sz w:val="20"/>
          <w:szCs w:val="20"/>
          <w:color w:val="auto"/>
        </w:rPr>
        <w:t>after which at least a majority of the members of the board of directors (or the analogous governing body) of the Successor Entity were Board members at the time of the Board's approval of the execution of the initial agreement providing for such transaction; or</w:t>
      </w:r>
    </w:p>
    <w:p>
      <w:pPr>
        <w:spacing w:after="0" w:line="160" w:lineRule="exact"/>
        <w:rPr>
          <w:rFonts w:ascii="Arial" w:cs="Arial" w:eastAsia="Arial" w:hAnsi="Arial"/>
          <w:sz w:val="20"/>
          <w:szCs w:val="20"/>
          <w:color w:val="auto"/>
        </w:rPr>
      </w:pPr>
    </w:p>
    <w:p>
      <w:pPr>
        <w:ind w:left="1720" w:hanging="854"/>
        <w:spacing w:after="0"/>
        <w:tabs>
          <w:tab w:leader="none" w:pos="17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date which is 10 business days prior to the completion of a liquidation or dissolution of the Company.</w:t>
      </w:r>
    </w:p>
    <w:p>
      <w:pPr>
        <w:spacing w:after="0" w:line="224" w:lineRule="exact"/>
        <w:rPr>
          <w:sz w:val="20"/>
          <w:szCs w:val="20"/>
          <w:color w:val="auto"/>
        </w:rPr>
      </w:pPr>
    </w:p>
    <w:p>
      <w:pPr>
        <w:ind w:left="880"/>
        <w:spacing w:after="0" w:line="244" w:lineRule="auto"/>
        <w:rPr>
          <w:sz w:val="20"/>
          <w:szCs w:val="20"/>
          <w:color w:val="auto"/>
        </w:rPr>
      </w:pPr>
      <w:r>
        <w:rPr>
          <w:rFonts w:ascii="Arial" w:cs="Arial" w:eastAsia="Arial" w:hAnsi="Arial"/>
          <w:sz w:val="20"/>
          <w:szCs w:val="20"/>
          <w:color w:val="auto"/>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(i), (ii), (iii) or (iv)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69" w:lineRule="exact"/>
        <w:rPr>
          <w:sz w:val="20"/>
          <w:szCs w:val="20"/>
          <w:color w:val="auto"/>
        </w:rPr>
      </w:pPr>
    </w:p>
    <w:p>
      <w:pPr>
        <w:ind w:left="880" w:right="360"/>
        <w:spacing w:after="0" w:line="268" w:lineRule="auto"/>
        <w:rPr>
          <w:sz w:val="20"/>
          <w:szCs w:val="20"/>
          <w:color w:val="auto"/>
        </w:rPr>
      </w:pPr>
      <w:r>
        <w:rPr>
          <w:rFonts w:ascii="Arial" w:cs="Arial" w:eastAsia="Arial" w:hAnsi="Arial"/>
          <w:sz w:val="20"/>
          <w:szCs w:val="20"/>
          <w:color w:val="auto"/>
        </w:rPr>
        <w:t>For sake of clarity, a Change in Control will not occur by reason of the Parsons Employee Stock Ownership Plan (the “ESOP”) owning less than fifty percent of</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40005</wp:posOffset>
            </wp:positionV>
            <wp:extent cx="7182485" cy="412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1">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0380"/>
          </w:cols>
          <w:pgMar w:left="1180" w:top="752" w:right="339" w:bottom="1440" w:gutter="0" w:footer="0" w:header="0"/>
        </w:sectPr>
      </w:pPr>
    </w:p>
    <w:bookmarkStart w:id="270" w:name="page271"/>
    <w:bookmarkEnd w:id="270"/>
    <w:p>
      <w:pPr>
        <w:ind w:left="880" w:right="300"/>
        <w:spacing w:after="0" w:line="253" w:lineRule="auto"/>
        <w:rPr>
          <w:sz w:val="20"/>
          <w:szCs w:val="20"/>
          <w:color w:val="auto"/>
        </w:rPr>
      </w:pPr>
      <w:r>
        <w:rPr>
          <w:rFonts w:ascii="Arial" w:cs="Arial" w:eastAsia="Arial" w:hAnsi="Arial"/>
          <w:sz w:val="20"/>
          <w:szCs w:val="20"/>
          <w:color w:val="auto"/>
        </w:rPr>
        <w:t>(50%) of the voting power of the Company’s (or any successor thereto) equity securities due to (A) the ESOP making distributions to participants and their beneficiaries, or (B) the ESOP selling equity securities to the public through underwritten registered public offerings.</w:t>
      </w:r>
    </w:p>
    <w:p>
      <w:pPr>
        <w:spacing w:after="0" w:line="160" w:lineRule="exact"/>
        <w:rPr>
          <w:sz w:val="20"/>
          <w:szCs w:val="20"/>
          <w:color w:val="auto"/>
        </w:rPr>
      </w:pPr>
    </w:p>
    <w:p>
      <w:pPr>
        <w:ind w:left="880" w:right="180"/>
        <w:spacing w:after="0" w:line="261" w:lineRule="auto"/>
        <w:rPr>
          <w:sz w:val="20"/>
          <w:szCs w:val="20"/>
          <w:color w:val="auto"/>
        </w:rPr>
      </w:pPr>
      <w:r>
        <w:rPr>
          <w:rFonts w:ascii="Arial" w:cs="Arial" w:eastAsia="Arial" w:hAnsi="Arial"/>
          <w:sz w:val="19"/>
          <w:szCs w:val="19"/>
          <w:color w:val="auto"/>
        </w:rPr>
        <w:t>The Board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56" w:lineRule="exact"/>
        <w:rPr>
          <w:sz w:val="20"/>
          <w:szCs w:val="20"/>
          <w:color w:val="auto"/>
        </w:rPr>
      </w:pPr>
    </w:p>
    <w:p>
      <w:pPr>
        <w:ind w:left="860" w:hanging="856"/>
        <w:spacing w:after="0"/>
        <w:tabs>
          <w:tab w:leader="none" w:pos="86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“Code” means the United States Internal Revenue Code of 1986, as amended.</w:t>
      </w:r>
    </w:p>
    <w:p>
      <w:pPr>
        <w:spacing w:after="0" w:line="201" w:lineRule="exact"/>
        <w:rPr>
          <w:rFonts w:ascii="Arial" w:cs="Arial" w:eastAsia="Arial" w:hAnsi="Arial"/>
          <w:sz w:val="20"/>
          <w:szCs w:val="20"/>
          <w:color w:val="auto"/>
        </w:rPr>
      </w:pPr>
    </w:p>
    <w:p>
      <w:pPr>
        <w:ind w:left="860" w:hanging="856"/>
        <w:spacing w:after="0"/>
        <w:tabs>
          <w:tab w:leader="none" w:pos="86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“Company” means Parsons Corporation, a Delaware corporation, any successor thereto or acquirer thereof.</w:t>
      </w:r>
    </w:p>
    <w:p>
      <w:pPr>
        <w:spacing w:after="0" w:line="212" w:lineRule="exact"/>
        <w:rPr>
          <w:rFonts w:ascii="Arial" w:cs="Arial" w:eastAsia="Arial" w:hAnsi="Arial"/>
          <w:sz w:val="19"/>
          <w:szCs w:val="19"/>
          <w:color w:val="auto"/>
        </w:rPr>
      </w:pPr>
    </w:p>
    <w:p>
      <w:pPr>
        <w:ind w:left="860" w:right="120" w:hanging="856"/>
        <w:spacing w:after="0" w:line="245" w:lineRule="auto"/>
        <w:tabs>
          <w:tab w:leader="none" w:pos="86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“Disability” means, for all purposes of this Agreement, the incapacity of the Executive, due to injury, illness, disease, or bodily or mental infirmity, to engage in the performance of substantially all of the usual duties of his employment by the Company, such Disability to be determined by the Board upon receipt and in reliance on competent medical advice from one (l) or more individuals, selected or approved by the Board, who are qualified to give such professional medical advice.</w:t>
      </w:r>
    </w:p>
    <w:p>
      <w:pPr>
        <w:spacing w:after="0" w:line="169" w:lineRule="exact"/>
        <w:rPr>
          <w:rFonts w:ascii="Arial" w:cs="Arial" w:eastAsia="Arial" w:hAnsi="Arial"/>
          <w:sz w:val="20"/>
          <w:szCs w:val="20"/>
          <w:color w:val="auto"/>
        </w:rPr>
      </w:pPr>
    </w:p>
    <w:p>
      <w:pPr>
        <w:ind w:left="860" w:hanging="856"/>
        <w:spacing w:after="0"/>
        <w:tabs>
          <w:tab w:leader="none" w:pos="86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“Exchange Act” means the United States Securities Exchange Act of 1934, as amended.</w:t>
      </w:r>
    </w:p>
    <w:p>
      <w:pPr>
        <w:spacing w:after="0" w:line="201" w:lineRule="exact"/>
        <w:rPr>
          <w:rFonts w:ascii="Arial" w:cs="Arial" w:eastAsia="Arial" w:hAnsi="Arial"/>
          <w:sz w:val="20"/>
          <w:szCs w:val="20"/>
          <w:color w:val="auto"/>
        </w:rPr>
      </w:pPr>
    </w:p>
    <w:p>
      <w:pPr>
        <w:ind w:left="860" w:right="300" w:hanging="856"/>
        <w:spacing w:after="0" w:line="248" w:lineRule="auto"/>
        <w:tabs>
          <w:tab w:leader="none" w:pos="86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“Good Reason” means, without the Executive’s express written consent, the occurrence of any one or more of the following, unless the action or failure giving rise to such occurrence is withdrawn, reversed or cured by the Company within thirty (30) days of the date of the occurrence, and is not thereafter reinstated by the Company during the term of this Agreement:</w:t>
      </w:r>
    </w:p>
    <w:p>
      <w:pPr>
        <w:spacing w:after="0" w:line="165" w:lineRule="exact"/>
        <w:rPr>
          <w:rFonts w:ascii="Arial" w:cs="Arial" w:eastAsia="Arial" w:hAnsi="Arial"/>
          <w:sz w:val="20"/>
          <w:szCs w:val="20"/>
          <w:color w:val="auto"/>
        </w:rPr>
      </w:pPr>
    </w:p>
    <w:p>
      <w:pPr>
        <w:ind w:left="1720" w:right="260" w:hanging="854"/>
        <w:spacing w:after="0" w:line="272" w:lineRule="auto"/>
        <w:tabs>
          <w:tab w:leader="none" w:pos="1720" w:val="left"/>
        </w:tabs>
        <w:numPr>
          <w:ilvl w:val="1"/>
          <w:numId w:val="145"/>
        </w:numPr>
        <w:rPr>
          <w:rFonts w:ascii="Arial" w:cs="Arial" w:eastAsia="Arial" w:hAnsi="Arial"/>
          <w:sz w:val="19"/>
          <w:szCs w:val="19"/>
          <w:color w:val="auto"/>
        </w:rPr>
      </w:pPr>
      <w:r>
        <w:rPr>
          <w:rFonts w:ascii="Arial" w:cs="Arial" w:eastAsia="Arial" w:hAnsi="Arial"/>
          <w:sz w:val="19"/>
          <w:szCs w:val="19"/>
          <w:color w:val="auto"/>
        </w:rPr>
        <w:t>A material reduction in the nature or status of the Executive’s authorities, duties, and/or responsibilities (when such authorities, duties, and/or responsibilities are viewed in the aggregate) from their level in effect on the day immediately prior to the start of the Protected Period.</w:t>
      </w:r>
    </w:p>
    <w:p>
      <w:pPr>
        <w:spacing w:after="0" w:line="144" w:lineRule="exact"/>
        <w:rPr>
          <w:rFonts w:ascii="Arial" w:cs="Arial" w:eastAsia="Arial" w:hAnsi="Arial"/>
          <w:sz w:val="19"/>
          <w:szCs w:val="19"/>
          <w:color w:val="auto"/>
        </w:rPr>
      </w:pPr>
    </w:p>
    <w:p>
      <w:pPr>
        <w:ind w:left="1720" w:right="220" w:hanging="854"/>
        <w:spacing w:after="0" w:line="268" w:lineRule="auto"/>
        <w:tabs>
          <w:tab w:leader="none" w:pos="1720" w:val="left"/>
        </w:tabs>
        <w:numPr>
          <w:ilvl w:val="1"/>
          <w:numId w:val="145"/>
        </w:numPr>
        <w:rPr>
          <w:rFonts w:ascii="Arial" w:cs="Arial" w:eastAsia="Arial" w:hAnsi="Arial"/>
          <w:sz w:val="20"/>
          <w:szCs w:val="20"/>
          <w:color w:val="auto"/>
        </w:rPr>
      </w:pPr>
      <w:r>
        <w:rPr>
          <w:rFonts w:ascii="Arial" w:cs="Arial" w:eastAsia="Arial" w:hAnsi="Arial"/>
          <w:sz w:val="20"/>
          <w:szCs w:val="20"/>
          <w:color w:val="auto"/>
        </w:rPr>
        <w:t>A reduction by the Company of the Executive’s Base Salary as in effect on the day immediately prior to the start of the Protected Period.</w:t>
      </w:r>
    </w:p>
    <w:p>
      <w:pPr>
        <w:spacing w:after="0" w:line="145" w:lineRule="exact"/>
        <w:rPr>
          <w:rFonts w:ascii="Arial" w:cs="Arial" w:eastAsia="Arial" w:hAnsi="Arial"/>
          <w:sz w:val="20"/>
          <w:szCs w:val="20"/>
          <w:color w:val="auto"/>
        </w:rPr>
      </w:pPr>
    </w:p>
    <w:p>
      <w:pPr>
        <w:ind w:left="1720" w:hanging="854"/>
        <w:spacing w:after="0" w:line="248" w:lineRule="auto"/>
        <w:tabs>
          <w:tab w:leader="none" w:pos="1720" w:val="left"/>
        </w:tabs>
        <w:numPr>
          <w:ilvl w:val="1"/>
          <w:numId w:val="145"/>
        </w:numPr>
        <w:rPr>
          <w:rFonts w:ascii="Arial" w:cs="Arial" w:eastAsia="Arial" w:hAnsi="Arial"/>
          <w:sz w:val="20"/>
          <w:szCs w:val="20"/>
          <w:color w:val="auto"/>
        </w:rPr>
      </w:pPr>
      <w:r>
        <w:rPr>
          <w:rFonts w:ascii="Arial" w:cs="Arial" w:eastAsia="Arial" w:hAnsi="Arial"/>
          <w:sz w:val="20"/>
          <w:szCs w:val="20"/>
          <w:color w:val="auto"/>
        </w:rPr>
        <w:t>A material reduction by the Company of the Executive’s aggregate welfare benefits and/or the value of the incentive programs provided under the Company’s management incentive and/or other short and/or long-term incentive programs, as such benefits and opportunities exist on the day immediately prior to the start of the Protected Period.</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40005</wp:posOffset>
            </wp:positionV>
            <wp:extent cx="7182485" cy="412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0380"/>
          </w:cols>
          <w:pgMar w:left="1180" w:top="752" w:right="339" w:bottom="1440" w:gutter="0" w:footer="0" w:header="0"/>
        </w:sectPr>
      </w:pPr>
    </w:p>
    <w:bookmarkStart w:id="271" w:name="page272"/>
    <w:bookmarkEnd w:id="271"/>
    <w:p>
      <w:pPr>
        <w:ind w:left="1720" w:right="380" w:hanging="854"/>
        <w:spacing w:after="0" w:line="294" w:lineRule="auto"/>
        <w:tabs>
          <w:tab w:leader="none" w:pos="1720" w:val="left"/>
        </w:tabs>
        <w:numPr>
          <w:ilvl w:val="1"/>
          <w:numId w:val="146"/>
        </w:numPr>
        <w:rPr>
          <w:rFonts w:ascii="Arial" w:cs="Arial" w:eastAsia="Arial" w:hAnsi="Arial"/>
          <w:sz w:val="19"/>
          <w:szCs w:val="19"/>
          <w:color w:val="auto"/>
        </w:rPr>
      </w:pPr>
      <w:r>
        <w:rPr>
          <w:rFonts w:ascii="Arial" w:cs="Arial" w:eastAsia="Arial" w:hAnsi="Arial"/>
          <w:sz w:val="19"/>
          <w:szCs w:val="19"/>
          <w:color w:val="auto"/>
        </w:rPr>
        <w:t>The relocation of the Executive’s principal office by the Company more than fifty (50) miles from the location of the Executive’s principal office immediately prior to the start of the Protected Period.</w:t>
      </w:r>
    </w:p>
    <w:p>
      <w:pPr>
        <w:spacing w:after="0" w:line="123" w:lineRule="exact"/>
        <w:rPr>
          <w:rFonts w:ascii="Arial" w:cs="Arial" w:eastAsia="Arial" w:hAnsi="Arial"/>
          <w:sz w:val="19"/>
          <w:szCs w:val="19"/>
          <w:color w:val="auto"/>
        </w:rPr>
      </w:pPr>
    </w:p>
    <w:p>
      <w:pPr>
        <w:ind w:left="1720" w:hanging="854"/>
        <w:spacing w:after="0" w:line="268" w:lineRule="auto"/>
        <w:tabs>
          <w:tab w:leader="none" w:pos="1720" w:val="left"/>
        </w:tabs>
        <w:numPr>
          <w:ilvl w:val="1"/>
          <w:numId w:val="146"/>
        </w:numPr>
        <w:rPr>
          <w:rFonts w:ascii="Arial" w:cs="Arial" w:eastAsia="Arial" w:hAnsi="Arial"/>
          <w:sz w:val="20"/>
          <w:szCs w:val="20"/>
          <w:color w:val="auto"/>
        </w:rPr>
      </w:pPr>
      <w:r>
        <w:rPr>
          <w:rFonts w:ascii="Arial" w:cs="Arial" w:eastAsia="Arial" w:hAnsi="Arial"/>
          <w:sz w:val="20"/>
          <w:szCs w:val="20"/>
          <w:color w:val="auto"/>
        </w:rPr>
        <w:t>Any purported termination by the Company of the Executive’s employment that is not affected pursuant to a Notice of Termination satisfying the requirements of Section 3.4.</w:t>
      </w:r>
    </w:p>
    <w:p>
      <w:pPr>
        <w:spacing w:after="0" w:line="145" w:lineRule="exact"/>
        <w:rPr>
          <w:rFonts w:ascii="Arial" w:cs="Arial" w:eastAsia="Arial" w:hAnsi="Arial"/>
          <w:sz w:val="20"/>
          <w:szCs w:val="20"/>
          <w:color w:val="auto"/>
        </w:rPr>
      </w:pPr>
    </w:p>
    <w:p>
      <w:pPr>
        <w:ind w:left="1720" w:right="340" w:hanging="854"/>
        <w:spacing w:after="0" w:line="324" w:lineRule="auto"/>
        <w:tabs>
          <w:tab w:leader="none" w:pos="172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failure of the Company to obtain an agreement from any successor to the Company to assume and agree to perform the Company’s obligations under this Agreement, as contemplated by Article 8.</w:t>
      </w:r>
    </w:p>
    <w:p>
      <w:pPr>
        <w:spacing w:after="0" w:line="100" w:lineRule="exact"/>
        <w:rPr>
          <w:rFonts w:ascii="Arial" w:cs="Arial" w:eastAsia="Arial" w:hAnsi="Arial"/>
          <w:sz w:val="18"/>
          <w:szCs w:val="18"/>
          <w:color w:val="auto"/>
        </w:rPr>
      </w:pPr>
    </w:p>
    <w:p>
      <w:pPr>
        <w:ind w:left="860" w:right="180" w:hanging="856"/>
        <w:spacing w:after="0" w:line="294" w:lineRule="auto"/>
        <w:tabs>
          <w:tab w:leader="none" w:pos="86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“Person” shall have the meaning ascribed to such term in Section 3(a)(9) of the Exchange Act and used in Sections 13(d) and 14(d) thereof, including a group as contemplated by Sections 13(d)(3) and l4(d)(2) thereof</w:t>
      </w:r>
    </w:p>
    <w:p>
      <w:pPr>
        <w:spacing w:after="0" w:line="123" w:lineRule="exact"/>
        <w:rPr>
          <w:rFonts w:ascii="Arial" w:cs="Arial" w:eastAsia="Arial" w:hAnsi="Arial"/>
          <w:sz w:val="19"/>
          <w:szCs w:val="19"/>
          <w:color w:val="auto"/>
        </w:rPr>
      </w:pPr>
    </w:p>
    <w:p>
      <w:pPr>
        <w:ind w:left="860" w:right="600" w:hanging="856"/>
        <w:spacing w:after="0" w:line="268" w:lineRule="auto"/>
        <w:tabs>
          <w:tab w:leader="none" w:pos="86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“Potential Change in Control” shall be deemed to have occurred as of the first day that any one or more of the following conditions shall have been satisfied:</w:t>
      </w:r>
    </w:p>
    <w:p>
      <w:pPr>
        <w:spacing w:after="0" w:line="145" w:lineRule="exact"/>
        <w:rPr>
          <w:rFonts w:ascii="Arial" w:cs="Arial" w:eastAsia="Arial" w:hAnsi="Arial"/>
          <w:sz w:val="20"/>
          <w:szCs w:val="20"/>
          <w:color w:val="auto"/>
        </w:rPr>
      </w:pPr>
    </w:p>
    <w:p>
      <w:pPr>
        <w:ind w:left="1720" w:right="280" w:hanging="854"/>
        <w:spacing w:after="0" w:line="324" w:lineRule="auto"/>
        <w:tabs>
          <w:tab w:leader="none" w:pos="17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Person announces an intention to take an action that, if consummated, would result in a Change of Control and the Board expresses its good faith belief that such announced intention is serious.</w:t>
      </w:r>
    </w:p>
    <w:p>
      <w:pPr>
        <w:spacing w:after="0" w:line="100" w:lineRule="exact"/>
        <w:rPr>
          <w:rFonts w:ascii="Arial" w:cs="Arial" w:eastAsia="Arial" w:hAnsi="Arial"/>
          <w:sz w:val="18"/>
          <w:szCs w:val="18"/>
          <w:color w:val="auto"/>
        </w:rPr>
      </w:pPr>
    </w:p>
    <w:p>
      <w:pPr>
        <w:ind w:left="1720" w:right="40" w:hanging="854"/>
        <w:spacing w:after="0" w:line="268" w:lineRule="auto"/>
        <w:tabs>
          <w:tab w:leader="none" w:pos="1720" w:val="left"/>
        </w:tabs>
        <w:numPr>
          <w:ilvl w:val="1"/>
          <w:numId w:val="147"/>
        </w:numPr>
        <w:rPr>
          <w:rFonts w:ascii="Arial" w:cs="Arial" w:eastAsia="Arial" w:hAnsi="Arial"/>
          <w:sz w:val="20"/>
          <w:szCs w:val="20"/>
          <w:color w:val="auto"/>
        </w:rPr>
      </w:pPr>
      <w:r>
        <w:rPr>
          <w:rFonts w:ascii="Arial" w:cs="Arial" w:eastAsia="Arial" w:hAnsi="Arial"/>
          <w:sz w:val="20"/>
          <w:szCs w:val="20"/>
          <w:color w:val="auto"/>
        </w:rPr>
        <w:t>The Company or the trustees of the Company’s Employee Stock Ownership Plan enters into an agreement that, if consummated, would result in a Change in Control.</w:t>
      </w:r>
    </w:p>
    <w:p>
      <w:pPr>
        <w:spacing w:after="0" w:line="145" w:lineRule="exact"/>
        <w:rPr>
          <w:rFonts w:ascii="Arial" w:cs="Arial" w:eastAsia="Arial" w:hAnsi="Arial"/>
          <w:sz w:val="20"/>
          <w:szCs w:val="20"/>
          <w:color w:val="auto"/>
        </w:rPr>
      </w:pPr>
    </w:p>
    <w:p>
      <w:pPr>
        <w:ind w:left="1720" w:right="120" w:hanging="854"/>
        <w:spacing w:after="0" w:line="248" w:lineRule="auto"/>
        <w:tabs>
          <w:tab w:leader="none" w:pos="1720" w:val="left"/>
        </w:tabs>
        <w:numPr>
          <w:ilvl w:val="1"/>
          <w:numId w:val="147"/>
        </w:numPr>
        <w:rPr>
          <w:rFonts w:ascii="Arial" w:cs="Arial" w:eastAsia="Arial" w:hAnsi="Arial"/>
          <w:sz w:val="20"/>
          <w:szCs w:val="20"/>
          <w:color w:val="auto"/>
        </w:rPr>
      </w:pPr>
      <w:r>
        <w:rPr>
          <w:rFonts w:ascii="Arial" w:cs="Arial" w:eastAsia="Arial" w:hAnsi="Arial"/>
          <w:sz w:val="20"/>
          <w:szCs w:val="20"/>
          <w:color w:val="auto"/>
        </w:rPr>
        <w:t>Any Person (other than the Company or a trustee or other fiduciary holding securities under an employee benefit plan of the Company) becomes the Beneficial Owner, directly or indirectly, of securities of the Company representing ten percent (10%) or more of the combined voting power of the Company’s then outstanding securities.</w:t>
      </w:r>
    </w:p>
    <w:p>
      <w:pPr>
        <w:spacing w:after="0" w:line="165" w:lineRule="exact"/>
        <w:rPr>
          <w:rFonts w:ascii="Arial" w:cs="Arial" w:eastAsia="Arial" w:hAnsi="Arial"/>
          <w:sz w:val="20"/>
          <w:szCs w:val="20"/>
          <w:color w:val="auto"/>
        </w:rPr>
      </w:pPr>
    </w:p>
    <w:p>
      <w:pPr>
        <w:ind w:left="1720" w:hanging="854"/>
        <w:spacing w:after="0"/>
        <w:tabs>
          <w:tab w:leader="none" w:pos="1720" w:val="left"/>
        </w:tabs>
        <w:numPr>
          <w:ilvl w:val="1"/>
          <w:numId w:val="147"/>
        </w:numPr>
        <w:rPr>
          <w:rFonts w:ascii="Arial" w:cs="Arial" w:eastAsia="Arial" w:hAnsi="Arial"/>
          <w:sz w:val="19"/>
          <w:szCs w:val="19"/>
          <w:color w:val="auto"/>
        </w:rPr>
      </w:pPr>
      <w:r>
        <w:rPr>
          <w:rFonts w:ascii="Arial" w:cs="Arial" w:eastAsia="Arial" w:hAnsi="Arial"/>
          <w:sz w:val="19"/>
          <w:szCs w:val="19"/>
          <w:color w:val="auto"/>
        </w:rPr>
        <w:t>The Board declares that a Potential Change in Control has occurred for purposes of this Agreement.</w:t>
      </w:r>
    </w:p>
    <w:p>
      <w:pPr>
        <w:spacing w:after="0" w:line="212" w:lineRule="exact"/>
        <w:rPr>
          <w:rFonts w:ascii="Arial" w:cs="Arial" w:eastAsia="Arial" w:hAnsi="Arial"/>
          <w:sz w:val="19"/>
          <w:szCs w:val="19"/>
          <w:color w:val="auto"/>
        </w:rPr>
      </w:pPr>
    </w:p>
    <w:p>
      <w:pPr>
        <w:ind w:left="860" w:right="620" w:hanging="856"/>
        <w:spacing w:after="0" w:line="268" w:lineRule="auto"/>
        <w:tabs>
          <w:tab w:leader="none" w:pos="86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“Protected Period” means the period related to a Change in Control commencing on the date of the Change in Control and ending on the date that is eighteen (18) months after the Change in Control.</w:t>
      </w:r>
    </w:p>
    <w:p>
      <w:pPr>
        <w:spacing w:after="0" w:line="145" w:lineRule="exact"/>
        <w:rPr>
          <w:rFonts w:ascii="Arial" w:cs="Arial" w:eastAsia="Arial" w:hAnsi="Arial"/>
          <w:sz w:val="20"/>
          <w:szCs w:val="20"/>
          <w:color w:val="auto"/>
        </w:rPr>
      </w:pPr>
    </w:p>
    <w:p>
      <w:pPr>
        <w:ind w:left="860" w:right="280" w:hanging="856"/>
        <w:spacing w:after="0" w:line="253" w:lineRule="auto"/>
        <w:tabs>
          <w:tab w:leader="none" w:pos="86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“Qualifying Termination Event” means the occurrence, upon a Potential Change of Control, of any of one of the events described in sub-sections (i) and (ii) below, and, the occurrence of any one or more of the following events upon a Change in Control, or within the Protected Period following a Change in Control:</w:t>
      </w:r>
    </w:p>
    <w:p>
      <w:pPr>
        <w:spacing w:after="0" w:line="160" w:lineRule="exact"/>
        <w:rPr>
          <w:rFonts w:ascii="Arial" w:cs="Arial" w:eastAsia="Arial" w:hAnsi="Arial"/>
          <w:sz w:val="20"/>
          <w:szCs w:val="20"/>
          <w:color w:val="auto"/>
        </w:rPr>
      </w:pPr>
    </w:p>
    <w:p>
      <w:pPr>
        <w:ind w:left="1720" w:right="300" w:hanging="854"/>
        <w:spacing w:after="0" w:line="268" w:lineRule="auto"/>
        <w:tabs>
          <w:tab w:leader="none" w:pos="1720" w:val="left"/>
        </w:tabs>
        <w:numPr>
          <w:ilvl w:val="1"/>
          <w:numId w:val="147"/>
        </w:numPr>
        <w:rPr>
          <w:rFonts w:ascii="Arial" w:cs="Arial" w:eastAsia="Arial" w:hAnsi="Arial"/>
          <w:sz w:val="20"/>
          <w:szCs w:val="20"/>
          <w:color w:val="auto"/>
        </w:rPr>
      </w:pPr>
      <w:r>
        <w:rPr>
          <w:rFonts w:ascii="Arial" w:cs="Arial" w:eastAsia="Arial" w:hAnsi="Arial"/>
          <w:sz w:val="20"/>
          <w:szCs w:val="20"/>
          <w:color w:val="auto"/>
        </w:rPr>
        <w:t>A termination of the Executive’s employment at the initiation of the Company, without the Executive’s consent, for reasons other than Cause;</w:t>
      </w: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40005</wp:posOffset>
            </wp:positionV>
            <wp:extent cx="7182485" cy="4127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0380"/>
          </w:cols>
          <w:pgMar w:left="1180" w:top="752" w:right="339" w:bottom="1440" w:gutter="0" w:footer="0" w:header="0"/>
        </w:sectPr>
      </w:pPr>
    </w:p>
    <w:bookmarkStart w:id="272" w:name="page273"/>
    <w:bookmarkEnd w:id="272"/>
    <w:p>
      <w:pPr>
        <w:ind w:left="2580" w:hanging="854"/>
        <w:spacing w:after="0"/>
        <w:tabs>
          <w:tab w:leader="none" w:pos="258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A voluntary termination of employment by the Executive for Good Reason;</w:t>
      </w:r>
    </w:p>
    <w:p>
      <w:pPr>
        <w:spacing w:after="0" w:line="201" w:lineRule="exact"/>
        <w:rPr>
          <w:rFonts w:ascii="Arial" w:cs="Arial" w:eastAsia="Arial" w:hAnsi="Arial"/>
          <w:sz w:val="20"/>
          <w:szCs w:val="20"/>
          <w:color w:val="auto"/>
        </w:rPr>
      </w:pPr>
    </w:p>
    <w:p>
      <w:pPr>
        <w:ind w:left="2580" w:right="200" w:hanging="854"/>
        <w:spacing w:after="0" w:line="268" w:lineRule="auto"/>
        <w:tabs>
          <w:tab w:leader="none" w:pos="258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A successor company fails or refuses to assume by written instrument the Company’s obligations under this Agreement, as contemplated by Article 8;</w:t>
      </w:r>
    </w:p>
    <w:p>
      <w:pPr>
        <w:spacing w:after="0" w:line="145" w:lineRule="exact"/>
        <w:rPr>
          <w:rFonts w:ascii="Arial" w:cs="Arial" w:eastAsia="Arial" w:hAnsi="Arial"/>
          <w:sz w:val="20"/>
          <w:szCs w:val="20"/>
          <w:color w:val="auto"/>
        </w:rPr>
      </w:pPr>
    </w:p>
    <w:p>
      <w:pPr>
        <w:ind w:left="2580" w:hanging="854"/>
        <w:spacing w:after="0"/>
        <w:tabs>
          <w:tab w:leader="none" w:pos="25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Company or any successor company repudiates or breaches any of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ARTICLE II</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SERVICES DURING CERTAIN EVENTS</w:t>
      </w:r>
    </w:p>
    <w:p>
      <w:pPr>
        <w:spacing w:after="0" w:line="183" w:lineRule="exact"/>
        <w:rPr>
          <w:sz w:val="20"/>
          <w:szCs w:val="20"/>
          <w:color w:val="auto"/>
        </w:rPr>
      </w:pPr>
    </w:p>
    <w:p>
      <w:pPr>
        <w:ind w:right="40" w:firstLine="865"/>
        <w:spacing w:after="0" w:line="244" w:lineRule="auto"/>
        <w:rPr>
          <w:sz w:val="20"/>
          <w:szCs w:val="20"/>
          <w:color w:val="auto"/>
        </w:rPr>
      </w:pPr>
      <w:r>
        <w:rPr>
          <w:rFonts w:ascii="Arial" w:cs="Arial" w:eastAsia="Arial" w:hAnsi="Arial"/>
          <w:sz w:val="20"/>
          <w:szCs w:val="20"/>
          <w:color w:val="auto"/>
        </w:rPr>
        <w:t>If a Potential Change in Control occurs, the Executive agrees that he or she will not voluntarily leave the employ of the Company and will render services until (a) the Board declares, or otherwise indicates, that the circumstances giving rise to the Potential Change in Control will not result in an actual Change in Control, or (b) if a Change in Control occurs, until six (6) months after the Change in Control; provided, however, that, subject to any right that the Executive may have to benefits hereunder, the Company may terminate the Executive’s employment at any time for any reason, and the Executive may terminate his employment at any time for Good Reason.</w:t>
      </w:r>
    </w:p>
    <w:p>
      <w:pPr>
        <w:spacing w:after="0" w:line="200" w:lineRule="exact"/>
        <w:rPr>
          <w:sz w:val="20"/>
          <w:szCs w:val="20"/>
          <w:color w:val="auto"/>
        </w:rPr>
      </w:pPr>
    </w:p>
    <w:p>
      <w:pPr>
        <w:spacing w:after="0" w:line="369" w:lineRule="exact"/>
        <w:rPr>
          <w:sz w:val="20"/>
          <w:szCs w:val="20"/>
          <w:color w:val="auto"/>
        </w:rPr>
      </w:pPr>
    </w:p>
    <w:tbl>
      <w:tblPr>
        <w:tblLayout w:type="fixed"/>
        <w:tblInd w:w="174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7800" w:type="dxa"/>
            <w:vAlign w:val="bottom"/>
          </w:tcPr>
          <w:p>
            <w:pPr>
              <w:jc w:val="center"/>
              <w:ind w:right="2259"/>
              <w:spacing w:after="0"/>
              <w:rPr>
                <w:sz w:val="20"/>
                <w:szCs w:val="20"/>
                <w:color w:val="auto"/>
              </w:rPr>
            </w:pPr>
            <w:r>
              <w:rPr>
                <w:rFonts w:ascii="Arial" w:cs="Arial" w:eastAsia="Arial" w:hAnsi="Arial"/>
                <w:sz w:val="20"/>
                <w:szCs w:val="20"/>
                <w:b w:val="1"/>
                <w:bCs w:val="1"/>
                <w:color w:val="auto"/>
              </w:rPr>
              <w:t>ARTICLE III</w:t>
            </w:r>
          </w:p>
        </w:tc>
      </w:tr>
      <w:tr>
        <w:trPr>
          <w:trHeight w:val="263"/>
        </w:trPr>
        <w:tc>
          <w:tcPr>
            <w:tcW w:w="1160" w:type="dxa"/>
            <w:vAlign w:val="bottom"/>
          </w:tcPr>
          <w:p>
            <w:pPr>
              <w:spacing w:after="0"/>
              <w:rPr>
                <w:sz w:val="22"/>
                <w:szCs w:val="22"/>
                <w:color w:val="auto"/>
              </w:rPr>
            </w:pPr>
          </w:p>
        </w:tc>
        <w:tc>
          <w:tcPr>
            <w:tcW w:w="7800" w:type="dxa"/>
            <w:vAlign w:val="bottom"/>
          </w:tcPr>
          <w:p>
            <w:pPr>
              <w:jc w:val="center"/>
              <w:ind w:right="2239"/>
              <w:spacing w:after="0"/>
              <w:rPr>
                <w:sz w:val="20"/>
                <w:szCs w:val="20"/>
                <w:color w:val="auto"/>
              </w:rPr>
            </w:pPr>
            <w:r>
              <w:rPr>
                <w:rFonts w:ascii="Arial" w:cs="Arial" w:eastAsia="Arial" w:hAnsi="Arial"/>
                <w:sz w:val="20"/>
                <w:szCs w:val="20"/>
                <w:b w:val="1"/>
                <w:bCs w:val="1"/>
                <w:color w:val="auto"/>
              </w:rPr>
              <w:t>SEVERANCE BENEFITS</w:t>
            </w:r>
          </w:p>
        </w:tc>
      </w:tr>
      <w:tr>
        <w:trPr>
          <w:trHeight w:val="419"/>
        </w:trPr>
        <w:tc>
          <w:tcPr>
            <w:tcW w:w="1160" w:type="dxa"/>
            <w:vAlign w:val="bottom"/>
          </w:tcPr>
          <w:p>
            <w:pPr>
              <w:jc w:val="right"/>
              <w:ind w:right="819"/>
              <w:spacing w:after="0"/>
              <w:rPr>
                <w:sz w:val="20"/>
                <w:szCs w:val="20"/>
                <w:color w:val="auto"/>
              </w:rPr>
            </w:pPr>
            <w:r>
              <w:rPr>
                <w:rFonts w:ascii="Arial" w:cs="Arial" w:eastAsia="Arial" w:hAnsi="Arial"/>
                <w:sz w:val="20"/>
                <w:szCs w:val="20"/>
                <w:b w:val="1"/>
                <w:bCs w:val="1"/>
                <w:color w:val="auto"/>
                <w:w w:val="78"/>
              </w:rPr>
              <w:t>3.1</w:t>
            </w:r>
          </w:p>
        </w:tc>
        <w:tc>
          <w:tcPr>
            <w:tcW w:w="7800" w:type="dxa"/>
            <w:vAlign w:val="bottom"/>
          </w:tcPr>
          <w:p>
            <w:pPr>
              <w:ind w:left="900"/>
              <w:spacing w:after="0"/>
              <w:rPr>
                <w:sz w:val="20"/>
                <w:szCs w:val="20"/>
                <w:color w:val="auto"/>
              </w:rPr>
            </w:pPr>
            <w:r>
              <w:rPr>
                <w:rFonts w:ascii="Arial" w:cs="Arial" w:eastAsia="Arial" w:hAnsi="Arial"/>
                <w:sz w:val="20"/>
                <w:szCs w:val="20"/>
                <w:b w:val="1"/>
                <w:bCs w:val="1"/>
                <w:color w:val="auto"/>
                <w:w w:val="91"/>
              </w:rPr>
              <w:t>Right to Severance Benefits</w:t>
            </w:r>
            <w:r>
              <w:rPr>
                <w:rFonts w:ascii="Arial" w:cs="Arial" w:eastAsia="Arial" w:hAnsi="Arial"/>
                <w:sz w:val="20"/>
                <w:szCs w:val="20"/>
                <w:color w:val="auto"/>
                <w:w w:val="91"/>
              </w:rPr>
              <w:t>. The Executive shall be entitled to receive the benefits</w:t>
            </w:r>
          </w:p>
        </w:tc>
      </w:tr>
    </w:tbl>
    <w:p>
      <w:pPr>
        <w:spacing w:after="0" w:line="239" w:lineRule="auto"/>
        <w:rPr>
          <w:sz w:val="20"/>
          <w:szCs w:val="20"/>
          <w:color w:val="auto"/>
        </w:rPr>
      </w:pPr>
      <w:r>
        <w:rPr>
          <w:rFonts w:ascii="Arial" w:cs="Arial" w:eastAsia="Arial" w:hAnsi="Arial"/>
          <w:sz w:val="20"/>
          <w:szCs w:val="20"/>
          <w:color w:val="auto"/>
        </w:rPr>
        <w:t xml:space="preserve">described in Section 3.2 if the Executive incurs a Qualifying Termination Event, provided that the Executive must (a) furnish the Company with written notice of Executive’s exercise of the right to receive such benefits within thirty (30) days of the occurrence of a Qualifying Termination Event and (b) execute and deliver to the Company the Severance Agreement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within fifty (50) days of the Qualifying Termination Event and not revoke it pursuant to any revocation rights afforded by law. If the Executive does not timely execute and deliver to the Company the Severance Agreement, or if the Executive has executed the Severance Agreement but revokes it, no severance benefits shall be paid. If more than one Qualifying Termination Event occurs, such events shall constitute a single Qualifying Termination Event and Executive shall be entitled to receive the benefits provided under Section 3.2 (a) through (d) only once.</w:t>
      </w:r>
    </w:p>
    <w:p>
      <w:pPr>
        <w:spacing w:after="0" w:line="174" w:lineRule="exact"/>
        <w:rPr>
          <w:sz w:val="20"/>
          <w:szCs w:val="20"/>
          <w:color w:val="auto"/>
        </w:rPr>
      </w:pPr>
    </w:p>
    <w:p>
      <w:pPr>
        <w:jc w:val="both"/>
        <w:ind w:right="100" w:firstLine="1729"/>
        <w:spacing w:after="0" w:line="249" w:lineRule="auto"/>
        <w:rPr>
          <w:sz w:val="20"/>
          <w:szCs w:val="20"/>
          <w:color w:val="auto"/>
        </w:rPr>
      </w:pPr>
      <w:r>
        <w:rPr>
          <w:rFonts w:ascii="Arial" w:cs="Arial" w:eastAsia="Arial" w:hAnsi="Arial"/>
          <w:sz w:val="20"/>
          <w:szCs w:val="20"/>
          <w:b w:val="1"/>
          <w:bCs w:val="1"/>
          <w:color w:val="auto"/>
        </w:rPr>
        <w:t>3.2 Severance Benefits</w:t>
      </w:r>
      <w:r>
        <w:rPr>
          <w:rFonts w:ascii="Arial" w:cs="Arial" w:eastAsia="Arial" w:hAnsi="Arial"/>
          <w:sz w:val="20"/>
          <w:szCs w:val="20"/>
          <w:color w:val="auto"/>
        </w:rPr>
        <w:t>. If a Qualifying Termination Event occurs and the Executive satisfies</w:t>
      </w:r>
      <w:r>
        <w:rPr>
          <w:rFonts w:ascii="Arial" w:cs="Arial" w:eastAsia="Arial" w:hAnsi="Arial"/>
          <w:sz w:val="20"/>
          <w:szCs w:val="20"/>
          <w:b w:val="1"/>
          <w:bCs w:val="1"/>
          <w:color w:val="auto"/>
        </w:rPr>
        <w:t xml:space="preserve"> </w:t>
      </w:r>
      <w:r>
        <w:rPr>
          <w:rFonts w:ascii="Arial" w:cs="Arial" w:eastAsia="Arial" w:hAnsi="Arial"/>
          <w:sz w:val="20"/>
          <w:szCs w:val="20"/>
          <w:color w:val="auto"/>
        </w:rPr>
        <w:t>the conditions set forth in Section 3.1 above, the Company will pay the Executive as soon as practicable following his or her satisfaction of such conditions, but in no event more than 2½ months following the Qualifying Termination Event, a non-discounted cash lump sum amount equal to the sum of the following:</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4">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00"/>
          </w:cols>
          <w:pgMar w:left="320" w:top="752" w:right="379" w:bottom="1440" w:gutter="0" w:footer="0" w:header="0"/>
        </w:sectPr>
      </w:pPr>
    </w:p>
    <w:bookmarkStart w:id="273" w:name="page274"/>
    <w:bookmarkEnd w:id="273"/>
    <w:p>
      <w:pPr>
        <w:ind w:left="1720" w:right="860" w:hanging="856"/>
        <w:spacing w:after="0" w:line="268" w:lineRule="auto"/>
        <w:tabs>
          <w:tab w:leader="none" w:pos="172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the Executive’s accrued and unpaid Base Salary and accrued vacation pay through the date of Executive’s termination, pursuant to a Qualifying Termination Event;</w:t>
      </w:r>
    </w:p>
    <w:p>
      <w:pPr>
        <w:spacing w:after="0" w:line="145" w:lineRule="exact"/>
        <w:rPr>
          <w:rFonts w:ascii="Arial" w:cs="Arial" w:eastAsia="Arial" w:hAnsi="Arial"/>
          <w:sz w:val="20"/>
          <w:szCs w:val="20"/>
          <w:color w:val="auto"/>
        </w:rPr>
      </w:pPr>
    </w:p>
    <w:p>
      <w:pPr>
        <w:jc w:val="both"/>
        <w:ind w:left="1720" w:right="80" w:hanging="856"/>
        <w:spacing w:after="0" w:line="245" w:lineRule="auto"/>
        <w:tabs>
          <w:tab w:leader="none" w:pos="172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a pro-rata portion (based on the number of days that elapsed in the calendar year before the Qualifying Termination Event occurred) of the greater of (i) the Executive’s target annual bonus for the year of the Qualifying Termination Event or (ii) the Executive’s annual bonus that would have been paid (as determined by the Board in its discretion) assuming the year ended on the date of the Qualifying Termination Event and based on actual performance through that date;</w:t>
      </w:r>
    </w:p>
    <w:p>
      <w:pPr>
        <w:spacing w:after="0" w:line="169" w:lineRule="exact"/>
        <w:rPr>
          <w:rFonts w:ascii="Arial" w:cs="Arial" w:eastAsia="Arial" w:hAnsi="Arial"/>
          <w:sz w:val="20"/>
          <w:szCs w:val="20"/>
          <w:color w:val="auto"/>
        </w:rPr>
      </w:pPr>
    </w:p>
    <w:p>
      <w:pPr>
        <w:ind w:left="1720" w:right="660" w:hanging="856"/>
        <w:spacing w:after="0" w:line="268" w:lineRule="auto"/>
        <w:tabs>
          <w:tab w:leader="none" w:pos="172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 xml:space="preserve">an amount equal to the highest rate of the Executive’s annualized Base Salary in effect at any time up to and including the Qualifying Termination Event multiplied by </w:t>
      </w:r>
      <w:r>
        <w:rPr>
          <w:rFonts w:ascii="Arial" w:cs="Arial" w:eastAsia="Arial" w:hAnsi="Arial"/>
          <w:sz w:val="20"/>
          <w:szCs w:val="20"/>
          <w:u w:val="single" w:color="auto"/>
          <w:color w:val="auto"/>
        </w:rPr>
        <w:t>two (2)</w:t>
      </w:r>
      <w:r>
        <w:rPr>
          <w:rFonts w:ascii="Arial" w:cs="Arial" w:eastAsia="Arial" w:hAnsi="Arial"/>
          <w:sz w:val="20"/>
          <w:szCs w:val="20"/>
          <w:color w:val="auto"/>
        </w:rPr>
        <w:t>; and</w:t>
      </w:r>
    </w:p>
    <w:p>
      <w:pPr>
        <w:spacing w:after="0" w:line="145" w:lineRule="exact"/>
        <w:rPr>
          <w:rFonts w:ascii="Arial" w:cs="Arial" w:eastAsia="Arial" w:hAnsi="Arial"/>
          <w:sz w:val="20"/>
          <w:szCs w:val="20"/>
          <w:color w:val="auto"/>
        </w:rPr>
      </w:pPr>
    </w:p>
    <w:p>
      <w:pPr>
        <w:ind w:left="1720" w:hanging="856"/>
        <w:spacing w:after="0" w:line="253" w:lineRule="auto"/>
        <w:tabs>
          <w:tab w:leader="none" w:pos="172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 xml:space="preserve">an amount equal to the greater of (i) the Executive’s target annual bonus for the year of the Qualifying Termination Event or (ii) the average of the annual bonuses actually paid to the Executive for the two years preceding the year of the Qualifying Termination Event, multiplied by </w:t>
      </w:r>
      <w:r>
        <w:rPr>
          <w:rFonts w:ascii="Arial" w:cs="Arial" w:eastAsia="Arial" w:hAnsi="Arial"/>
          <w:sz w:val="20"/>
          <w:szCs w:val="20"/>
          <w:u w:val="single" w:color="auto"/>
          <w:color w:val="auto"/>
        </w:rPr>
        <w:t>two (2).</w:t>
      </w:r>
    </w:p>
    <w:p>
      <w:pPr>
        <w:spacing w:after="0" w:line="160" w:lineRule="exact"/>
        <w:rPr>
          <w:sz w:val="20"/>
          <w:szCs w:val="20"/>
          <w:color w:val="auto"/>
        </w:rPr>
      </w:pPr>
    </w:p>
    <w:p>
      <w:pPr>
        <w:ind w:right="40" w:firstLine="865"/>
        <w:spacing w:after="0" w:line="253" w:lineRule="auto"/>
        <w:rPr>
          <w:sz w:val="20"/>
          <w:szCs w:val="20"/>
          <w:color w:val="auto"/>
        </w:rPr>
      </w:pPr>
      <w:r>
        <w:rPr>
          <w:rFonts w:ascii="Arial" w:cs="Arial" w:eastAsia="Arial" w:hAnsi="Arial"/>
          <w:sz w:val="19"/>
          <w:szCs w:val="19"/>
          <w:color w:val="auto"/>
        </w:rPr>
        <w:t xml:space="preserve">In addition to the foregoing, if Executive satisfies the conditions set forth in Section 3.1 above, the Company will pay the Executive as soon as practicable following his or her satisfaction of such conditions, but in no event more that 2½ months following the Qualifying Termination Event, a non-discounted cash lump sum amount equal to the sum of the following: (i) the Company’s estimate of the costs for the Executive’s medical insurance coverage at the level and a cost to the Executive comparable to that provided to the Executive immediately prior to the Qualifying Termination Event for a period of </w:t>
      </w:r>
      <w:r>
        <w:rPr>
          <w:rFonts w:ascii="Arial" w:cs="Arial" w:eastAsia="Arial" w:hAnsi="Arial"/>
          <w:sz w:val="19"/>
          <w:szCs w:val="19"/>
          <w:u w:val="single" w:color="auto"/>
          <w:color w:val="auto"/>
        </w:rPr>
        <w:t>two (2) years</w:t>
      </w:r>
      <w:r>
        <w:rPr>
          <w:rFonts w:ascii="Arial" w:cs="Arial" w:eastAsia="Arial" w:hAnsi="Arial"/>
          <w:sz w:val="19"/>
          <w:szCs w:val="19"/>
          <w:color w:val="auto"/>
        </w:rPr>
        <w:t xml:space="preserve"> following such Qualifying Termination Event (which, in the Company’s discretion, may be based on the applicable COBRA rates); (ii) the Company’s estimate of the costs for the continuation of that level of the Executive’s executive life insurance coverage that is in effect immediately prior to the Qualifying Termination Event for a period of </w:t>
      </w:r>
      <w:r>
        <w:rPr>
          <w:rFonts w:ascii="Arial" w:cs="Arial" w:eastAsia="Arial" w:hAnsi="Arial"/>
          <w:sz w:val="19"/>
          <w:szCs w:val="19"/>
          <w:u w:val="single" w:color="auto"/>
          <w:color w:val="auto"/>
        </w:rPr>
        <w:t>two (2) years</w:t>
      </w:r>
      <w:r>
        <w:rPr>
          <w:rFonts w:ascii="Arial" w:cs="Arial" w:eastAsia="Arial" w:hAnsi="Arial"/>
          <w:sz w:val="19"/>
          <w:szCs w:val="19"/>
          <w:color w:val="auto"/>
        </w:rPr>
        <w:t xml:space="preserve"> following such Qualifying Termination Event, or, if shorter, the period ending on the last day of the level premium rate guarantee period established by the applicable insurer for such coverage; and (iii) the Company’s estimate of the costs for the continuation of the Executive’s executive supplemental disability coverage under the Company’s supplemental disability insurance plan in effect immediately prior to the Qualifying Termination Event for a period of </w:t>
      </w:r>
      <w:r>
        <w:rPr>
          <w:rFonts w:ascii="Arial" w:cs="Arial" w:eastAsia="Arial" w:hAnsi="Arial"/>
          <w:sz w:val="19"/>
          <w:szCs w:val="19"/>
          <w:u w:val="single" w:color="auto"/>
          <w:color w:val="auto"/>
        </w:rPr>
        <w:t>two (2) years</w:t>
      </w:r>
      <w:r>
        <w:rPr>
          <w:rFonts w:ascii="Arial" w:cs="Arial" w:eastAsia="Arial" w:hAnsi="Arial"/>
          <w:sz w:val="19"/>
          <w:szCs w:val="19"/>
          <w:color w:val="auto"/>
        </w:rPr>
        <w:t xml:space="preserve"> following such Qualifying Termination Event (or the date the Executive attains age 65, if earlier), but the cash payment in this clause (iii) will only be paid if the terms of the applicable insurance policy under such disability insurance plan provide that the coverage may be continued following the Qualifying Termination Event and such costs to be estimated using the extent of the coverage allowed under the terms of such policy at a cost to the Company that is no greater than the cost borne by the Company immediately prior to the Qualifying Termination Event.</w:t>
      </w:r>
    </w:p>
    <w:p>
      <w:pPr>
        <w:spacing w:after="0" w:line="169" w:lineRule="exact"/>
        <w:rPr>
          <w:sz w:val="20"/>
          <w:szCs w:val="20"/>
          <w:color w:val="auto"/>
        </w:rPr>
      </w:pPr>
    </w:p>
    <w:p>
      <w:pPr>
        <w:ind w:right="600" w:firstLine="865"/>
        <w:spacing w:after="0" w:line="268" w:lineRule="auto"/>
        <w:rPr>
          <w:sz w:val="20"/>
          <w:szCs w:val="20"/>
          <w:color w:val="auto"/>
        </w:rPr>
      </w:pPr>
      <w:r>
        <w:rPr>
          <w:rFonts w:ascii="Arial" w:cs="Arial" w:eastAsia="Arial" w:hAnsi="Arial"/>
          <w:sz w:val="20"/>
          <w:szCs w:val="20"/>
          <w:color w:val="auto"/>
        </w:rPr>
        <w:t>If the 2½ month period following the Qualifying Termination Event for making the foregoing cash payments spans two calendar years, payment will in all cases be made in the second (later) calendar year.</w:t>
      </w:r>
    </w:p>
    <w:p>
      <w:pPr>
        <w:spacing w:after="0" w:line="12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160"/>
          </w:cols>
          <w:pgMar w:left="320" w:top="752" w:right="419" w:bottom="1440" w:gutter="0" w:footer="0" w:header="0"/>
        </w:sectPr>
      </w:pPr>
    </w:p>
    <w:bookmarkStart w:id="274" w:name="page275"/>
    <w:bookmarkEnd w:id="274"/>
    <w:p>
      <w:pPr>
        <w:ind w:right="20" w:firstLine="865"/>
        <w:spacing w:after="0" w:line="261" w:lineRule="auto"/>
        <w:rPr>
          <w:sz w:val="20"/>
          <w:szCs w:val="20"/>
          <w:color w:val="auto"/>
        </w:rPr>
      </w:pPr>
      <w:r>
        <w:rPr>
          <w:rFonts w:ascii="Arial" w:cs="Arial" w:eastAsia="Arial" w:hAnsi="Arial"/>
          <w:sz w:val="19"/>
          <w:szCs w:val="19"/>
          <w:color w:val="auto"/>
        </w:rPr>
        <w:t>Notwithstanding any provision of this Agreement to the contrary, to the extent that the Company determines that a delay in payment or benefits is required to avoid subjecting the Executive to taxes under Code Section 409A (“Section 409A”), the Executive shall not be entitled to receive any payments of, or benefits that constitute, deferred compensation (as defined in Section 409A) until the earlier of (i) the date which is six (6) months after his termination of employment or (ii) the date of his or her death (the “Section 409A Period”), at which time the Company shall pay all delayed payments to the Executive in a lump sum without interest.</w:t>
      </w:r>
    </w:p>
    <w:p>
      <w:pPr>
        <w:spacing w:after="0" w:line="152" w:lineRule="exact"/>
        <w:rPr>
          <w:sz w:val="20"/>
          <w:szCs w:val="20"/>
          <w:color w:val="auto"/>
        </w:rPr>
      </w:pPr>
    </w:p>
    <w:p>
      <w:pPr>
        <w:ind w:right="40" w:firstLine="1729"/>
        <w:spacing w:after="0" w:line="272" w:lineRule="auto"/>
        <w:rPr>
          <w:sz w:val="20"/>
          <w:szCs w:val="20"/>
          <w:color w:val="auto"/>
        </w:rPr>
      </w:pPr>
      <w:r>
        <w:rPr>
          <w:rFonts w:ascii="Arial" w:cs="Arial" w:eastAsia="Arial" w:hAnsi="Arial"/>
          <w:sz w:val="20"/>
          <w:szCs w:val="20"/>
          <w:b w:val="1"/>
          <w:bCs w:val="1"/>
          <w:color w:val="auto"/>
        </w:rPr>
        <w:t>3.3 Termination for Other Reasons</w:t>
      </w:r>
      <w:r>
        <w:rPr>
          <w:rFonts w:ascii="Arial" w:cs="Arial" w:eastAsia="Arial" w:hAnsi="Arial"/>
          <w:sz w:val="20"/>
          <w:szCs w:val="20"/>
          <w:color w:val="auto"/>
        </w:rPr>
        <w:t>. Except as expressly provided below, the Company shall</w:t>
      </w:r>
      <w:r>
        <w:rPr>
          <w:rFonts w:ascii="Arial" w:cs="Arial" w:eastAsia="Arial" w:hAnsi="Arial"/>
          <w:sz w:val="20"/>
          <w:szCs w:val="20"/>
          <w:b w:val="1"/>
          <w:bCs w:val="1"/>
          <w:color w:val="auto"/>
        </w:rPr>
        <w:t xml:space="preserve"> </w:t>
      </w:r>
      <w:r>
        <w:rPr>
          <w:rFonts w:ascii="Arial" w:cs="Arial" w:eastAsia="Arial" w:hAnsi="Arial"/>
          <w:sz w:val="20"/>
          <w:szCs w:val="20"/>
          <w:color w:val="auto"/>
        </w:rPr>
        <w:t>have no obligations (or no further obligations, as the case may be) to the Executive under this Agreement if:</w:t>
      </w:r>
    </w:p>
    <w:p>
      <w:pPr>
        <w:spacing w:after="0" w:line="142" w:lineRule="exact"/>
        <w:rPr>
          <w:sz w:val="20"/>
          <w:szCs w:val="20"/>
          <w:color w:val="auto"/>
        </w:rPr>
      </w:pPr>
    </w:p>
    <w:p>
      <w:pPr>
        <w:ind w:left="1720" w:hanging="856"/>
        <w:spacing w:after="0"/>
        <w:tabs>
          <w:tab w:leader="none" w:pos="172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Executive’s employment is terminated by the Company for Cause;</w:t>
      </w:r>
    </w:p>
    <w:p>
      <w:pPr>
        <w:spacing w:after="0" w:line="201" w:lineRule="exact"/>
        <w:rPr>
          <w:rFonts w:ascii="Arial" w:cs="Arial" w:eastAsia="Arial" w:hAnsi="Arial"/>
          <w:sz w:val="20"/>
          <w:szCs w:val="20"/>
          <w:color w:val="auto"/>
        </w:rPr>
      </w:pPr>
    </w:p>
    <w:p>
      <w:pPr>
        <w:ind w:left="1720" w:hanging="856"/>
        <w:spacing w:after="0"/>
        <w:tabs>
          <w:tab w:leader="none" w:pos="172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Executive terminates his employment with the Company other than for Good Reason during a Protected Period;</w:t>
      </w:r>
    </w:p>
    <w:p>
      <w:pPr>
        <w:spacing w:after="0" w:line="212" w:lineRule="exact"/>
        <w:rPr>
          <w:rFonts w:ascii="Arial" w:cs="Arial" w:eastAsia="Arial" w:hAnsi="Arial"/>
          <w:sz w:val="19"/>
          <w:szCs w:val="19"/>
          <w:color w:val="auto"/>
        </w:rPr>
      </w:pPr>
    </w:p>
    <w:p>
      <w:pPr>
        <w:ind w:left="1720" w:hanging="856"/>
        <w:spacing w:after="0"/>
        <w:tabs>
          <w:tab w:leader="none" w:pos="172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Executive’s employment by the Company terminates due to the Executive’s Disability, retirement or death; or</w:t>
      </w:r>
    </w:p>
    <w:p>
      <w:pPr>
        <w:spacing w:after="0" w:line="212" w:lineRule="exact"/>
        <w:rPr>
          <w:rFonts w:ascii="Arial" w:cs="Arial" w:eastAsia="Arial" w:hAnsi="Arial"/>
          <w:sz w:val="19"/>
          <w:szCs w:val="19"/>
          <w:color w:val="auto"/>
        </w:rPr>
      </w:pPr>
    </w:p>
    <w:p>
      <w:pPr>
        <w:ind w:left="1720" w:right="380" w:hanging="856"/>
        <w:spacing w:after="0" w:line="268" w:lineRule="auto"/>
        <w:tabs>
          <w:tab w:leader="none" w:pos="172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Executive’s employment by the Company is terminated by the Company or the Executive for any reason, if such termination does not occur during a Protected Period.</w:t>
      </w:r>
    </w:p>
    <w:p>
      <w:pPr>
        <w:spacing w:after="0" w:line="145" w:lineRule="exact"/>
        <w:rPr>
          <w:rFonts w:ascii="Arial" w:cs="Arial" w:eastAsia="Arial" w:hAnsi="Arial"/>
          <w:sz w:val="20"/>
          <w:szCs w:val="20"/>
          <w:color w:val="auto"/>
        </w:rPr>
      </w:pPr>
    </w:p>
    <w:p>
      <w:pPr>
        <w:ind w:left="1720" w:right="240" w:hanging="856"/>
        <w:spacing w:after="0" w:line="253" w:lineRule="auto"/>
        <w:tabs>
          <w:tab w:leader="none" w:pos="172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Prior to a Potential Change in Control, Executive ceases to perform services on a full-time basis in either the same position Executive was serving on the Effective Date or a more senior position and as a result the term of this Agreement terminates pursuant to Article VI.</w:t>
      </w:r>
    </w:p>
    <w:p>
      <w:pPr>
        <w:spacing w:after="0" w:line="160" w:lineRule="exact"/>
        <w:rPr>
          <w:sz w:val="20"/>
          <w:szCs w:val="20"/>
          <w:color w:val="auto"/>
        </w:rPr>
      </w:pPr>
    </w:p>
    <w:p>
      <w:pPr>
        <w:ind w:right="120" w:firstLine="865"/>
        <w:spacing w:after="0" w:line="253" w:lineRule="auto"/>
        <w:rPr>
          <w:sz w:val="20"/>
          <w:szCs w:val="20"/>
          <w:color w:val="auto"/>
        </w:rPr>
      </w:pPr>
      <w:r>
        <w:rPr>
          <w:rFonts w:ascii="Arial" w:cs="Arial" w:eastAsia="Arial" w:hAnsi="Arial"/>
          <w:sz w:val="20"/>
          <w:szCs w:val="20"/>
          <w:color w:val="auto"/>
        </w:rPr>
        <w:t>If, during a Protected Period and immediately prior to the Executive’s Disability or retirement, the Executive would have been entitled to terminate employment with the Company for Good Reason, then upon termination of his employment for Disability or retirement he shall be deemed to have terminated for Good Reason for purposes of this Agreement.</w:t>
      </w:r>
    </w:p>
    <w:p>
      <w:pPr>
        <w:spacing w:after="0" w:line="160" w:lineRule="exact"/>
        <w:rPr>
          <w:sz w:val="20"/>
          <w:szCs w:val="20"/>
          <w:color w:val="auto"/>
        </w:rPr>
      </w:pPr>
    </w:p>
    <w:p>
      <w:pPr>
        <w:ind w:firstLine="865"/>
        <w:spacing w:after="0" w:line="244" w:lineRule="auto"/>
        <w:rPr>
          <w:sz w:val="20"/>
          <w:szCs w:val="20"/>
          <w:color w:val="auto"/>
        </w:rPr>
      </w:pPr>
      <w:r>
        <w:rPr>
          <w:rFonts w:ascii="Arial" w:cs="Arial" w:eastAsia="Arial" w:hAnsi="Arial"/>
          <w:sz w:val="20"/>
          <w:szCs w:val="20"/>
          <w:color w:val="auto"/>
        </w:rPr>
        <w:t>Notwithstanding anything else contained herein to the contrary, the Executive’s termination of employment on account of reaching the normal retirement age, as such age may be defined from time to time in policies adopted by the Company prior to the commencement of the Protected Period, to the extent such policies are applicable to the Executive immediately prior to the commencement of the Protected Period and to the extent such policies are consistent with applicable law, shall not be a Qualifying Termination Event unless the Executive was otherwise able to terminate employment for Good Reason immediately prior to his retirement and his retirement occurred during a Protected Period.</w:t>
      </w:r>
    </w:p>
    <w:p>
      <w:pPr>
        <w:spacing w:after="0" w:line="165" w:lineRule="exact"/>
        <w:rPr>
          <w:sz w:val="20"/>
          <w:szCs w:val="20"/>
          <w:color w:val="auto"/>
        </w:rPr>
      </w:pPr>
    </w:p>
    <w:p>
      <w:pPr>
        <w:ind w:right="80" w:firstLine="1729"/>
        <w:spacing w:after="0" w:line="249" w:lineRule="auto"/>
        <w:rPr>
          <w:sz w:val="20"/>
          <w:szCs w:val="20"/>
          <w:color w:val="auto"/>
        </w:rPr>
      </w:pPr>
      <w:r>
        <w:rPr>
          <w:rFonts w:ascii="Arial" w:cs="Arial" w:eastAsia="Arial" w:hAnsi="Arial"/>
          <w:sz w:val="20"/>
          <w:szCs w:val="20"/>
          <w:b w:val="1"/>
          <w:bCs w:val="1"/>
          <w:color w:val="auto"/>
        </w:rPr>
        <w:t>3.4 Notice of Termination</w:t>
      </w:r>
      <w:r>
        <w:rPr>
          <w:rFonts w:ascii="Arial" w:cs="Arial" w:eastAsia="Arial" w:hAnsi="Arial"/>
          <w:sz w:val="20"/>
          <w:szCs w:val="20"/>
          <w:color w:val="auto"/>
        </w:rPr>
        <w:t>. Any termination of the Executive’s employment by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for Cause or by the Executive for Good Reason shall be communicated by Notice of Termination to the other party. For purposes of this Agreement, a “Notice of Termination” shall mean a written notice which shall indicate the specific termination provision in this Agreement relied upon and shall set forth in reasonable detail the facts and circumstances</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6">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275" w:name="page276"/>
    <w:bookmarkEnd w:id="275"/>
    <w:p>
      <w:pPr>
        <w:ind w:right="300"/>
        <w:spacing w:after="0" w:line="268" w:lineRule="auto"/>
        <w:rPr>
          <w:sz w:val="20"/>
          <w:szCs w:val="20"/>
          <w:color w:val="auto"/>
        </w:rPr>
      </w:pPr>
      <w:r>
        <w:rPr>
          <w:rFonts w:ascii="Arial" w:cs="Arial" w:eastAsia="Arial" w:hAnsi="Arial"/>
          <w:sz w:val="20"/>
          <w:szCs w:val="20"/>
          <w:color w:val="auto"/>
        </w:rPr>
        <w:t>claimed to provide a basis for termination of the Executive’s employment under the provision so indicated. The Notice of Termination shall be effective on the date specified in Section 9.8 of this Agreement.</w:t>
      </w: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ARTICLE IV</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TAXES</w:t>
      </w:r>
    </w:p>
    <w:p>
      <w:pPr>
        <w:spacing w:after="0" w:line="183" w:lineRule="exact"/>
        <w:rPr>
          <w:sz w:val="20"/>
          <w:szCs w:val="20"/>
          <w:color w:val="auto"/>
        </w:rPr>
      </w:pPr>
    </w:p>
    <w:p>
      <w:pPr>
        <w:ind w:right="60" w:firstLine="865"/>
        <w:spacing w:after="0" w:line="276" w:lineRule="auto"/>
        <w:rPr>
          <w:sz w:val="20"/>
          <w:szCs w:val="20"/>
          <w:color w:val="auto"/>
        </w:rPr>
      </w:pPr>
      <w:r>
        <w:rPr>
          <w:rFonts w:ascii="Arial" w:cs="Arial" w:eastAsia="Arial" w:hAnsi="Arial"/>
          <w:sz w:val="18"/>
          <w:szCs w:val="18"/>
          <w:color w:val="auto"/>
        </w:rPr>
        <w:t>The Company has the right to withhold from any amount otherwise payable to the Executive under or pursuant to this Agreement the amount of any taxes that the Company may legally be required to withhold with respect to such payment (including, without limitation, any United States Federal taxes, and any other state, city, or local taxes). In the event that tax withholding is required with respect to amounts or benefits payable or deliverable by the Company to the Executive and the Company cannot satisfy its tax withholding obligations in the manner described in the preceding sentence, the Company may require the Executive to pay or provide for the payment of such required tax withholding as a condition to the payment or delivery of such amounts or benefits.</w:t>
      </w:r>
    </w:p>
    <w:p>
      <w:pPr>
        <w:spacing w:after="0" w:line="144" w:lineRule="exact"/>
        <w:rPr>
          <w:sz w:val="20"/>
          <w:szCs w:val="20"/>
          <w:color w:val="auto"/>
        </w:rPr>
      </w:pPr>
    </w:p>
    <w:p>
      <w:pPr>
        <w:ind w:right="220" w:firstLine="865"/>
        <w:spacing w:after="0" w:line="268" w:lineRule="auto"/>
        <w:rPr>
          <w:sz w:val="20"/>
          <w:szCs w:val="20"/>
          <w:color w:val="auto"/>
        </w:rPr>
      </w:pPr>
      <w:r>
        <w:rPr>
          <w:rFonts w:ascii="Arial" w:cs="Arial" w:eastAsia="Arial" w:hAnsi="Arial"/>
          <w:sz w:val="20"/>
          <w:szCs w:val="20"/>
          <w:color w:val="auto"/>
        </w:rPr>
        <w:t>The Executive (or his Beneficiaries, if applicable) shall be solely responsible for all income and employment taxes arising in connection with this Agreement or benefits hereunder.</w:t>
      </w:r>
    </w:p>
    <w:p>
      <w:pPr>
        <w:spacing w:after="0" w:line="200" w:lineRule="exact"/>
        <w:rPr>
          <w:sz w:val="20"/>
          <w:szCs w:val="20"/>
          <w:color w:val="auto"/>
        </w:rPr>
      </w:pPr>
    </w:p>
    <w:p>
      <w:pPr>
        <w:spacing w:after="0" w:line="346" w:lineRule="exact"/>
        <w:rPr>
          <w:sz w:val="20"/>
          <w:szCs w:val="20"/>
          <w:color w:val="auto"/>
        </w:rPr>
      </w:pPr>
    </w:p>
    <w:tbl>
      <w:tblPr>
        <w:tblLayout w:type="fixed"/>
        <w:tblInd w:w="1740" w:type="dxa"/>
        <w:tblCellMar>
          <w:top w:w="0" w:type="dxa"/>
          <w:left w:w="0" w:type="dxa"/>
          <w:bottom w:w="0" w:type="dxa"/>
          <w:right w:w="0" w:type="dxa"/>
        </w:tblCellMar>
      </w:tblPr>
      <w:tr>
        <w:trPr>
          <w:trHeight w:val="230"/>
        </w:trPr>
        <w:tc>
          <w:tcPr>
            <w:tcW w:w="1040" w:type="dxa"/>
            <w:vAlign w:val="bottom"/>
          </w:tcPr>
          <w:p>
            <w:pPr>
              <w:spacing w:after="0"/>
              <w:rPr>
                <w:sz w:val="19"/>
                <w:szCs w:val="19"/>
                <w:color w:val="auto"/>
              </w:rPr>
            </w:pPr>
          </w:p>
        </w:tc>
        <w:tc>
          <w:tcPr>
            <w:tcW w:w="8300" w:type="dxa"/>
            <w:vAlign w:val="bottom"/>
          </w:tcPr>
          <w:p>
            <w:pPr>
              <w:jc w:val="center"/>
              <w:ind w:right="2519"/>
              <w:spacing w:after="0"/>
              <w:rPr>
                <w:sz w:val="20"/>
                <w:szCs w:val="20"/>
                <w:color w:val="auto"/>
              </w:rPr>
            </w:pPr>
            <w:r>
              <w:rPr>
                <w:rFonts w:ascii="Arial" w:cs="Arial" w:eastAsia="Arial" w:hAnsi="Arial"/>
                <w:sz w:val="20"/>
                <w:szCs w:val="20"/>
                <w:b w:val="1"/>
                <w:bCs w:val="1"/>
                <w:color w:val="auto"/>
              </w:rPr>
              <w:t>ARTICLE V</w:t>
            </w:r>
          </w:p>
        </w:tc>
      </w:tr>
      <w:tr>
        <w:trPr>
          <w:trHeight w:val="263"/>
        </w:trPr>
        <w:tc>
          <w:tcPr>
            <w:tcW w:w="1040" w:type="dxa"/>
            <w:vAlign w:val="bottom"/>
          </w:tcPr>
          <w:p>
            <w:pPr>
              <w:spacing w:after="0"/>
              <w:rPr>
                <w:sz w:val="22"/>
                <w:szCs w:val="22"/>
                <w:color w:val="auto"/>
              </w:rPr>
            </w:pPr>
          </w:p>
        </w:tc>
        <w:tc>
          <w:tcPr>
            <w:tcW w:w="8300" w:type="dxa"/>
            <w:vAlign w:val="bottom"/>
          </w:tcPr>
          <w:p>
            <w:pPr>
              <w:jc w:val="center"/>
              <w:ind w:right="2519"/>
              <w:spacing w:after="0"/>
              <w:rPr>
                <w:sz w:val="20"/>
                <w:szCs w:val="20"/>
                <w:color w:val="auto"/>
              </w:rPr>
            </w:pPr>
            <w:r>
              <w:rPr>
                <w:rFonts w:ascii="Arial" w:cs="Arial" w:eastAsia="Arial" w:hAnsi="Arial"/>
                <w:sz w:val="20"/>
                <w:szCs w:val="20"/>
                <w:b w:val="1"/>
                <w:bCs w:val="1"/>
                <w:color w:val="auto"/>
              </w:rPr>
              <w:t>THE COMPANY’S PAYMENT OBLIGATION</w:t>
            </w:r>
          </w:p>
        </w:tc>
      </w:tr>
      <w:tr>
        <w:trPr>
          <w:trHeight w:val="419"/>
        </w:trPr>
        <w:tc>
          <w:tcPr>
            <w:tcW w:w="1040" w:type="dxa"/>
            <w:vAlign w:val="bottom"/>
          </w:tcPr>
          <w:p>
            <w:pPr>
              <w:jc w:val="right"/>
              <w:ind w:right="699"/>
              <w:spacing w:after="0"/>
              <w:rPr>
                <w:sz w:val="20"/>
                <w:szCs w:val="20"/>
                <w:color w:val="auto"/>
              </w:rPr>
            </w:pPr>
            <w:r>
              <w:rPr>
                <w:rFonts w:ascii="Arial" w:cs="Arial" w:eastAsia="Arial" w:hAnsi="Arial"/>
                <w:sz w:val="20"/>
                <w:szCs w:val="20"/>
                <w:b w:val="1"/>
                <w:bCs w:val="1"/>
                <w:color w:val="auto"/>
                <w:w w:val="78"/>
              </w:rPr>
              <w:t>5.1</w:t>
            </w:r>
          </w:p>
        </w:tc>
        <w:tc>
          <w:tcPr>
            <w:tcW w:w="8300" w:type="dxa"/>
            <w:vAlign w:val="bottom"/>
          </w:tcPr>
          <w:p>
            <w:pPr>
              <w:ind w:left="1020"/>
              <w:spacing w:after="0"/>
              <w:rPr>
                <w:sz w:val="20"/>
                <w:szCs w:val="20"/>
                <w:color w:val="auto"/>
              </w:rPr>
            </w:pPr>
            <w:r>
              <w:rPr>
                <w:rFonts w:ascii="Arial" w:cs="Arial" w:eastAsia="Arial" w:hAnsi="Arial"/>
                <w:sz w:val="20"/>
                <w:szCs w:val="20"/>
                <w:b w:val="1"/>
                <w:bCs w:val="1"/>
                <w:color w:val="auto"/>
                <w:w w:val="92"/>
              </w:rPr>
              <w:t>Payment Obligations Absolute</w:t>
            </w:r>
            <w:r>
              <w:rPr>
                <w:rFonts w:ascii="Arial" w:cs="Arial" w:eastAsia="Arial" w:hAnsi="Arial"/>
                <w:sz w:val="20"/>
                <w:szCs w:val="20"/>
                <w:color w:val="auto"/>
                <w:w w:val="92"/>
              </w:rPr>
              <w:t>. Subject to the Executive’s compliance with Section 9.1</w:t>
            </w:r>
          </w:p>
        </w:tc>
      </w:tr>
    </w:tbl>
    <w:p>
      <w:pPr>
        <w:spacing w:after="0" w:line="269" w:lineRule="auto"/>
        <w:rPr>
          <w:sz w:val="20"/>
          <w:szCs w:val="20"/>
          <w:color w:val="auto"/>
        </w:rPr>
      </w:pPr>
      <w:r>
        <w:rPr>
          <w:rFonts w:ascii="Arial" w:cs="Arial" w:eastAsia="Arial" w:hAnsi="Arial"/>
          <w:sz w:val="18"/>
          <w:szCs w:val="18"/>
          <w:color w:val="auto"/>
        </w:rPr>
        <w:t>and the agreement contemplated thereby, the Company’s obligation to make the payments and the arrangements provided for herein shall be absolute and unconditional, and shall not be affected by any circumstances, including, without limitation, any offset (except an offset for the amount of any debt that is due from Executive to Company for loans, advances or similar items provided by the Company to Executive prior to the date of Executive’s notice to the Company of a Qualifying Termination Event), counterclaim, recoupment, defense, or other right which the Company may have against the Executive or anyone else. All amounts payable by the Company hereunder shall be paid without notice or demand. Each and every payment made hereunder by the Company shall be final, and the Company shall not seek to recover all or any part of such payment from the Executive or from whomsoever may be entitled thereto, for any reasons whatsoever, except as a result of an error in calculating the value of benefits payable under Section 3.2 or as otherwise provided in Article 7 and subject to the Executive’s compliance with Section 9.1 and the agreement contemplated thereby.</w:t>
      </w:r>
    </w:p>
    <w:p>
      <w:pPr>
        <w:spacing w:after="0" w:line="151" w:lineRule="exact"/>
        <w:rPr>
          <w:sz w:val="20"/>
          <w:szCs w:val="20"/>
          <w:color w:val="auto"/>
        </w:rPr>
      </w:pPr>
    </w:p>
    <w:p>
      <w:pPr>
        <w:ind w:right="320" w:firstLine="865"/>
        <w:spacing w:after="0" w:line="272" w:lineRule="auto"/>
        <w:rPr>
          <w:sz w:val="20"/>
          <w:szCs w:val="20"/>
          <w:color w:val="auto"/>
        </w:rPr>
      </w:pPr>
      <w:r>
        <w:rPr>
          <w:rFonts w:ascii="Arial" w:cs="Arial" w:eastAsia="Arial" w:hAnsi="Arial"/>
          <w:sz w:val="19"/>
          <w:szCs w:val="19"/>
          <w:color w:val="auto"/>
        </w:rPr>
        <w:t>The Executive shall not be obligated to seek other employment in mitigation of the amounts payable or arrangements made under any provision of this Agreement, and the obtaining of any such other employment shall in no event effect any reduction of the Company’s obligations to make the payments and arrangements required to be made under this Agreement.</w:t>
      </w:r>
    </w:p>
    <w:p>
      <w:pPr>
        <w:spacing w:after="0" w:line="119"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7">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00"/>
          </w:cols>
          <w:pgMar w:left="320" w:top="752" w:right="379" w:bottom="1440" w:gutter="0" w:footer="0" w:header="0"/>
        </w:sectPr>
      </w:pPr>
    </w:p>
    <w:bookmarkStart w:id="276" w:name="page277"/>
    <w:bookmarkEnd w:id="276"/>
    <w:p>
      <w:pPr>
        <w:ind w:left="1740"/>
        <w:spacing w:after="0"/>
        <w:tabs>
          <w:tab w:leader="none" w:pos="3780" w:val="left"/>
        </w:tabs>
        <w:rPr>
          <w:sz w:val="20"/>
          <w:szCs w:val="20"/>
          <w:color w:val="auto"/>
        </w:rPr>
      </w:pPr>
      <w:r>
        <w:rPr>
          <w:rFonts w:ascii="Arial" w:cs="Arial" w:eastAsia="Arial" w:hAnsi="Arial"/>
          <w:sz w:val="20"/>
          <w:szCs w:val="20"/>
          <w:b w:val="1"/>
          <w:bCs w:val="1"/>
          <w:color w:val="auto"/>
        </w:rPr>
        <w:t>5.2</w:t>
      </w:r>
      <w:r>
        <w:rPr>
          <w:sz w:val="20"/>
          <w:szCs w:val="20"/>
          <w:color w:val="auto"/>
        </w:rPr>
        <w:tab/>
      </w:r>
      <w:r>
        <w:rPr>
          <w:rFonts w:ascii="Arial" w:cs="Arial" w:eastAsia="Arial" w:hAnsi="Arial"/>
          <w:sz w:val="18"/>
          <w:szCs w:val="18"/>
          <w:b w:val="1"/>
          <w:bCs w:val="1"/>
          <w:color w:val="auto"/>
        </w:rPr>
        <w:t xml:space="preserve">Unsecured General Creditor. </w:t>
      </w:r>
      <w:r>
        <w:rPr>
          <w:rFonts w:ascii="Arial" w:cs="Arial" w:eastAsia="Arial" w:hAnsi="Arial"/>
          <w:sz w:val="18"/>
          <w:szCs w:val="18"/>
          <w:color w:val="auto"/>
        </w:rPr>
        <w:t>The Executive and his Beneficiaries, heirs, successors, and</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assigns shall have no legal or equitable rights, claims, or interest in any specific property or assets of the Company. No assets of the</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Company shall be held under any trust or held in any way as collateral security for the fulfilling of the obligations of the Company under</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this Agreement. Any and all of the Company’s assets shall be, and remain, the general unpledged, unrestricted assets of the</w:t>
      </w:r>
    </w:p>
    <w:p>
      <w:pPr>
        <w:spacing w:after="0"/>
        <w:rPr>
          <w:sz w:val="20"/>
          <w:szCs w:val="20"/>
          <w:color w:val="auto"/>
        </w:rPr>
      </w:pPr>
      <w:r>
        <w:rPr>
          <w:rFonts w:ascii="Arial" w:cs="Arial" w:eastAsia="Arial" w:hAnsi="Arial"/>
          <w:sz w:val="18"/>
          <w:szCs w:val="18"/>
          <w:color w:val="auto"/>
        </w:rPr>
        <w:t>Company. The Company’s obligation under this Agreement shall be merely that of an unfunded and unsecured promise of the entity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pay money in the future, and the rights of the Executive and his or her Beneficiaries shall be no greater than those of unsecured general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creditors. It is the intention of the Company that this Agreement be unfunded for purposes of the Code and for purposes of Title I of the</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Employee Retirement Income Security Act of 1974, as amended.</w:t>
      </w:r>
    </w:p>
    <w:p>
      <w:pPr>
        <w:spacing w:after="0" w:line="179" w:lineRule="exact"/>
        <w:rPr>
          <w:sz w:val="20"/>
          <w:szCs w:val="20"/>
          <w:color w:val="auto"/>
        </w:rPr>
      </w:pPr>
    </w:p>
    <w:p>
      <w:pPr>
        <w:ind w:right="80" w:firstLine="1729"/>
        <w:spacing w:after="0" w:line="246" w:lineRule="auto"/>
        <w:rPr>
          <w:sz w:val="20"/>
          <w:szCs w:val="20"/>
          <w:color w:val="auto"/>
        </w:rPr>
      </w:pPr>
      <w:r>
        <w:rPr>
          <w:rFonts w:ascii="Arial" w:cs="Arial" w:eastAsia="Arial" w:hAnsi="Arial"/>
          <w:sz w:val="20"/>
          <w:szCs w:val="20"/>
          <w:b w:val="1"/>
          <w:bCs w:val="1"/>
          <w:color w:val="auto"/>
        </w:rPr>
        <w:t>5.3 Pension Plans</w:t>
      </w:r>
      <w:r>
        <w:rPr>
          <w:rFonts w:ascii="Arial" w:cs="Arial" w:eastAsia="Arial" w:hAnsi="Arial"/>
          <w:sz w:val="20"/>
          <w:szCs w:val="20"/>
          <w:color w:val="auto"/>
        </w:rPr>
        <w:t>. All payments, benefits and amounts provided under this Agreement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 in addition to and not in substitution for any pension rights under the Company’s tax-qualified pension plan in which the Executive participates, and any disability, workers’ compensation or other Company benefit plan distribution that the Executive is entitled to, under the terms of any such plan, at the time his employment by the Company terminates. Notwithstanding the foregoing, this Agreement shall not create an inference that any duplicate payments shall be required.</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VI</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TERM OF AGREEMENT</w:t>
      </w:r>
    </w:p>
    <w:p>
      <w:pPr>
        <w:spacing w:after="0" w:line="183" w:lineRule="exact"/>
        <w:rPr>
          <w:sz w:val="20"/>
          <w:szCs w:val="20"/>
          <w:color w:val="auto"/>
        </w:rPr>
      </w:pPr>
    </w:p>
    <w:p>
      <w:pPr>
        <w:ind w:firstLine="865"/>
        <w:spacing w:after="0" w:line="242" w:lineRule="auto"/>
        <w:rPr>
          <w:sz w:val="20"/>
          <w:szCs w:val="20"/>
          <w:color w:val="auto"/>
        </w:rPr>
      </w:pPr>
      <w:r>
        <w:rPr>
          <w:rFonts w:ascii="Arial" w:cs="Arial" w:eastAsia="Arial" w:hAnsi="Arial"/>
          <w:sz w:val="20"/>
          <w:szCs w:val="20"/>
          <w:color w:val="auto"/>
        </w:rPr>
        <w:t>This Agreement will commence on the Effective Date and shall continue in effect through the 31</w:t>
      </w:r>
      <w:r>
        <w:rPr>
          <w:rFonts w:ascii="Arial" w:cs="Arial" w:eastAsia="Arial" w:hAnsi="Arial"/>
          <w:sz w:val="17"/>
          <w:szCs w:val="17"/>
          <w:color w:val="auto"/>
        </w:rPr>
        <w:t>st</w:t>
      </w:r>
      <w:r>
        <w:rPr>
          <w:rFonts w:ascii="Arial" w:cs="Arial" w:eastAsia="Arial" w:hAnsi="Arial"/>
          <w:sz w:val="20"/>
          <w:szCs w:val="20"/>
          <w:color w:val="auto"/>
        </w:rPr>
        <w:t xml:space="preserve"> of October 2022. However, at the end of such initial period and, if extended, at the end of each additional year thereafter, the term of this Agreement shall be extended automatically for one (1) additional year, unless the Committee (or the Board) delivers written notice at least six (6) months prior to the end of such term, or extended term, to the Executive, that this Agreement will not be extended. In such case, this Agreement will terminate at the end of the term, or extended term, then in progress. If a Potential Change in Control occurs, the Committee (or the Board) may not give notice that the term of this Agreement will not be extended, or further extended, as the case may be, unless and until the Board declares in good faith that the circumstances giving rise to the Potential Change in Control will not result in an actual Change in Control.</w:t>
      </w:r>
    </w:p>
    <w:p>
      <w:pPr>
        <w:spacing w:after="0" w:line="173" w:lineRule="exact"/>
        <w:rPr>
          <w:sz w:val="20"/>
          <w:szCs w:val="20"/>
          <w:color w:val="auto"/>
        </w:rPr>
      </w:pPr>
    </w:p>
    <w:p>
      <w:pPr>
        <w:ind w:right="80" w:firstLine="865"/>
        <w:spacing w:after="0" w:line="253" w:lineRule="auto"/>
        <w:rPr>
          <w:sz w:val="20"/>
          <w:szCs w:val="20"/>
          <w:color w:val="auto"/>
        </w:rPr>
      </w:pPr>
      <w:r>
        <w:rPr>
          <w:rFonts w:ascii="Arial" w:cs="Arial" w:eastAsia="Arial" w:hAnsi="Arial"/>
          <w:sz w:val="20"/>
          <w:szCs w:val="20"/>
          <w:color w:val="auto"/>
        </w:rPr>
        <w:t>Unless the Board expressly determines that the term of this Agreement shall continue in effect, the term of this Agreement will terminate if, prior to a Potential Change in Control, the Executive ceases to perform services on a full-time basis in either the same position Executive was serving on the Effective Date or a more senior position.</w:t>
      </w:r>
    </w:p>
    <w:p>
      <w:pPr>
        <w:spacing w:after="0" w:line="160" w:lineRule="exact"/>
        <w:rPr>
          <w:sz w:val="20"/>
          <w:szCs w:val="20"/>
          <w:color w:val="auto"/>
        </w:rPr>
      </w:pPr>
    </w:p>
    <w:p>
      <w:pPr>
        <w:jc w:val="both"/>
        <w:ind w:right="200" w:firstLine="865"/>
        <w:spacing w:after="0" w:line="272" w:lineRule="auto"/>
        <w:rPr>
          <w:sz w:val="20"/>
          <w:szCs w:val="20"/>
          <w:color w:val="auto"/>
        </w:rPr>
      </w:pPr>
      <w:r>
        <w:rPr>
          <w:rFonts w:ascii="Arial" w:cs="Arial" w:eastAsia="Arial" w:hAnsi="Arial"/>
          <w:sz w:val="19"/>
          <w:szCs w:val="19"/>
          <w:color w:val="auto"/>
        </w:rPr>
        <w:t>Notwithstanding anything to the contrary in this Agreement, in the event a Change in Control occurs during the initial or any extended term, this Agreement will remain in effect for the longer of: (a) eighteen (18) months beyond the month in which such Change in Control occurred; or (b) if the Executive incurs a Qualifying Termination Event, until all obligations of</w:t>
      </w:r>
    </w:p>
    <w:p>
      <w:pPr>
        <w:spacing w:after="0" w:line="119"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277" w:name="page278"/>
    <w:bookmarkEnd w:id="277"/>
    <w:p>
      <w:pPr>
        <w:spacing w:after="0"/>
        <w:rPr>
          <w:sz w:val="20"/>
          <w:szCs w:val="20"/>
          <w:color w:val="auto"/>
        </w:rPr>
      </w:pPr>
      <w:r>
        <w:rPr>
          <w:rFonts w:ascii="Arial" w:cs="Arial" w:eastAsia="Arial" w:hAnsi="Arial"/>
          <w:sz w:val="20"/>
          <w:szCs w:val="20"/>
          <w:color w:val="auto"/>
        </w:rPr>
        <w:t>the Company hereunder have been fulfilled, and until all benefits required hereunder have been paid to the Executive.</w:t>
      </w:r>
    </w:p>
    <w:p>
      <w:pPr>
        <w:spacing w:after="0" w:line="201" w:lineRule="exact"/>
        <w:rPr>
          <w:sz w:val="20"/>
          <w:szCs w:val="20"/>
          <w:color w:val="auto"/>
        </w:rPr>
      </w:pPr>
    </w:p>
    <w:p>
      <w:pPr>
        <w:ind w:right="160" w:firstLine="865"/>
        <w:spacing w:after="0" w:line="244" w:lineRule="auto"/>
        <w:rPr>
          <w:sz w:val="20"/>
          <w:szCs w:val="20"/>
          <w:color w:val="auto"/>
        </w:rPr>
      </w:pPr>
      <w:r>
        <w:rPr>
          <w:rFonts w:ascii="Arial" w:cs="Arial" w:eastAsia="Arial" w:hAnsi="Arial"/>
          <w:sz w:val="20"/>
          <w:szCs w:val="20"/>
          <w:color w:val="auto"/>
        </w:rPr>
        <w:t>Any subsequent Change in Control (“Subsequent Change in Control”) that occurs during the term shall also continue the term until the later of: (a) the date the term then in effect, at the time of such Subsequent Change in Control, would end; or (b) until all obligations of the Company hereunder have been fulfilled and all benefits required hereunder have been paid to the Executive; provided, however, that if one or more Subsequent Changes in Control occur, such event (or events) shall be considered a Change in Control hereunder, and this Agreement will be applicable thereto only if it, or they, occur during a Protected Period in effect at the time of any Subsequent Change in Control.</w:t>
      </w:r>
    </w:p>
    <w:p>
      <w:pPr>
        <w:spacing w:after="0" w:line="169" w:lineRule="exact"/>
        <w:rPr>
          <w:sz w:val="20"/>
          <w:szCs w:val="20"/>
          <w:color w:val="auto"/>
        </w:rPr>
      </w:pPr>
    </w:p>
    <w:p>
      <w:pPr>
        <w:ind w:right="220" w:firstLine="865"/>
        <w:spacing w:after="0" w:line="253" w:lineRule="auto"/>
        <w:rPr>
          <w:sz w:val="20"/>
          <w:szCs w:val="20"/>
          <w:color w:val="auto"/>
        </w:rPr>
      </w:pPr>
      <w:r>
        <w:rPr>
          <w:rFonts w:ascii="Arial" w:cs="Arial" w:eastAsia="Arial" w:hAnsi="Arial"/>
          <w:sz w:val="20"/>
          <w:szCs w:val="20"/>
          <w:color w:val="auto"/>
        </w:rPr>
        <w:t>Notwithstanding anything herein to the contrary, the Executive shall be entitled to receive the benefits provided in this Agreement one time only under this Agreement, regardless of the number of Changes in Control or Subsequent Changes in Control that may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174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8240" w:type="dxa"/>
            <w:vAlign w:val="bottom"/>
          </w:tcPr>
          <w:p>
            <w:pPr>
              <w:jc w:val="center"/>
              <w:ind w:right="2699"/>
              <w:spacing w:after="0"/>
              <w:rPr>
                <w:sz w:val="20"/>
                <w:szCs w:val="20"/>
                <w:color w:val="auto"/>
              </w:rPr>
            </w:pPr>
            <w:r>
              <w:rPr>
                <w:rFonts w:ascii="Arial" w:cs="Arial" w:eastAsia="Arial" w:hAnsi="Arial"/>
                <w:sz w:val="20"/>
                <w:szCs w:val="20"/>
                <w:b w:val="1"/>
                <w:bCs w:val="1"/>
                <w:color w:val="auto"/>
              </w:rPr>
              <w:t>ARTICLE VII</w:t>
            </w:r>
          </w:p>
        </w:tc>
      </w:tr>
      <w:tr>
        <w:trPr>
          <w:trHeight w:val="263"/>
        </w:trPr>
        <w:tc>
          <w:tcPr>
            <w:tcW w:w="1160" w:type="dxa"/>
            <w:vAlign w:val="bottom"/>
          </w:tcPr>
          <w:p>
            <w:pPr>
              <w:spacing w:after="0"/>
              <w:rPr>
                <w:sz w:val="22"/>
                <w:szCs w:val="22"/>
                <w:color w:val="auto"/>
              </w:rPr>
            </w:pPr>
          </w:p>
        </w:tc>
        <w:tc>
          <w:tcPr>
            <w:tcW w:w="8240" w:type="dxa"/>
            <w:vAlign w:val="bottom"/>
          </w:tcPr>
          <w:p>
            <w:pPr>
              <w:jc w:val="center"/>
              <w:ind w:right="2699"/>
              <w:spacing w:after="0"/>
              <w:rPr>
                <w:sz w:val="20"/>
                <w:szCs w:val="20"/>
                <w:color w:val="auto"/>
              </w:rPr>
            </w:pPr>
            <w:r>
              <w:rPr>
                <w:rFonts w:ascii="Arial" w:cs="Arial" w:eastAsia="Arial" w:hAnsi="Arial"/>
                <w:sz w:val="20"/>
                <w:szCs w:val="20"/>
                <w:b w:val="1"/>
                <w:bCs w:val="1"/>
                <w:color w:val="auto"/>
              </w:rPr>
              <w:t>RESOLUTION OF DISPUTES</w:t>
            </w:r>
          </w:p>
        </w:tc>
      </w:tr>
      <w:tr>
        <w:trPr>
          <w:trHeight w:val="419"/>
        </w:trPr>
        <w:tc>
          <w:tcPr>
            <w:tcW w:w="1160" w:type="dxa"/>
            <w:vAlign w:val="bottom"/>
          </w:tcPr>
          <w:p>
            <w:pPr>
              <w:jc w:val="right"/>
              <w:ind w:right="819"/>
              <w:spacing w:after="0"/>
              <w:rPr>
                <w:sz w:val="20"/>
                <w:szCs w:val="20"/>
                <w:color w:val="auto"/>
              </w:rPr>
            </w:pPr>
            <w:r>
              <w:rPr>
                <w:rFonts w:ascii="Arial" w:cs="Arial" w:eastAsia="Arial" w:hAnsi="Arial"/>
                <w:sz w:val="20"/>
                <w:szCs w:val="20"/>
                <w:b w:val="1"/>
                <w:bCs w:val="1"/>
                <w:color w:val="auto"/>
                <w:w w:val="78"/>
              </w:rPr>
              <w:t>7.1</w:t>
            </w:r>
          </w:p>
        </w:tc>
        <w:tc>
          <w:tcPr>
            <w:tcW w:w="8240" w:type="dxa"/>
            <w:vAlign w:val="bottom"/>
          </w:tcPr>
          <w:p>
            <w:pPr>
              <w:ind w:left="900"/>
              <w:spacing w:after="0"/>
              <w:rPr>
                <w:sz w:val="20"/>
                <w:szCs w:val="20"/>
                <w:color w:val="auto"/>
              </w:rPr>
            </w:pPr>
            <w:r>
              <w:rPr>
                <w:rFonts w:ascii="Arial" w:cs="Arial" w:eastAsia="Arial" w:hAnsi="Arial"/>
                <w:sz w:val="20"/>
                <w:szCs w:val="20"/>
                <w:b w:val="1"/>
                <w:bCs w:val="1"/>
                <w:color w:val="auto"/>
                <w:w w:val="92"/>
              </w:rPr>
              <w:t xml:space="preserve">Arbitration of Claims. </w:t>
            </w:r>
            <w:r>
              <w:rPr>
                <w:rFonts w:ascii="Arial" w:cs="Arial" w:eastAsia="Arial" w:hAnsi="Arial"/>
                <w:sz w:val="20"/>
                <w:szCs w:val="20"/>
                <w:color w:val="auto"/>
                <w:w w:val="92"/>
              </w:rPr>
              <w:t>The Company and the Executive hereby consent to the resolution</w:t>
            </w:r>
          </w:p>
        </w:tc>
      </w:tr>
    </w:tbl>
    <w:p>
      <w:pPr>
        <w:spacing w:after="0"/>
        <w:rPr>
          <w:sz w:val="20"/>
          <w:szCs w:val="20"/>
          <w:color w:val="auto"/>
        </w:rPr>
      </w:pPr>
      <w:r>
        <w:rPr>
          <w:rFonts w:ascii="Arial" w:cs="Arial" w:eastAsia="Arial" w:hAnsi="Arial"/>
          <w:sz w:val="20"/>
          <w:szCs w:val="20"/>
          <w:color w:val="auto"/>
        </w:rPr>
        <w:t>by mandatory and binding arbitration of all claims or controversies arising out of or in connection with this Agreement and/or the Exhibits hereto that the Company may have against the Executive, or that the Executive may have against the Company or against its officers, directors, employees or agents acting in their capacity as such. Each party’s promise to resolve all such claims or controversies by arbitration in accordance with this Agreement, rather than through the courts, is consideration for the other party’s like promise. It is further agreed that the decision of an arbitrator on any issue, dispute, claim or controversy submitted for arbitration shall be final and binding upon the Company and the Executive and that judgment may be entered on the award of the arbitrator in any court having proper jurisdiction.</w:t>
      </w:r>
    </w:p>
    <w:p>
      <w:pPr>
        <w:spacing w:after="0" w:line="172" w:lineRule="exact"/>
        <w:rPr>
          <w:sz w:val="20"/>
          <w:szCs w:val="20"/>
          <w:color w:val="auto"/>
        </w:rPr>
      </w:pPr>
    </w:p>
    <w:p>
      <w:pPr>
        <w:ind w:right="60" w:firstLine="865"/>
        <w:spacing w:after="0" w:line="245" w:lineRule="auto"/>
        <w:rPr>
          <w:sz w:val="20"/>
          <w:szCs w:val="20"/>
          <w:color w:val="auto"/>
        </w:rPr>
      </w:pPr>
      <w:r>
        <w:rPr>
          <w:rFonts w:ascii="Arial" w:cs="Arial" w:eastAsia="Arial" w:hAnsi="Arial"/>
          <w:sz w:val="20"/>
          <w:szCs w:val="20"/>
          <w:color w:val="auto"/>
        </w:rPr>
        <w:t xml:space="preserve">Except as otherwise provided in this procedure or by mutual agreement of the parties, any arbitration shall be before a sole arbitrator (the “Arbitrator’) selected from Judicial Arbitration &amp; Mediation Services, Inc., Los Angeles County, California, or its successor (“JAMS”), or if JAMS is no longer able to supply the arbitrator, such arbitrator shall be selected from the American Arbitration Association, and shall be conducted in accordance with the provisions of California Civil Procedure Code Section 1280 </w:t>
      </w:r>
      <w:r>
        <w:rPr>
          <w:rFonts w:ascii="Arial" w:cs="Arial" w:eastAsia="Arial" w:hAnsi="Arial"/>
          <w:sz w:val="20"/>
          <w:szCs w:val="20"/>
          <w:i w:val="1"/>
          <w:iCs w:val="1"/>
          <w:color w:val="auto"/>
        </w:rPr>
        <w:t>et. seq.</w:t>
      </w:r>
      <w:r>
        <w:rPr>
          <w:rFonts w:ascii="Arial" w:cs="Arial" w:eastAsia="Arial" w:hAnsi="Arial"/>
          <w:sz w:val="20"/>
          <w:szCs w:val="20"/>
          <w:color w:val="auto"/>
        </w:rPr>
        <w:t xml:space="preserve"> as the exclusive remedy of such dispute.</w:t>
      </w:r>
    </w:p>
    <w:p>
      <w:pPr>
        <w:spacing w:after="0" w:line="170" w:lineRule="exact"/>
        <w:rPr>
          <w:sz w:val="20"/>
          <w:szCs w:val="20"/>
          <w:color w:val="auto"/>
        </w:rPr>
      </w:pPr>
    </w:p>
    <w:p>
      <w:pPr>
        <w:ind w:right="100" w:firstLine="865"/>
        <w:spacing w:after="0" w:line="261" w:lineRule="auto"/>
        <w:rPr>
          <w:sz w:val="20"/>
          <w:szCs w:val="20"/>
          <w:color w:val="auto"/>
        </w:rPr>
      </w:pPr>
      <w:r>
        <w:rPr>
          <w:rFonts w:ascii="Arial" w:cs="Arial" w:eastAsia="Arial" w:hAnsi="Arial"/>
          <w:sz w:val="19"/>
          <w:szCs w:val="19"/>
          <w:color w:val="auto"/>
        </w:rPr>
        <w:t>The Arbitrator shall interpret this Agreement, any applicable Company policy or rules and regulations, any applicable substantive law (and the law of remedies, if applicable) of the state in which the claim arose, or applicable federal law. In reaching his or her decision, the Arbitrator shall have no authority to change or modify any lawful Company policy, rule or regulation, or this Agreement. Except as provided in the next paragraph, the Arbitrator, and not any federal, state or local court or agency, shall have exclusive and broad authority to resolve any dispute relating to the interpretation, applicability, enforceability or formation of this</w:t>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278" w:name="page279"/>
    <w:bookmarkEnd w:id="278"/>
    <w:p>
      <w:pPr>
        <w:ind w:right="600"/>
        <w:spacing w:after="0" w:line="253" w:lineRule="auto"/>
        <w:rPr>
          <w:sz w:val="20"/>
          <w:szCs w:val="20"/>
          <w:color w:val="auto"/>
        </w:rPr>
      </w:pPr>
      <w:r>
        <w:rPr>
          <w:rFonts w:ascii="Arial" w:cs="Arial" w:eastAsia="Arial" w:hAnsi="Arial"/>
          <w:sz w:val="20"/>
          <w:szCs w:val="20"/>
          <w:color w:val="auto"/>
        </w:rPr>
        <w:t>Agreement, including but not limited to, any claim that all or any part of this Agreement is voidable. The Arbitrator shall have the authority to decide dispositive motions. Following the completion of the arbitration, the Arbitrator shall issue a written decision disclosing the essential findings and conclusions upon which the award is based.</w:t>
      </w:r>
    </w:p>
    <w:p>
      <w:pPr>
        <w:spacing w:after="0" w:line="160" w:lineRule="exact"/>
        <w:rPr>
          <w:sz w:val="20"/>
          <w:szCs w:val="20"/>
          <w:color w:val="auto"/>
        </w:rPr>
      </w:pPr>
    </w:p>
    <w:p>
      <w:pPr>
        <w:ind w:firstLine="865"/>
        <w:spacing w:after="0" w:line="259" w:lineRule="auto"/>
        <w:rPr>
          <w:sz w:val="20"/>
          <w:szCs w:val="20"/>
          <w:color w:val="auto"/>
        </w:rPr>
      </w:pPr>
      <w:r>
        <w:rPr>
          <w:rFonts w:ascii="Arial" w:cs="Arial" w:eastAsia="Arial" w:hAnsi="Arial"/>
          <w:sz w:val="19"/>
          <w:szCs w:val="19"/>
          <w:color w:val="auto"/>
        </w:rPr>
        <w:t>Notwithstanding the foregoing, provisional injunctive relief may, but need not, be sought by the Executive or the Company in a court of law while arbitration proceedings are pending, and any provisional injunctive relief granted by such court shall remain effective until the matter is finally resolved by the Arbitrator in accordance with the foregoing. Final resolution of any dispute through arbitration may include any remedy or relief which would otherwise be available at law and which the Arbitrator deems just and equitable. The Arbitrator shall have the authority to award full damages as provided by law. Any award or relief granted by the Arbitrator hereunder shall be final and binding on the parties hereto and may be enforced by any court of competent jurisdiction.</w:t>
      </w:r>
    </w:p>
    <w:p>
      <w:pPr>
        <w:spacing w:after="0" w:line="157" w:lineRule="exact"/>
        <w:rPr>
          <w:sz w:val="20"/>
          <w:szCs w:val="20"/>
          <w:color w:val="auto"/>
        </w:rPr>
      </w:pPr>
    </w:p>
    <w:p>
      <w:pPr>
        <w:jc w:val="both"/>
        <w:ind w:right="240" w:firstLine="865"/>
        <w:spacing w:after="0" w:line="272" w:lineRule="auto"/>
        <w:rPr>
          <w:sz w:val="20"/>
          <w:szCs w:val="20"/>
          <w:color w:val="auto"/>
        </w:rPr>
      </w:pPr>
      <w:r>
        <w:rPr>
          <w:rFonts w:ascii="Arial" w:cs="Arial" w:eastAsia="Arial" w:hAnsi="Arial"/>
          <w:sz w:val="19"/>
          <w:szCs w:val="19"/>
          <w:color w:val="auto"/>
        </w:rPr>
        <w:t>The Company shall pay the reasonable fees and expenses of the Arbitrator and a stenographic reporter, if employed, and any other costs associated with the arbitration that are unique to arbitration. Each party shall pay its own legal fees and other expenses and costs incurred with respect to the arbitration as and to the same extent as if the matter were being heard in court.</w:t>
      </w:r>
    </w:p>
    <w:p>
      <w:pPr>
        <w:spacing w:after="0" w:line="200" w:lineRule="exact"/>
        <w:rPr>
          <w:sz w:val="20"/>
          <w:szCs w:val="20"/>
          <w:color w:val="auto"/>
        </w:rPr>
      </w:pPr>
    </w:p>
    <w:p>
      <w:pPr>
        <w:spacing w:after="0" w:line="346" w:lineRule="exact"/>
        <w:rPr>
          <w:sz w:val="20"/>
          <w:szCs w:val="20"/>
          <w:color w:val="auto"/>
        </w:rPr>
      </w:pPr>
    </w:p>
    <w:p>
      <w:pPr>
        <w:ind w:left="4940"/>
        <w:spacing w:after="0"/>
        <w:rPr>
          <w:sz w:val="20"/>
          <w:szCs w:val="20"/>
          <w:color w:val="auto"/>
        </w:rPr>
      </w:pPr>
      <w:r>
        <w:rPr>
          <w:rFonts w:ascii="Arial" w:cs="Arial" w:eastAsia="Arial" w:hAnsi="Arial"/>
          <w:sz w:val="20"/>
          <w:szCs w:val="20"/>
          <w:b w:val="1"/>
          <w:bCs w:val="1"/>
          <w:color w:val="auto"/>
        </w:rPr>
        <w:t>ARTICLE VIII</w:t>
      </w:r>
    </w:p>
    <w:p>
      <w:pPr>
        <w:spacing w:after="0" w:line="20"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SUCCESSORS</w:t>
      </w:r>
    </w:p>
    <w:p>
      <w:pPr>
        <w:spacing w:after="0" w:line="183" w:lineRule="exact"/>
        <w:rPr>
          <w:sz w:val="20"/>
          <w:szCs w:val="20"/>
          <w:color w:val="auto"/>
        </w:rPr>
      </w:pPr>
    </w:p>
    <w:p>
      <w:pPr>
        <w:ind w:right="40" w:firstLine="865"/>
        <w:spacing w:after="0" w:line="243" w:lineRule="auto"/>
        <w:rPr>
          <w:sz w:val="20"/>
          <w:szCs w:val="20"/>
          <w:color w:val="auto"/>
        </w:rPr>
      </w:pPr>
      <w:r>
        <w:rPr>
          <w:rFonts w:ascii="Arial" w:cs="Arial" w:eastAsia="Arial" w:hAnsi="Arial"/>
          <w:sz w:val="20"/>
          <w:szCs w:val="20"/>
          <w:color w:val="auto"/>
        </w:rPr>
        <w:t>The Company will require any successor (whether direct or indirect, by purchase, merger, consolidation, or otherwise) of all or substantially all of the business and/or assets of the Company or of any division or subsidiary thereof (the business and/or assets of which constitute at least fifty-one percent (51%) of the total business and/or assets of the Company) to expressly assume and agree to perform the Company’s obligations under this Agreement in the same manner and to the same extent that the Company would be required to perform them if no such succession had taken place. Failure of the Company to obtain such assumption and agreement in a written instrument prior to the effective date of any such succession shall be a breach of this Agreement and shall entitle the Executive to the benefits provided under this Agreement.</w:t>
      </w:r>
    </w:p>
    <w:p>
      <w:pPr>
        <w:spacing w:after="0" w:line="170" w:lineRule="exact"/>
        <w:rPr>
          <w:sz w:val="20"/>
          <w:szCs w:val="20"/>
          <w:color w:val="auto"/>
        </w:rPr>
      </w:pPr>
    </w:p>
    <w:p>
      <w:pPr>
        <w:ind w:right="20" w:firstLine="865"/>
        <w:spacing w:after="0" w:line="248" w:lineRule="auto"/>
        <w:rPr>
          <w:sz w:val="20"/>
          <w:szCs w:val="20"/>
          <w:color w:val="auto"/>
        </w:rPr>
      </w:pPr>
      <w:r>
        <w:rPr>
          <w:rFonts w:ascii="Arial" w:cs="Arial" w:eastAsia="Arial" w:hAnsi="Arial"/>
          <w:sz w:val="20"/>
          <w:szCs w:val="20"/>
          <w:color w:val="auto"/>
        </w:rPr>
        <w:t>This Agreement shall inure to the benefit of and be enforceable by the Executive’s personal or legal representatives, trustees, executors, administrators, successors, heirs, distributees, devisees, and legatees. If the Executive should die while any amount would still be payable to him hereunder had he continued to live, all such amounts, unless otherwise provided herein, shall be paid to the Executive’s Beneficiary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0">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00"/>
          </w:cols>
          <w:pgMar w:left="320" w:top="752" w:right="379" w:bottom="1440" w:gutter="0" w:footer="0" w:header="0"/>
        </w:sectPr>
      </w:pPr>
    </w:p>
    <w:bookmarkStart w:id="279" w:name="page280"/>
    <w:bookmarkEnd w:id="279"/>
    <w:tbl>
      <w:tblPr>
        <w:tblLayout w:type="fixed"/>
        <w:tblInd w:w="174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8240" w:type="dxa"/>
            <w:vAlign w:val="bottom"/>
          </w:tcPr>
          <w:p>
            <w:pPr>
              <w:jc w:val="center"/>
              <w:ind w:right="2699"/>
              <w:spacing w:after="0"/>
              <w:rPr>
                <w:sz w:val="20"/>
                <w:szCs w:val="20"/>
                <w:color w:val="auto"/>
              </w:rPr>
            </w:pPr>
            <w:r>
              <w:rPr>
                <w:rFonts w:ascii="Arial" w:cs="Arial" w:eastAsia="Arial" w:hAnsi="Arial"/>
                <w:sz w:val="20"/>
                <w:szCs w:val="20"/>
                <w:b w:val="1"/>
                <w:bCs w:val="1"/>
                <w:color w:val="auto"/>
              </w:rPr>
              <w:t>ARTICLE IX</w:t>
            </w:r>
          </w:p>
        </w:tc>
      </w:tr>
      <w:tr>
        <w:trPr>
          <w:trHeight w:val="263"/>
        </w:trPr>
        <w:tc>
          <w:tcPr>
            <w:tcW w:w="1160" w:type="dxa"/>
            <w:vAlign w:val="bottom"/>
          </w:tcPr>
          <w:p>
            <w:pPr>
              <w:spacing w:after="0"/>
              <w:rPr>
                <w:sz w:val="22"/>
                <w:szCs w:val="22"/>
                <w:color w:val="auto"/>
              </w:rPr>
            </w:pPr>
          </w:p>
        </w:tc>
        <w:tc>
          <w:tcPr>
            <w:tcW w:w="8240" w:type="dxa"/>
            <w:vAlign w:val="bottom"/>
          </w:tcPr>
          <w:p>
            <w:pPr>
              <w:jc w:val="center"/>
              <w:ind w:right="2679"/>
              <w:spacing w:after="0"/>
              <w:rPr>
                <w:sz w:val="20"/>
                <w:szCs w:val="20"/>
                <w:color w:val="auto"/>
              </w:rPr>
            </w:pPr>
            <w:r>
              <w:rPr>
                <w:rFonts w:ascii="Arial" w:cs="Arial" w:eastAsia="Arial" w:hAnsi="Arial"/>
                <w:sz w:val="20"/>
                <w:szCs w:val="20"/>
                <w:b w:val="1"/>
                <w:bCs w:val="1"/>
                <w:color w:val="auto"/>
              </w:rPr>
              <w:t>MISCELLANEOUS</w:t>
            </w:r>
          </w:p>
        </w:tc>
      </w:tr>
      <w:tr>
        <w:trPr>
          <w:trHeight w:val="419"/>
        </w:trPr>
        <w:tc>
          <w:tcPr>
            <w:tcW w:w="1160" w:type="dxa"/>
            <w:vAlign w:val="bottom"/>
          </w:tcPr>
          <w:p>
            <w:pPr>
              <w:jc w:val="right"/>
              <w:ind w:right="819"/>
              <w:spacing w:after="0"/>
              <w:rPr>
                <w:sz w:val="20"/>
                <w:szCs w:val="20"/>
                <w:color w:val="auto"/>
              </w:rPr>
            </w:pPr>
            <w:r>
              <w:rPr>
                <w:rFonts w:ascii="Arial" w:cs="Arial" w:eastAsia="Arial" w:hAnsi="Arial"/>
                <w:sz w:val="20"/>
                <w:szCs w:val="20"/>
                <w:b w:val="1"/>
                <w:bCs w:val="1"/>
                <w:color w:val="auto"/>
                <w:w w:val="78"/>
              </w:rPr>
              <w:t>9.1</w:t>
            </w:r>
          </w:p>
        </w:tc>
        <w:tc>
          <w:tcPr>
            <w:tcW w:w="8240" w:type="dxa"/>
            <w:vAlign w:val="bottom"/>
          </w:tcPr>
          <w:p>
            <w:pPr>
              <w:ind w:left="900"/>
              <w:spacing w:after="0"/>
              <w:rPr>
                <w:sz w:val="20"/>
                <w:szCs w:val="20"/>
                <w:color w:val="auto"/>
              </w:rPr>
            </w:pPr>
            <w:r>
              <w:rPr>
                <w:rFonts w:ascii="Arial" w:cs="Arial" w:eastAsia="Arial" w:hAnsi="Arial"/>
                <w:sz w:val="20"/>
                <w:szCs w:val="20"/>
                <w:b w:val="1"/>
                <w:bCs w:val="1"/>
                <w:color w:val="auto"/>
                <w:w w:val="91"/>
              </w:rPr>
              <w:t xml:space="preserve">Release and Agreement. </w:t>
            </w:r>
            <w:r>
              <w:rPr>
                <w:rFonts w:ascii="Arial" w:cs="Arial" w:eastAsia="Arial" w:hAnsi="Arial"/>
                <w:sz w:val="20"/>
                <w:szCs w:val="20"/>
                <w:color w:val="auto"/>
                <w:w w:val="91"/>
              </w:rPr>
              <w:t>Notwithstanding anything else contained herein to the contrary,</w:t>
            </w:r>
          </w:p>
        </w:tc>
      </w:tr>
    </w:tbl>
    <w:p>
      <w:pPr>
        <w:spacing w:after="0" w:line="241" w:lineRule="auto"/>
        <w:rPr>
          <w:sz w:val="20"/>
          <w:szCs w:val="20"/>
          <w:color w:val="auto"/>
        </w:rPr>
      </w:pPr>
      <w:r>
        <w:rPr>
          <w:rFonts w:ascii="Arial" w:cs="Arial" w:eastAsia="Arial" w:hAnsi="Arial"/>
          <w:sz w:val="20"/>
          <w:szCs w:val="20"/>
          <w:color w:val="auto"/>
        </w:rPr>
        <w:t xml:space="preserve">the Company’s obligation to pay benefits hereunder to the Executive is subject to the condition precedent that the Executive execute a valid and effective Severance Agreement in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such other form, which is substantially the same as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as the Committee may require) and such executed agreement is received by the Company and is not revoked by the Executive or otherwise rendered unenforceable by the Executive.</w:t>
      </w:r>
    </w:p>
    <w:p>
      <w:pPr>
        <w:spacing w:after="0" w:line="170" w:lineRule="exact"/>
        <w:rPr>
          <w:sz w:val="20"/>
          <w:szCs w:val="20"/>
          <w:color w:val="auto"/>
        </w:rPr>
      </w:pPr>
    </w:p>
    <w:p>
      <w:pPr>
        <w:ind w:right="40" w:firstLine="1729"/>
        <w:spacing w:after="0" w:line="249" w:lineRule="auto"/>
        <w:rPr>
          <w:sz w:val="20"/>
          <w:szCs w:val="20"/>
          <w:color w:val="auto"/>
        </w:rPr>
      </w:pPr>
      <w:r>
        <w:rPr>
          <w:rFonts w:ascii="Arial" w:cs="Arial" w:eastAsia="Arial" w:hAnsi="Arial"/>
          <w:sz w:val="20"/>
          <w:szCs w:val="20"/>
          <w:b w:val="1"/>
          <w:bCs w:val="1"/>
          <w:color w:val="auto"/>
        </w:rPr>
        <w:t>9.2 Employment Status</w:t>
      </w:r>
      <w:r>
        <w:rPr>
          <w:rFonts w:ascii="Arial" w:cs="Arial" w:eastAsia="Arial" w:hAnsi="Arial"/>
          <w:sz w:val="20"/>
          <w:szCs w:val="20"/>
          <w:color w:val="auto"/>
        </w:rPr>
        <w:t>. The Executive and the Company acknowledge that, except as may</w:t>
      </w:r>
      <w:r>
        <w:rPr>
          <w:rFonts w:ascii="Arial" w:cs="Arial" w:eastAsia="Arial" w:hAnsi="Arial"/>
          <w:sz w:val="20"/>
          <w:szCs w:val="20"/>
          <w:b w:val="1"/>
          <w:bCs w:val="1"/>
          <w:color w:val="auto"/>
        </w:rPr>
        <w:t xml:space="preserve"> </w:t>
      </w:r>
      <w:r>
        <w:rPr>
          <w:rFonts w:ascii="Arial" w:cs="Arial" w:eastAsia="Arial" w:hAnsi="Arial"/>
          <w:sz w:val="20"/>
          <w:szCs w:val="20"/>
          <w:color w:val="auto"/>
        </w:rPr>
        <w:t>be provided under any other written agreement between the Executive and the Company, the employment of the Executive by the Company is “at will,” and may be terminated by either the Executive or the Company at any time, subject to applicable law and subject to the express provisions of Article 2.</w:t>
      </w:r>
    </w:p>
    <w:p>
      <w:pPr>
        <w:spacing w:after="0" w:line="161" w:lineRule="exact"/>
        <w:rPr>
          <w:sz w:val="20"/>
          <w:szCs w:val="20"/>
          <w:color w:val="auto"/>
        </w:rPr>
      </w:pPr>
    </w:p>
    <w:p>
      <w:pPr>
        <w:ind w:right="120" w:firstLine="1729"/>
        <w:spacing w:after="0" w:line="249" w:lineRule="auto"/>
        <w:rPr>
          <w:sz w:val="20"/>
          <w:szCs w:val="20"/>
          <w:color w:val="auto"/>
        </w:rPr>
      </w:pPr>
      <w:r>
        <w:rPr>
          <w:rFonts w:ascii="Arial" w:cs="Arial" w:eastAsia="Arial" w:hAnsi="Arial"/>
          <w:sz w:val="20"/>
          <w:szCs w:val="20"/>
          <w:b w:val="1"/>
          <w:bCs w:val="1"/>
          <w:color w:val="auto"/>
        </w:rPr>
        <w:t>9.3 Beneficiaries</w:t>
      </w:r>
      <w:r>
        <w:rPr>
          <w:rFonts w:ascii="Arial" w:cs="Arial" w:eastAsia="Arial" w:hAnsi="Arial"/>
          <w:sz w:val="20"/>
          <w:szCs w:val="20"/>
          <w:color w:val="auto"/>
        </w:rPr>
        <w:t>. Subject to the other provisions of this Section 9.3, the person or persons</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a trustee, personal representative or other fiduciary) last designated in writing by the Executive in accordance with procedures established by the Committee to receive the benefits specified hereunder in the event of the Executive’s death shall be the Executive’s Beneficiary or Beneficiaries.</w:t>
      </w:r>
    </w:p>
    <w:p>
      <w:pPr>
        <w:spacing w:after="0" w:line="165" w:lineRule="exact"/>
        <w:rPr>
          <w:sz w:val="20"/>
          <w:szCs w:val="20"/>
          <w:color w:val="auto"/>
        </w:rPr>
      </w:pPr>
    </w:p>
    <w:p>
      <w:pPr>
        <w:ind w:right="100" w:firstLine="865"/>
        <w:spacing w:after="0" w:line="253" w:lineRule="auto"/>
        <w:rPr>
          <w:sz w:val="20"/>
          <w:szCs w:val="20"/>
          <w:color w:val="auto"/>
        </w:rPr>
      </w:pPr>
      <w:r>
        <w:rPr>
          <w:rFonts w:ascii="Arial" w:cs="Arial" w:eastAsia="Arial" w:hAnsi="Arial"/>
          <w:sz w:val="20"/>
          <w:szCs w:val="20"/>
          <w:color w:val="auto"/>
        </w:rPr>
        <w:t>No beneficiary designation shall become effective until it is filed with the Committee, and no beneficiary designation of someone other than the Executive’s spouse shall be effective unless such designation is consented to by the Executive’s spouse on a form provided by and in accordance with procedures established by the Committee.</w:t>
      </w:r>
    </w:p>
    <w:p>
      <w:pPr>
        <w:spacing w:after="0" w:line="160" w:lineRule="exact"/>
        <w:rPr>
          <w:sz w:val="20"/>
          <w:szCs w:val="20"/>
          <w:color w:val="auto"/>
        </w:rPr>
      </w:pPr>
    </w:p>
    <w:p>
      <w:pPr>
        <w:ind w:right="20" w:firstLine="865"/>
        <w:spacing w:after="0" w:line="256" w:lineRule="auto"/>
        <w:rPr>
          <w:sz w:val="20"/>
          <w:szCs w:val="20"/>
          <w:color w:val="auto"/>
        </w:rPr>
      </w:pPr>
      <w:r>
        <w:rPr>
          <w:rFonts w:ascii="Arial" w:cs="Arial" w:eastAsia="Arial" w:hAnsi="Arial"/>
          <w:sz w:val="19"/>
          <w:szCs w:val="19"/>
          <w:color w:val="auto"/>
        </w:rPr>
        <w:t>If there is no Beneficiary designation in effect, or if there is no surviving designated Beneficiary, then the Executive’s surviving spouse shall be the Beneficiary. If there is no surviving spouse to receive any benefits payable in accordance with the preceding sentence, the duly appointed and currently acting personal representative of the Executive’s estate (which shall include either the Executive’s probate estate or living trust) shall be the Beneficiary. In any case where there is no such personal representative of the Executive’s estate duly appointed and acting in that capacity within 90 days after the Executive’s death (or such extended period as the Committee determines is reasonably necessary to allow such personal representative to be appointed, but not to exceed 180 days after the Executive’s death), then Beneficiary shall mean the person or persons who can verify by affidavit or court order to the satisfaction of the Committee that they are legally entitled to receive the benefits specified hereunder.</w:t>
      </w:r>
    </w:p>
    <w:p>
      <w:pPr>
        <w:spacing w:after="0" w:line="164" w:lineRule="exact"/>
        <w:rPr>
          <w:sz w:val="20"/>
          <w:szCs w:val="20"/>
          <w:color w:val="auto"/>
        </w:rPr>
      </w:pPr>
    </w:p>
    <w:p>
      <w:pPr>
        <w:ind w:right="340" w:firstLine="865"/>
        <w:spacing w:after="0" w:line="279" w:lineRule="auto"/>
        <w:rPr>
          <w:sz w:val="20"/>
          <w:szCs w:val="20"/>
          <w:color w:val="auto"/>
        </w:rPr>
      </w:pPr>
      <w:r>
        <w:rPr>
          <w:rFonts w:ascii="Arial" w:cs="Arial" w:eastAsia="Arial" w:hAnsi="Arial"/>
          <w:sz w:val="18"/>
          <w:szCs w:val="18"/>
          <w:color w:val="auto"/>
        </w:rPr>
        <w:t>Notwithstanding anything else herein to the contrary, in the event any amount is payable under this Agreement to a minor, payment shall not be made to the minor, but instead be paid: (a) to that person’s living parent(s) to act as custodian; (b) if that person’s parents are then divorced, and one parent is the sole custodial parent, to such custodial parent; or (c) if no parent of that person is then living, to a custodian selected by the Committee to hold the funds for the minor under the Uniform Transfers or Gifts to Minors Act in effect in the jurisdiction in which the minor resides. If no parent is living and the Committee decides not to select another</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1">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280" w:name="page281"/>
    <w:bookmarkEnd w:id="280"/>
    <w:p>
      <w:pPr>
        <w:ind w:right="20"/>
        <w:spacing w:after="0" w:line="272" w:lineRule="auto"/>
        <w:rPr>
          <w:sz w:val="20"/>
          <w:szCs w:val="20"/>
          <w:color w:val="auto"/>
        </w:rPr>
      </w:pPr>
      <w:r>
        <w:rPr>
          <w:rFonts w:ascii="Arial" w:cs="Arial" w:eastAsia="Arial" w:hAnsi="Arial"/>
          <w:sz w:val="19"/>
          <w:szCs w:val="19"/>
          <w:color w:val="auto"/>
        </w:rPr>
        <w:t>custodian to hold the funds for the minor, then payment shall be made to the duly appointed and currently acting guardian of the estate for the minor or, if no guardian of the estate for the minor is duly appointed and currently acting within 60 days after the date the amount becomes payable, payment shall be deposited with the court having jurisdiction over the estate of the minor.</w:t>
      </w:r>
    </w:p>
    <w:p>
      <w:pPr>
        <w:spacing w:after="0" w:line="141" w:lineRule="exact"/>
        <w:rPr>
          <w:sz w:val="20"/>
          <w:szCs w:val="20"/>
          <w:color w:val="auto"/>
        </w:rPr>
      </w:pPr>
    </w:p>
    <w:p>
      <w:pPr>
        <w:ind w:right="360" w:firstLine="1729"/>
        <w:spacing w:after="0" w:line="255" w:lineRule="auto"/>
        <w:rPr>
          <w:sz w:val="20"/>
          <w:szCs w:val="20"/>
          <w:color w:val="auto"/>
        </w:rPr>
      </w:pPr>
      <w:r>
        <w:rPr>
          <w:rFonts w:ascii="Arial" w:cs="Arial" w:eastAsia="Arial" w:hAnsi="Arial"/>
          <w:sz w:val="20"/>
          <w:szCs w:val="20"/>
          <w:b w:val="1"/>
          <w:bCs w:val="1"/>
          <w:color w:val="auto"/>
        </w:rPr>
        <w:t xml:space="preserve">9.4 Entire Agreement. </w:t>
      </w:r>
      <w:r>
        <w:rPr>
          <w:rFonts w:ascii="Arial" w:cs="Arial" w:eastAsia="Arial" w:hAnsi="Arial"/>
          <w:sz w:val="20"/>
          <w:szCs w:val="20"/>
          <w:color w:val="auto"/>
        </w:rPr>
        <w:t>This Agreement, including the Exhibits hereto, contains the entire</w:t>
      </w:r>
      <w:r>
        <w:rPr>
          <w:rFonts w:ascii="Arial" w:cs="Arial" w:eastAsia="Arial" w:hAnsi="Arial"/>
          <w:sz w:val="20"/>
          <w:szCs w:val="20"/>
          <w:b w:val="1"/>
          <w:bCs w:val="1"/>
          <w:color w:val="auto"/>
        </w:rPr>
        <w:t xml:space="preserve"> </w:t>
      </w:r>
      <w:r>
        <w:rPr>
          <w:rFonts w:ascii="Arial" w:cs="Arial" w:eastAsia="Arial" w:hAnsi="Arial"/>
          <w:sz w:val="20"/>
          <w:szCs w:val="20"/>
          <w:color w:val="auto"/>
        </w:rPr>
        <w:t>understanding of the Company and the Executive, and supersedes and replaces all prior negotiations and all agreements proposed or otherwise, whether written or oral, with respect to the subject matter hereof.</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900" w:type="dxa"/>
            <w:vAlign w:val="bottom"/>
          </w:tcPr>
          <w:p>
            <w:pPr>
              <w:jc w:val="right"/>
              <w:ind w:right="819"/>
              <w:spacing w:after="0"/>
              <w:rPr>
                <w:sz w:val="20"/>
                <w:szCs w:val="20"/>
                <w:color w:val="auto"/>
              </w:rPr>
            </w:pPr>
            <w:r>
              <w:rPr>
                <w:rFonts w:ascii="Arial" w:cs="Arial" w:eastAsia="Arial" w:hAnsi="Arial"/>
                <w:sz w:val="20"/>
                <w:szCs w:val="20"/>
                <w:b w:val="1"/>
                <w:bCs w:val="1"/>
                <w:color w:val="auto"/>
              </w:rPr>
              <w:t>9.5</w:t>
            </w:r>
          </w:p>
        </w:tc>
        <w:tc>
          <w:tcPr>
            <w:tcW w:w="8200" w:type="dxa"/>
            <w:vAlign w:val="bottom"/>
          </w:tcPr>
          <w:p>
            <w:pPr>
              <w:ind w:left="900"/>
              <w:spacing w:after="0"/>
              <w:rPr>
                <w:sz w:val="20"/>
                <w:szCs w:val="20"/>
                <w:color w:val="auto"/>
              </w:rPr>
            </w:pPr>
            <w:r>
              <w:rPr>
                <w:rFonts w:ascii="Arial" w:cs="Arial" w:eastAsia="Arial" w:hAnsi="Arial"/>
                <w:sz w:val="20"/>
                <w:szCs w:val="20"/>
                <w:b w:val="1"/>
                <w:bCs w:val="1"/>
                <w:color w:val="auto"/>
                <w:w w:val="95"/>
              </w:rPr>
              <w:t>Gender and Number</w:t>
            </w:r>
            <w:r>
              <w:rPr>
                <w:rFonts w:ascii="Arial" w:cs="Arial" w:eastAsia="Arial" w:hAnsi="Arial"/>
                <w:sz w:val="20"/>
                <w:szCs w:val="20"/>
                <w:color w:val="auto"/>
                <w:w w:val="95"/>
              </w:rPr>
              <w:t>. Except where otherwise indicated by the context any masculine</w:t>
            </w:r>
          </w:p>
        </w:tc>
      </w:tr>
      <w:tr>
        <w:trPr>
          <w:trHeight w:val="259"/>
        </w:trPr>
        <w:tc>
          <w:tcPr>
            <w:tcW w:w="11100" w:type="dxa"/>
            <w:vAlign w:val="bottom"/>
            <w:gridSpan w:val="2"/>
          </w:tcPr>
          <w:p>
            <w:pPr>
              <w:spacing w:after="0"/>
              <w:rPr>
                <w:sz w:val="20"/>
                <w:szCs w:val="20"/>
                <w:color w:val="auto"/>
              </w:rPr>
            </w:pPr>
            <w:r>
              <w:rPr>
                <w:rFonts w:ascii="Arial" w:cs="Arial" w:eastAsia="Arial" w:hAnsi="Arial"/>
                <w:sz w:val="20"/>
                <w:szCs w:val="20"/>
                <w:color w:val="auto"/>
              </w:rPr>
              <w:t>term used herein also shall include the feminine, the plural shall include the singular, and the singular shall include the plural.</w:t>
            </w:r>
          </w:p>
        </w:tc>
      </w:tr>
      <w:tr>
        <w:trPr>
          <w:trHeight w:val="419"/>
        </w:trPr>
        <w:tc>
          <w:tcPr>
            <w:tcW w:w="2900" w:type="dxa"/>
            <w:vAlign w:val="bottom"/>
          </w:tcPr>
          <w:p>
            <w:pPr>
              <w:jc w:val="right"/>
              <w:ind w:right="819"/>
              <w:spacing w:after="0"/>
              <w:rPr>
                <w:sz w:val="20"/>
                <w:szCs w:val="20"/>
                <w:color w:val="auto"/>
              </w:rPr>
            </w:pPr>
            <w:r>
              <w:rPr>
                <w:rFonts w:ascii="Arial" w:cs="Arial" w:eastAsia="Arial" w:hAnsi="Arial"/>
                <w:sz w:val="20"/>
                <w:szCs w:val="20"/>
                <w:b w:val="1"/>
                <w:bCs w:val="1"/>
                <w:color w:val="auto"/>
              </w:rPr>
              <w:t>9.6</w:t>
            </w:r>
          </w:p>
        </w:tc>
        <w:tc>
          <w:tcPr>
            <w:tcW w:w="8200" w:type="dxa"/>
            <w:vAlign w:val="bottom"/>
          </w:tcPr>
          <w:p>
            <w:pPr>
              <w:ind w:left="900"/>
              <w:spacing w:after="0"/>
              <w:rPr>
                <w:sz w:val="20"/>
                <w:szCs w:val="20"/>
                <w:color w:val="auto"/>
              </w:rPr>
            </w:pPr>
            <w:r>
              <w:rPr>
                <w:rFonts w:ascii="Arial" w:cs="Arial" w:eastAsia="Arial" w:hAnsi="Arial"/>
                <w:sz w:val="20"/>
                <w:szCs w:val="20"/>
                <w:b w:val="1"/>
                <w:bCs w:val="1"/>
                <w:color w:val="auto"/>
                <w:w w:val="94"/>
              </w:rPr>
              <w:t>Severability</w:t>
            </w:r>
            <w:r>
              <w:rPr>
                <w:rFonts w:ascii="Arial" w:cs="Arial" w:eastAsia="Arial" w:hAnsi="Arial"/>
                <w:sz w:val="20"/>
                <w:szCs w:val="20"/>
                <w:color w:val="auto"/>
                <w:w w:val="94"/>
              </w:rPr>
              <w:t>. In the event any provision of this Agreement shall be held illegal or invalid</w:t>
            </w:r>
          </w:p>
        </w:tc>
      </w:tr>
    </w:tbl>
    <w:p>
      <w:pPr>
        <w:ind w:right="300"/>
        <w:spacing w:after="0" w:line="243" w:lineRule="auto"/>
        <w:rPr>
          <w:sz w:val="20"/>
          <w:szCs w:val="20"/>
          <w:color w:val="auto"/>
        </w:rPr>
      </w:pPr>
      <w:r>
        <w:rPr>
          <w:rFonts w:ascii="Arial" w:cs="Arial" w:eastAsia="Arial" w:hAnsi="Arial"/>
          <w:sz w:val="20"/>
          <w:szCs w:val="20"/>
          <w:color w:val="auto"/>
        </w:rPr>
        <w:t>for any reason, the illegality or invalidity shall not affect the remaining parts of this Agreement, and this Agreement shall be construed and enforced as if the illegal or invalid provision had not been included. Further, the captions of this Agreement are not part of the provisions hereof and shall have no force and effect.</w:t>
      </w:r>
    </w:p>
    <w:p>
      <w:pPr>
        <w:spacing w:after="0" w:line="167" w:lineRule="exact"/>
        <w:rPr>
          <w:sz w:val="20"/>
          <w:szCs w:val="20"/>
          <w:color w:val="auto"/>
        </w:rPr>
      </w:pPr>
    </w:p>
    <w:p>
      <w:pPr>
        <w:ind w:firstLine="1729"/>
        <w:spacing w:after="0" w:line="255" w:lineRule="auto"/>
        <w:rPr>
          <w:sz w:val="20"/>
          <w:szCs w:val="20"/>
          <w:color w:val="auto"/>
        </w:rPr>
      </w:pPr>
      <w:r>
        <w:rPr>
          <w:rFonts w:ascii="Arial" w:cs="Arial" w:eastAsia="Arial" w:hAnsi="Arial"/>
          <w:sz w:val="20"/>
          <w:szCs w:val="20"/>
          <w:b w:val="1"/>
          <w:bCs w:val="1"/>
          <w:color w:val="auto"/>
        </w:rPr>
        <w:t xml:space="preserve">9.7 Modification. </w:t>
      </w:r>
      <w:r>
        <w:rPr>
          <w:rFonts w:ascii="Arial" w:cs="Arial" w:eastAsia="Arial" w:hAnsi="Arial"/>
          <w:sz w:val="20"/>
          <w:szCs w:val="20"/>
          <w:color w:val="auto"/>
        </w:rPr>
        <w:t>No provision of this Agreement may be modified, waived, or discharged</w:t>
      </w:r>
      <w:r>
        <w:rPr>
          <w:rFonts w:ascii="Arial" w:cs="Arial" w:eastAsia="Arial" w:hAnsi="Arial"/>
          <w:sz w:val="20"/>
          <w:szCs w:val="20"/>
          <w:b w:val="1"/>
          <w:bCs w:val="1"/>
          <w:color w:val="auto"/>
        </w:rPr>
        <w:t xml:space="preserve"> </w:t>
      </w:r>
      <w:r>
        <w:rPr>
          <w:rFonts w:ascii="Arial" w:cs="Arial" w:eastAsia="Arial" w:hAnsi="Arial"/>
          <w:sz w:val="20"/>
          <w:szCs w:val="20"/>
          <w:color w:val="auto"/>
        </w:rPr>
        <w:t>unless such modification, waiver, or discharge is agreed to in writing and signed by the Executive (or the Executive’s legal representative) and by an authorized member of the Committee (or the Board) or its designee or legal representative.</w:t>
      </w:r>
    </w:p>
    <w:p>
      <w:pPr>
        <w:spacing w:after="0" w:line="154" w:lineRule="exact"/>
        <w:rPr>
          <w:sz w:val="20"/>
          <w:szCs w:val="20"/>
          <w:color w:val="auto"/>
        </w:rPr>
      </w:pPr>
    </w:p>
    <w:p>
      <w:pPr>
        <w:ind w:right="60" w:firstLine="1729"/>
        <w:spacing w:after="0" w:line="275" w:lineRule="auto"/>
        <w:rPr>
          <w:sz w:val="20"/>
          <w:szCs w:val="20"/>
          <w:color w:val="auto"/>
        </w:rPr>
      </w:pPr>
      <w:r>
        <w:rPr>
          <w:rFonts w:ascii="Arial" w:cs="Arial" w:eastAsia="Arial" w:hAnsi="Arial"/>
          <w:sz w:val="18"/>
          <w:szCs w:val="18"/>
          <w:b w:val="1"/>
          <w:bCs w:val="1"/>
          <w:color w:val="auto"/>
        </w:rPr>
        <w:t xml:space="preserve">9.8 Notice. </w:t>
      </w:r>
      <w:r>
        <w:rPr>
          <w:rFonts w:ascii="Arial" w:cs="Arial" w:eastAsia="Arial" w:hAnsi="Arial"/>
          <w:sz w:val="18"/>
          <w:szCs w:val="18"/>
          <w:color w:val="auto"/>
        </w:rPr>
        <w:t>For purposes of this Agreement, notices, including Notice of Termination,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communications provided for in this Agreement shall be in writing and shall be deemed to have been duly given when delivered or on the date stamped as received by the U.S. Postal Service for delivery by certified or registered mail, postage prepaid and addressed: (a) if to the Executive, to his latest address as reflected on the records of the Company, and (b) if to the Company, to Parsons Corporation, 100 West Walnut Street, Pasadena, California 91124, Attn: Chair, Compensation Committee, or to such other address as either party may furnish to the other in writing for the delivery of notices to that party, with specific reference to this Agreement and the importance of the notice, except that a notice of change of address shall be effective only upon receipt by the other party.</w:t>
      </w:r>
    </w:p>
    <w:p>
      <w:pPr>
        <w:spacing w:after="0" w:line="140" w:lineRule="exact"/>
        <w:rPr>
          <w:sz w:val="20"/>
          <w:szCs w:val="20"/>
          <w:color w:val="auto"/>
        </w:rPr>
      </w:pPr>
    </w:p>
    <w:p>
      <w:pPr>
        <w:ind w:firstLine="1729"/>
        <w:spacing w:after="0" w:line="249" w:lineRule="auto"/>
        <w:rPr>
          <w:sz w:val="20"/>
          <w:szCs w:val="20"/>
          <w:color w:val="auto"/>
        </w:rPr>
      </w:pPr>
      <w:r>
        <w:rPr>
          <w:rFonts w:ascii="Arial" w:cs="Arial" w:eastAsia="Arial" w:hAnsi="Arial"/>
          <w:sz w:val="20"/>
          <w:szCs w:val="20"/>
          <w:b w:val="1"/>
          <w:bCs w:val="1"/>
          <w:color w:val="auto"/>
        </w:rPr>
        <w:t xml:space="preserve">9.9 Applicable Law. </w:t>
      </w:r>
      <w:r>
        <w:rPr>
          <w:rFonts w:ascii="Arial" w:cs="Arial" w:eastAsia="Arial" w:hAnsi="Arial"/>
          <w:sz w:val="20"/>
          <w:szCs w:val="20"/>
          <w:color w:val="auto"/>
        </w:rPr>
        <w:t>To the extent not preempted by the laws of the United States, the laws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State of California shall be the controlling law in all matters relating to this Agreement, without regard to principles of conflicts of laws. Any statutory reference in this Agreement shall also be deemed to refer to all final rules and final regulations promulgated under or with respect to the referenced statutory provision.</w:t>
      </w:r>
    </w:p>
    <w:p>
      <w:pPr>
        <w:spacing w:after="0" w:line="161" w:lineRule="exact"/>
        <w:rPr>
          <w:sz w:val="20"/>
          <w:szCs w:val="20"/>
          <w:color w:val="auto"/>
        </w:rPr>
      </w:pPr>
    </w:p>
    <w:p>
      <w:pPr>
        <w:ind w:right="80" w:firstLine="1729"/>
        <w:spacing w:after="0" w:line="249" w:lineRule="auto"/>
        <w:rPr>
          <w:sz w:val="20"/>
          <w:szCs w:val="20"/>
          <w:color w:val="auto"/>
        </w:rPr>
      </w:pPr>
      <w:r>
        <w:rPr>
          <w:rFonts w:ascii="Arial" w:cs="Arial" w:eastAsia="Arial" w:hAnsi="Arial"/>
          <w:sz w:val="20"/>
          <w:szCs w:val="20"/>
          <w:b w:val="1"/>
          <w:bCs w:val="1"/>
          <w:color w:val="auto"/>
        </w:rPr>
        <w:t xml:space="preserve">9.10 Code Sections 280G and 4999. </w:t>
      </w:r>
      <w:r>
        <w:rPr>
          <w:rFonts w:ascii="Arial" w:cs="Arial" w:eastAsia="Arial" w:hAnsi="Arial"/>
          <w:sz w:val="20"/>
          <w:szCs w:val="20"/>
          <w:color w:val="auto"/>
        </w:rPr>
        <w:t>Notwithstanding anything contained in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to the contrary, if following a change in ownership or effective control or in the ownership of a substantial portion of assets (in each case, within the meaning of Section 280G of the Code), the tax imposed by Section 4999 of the Code or any similar or successor tax (the “Excise Tax”) applies to any payments, benefits and/or amounts received by the Executive</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40005</wp:posOffset>
            </wp:positionV>
            <wp:extent cx="7182485" cy="412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20"/>
          </w:cols>
          <w:pgMar w:left="320" w:top="752" w:right="359" w:bottom="1440" w:gutter="0" w:footer="0" w:header="0"/>
        </w:sectPr>
      </w:pPr>
    </w:p>
    <w:bookmarkStart w:id="281" w:name="page282"/>
    <w:bookmarkEnd w:id="281"/>
    <w:p>
      <w:pPr>
        <w:spacing w:after="0" w:line="241" w:lineRule="auto"/>
        <w:rPr>
          <w:sz w:val="20"/>
          <w:szCs w:val="20"/>
          <w:color w:val="auto"/>
        </w:rPr>
      </w:pPr>
      <w:r>
        <w:rPr>
          <w:rFonts w:ascii="Arial" w:cs="Arial" w:eastAsia="Arial" w:hAnsi="Arial"/>
          <w:sz w:val="20"/>
          <w:szCs w:val="20"/>
          <w:color w:val="auto"/>
        </w:rPr>
        <w:t>pursuant to this Agreement or otherwise (collectively, the “Total Payments”), then the Total Payments shall be reduced (but not below zero) so that the maximum amount of the Total Payments (after reduction) shall be one dollar ($1.00) less than the amount which would cause the Total Payments to be subject to the Excise Tax; provided that such reduction to the Total Payments shall be made only if the total after-tax benefit to the Executive is greater after giving effect to such reduction than if no such reduction had been made. If such a reduction is required, the Company shall reduce or eliminate the Total Payments by first reducing or eliminating any cash payments under this Agreement, then by reducing or eliminating any accelerated vesting of any long-term cash incentive awards, then by reducing or eliminating any other remaining Total Payments, in each case in reverse order beginning with the payments which are to be paid the farthest in time from the date of the transaction triggering the Excise Tax. The provisions of this Section 9.10 shall take precedence over the provisions of any other plan, arrangement or agreement governing the Executive’s rights and entitlements to any benefits or compensation.</w:t>
      </w:r>
    </w:p>
    <w:p>
      <w:pPr>
        <w:spacing w:after="0" w:line="200" w:lineRule="exact"/>
        <w:rPr>
          <w:sz w:val="20"/>
          <w:szCs w:val="20"/>
          <w:color w:val="auto"/>
        </w:rPr>
      </w:pPr>
    </w:p>
    <w:p>
      <w:pPr>
        <w:spacing w:after="0" w:line="377"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executed this Agreement on the date first set forth above.</w:t>
      </w:r>
    </w:p>
    <w:p>
      <w:pPr>
        <w:spacing w:after="0" w:line="201"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Matthew Ofilos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Parsons Corporation</w:t>
      </w:r>
    </w:p>
    <w:p>
      <w:pPr>
        <w:spacing w:after="0" w:line="306" w:lineRule="exact"/>
        <w:rPr>
          <w:sz w:val="20"/>
          <w:szCs w:val="20"/>
          <w:color w:val="auto"/>
        </w:rPr>
      </w:pPr>
    </w:p>
    <w:p>
      <w:pPr>
        <w:ind w:left="60"/>
        <w:spacing w:after="0"/>
        <w:rPr>
          <w:sz w:val="20"/>
          <w:szCs w:val="20"/>
          <w:color w:val="auto"/>
        </w:rPr>
      </w:pPr>
      <w:r>
        <w:rPr>
          <w:rFonts w:ascii="Arial" w:cs="Arial" w:eastAsia="Arial" w:hAnsi="Arial"/>
          <w:sz w:val="20"/>
          <w:szCs w:val="20"/>
          <w:color w:val="auto"/>
        </w:rPr>
        <w:t>By:</w:t>
      </w:r>
    </w:p>
    <w:p>
      <w:pPr>
        <w:spacing w:after="0" w:line="20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Carey Smith</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20"/>
          <w:szCs w:val="20"/>
          <w:color w:val="auto"/>
        </w:rPr>
        <w:t>Chief Executive Officer</w:t>
      </w:r>
    </w:p>
    <w:p>
      <w:pPr>
        <w:spacing w:after="0" w:line="158"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A-15</w:t>
      </w:r>
    </w:p>
    <w:p>
      <w:pPr>
        <w:sectPr>
          <w:pgSz w:w="11900" w:h="16838" w:orient="portrait"/>
          <w:cols w:equalWidth="0" w:num="1">
            <w:col w:w="11200"/>
          </w:cols>
          <w:pgMar w:left="320" w:top="752" w:right="379" w:bottom="1440" w:gutter="0" w:footer="0" w:header="0"/>
        </w:sectPr>
      </w:pPr>
    </w:p>
    <w:bookmarkStart w:id="282" w:name="page283"/>
    <w:bookmarkEnd w:id="282"/>
    <w:p>
      <w:pPr>
        <w:jc w:val="right"/>
        <w:spacing w:after="0"/>
        <w:rPr>
          <w:sz w:val="20"/>
          <w:szCs w:val="20"/>
          <w:color w:val="auto"/>
        </w:rPr>
      </w:pPr>
      <w:r>
        <w:rPr>
          <w:rFonts w:ascii="Arial" w:cs="Arial" w:eastAsia="Arial" w:hAnsi="Arial"/>
          <w:sz w:val="19"/>
          <w:szCs w:val="19"/>
          <w:color w:val="auto"/>
        </w:rPr>
        <w:t>Exhibit 10.39</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AMENDMENT TO PARSONS CORPORATION INCENTIVE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PERFORMANCE STOCK UNIT AWARD</w:t>
      </w:r>
    </w:p>
    <w:p>
      <w:pPr>
        <w:spacing w:after="0" w:line="145" w:lineRule="exact"/>
        <w:rPr>
          <w:sz w:val="20"/>
          <w:szCs w:val="20"/>
          <w:color w:val="auto"/>
        </w:rPr>
      </w:pPr>
    </w:p>
    <w:p>
      <w:pPr>
        <w:ind w:right="120" w:firstLine="589"/>
        <w:spacing w:after="0" w:line="268" w:lineRule="auto"/>
        <w:rPr>
          <w:sz w:val="20"/>
          <w:szCs w:val="20"/>
          <w:color w:val="auto"/>
        </w:rPr>
      </w:pPr>
      <w:r>
        <w:rPr>
          <w:rFonts w:ascii="Arial" w:cs="Arial" w:eastAsia="Arial" w:hAnsi="Arial"/>
          <w:sz w:val="20"/>
          <w:szCs w:val="20"/>
          <w:color w:val="auto"/>
        </w:rPr>
        <w:t>This Amendment to Parsons Corporation Incentive Award Plan Performance Stock Unit Award (“Amendment”) is made effective as of July 19, 2021, by and between Parsons Corporation (“Company”), and Carey Smith (“Employee”).</w:t>
      </w:r>
    </w:p>
    <w:p>
      <w:pPr>
        <w:spacing w:after="0" w:line="95" w:lineRule="exact"/>
        <w:rPr>
          <w:sz w:val="20"/>
          <w:szCs w:val="20"/>
          <w:color w:val="auto"/>
        </w:rPr>
      </w:pPr>
    </w:p>
    <w:p>
      <w:pPr>
        <w:ind w:right="1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Incentive Award Plan Performance Stock Unit Award dated as of March 5, 2020 (the “Award”);</w:t>
      </w:r>
    </w:p>
    <w:p>
      <w:pPr>
        <w:spacing w:after="0" w:line="95" w:lineRule="exact"/>
        <w:rPr>
          <w:sz w:val="20"/>
          <w:szCs w:val="20"/>
          <w:color w:val="auto"/>
        </w:rPr>
      </w:pPr>
    </w:p>
    <w:p>
      <w:pPr>
        <w:ind w:right="1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Change in Control Severance Agreement (“CIC Agreement”), which was amended as of July 19, 2021;</w:t>
      </w:r>
    </w:p>
    <w:p>
      <w:pPr>
        <w:spacing w:after="0" w:line="95" w:lineRule="exact"/>
        <w:rPr>
          <w:sz w:val="20"/>
          <w:szCs w:val="20"/>
          <w:color w:val="auto"/>
        </w:rPr>
      </w:pPr>
    </w:p>
    <w:p>
      <w:pPr>
        <w:ind w:right="640" w:firstLine="589"/>
        <w:spacing w:after="0" w:line="268" w:lineRule="auto"/>
        <w:rPr>
          <w:sz w:val="20"/>
          <w:szCs w:val="20"/>
          <w:color w:val="auto"/>
        </w:rPr>
      </w:pPr>
      <w:r>
        <w:rPr>
          <w:rFonts w:ascii="Arial" w:cs="Arial" w:eastAsia="Arial" w:hAnsi="Arial"/>
          <w:sz w:val="20"/>
          <w:szCs w:val="20"/>
          <w:color w:val="auto"/>
        </w:rPr>
        <w:t>WHEREAS, the Company and Employee desire to amend the Award to incorporate and reflect any amendments to the CIC Agreement;</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parties agree as follows:</w:t>
      </w:r>
    </w:p>
    <w:p>
      <w:pPr>
        <w:spacing w:after="0" w:line="150" w:lineRule="exact"/>
        <w:rPr>
          <w:sz w:val="20"/>
          <w:szCs w:val="20"/>
          <w:color w:val="auto"/>
        </w:rPr>
      </w:pPr>
    </w:p>
    <w:p>
      <w:pPr>
        <w:ind w:left="1400" w:hanging="809"/>
        <w:spacing w:after="0"/>
        <w:tabs>
          <w:tab w:leader="none" w:pos="140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Paragraph 2 of Exhibit B is hereby restated as follows:</w:t>
      </w:r>
    </w:p>
    <w:p>
      <w:pPr>
        <w:spacing w:after="0" w:line="150" w:lineRule="exact"/>
        <w:rPr>
          <w:sz w:val="20"/>
          <w:szCs w:val="20"/>
          <w:color w:val="auto"/>
        </w:rPr>
      </w:pPr>
    </w:p>
    <w:p>
      <w:pPr>
        <w:ind w:right="20" w:firstLine="865"/>
        <w:spacing w:after="0" w:line="269" w:lineRule="auto"/>
        <w:rPr>
          <w:sz w:val="20"/>
          <w:szCs w:val="20"/>
          <w:color w:val="auto"/>
        </w:rPr>
      </w:pPr>
      <w:r>
        <w:rPr>
          <w:rFonts w:ascii="Arial" w:cs="Arial" w:eastAsia="Arial" w:hAnsi="Arial"/>
          <w:sz w:val="18"/>
          <w:szCs w:val="18"/>
          <w:i w:val="1"/>
          <w:iCs w:val="1"/>
          <w:color w:val="auto"/>
        </w:rPr>
        <w:t>ACCELERATED VESTING. In the event of Participant’s Termination of Service due to Retirement, death or Disability prior to the Payment Date, Participant will remain eligible to vest in and receive on the Payment Date that number of PSUs as is determined by multiplying (a) the number of PSUs that Participant would vest in as provided in Section 1 of this Exhibit B had he/she not incurred a Termination of Service prior to the Payment Date, by (b) (i) the number of months that have elapsed since January 1, 2020, divided by (ii)</w:t>
      </w:r>
    </w:p>
    <w:p>
      <w:pPr>
        <w:spacing w:after="0" w:line="3" w:lineRule="exact"/>
        <w:rPr>
          <w:sz w:val="20"/>
          <w:szCs w:val="20"/>
          <w:color w:val="auto"/>
        </w:rPr>
      </w:pPr>
    </w:p>
    <w:p>
      <w:pPr>
        <w:ind w:right="200" w:firstLine="1"/>
        <w:spacing w:after="0" w:line="249" w:lineRule="auto"/>
        <w:tabs>
          <w:tab w:leader="none" w:pos="304" w:val="left"/>
        </w:tabs>
        <w:numPr>
          <w:ilvl w:val="0"/>
          <w:numId w:val="152"/>
        </w:numPr>
        <w:rPr>
          <w:rFonts w:ascii="Arial" w:cs="Arial" w:eastAsia="Arial" w:hAnsi="Arial"/>
          <w:sz w:val="20"/>
          <w:szCs w:val="20"/>
          <w:i w:val="1"/>
          <w:iCs w:val="1"/>
          <w:color w:val="auto"/>
        </w:rPr>
      </w:pPr>
      <w:r>
        <w:rPr>
          <w:rFonts w:ascii="Arial" w:cs="Arial" w:eastAsia="Arial" w:hAnsi="Arial"/>
          <w:sz w:val="20"/>
          <w:szCs w:val="20"/>
          <w:i w:val="1"/>
          <w:iCs w:val="1"/>
          <w:color w:val="auto"/>
        </w:rPr>
        <w:t>Partial months shall be rounded up to the next whole calendar month for purposes of the numerator in this calculation. In the event the calculation results in a fractional PSU, any fractional PSU will be rounded up to the nearest whole PSU.</w:t>
      </w:r>
    </w:p>
    <w:p>
      <w:pPr>
        <w:spacing w:after="0" w:line="113" w:lineRule="exact"/>
        <w:rPr>
          <w:sz w:val="20"/>
          <w:szCs w:val="20"/>
          <w:color w:val="auto"/>
        </w:rPr>
      </w:pPr>
    </w:p>
    <w:p>
      <w:pPr>
        <w:ind w:right="20" w:firstLine="865"/>
        <w:spacing w:after="0" w:line="256" w:lineRule="auto"/>
        <w:rPr>
          <w:sz w:val="20"/>
          <w:szCs w:val="20"/>
          <w:color w:val="auto"/>
        </w:rPr>
      </w:pPr>
      <w:r>
        <w:rPr>
          <w:rFonts w:ascii="Arial" w:cs="Arial" w:eastAsia="Arial" w:hAnsi="Arial"/>
          <w:sz w:val="19"/>
          <w:szCs w:val="19"/>
          <w:i w:val="1"/>
          <w:iCs w:val="1"/>
          <w:color w:val="auto"/>
        </w:rPr>
        <w:t>Notwithstanding the foregoing, if Participant is a party to a Change in Control Severance Agreement with the Company at the time of Participant’s Termination of Service due to Retirement, death or Disability prior to the Payment Date, and such termination occurs prior to the occurrence of a Change in Control, in lieu of the treatment in the foregoing paragraph, Participant will remain eligible to vest in and receive on the Payment Date (or, if earlier, the date of a Change in Control) that number of PSUs as is determined by multiplying (a) the number of PSUs that Participant would vested in as provided in Section 1 of this Exhibit B had he/she not incurred a Termination of Service prior to the Payment Date (or, in the event of a Change in Control prior to the Payment Date, the Target PSUs), by (b) (i) the number of months that have elapsed since January 1, 2020, divided by (ii) 36. Partial months shall be rounded up to the next whole calendar month for purposes of the numerator in this calculation. In the event the calculation results in a fractional PSU, any fractional PSU will be rounded up to the nearest whole PSU.</w:t>
      </w:r>
    </w:p>
    <w:p>
      <w:pPr>
        <w:spacing w:after="0" w:line="108" w:lineRule="exact"/>
        <w:rPr>
          <w:sz w:val="20"/>
          <w:szCs w:val="20"/>
          <w:color w:val="auto"/>
        </w:rPr>
      </w:pPr>
    </w:p>
    <w:p>
      <w:pPr>
        <w:jc w:val="both"/>
        <w:ind w:right="420" w:firstLine="865"/>
        <w:spacing w:after="0" w:line="253" w:lineRule="auto"/>
        <w:rPr>
          <w:sz w:val="20"/>
          <w:szCs w:val="20"/>
          <w:color w:val="auto"/>
        </w:rPr>
      </w:pPr>
      <w:r>
        <w:rPr>
          <w:rFonts w:ascii="Arial" w:cs="Arial" w:eastAsia="Arial" w:hAnsi="Arial"/>
          <w:sz w:val="20"/>
          <w:szCs w:val="20"/>
          <w:i w:val="1"/>
          <w:iCs w:val="1"/>
          <w:color w:val="auto"/>
        </w:rPr>
        <w:t>The Award shall also be eligible for accelerated vesting as provided in Section 12.2 of the Plan; provided that, in the event Section 12.2(d) of the Plan applies, in the event of Participant's Termination of Service without "cause" (and other than as a result of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303530</wp:posOffset>
            </wp:positionV>
            <wp:extent cx="7182485" cy="4127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83" w:name="page284"/>
    <w:bookmarkEnd w:id="283"/>
    <w:p>
      <w:pPr>
        <w:ind w:left="10240"/>
        <w:spacing w:after="0"/>
        <w:rPr>
          <w:sz w:val="20"/>
          <w:szCs w:val="20"/>
          <w:color w:val="auto"/>
        </w:rPr>
      </w:pPr>
      <w:r>
        <w:rPr>
          <w:rFonts w:ascii="Arial" w:cs="Arial" w:eastAsia="Arial" w:hAnsi="Arial"/>
          <w:sz w:val="17"/>
          <w:szCs w:val="17"/>
          <w:color w:val="auto"/>
        </w:rPr>
        <w:t>Exhibit 10.39</w:t>
      </w:r>
    </w:p>
    <w:p>
      <w:pPr>
        <w:spacing w:after="0" w:line="167"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i w:val="1"/>
          <w:iCs w:val="1"/>
          <w:color w:val="auto"/>
        </w:rPr>
        <w:t>Retirement, death or Disability, in which case the first paragraph of this Section 2 shall apply) upon or within twelve (12) months following the Change in Control (as described therein), provided such termination occurs prior to the Payment Date, Participant will vest in the Target PSUs on the date of such termination. Notwithstanding the foregoing, and notwithstanding anything to the contrary contained in the Plan, in the event of a Change in Control prior to the Payment Date, if Participant is a party to a Change in Control Severance Agreement with the Company at the time of such Change in Control, and a Qualifying Termination Event has occurred, as defined in the Participant’s Change in Control Severance Agreement, the Target PSUs shall accelerate, vest and be settled in full immediately prior to such Change in Control.</w:t>
      </w:r>
    </w:p>
    <w:p>
      <w:pPr>
        <w:spacing w:after="0" w:line="120" w:lineRule="exact"/>
        <w:rPr>
          <w:sz w:val="20"/>
          <w:szCs w:val="20"/>
          <w:color w:val="auto"/>
        </w:rPr>
      </w:pPr>
    </w:p>
    <w:p>
      <w:pPr>
        <w:ind w:right="200" w:firstLine="865"/>
        <w:spacing w:after="0" w:line="244" w:lineRule="auto"/>
        <w:rPr>
          <w:sz w:val="20"/>
          <w:szCs w:val="20"/>
          <w:color w:val="auto"/>
        </w:rPr>
      </w:pPr>
      <w:r>
        <w:rPr>
          <w:rFonts w:ascii="Arial" w:cs="Arial" w:eastAsia="Arial" w:hAnsi="Arial"/>
          <w:sz w:val="20"/>
          <w:szCs w:val="20"/>
          <w:i w:val="1"/>
          <w:iCs w:val="1"/>
          <w:color w:val="auto"/>
        </w:rPr>
        <w:t>For purposes of this Award, “Disability” means Participant (a) is unable to engage in any substantial gainful activity by reason of any medically determinable physical or mental impairment which can be expected to result in death or can be expected to last for a continuous period of not less than 12 months, or (b)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Company or its Subsidiaries.</w:t>
      </w:r>
    </w:p>
    <w:p>
      <w:pPr>
        <w:spacing w:after="0" w:line="118" w:lineRule="exact"/>
        <w:rPr>
          <w:sz w:val="20"/>
          <w:szCs w:val="20"/>
          <w:color w:val="auto"/>
        </w:rPr>
      </w:pPr>
    </w:p>
    <w:p>
      <w:pPr>
        <w:ind w:right="260" w:firstLine="865"/>
        <w:spacing w:after="0" w:line="268" w:lineRule="auto"/>
        <w:rPr>
          <w:sz w:val="20"/>
          <w:szCs w:val="20"/>
          <w:color w:val="auto"/>
        </w:rPr>
      </w:pPr>
      <w:r>
        <w:rPr>
          <w:rFonts w:ascii="Arial" w:cs="Arial" w:eastAsia="Arial" w:hAnsi="Arial"/>
          <w:sz w:val="20"/>
          <w:szCs w:val="20"/>
          <w:i w:val="1"/>
          <w:iCs w:val="1"/>
          <w:color w:val="auto"/>
        </w:rPr>
        <w:t>For purposes of this Award, "Retirement" means Participant’s voluntary Termination of Service after having attained age 62, with 10 years of completed service.</w:t>
      </w:r>
    </w:p>
    <w:p>
      <w:pPr>
        <w:spacing w:after="0" w:line="95" w:lineRule="exact"/>
        <w:rPr>
          <w:sz w:val="20"/>
          <w:szCs w:val="20"/>
          <w:color w:val="auto"/>
        </w:rPr>
      </w:pPr>
    </w:p>
    <w:p>
      <w:pPr>
        <w:ind w:right="40" w:firstLine="866"/>
        <w:spacing w:after="0" w:line="265" w:lineRule="auto"/>
        <w:tabs>
          <w:tab w:leader="none" w:pos="1068"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The Agreement, as amended by this Amendment, shall remain in full force and effect in accordance with the terms and conditions thereof. This Amendment may be executed simultaneously in any number of counterparts, each of which shall be deemed an original but all of which together shall constitute one and the same instrument. In the event of any conflict between the original terms of the Agreement and this Amendment, the terms of this Amendment shall prevail.</w:t>
      </w:r>
    </w:p>
    <w:p>
      <w:pPr>
        <w:spacing w:after="0" w:line="100" w:lineRule="exact"/>
        <w:rPr>
          <w:sz w:val="20"/>
          <w:szCs w:val="20"/>
          <w:color w:val="auto"/>
        </w:rPr>
      </w:pPr>
    </w:p>
    <w:p>
      <w:pPr>
        <w:jc w:val="both"/>
        <w:ind w:right="380"/>
        <w:spacing w:after="0" w:line="253" w:lineRule="auto"/>
        <w:rPr>
          <w:sz w:val="20"/>
          <w:szCs w:val="20"/>
          <w:color w:val="auto"/>
        </w:rPr>
      </w:pPr>
      <w:r>
        <w:rPr>
          <w:rFonts w:ascii="Arial" w:cs="Arial" w:eastAsia="Arial" w:hAnsi="Arial"/>
          <w:sz w:val="20"/>
          <w:szCs w:val="20"/>
          <w:color w:val="auto"/>
        </w:rPr>
        <w:t>THE PARTIES TO THIS AMENDMENT HAVE READ THE FOREGOING AMENDMENT AND FULLY UNDERSTAND EACH AND EVERY PROVISION CONTAINED HEREIN. WHEREFORE, THE PARTIES HAVE EXECUTED THIS AMENDMENT ON THE DATES SHOWN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020" w:type="dxa"/>
            <w:vAlign w:val="bottom"/>
          </w:tcPr>
          <w:p>
            <w:pPr>
              <w:spacing w:after="0"/>
              <w:rPr>
                <w:sz w:val="22"/>
                <w:szCs w:val="22"/>
                <w:color w:val="auto"/>
              </w:rPr>
            </w:pPr>
          </w:p>
        </w:tc>
        <w:tc>
          <w:tcPr>
            <w:tcW w:w="7260" w:type="dxa"/>
            <w:vAlign w:val="bottom"/>
          </w:tcPr>
          <w:p>
            <w:pPr>
              <w:ind w:left="1000"/>
              <w:spacing w:after="0"/>
              <w:rPr>
                <w:sz w:val="20"/>
                <w:szCs w:val="20"/>
                <w:color w:val="auto"/>
              </w:rPr>
            </w:pPr>
            <w:r>
              <w:rPr>
                <w:rFonts w:ascii="Arial" w:cs="Arial" w:eastAsia="Arial" w:hAnsi="Arial"/>
                <w:sz w:val="20"/>
                <w:szCs w:val="20"/>
                <w:color w:val="auto"/>
              </w:rPr>
              <w:t>EMPLOYEE</w:t>
            </w:r>
          </w:p>
        </w:tc>
        <w:tc>
          <w:tcPr>
            <w:tcW w:w="0" w:type="dxa"/>
            <w:vAlign w:val="bottom"/>
          </w:tcPr>
          <w:p>
            <w:pPr>
              <w:spacing w:after="0"/>
              <w:rPr>
                <w:sz w:val="1"/>
                <w:szCs w:val="1"/>
                <w:color w:val="auto"/>
              </w:rPr>
            </w:pPr>
          </w:p>
        </w:tc>
      </w:tr>
      <w:tr>
        <w:trPr>
          <w:trHeight w:val="654"/>
        </w:trPr>
        <w:tc>
          <w:tcPr>
            <w:tcW w:w="4020" w:type="dxa"/>
            <w:vAlign w:val="bottom"/>
          </w:tcPr>
          <w:p>
            <w:pPr>
              <w:spacing w:after="0"/>
              <w:rPr>
                <w:sz w:val="20"/>
                <w:szCs w:val="20"/>
                <w:color w:val="auto"/>
              </w:rPr>
            </w:pPr>
            <w:r>
              <w:rPr>
                <w:rFonts w:ascii="Arial" w:cs="Arial" w:eastAsia="Arial" w:hAnsi="Arial"/>
                <w:sz w:val="20"/>
                <w:szCs w:val="20"/>
                <w:color w:val="auto"/>
              </w:rPr>
              <w:t>Dated: ________________________</w:t>
            </w:r>
          </w:p>
        </w:tc>
        <w:tc>
          <w:tcPr>
            <w:tcW w:w="7260" w:type="dxa"/>
            <w:vAlign w:val="bottom"/>
          </w:tcPr>
          <w:p>
            <w:pPr>
              <w:ind w:left="1000"/>
              <w:spacing w:after="0"/>
              <w:rPr>
                <w:sz w:val="20"/>
                <w:szCs w:val="20"/>
                <w:color w:val="auto"/>
              </w:rPr>
            </w:pPr>
            <w:r>
              <w:rPr>
                <w:rFonts w:ascii="Arial" w:cs="Arial" w:eastAsia="Arial" w:hAnsi="Arial"/>
                <w:sz w:val="20"/>
                <w:szCs w:val="20"/>
                <w:color w:val="auto"/>
              </w:rPr>
              <w:t>By:_______________________________________</w:t>
            </w:r>
          </w:p>
        </w:tc>
        <w:tc>
          <w:tcPr>
            <w:tcW w:w="0" w:type="dxa"/>
            <w:vAlign w:val="bottom"/>
          </w:tcPr>
          <w:p>
            <w:pPr>
              <w:spacing w:after="0"/>
              <w:rPr>
                <w:sz w:val="1"/>
                <w:szCs w:val="1"/>
                <w:color w:val="auto"/>
              </w:rPr>
            </w:pPr>
          </w:p>
        </w:tc>
      </w:tr>
      <w:tr>
        <w:trPr>
          <w:trHeight w:val="259"/>
        </w:trPr>
        <w:tc>
          <w:tcPr>
            <w:tcW w:w="4020" w:type="dxa"/>
            <w:vAlign w:val="bottom"/>
          </w:tcPr>
          <w:p>
            <w:pPr>
              <w:spacing w:after="0"/>
              <w:rPr>
                <w:sz w:val="22"/>
                <w:szCs w:val="22"/>
                <w:color w:val="auto"/>
              </w:rPr>
            </w:pPr>
          </w:p>
        </w:tc>
        <w:tc>
          <w:tcPr>
            <w:tcW w:w="7260" w:type="dxa"/>
            <w:vAlign w:val="bottom"/>
          </w:tcPr>
          <w:p>
            <w:pPr>
              <w:ind w:left="1000"/>
              <w:spacing w:after="0"/>
              <w:rPr>
                <w:sz w:val="20"/>
                <w:szCs w:val="20"/>
                <w:color w:val="auto"/>
              </w:rPr>
            </w:pPr>
            <w:r>
              <w:rPr>
                <w:rFonts w:ascii="Arial" w:cs="Arial" w:eastAsia="Arial" w:hAnsi="Arial"/>
                <w:sz w:val="20"/>
                <w:szCs w:val="20"/>
                <w:color w:val="auto"/>
              </w:rPr>
              <w:t>Carey Smith</w:t>
            </w:r>
          </w:p>
        </w:tc>
        <w:tc>
          <w:tcPr>
            <w:tcW w:w="0" w:type="dxa"/>
            <w:vAlign w:val="bottom"/>
          </w:tcPr>
          <w:p>
            <w:pPr>
              <w:spacing w:after="0"/>
              <w:rPr>
                <w:sz w:val="1"/>
                <w:szCs w:val="1"/>
                <w:color w:val="auto"/>
              </w:rPr>
            </w:pPr>
          </w:p>
        </w:tc>
      </w:tr>
      <w:tr>
        <w:trPr>
          <w:trHeight w:val="456"/>
        </w:trPr>
        <w:tc>
          <w:tcPr>
            <w:tcW w:w="4020" w:type="dxa"/>
            <w:vAlign w:val="bottom"/>
          </w:tcPr>
          <w:p>
            <w:pPr>
              <w:spacing w:after="0"/>
              <w:rPr>
                <w:sz w:val="24"/>
                <w:szCs w:val="24"/>
                <w:color w:val="auto"/>
              </w:rPr>
            </w:pPr>
          </w:p>
        </w:tc>
        <w:tc>
          <w:tcPr>
            <w:tcW w:w="7260" w:type="dxa"/>
            <w:vAlign w:val="bottom"/>
          </w:tcPr>
          <w:p>
            <w:pPr>
              <w:ind w:left="1000"/>
              <w:spacing w:after="0"/>
              <w:rPr>
                <w:sz w:val="20"/>
                <w:szCs w:val="20"/>
                <w:color w:val="auto"/>
              </w:rPr>
            </w:pPr>
            <w:r>
              <w:rPr>
                <w:rFonts w:ascii="Arial" w:cs="Arial" w:eastAsia="Arial" w:hAnsi="Arial"/>
                <w:sz w:val="20"/>
                <w:szCs w:val="20"/>
                <w:color w:val="auto"/>
              </w:rPr>
              <w:t>PARSONS CORPORATION</w:t>
            </w:r>
          </w:p>
        </w:tc>
        <w:tc>
          <w:tcPr>
            <w:tcW w:w="0" w:type="dxa"/>
            <w:vAlign w:val="bottom"/>
          </w:tcPr>
          <w:p>
            <w:pPr>
              <w:spacing w:after="0"/>
              <w:rPr>
                <w:sz w:val="1"/>
                <w:szCs w:val="1"/>
                <w:color w:val="auto"/>
              </w:rPr>
            </w:pPr>
          </w:p>
        </w:tc>
      </w:tr>
      <w:tr>
        <w:trPr>
          <w:trHeight w:val="913"/>
        </w:trPr>
        <w:tc>
          <w:tcPr>
            <w:tcW w:w="4020" w:type="dxa"/>
            <w:vAlign w:val="bottom"/>
          </w:tcPr>
          <w:p>
            <w:pPr>
              <w:spacing w:after="0"/>
              <w:rPr>
                <w:sz w:val="20"/>
                <w:szCs w:val="20"/>
                <w:color w:val="auto"/>
              </w:rPr>
            </w:pPr>
            <w:r>
              <w:rPr>
                <w:rFonts w:ascii="Arial" w:cs="Arial" w:eastAsia="Arial" w:hAnsi="Arial"/>
                <w:sz w:val="20"/>
                <w:szCs w:val="20"/>
                <w:color w:val="auto"/>
              </w:rPr>
              <w:t>Dated: January 26, 2022</w:t>
            </w:r>
          </w:p>
        </w:tc>
        <w:tc>
          <w:tcPr>
            <w:tcW w:w="7260" w:type="dxa"/>
            <w:vAlign w:val="bottom"/>
            <w:vMerge w:val="restart"/>
          </w:tcPr>
          <w:p>
            <w:pPr>
              <w:ind w:left="1000"/>
              <w:spacing w:after="0"/>
              <w:rPr>
                <w:sz w:val="20"/>
                <w:szCs w:val="20"/>
                <w:color w:val="auto"/>
              </w:rPr>
            </w:pPr>
            <w:r>
              <w:rPr>
                <w:rFonts w:ascii="Arial" w:cs="Arial" w:eastAsia="Arial" w:hAnsi="Arial"/>
                <w:sz w:val="20"/>
                <w:szCs w:val="20"/>
                <w:color w:val="auto"/>
              </w:rPr>
              <w:t>Susan Balaguer</w:t>
            </w:r>
          </w:p>
        </w:tc>
        <w:tc>
          <w:tcPr>
            <w:tcW w:w="0" w:type="dxa"/>
            <w:vAlign w:val="bottom"/>
          </w:tcPr>
          <w:p>
            <w:pPr>
              <w:spacing w:after="0"/>
              <w:rPr>
                <w:sz w:val="1"/>
                <w:szCs w:val="1"/>
                <w:color w:val="auto"/>
              </w:rPr>
            </w:pPr>
          </w:p>
        </w:tc>
      </w:tr>
      <w:tr>
        <w:trPr>
          <w:trHeight w:val="96"/>
        </w:trPr>
        <w:tc>
          <w:tcPr>
            <w:tcW w:w="4020" w:type="dxa"/>
            <w:vAlign w:val="bottom"/>
          </w:tcPr>
          <w:p>
            <w:pPr>
              <w:spacing w:after="0"/>
              <w:rPr>
                <w:sz w:val="8"/>
                <w:szCs w:val="8"/>
                <w:color w:val="auto"/>
              </w:rPr>
            </w:pPr>
          </w:p>
        </w:tc>
        <w:tc>
          <w:tcPr>
            <w:tcW w:w="7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4020" w:type="dxa"/>
            <w:vAlign w:val="bottom"/>
          </w:tcPr>
          <w:p>
            <w:pPr>
              <w:spacing w:after="0"/>
              <w:rPr>
                <w:sz w:val="22"/>
                <w:szCs w:val="22"/>
                <w:color w:val="auto"/>
              </w:rPr>
            </w:pPr>
          </w:p>
        </w:tc>
        <w:tc>
          <w:tcPr>
            <w:tcW w:w="7260" w:type="dxa"/>
            <w:vAlign w:val="bottom"/>
          </w:tcPr>
          <w:p>
            <w:pPr>
              <w:ind w:left="1000"/>
              <w:spacing w:after="0"/>
              <w:rPr>
                <w:sz w:val="20"/>
                <w:szCs w:val="20"/>
                <w:color w:val="auto"/>
              </w:rPr>
            </w:pPr>
            <w:r>
              <w:rPr>
                <w:rFonts w:ascii="Arial" w:cs="Arial" w:eastAsia="Arial" w:hAnsi="Arial"/>
                <w:sz w:val="20"/>
                <w:szCs w:val="20"/>
                <w:color w:val="auto"/>
              </w:rPr>
              <w:t>Chief Human Resources Officer</w:t>
            </w:r>
          </w:p>
        </w:tc>
        <w:tc>
          <w:tcPr>
            <w:tcW w:w="0" w:type="dxa"/>
            <w:vAlign w:val="bottom"/>
          </w:tcPr>
          <w:p>
            <w:pPr>
              <w:spacing w:after="0"/>
              <w:rPr>
                <w:sz w:val="1"/>
                <w:szCs w:val="1"/>
                <w:color w:val="auto"/>
              </w:rPr>
            </w:pPr>
          </w:p>
        </w:tc>
      </w:tr>
      <w:tr>
        <w:trPr>
          <w:trHeight w:val="731"/>
        </w:trPr>
        <w:tc>
          <w:tcPr>
            <w:tcW w:w="4020" w:type="dxa"/>
            <w:vAlign w:val="bottom"/>
            <w:tcBorders>
              <w:bottom w:val="single" w:sz="8" w:color="9A9A9A"/>
            </w:tcBorders>
          </w:tcPr>
          <w:p>
            <w:pPr>
              <w:spacing w:after="0"/>
              <w:rPr>
                <w:sz w:val="24"/>
                <w:szCs w:val="24"/>
                <w:color w:val="auto"/>
              </w:rPr>
            </w:pPr>
          </w:p>
        </w:tc>
        <w:tc>
          <w:tcPr>
            <w:tcW w:w="7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-27940</wp:posOffset>
            </wp:positionV>
            <wp:extent cx="33655" cy="4127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3188970</wp:posOffset>
            </wp:positionH>
            <wp:positionV relativeFrom="paragraph">
              <wp:posOffset>-1142365</wp:posOffset>
            </wp:positionV>
            <wp:extent cx="1891665" cy="3702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6">
                      <a:extLst>
                        <a:ext uri="{28A0092B-C50C-407E-A947-70E740481C1C}"/>
                      </a:extLst>
                    </a:blip>
                    <a:srcRect/>
                    <a:stretch>
                      <a:fillRect/>
                    </a:stretch>
                  </pic:blipFill>
                  <pic:spPr bwMode="auto">
                    <a:xfrm>
                      <a:off x="0" y="0"/>
                      <a:ext cx="1891665" cy="370205"/>
                    </a:xfrm>
                    <a:prstGeom prst="rect">
                      <a:avLst/>
                    </a:prstGeom>
                    <a:noFill/>
                  </pic:spPr>
                </pic:pic>
              </a:graphicData>
            </a:graphic>
          </wp:anchor>
        </w:drawing>
      </w:r>
    </w:p>
    <w:p>
      <w:pPr>
        <w:sectPr>
          <w:pgSz w:w="11900" w:h="16838" w:orient="portrait"/>
          <w:cols w:equalWidth="0" w:num="1">
            <w:col w:w="11280"/>
          </w:cols>
          <w:pgMar w:left="320" w:top="124" w:right="299" w:bottom="1440" w:gutter="0" w:footer="0" w:header="0"/>
        </w:sectPr>
      </w:pPr>
    </w:p>
    <w:bookmarkStart w:id="284" w:name="page285"/>
    <w:bookmarkEnd w:id="284"/>
    <w:p>
      <w:pPr>
        <w:jc w:val="right"/>
        <w:spacing w:after="0"/>
        <w:rPr>
          <w:sz w:val="20"/>
          <w:szCs w:val="20"/>
          <w:color w:val="auto"/>
        </w:rPr>
      </w:pPr>
      <w:r>
        <w:rPr>
          <w:rFonts w:ascii="Arial" w:cs="Arial" w:eastAsia="Arial" w:hAnsi="Arial"/>
          <w:sz w:val="19"/>
          <w:szCs w:val="19"/>
          <w:color w:val="auto"/>
        </w:rPr>
        <w:t>Exhibit 10.39</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AMENDMENT TO PARSONS CORPORATION INCENTIVE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PERFORMANCE STOCK UNIT AWARD</w:t>
      </w:r>
    </w:p>
    <w:p>
      <w:pPr>
        <w:spacing w:after="0" w:line="145" w:lineRule="exact"/>
        <w:rPr>
          <w:sz w:val="20"/>
          <w:szCs w:val="20"/>
          <w:color w:val="auto"/>
        </w:rPr>
      </w:pPr>
    </w:p>
    <w:p>
      <w:pPr>
        <w:ind w:right="120" w:firstLine="589"/>
        <w:spacing w:after="0" w:line="268" w:lineRule="auto"/>
        <w:rPr>
          <w:sz w:val="20"/>
          <w:szCs w:val="20"/>
          <w:color w:val="auto"/>
        </w:rPr>
      </w:pPr>
      <w:r>
        <w:rPr>
          <w:rFonts w:ascii="Arial" w:cs="Arial" w:eastAsia="Arial" w:hAnsi="Arial"/>
          <w:sz w:val="20"/>
          <w:szCs w:val="20"/>
          <w:color w:val="auto"/>
        </w:rPr>
        <w:t>This Amendment to Parsons Corporation Incentive Award Plan Performance Stock Unit Award (“Amendment”) is made effective as of July 19, 2021, by and between Parsons Corporation (“Company”), and Carey Smith (“Employee”).</w:t>
      </w:r>
    </w:p>
    <w:p>
      <w:pPr>
        <w:spacing w:after="0" w:line="95" w:lineRule="exact"/>
        <w:rPr>
          <w:sz w:val="20"/>
          <w:szCs w:val="20"/>
          <w:color w:val="auto"/>
        </w:rPr>
      </w:pPr>
    </w:p>
    <w:p>
      <w:pPr>
        <w:ind w:right="1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Incentive Award Plan Performance Stock Unit Award dated as of March 1, 2021 (the “Award”);</w:t>
      </w:r>
    </w:p>
    <w:p>
      <w:pPr>
        <w:spacing w:after="0" w:line="95" w:lineRule="exact"/>
        <w:rPr>
          <w:sz w:val="20"/>
          <w:szCs w:val="20"/>
          <w:color w:val="auto"/>
        </w:rPr>
      </w:pPr>
    </w:p>
    <w:p>
      <w:pPr>
        <w:ind w:right="1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Change in Control Severance Agreement (“CIC Agreement”), which was amended as of July 19, 2021;</w:t>
      </w:r>
    </w:p>
    <w:p>
      <w:pPr>
        <w:spacing w:after="0" w:line="95" w:lineRule="exact"/>
        <w:rPr>
          <w:sz w:val="20"/>
          <w:szCs w:val="20"/>
          <w:color w:val="auto"/>
        </w:rPr>
      </w:pPr>
    </w:p>
    <w:p>
      <w:pPr>
        <w:ind w:right="640" w:firstLine="589"/>
        <w:spacing w:after="0" w:line="268" w:lineRule="auto"/>
        <w:rPr>
          <w:sz w:val="20"/>
          <w:szCs w:val="20"/>
          <w:color w:val="auto"/>
        </w:rPr>
      </w:pPr>
      <w:r>
        <w:rPr>
          <w:rFonts w:ascii="Arial" w:cs="Arial" w:eastAsia="Arial" w:hAnsi="Arial"/>
          <w:sz w:val="20"/>
          <w:szCs w:val="20"/>
          <w:color w:val="auto"/>
        </w:rPr>
        <w:t>WHEREAS, the Company and Employee desire to amend the Award to incorporate and reflect any amendments to the CIC Agreement;</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parties agree as follows:</w:t>
      </w:r>
    </w:p>
    <w:p>
      <w:pPr>
        <w:spacing w:after="0" w:line="150" w:lineRule="exact"/>
        <w:rPr>
          <w:sz w:val="20"/>
          <w:szCs w:val="20"/>
          <w:color w:val="auto"/>
        </w:rPr>
      </w:pPr>
    </w:p>
    <w:p>
      <w:pPr>
        <w:ind w:left="1400" w:hanging="809"/>
        <w:spacing w:after="0"/>
        <w:tabs>
          <w:tab w:leader="none" w:pos="140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Paragraph 2 of Exhibit B is hereby restated as follows:</w:t>
      </w:r>
    </w:p>
    <w:p>
      <w:pPr>
        <w:spacing w:after="0" w:line="150" w:lineRule="exact"/>
        <w:rPr>
          <w:sz w:val="20"/>
          <w:szCs w:val="20"/>
          <w:color w:val="auto"/>
        </w:rPr>
      </w:pPr>
    </w:p>
    <w:p>
      <w:pPr>
        <w:ind w:right="20" w:firstLine="865"/>
        <w:spacing w:after="0" w:line="269" w:lineRule="auto"/>
        <w:rPr>
          <w:sz w:val="20"/>
          <w:szCs w:val="20"/>
          <w:color w:val="auto"/>
        </w:rPr>
      </w:pPr>
      <w:r>
        <w:rPr>
          <w:rFonts w:ascii="Arial" w:cs="Arial" w:eastAsia="Arial" w:hAnsi="Arial"/>
          <w:sz w:val="18"/>
          <w:szCs w:val="18"/>
          <w:i w:val="1"/>
          <w:iCs w:val="1"/>
          <w:color w:val="auto"/>
        </w:rPr>
        <w:t>ACCELERATED VESTING. In the event of Participant’s Termination of Service due to Retirement, death or Disability prior to the Payment Date, Participant will remain eligible to vest in and receive on the Payment Date that number of PSUs as is determined by multiplying (a) the number of PSUs that Participant would vest in as provided in Section 1 of this Exhibit B had he/she not incurred a Termination of Service prior to the Payment Date, by (b) (i) the number of months that have elapsed since January 1, 2021, divided by (ii)</w:t>
      </w:r>
    </w:p>
    <w:p>
      <w:pPr>
        <w:spacing w:after="0" w:line="3" w:lineRule="exact"/>
        <w:rPr>
          <w:sz w:val="20"/>
          <w:szCs w:val="20"/>
          <w:color w:val="auto"/>
        </w:rPr>
      </w:pPr>
    </w:p>
    <w:p>
      <w:pPr>
        <w:ind w:right="200" w:firstLine="1"/>
        <w:spacing w:after="0" w:line="249" w:lineRule="auto"/>
        <w:tabs>
          <w:tab w:leader="none" w:pos="304" w:val="left"/>
        </w:tabs>
        <w:numPr>
          <w:ilvl w:val="0"/>
          <w:numId w:val="155"/>
        </w:numPr>
        <w:rPr>
          <w:rFonts w:ascii="Arial" w:cs="Arial" w:eastAsia="Arial" w:hAnsi="Arial"/>
          <w:sz w:val="20"/>
          <w:szCs w:val="20"/>
          <w:i w:val="1"/>
          <w:iCs w:val="1"/>
          <w:color w:val="auto"/>
        </w:rPr>
      </w:pPr>
      <w:r>
        <w:rPr>
          <w:rFonts w:ascii="Arial" w:cs="Arial" w:eastAsia="Arial" w:hAnsi="Arial"/>
          <w:sz w:val="20"/>
          <w:szCs w:val="20"/>
          <w:i w:val="1"/>
          <w:iCs w:val="1"/>
          <w:color w:val="auto"/>
        </w:rPr>
        <w:t>Partial months shall be rounded up to the next whole calendar month for purposes of the numerator in this calculation. In the event the calculation results in a fractional PSU, any fractional PSU will be rounded up to the nearest whole PSU.</w:t>
      </w:r>
    </w:p>
    <w:p>
      <w:pPr>
        <w:spacing w:after="0" w:line="113" w:lineRule="exact"/>
        <w:rPr>
          <w:sz w:val="20"/>
          <w:szCs w:val="20"/>
          <w:color w:val="auto"/>
        </w:rPr>
      </w:pPr>
    </w:p>
    <w:p>
      <w:pPr>
        <w:ind w:right="20" w:firstLine="865"/>
        <w:spacing w:after="0" w:line="256" w:lineRule="auto"/>
        <w:rPr>
          <w:sz w:val="20"/>
          <w:szCs w:val="20"/>
          <w:color w:val="auto"/>
        </w:rPr>
      </w:pPr>
      <w:r>
        <w:rPr>
          <w:rFonts w:ascii="Arial" w:cs="Arial" w:eastAsia="Arial" w:hAnsi="Arial"/>
          <w:sz w:val="19"/>
          <w:szCs w:val="19"/>
          <w:i w:val="1"/>
          <w:iCs w:val="1"/>
          <w:color w:val="auto"/>
        </w:rPr>
        <w:t>Notwithstanding the foregoing, if Participant is a party to a Change in Control Severance Agreement with the Company at the time of Participant’s Termination of Service due to Retirement, death or Disability prior to the Payment Date, and such termination occurs prior to the occurrence of a Change in Control, in lieu of the treatment in the foregoing paragraph, Participant will remain eligible to vest in and receive on the Payment Date (or, if earlier, the date of a Change in Control) that number of PSUs as is determined by multiplying (a) the number of PSUs that Participant would vested in as provided in Section 1 of this Exhibit B had he/she not incurred a Termination of Service prior to the Payment Date (or, in the event of a Change in Control prior to the Payment Date, the Target PSUs), by (b) (i) the number of months that have elapsed since January 1, 2021, divided by (ii) 36. Partial months shall be rounded up to the next whole calendar month for purposes of the numerator in this calculation. In the event the calculation results in a fractional PSU, any fractional PSU will be rounded up to the nearest whole PSU.</w:t>
      </w:r>
    </w:p>
    <w:p>
      <w:pPr>
        <w:spacing w:after="0" w:line="108" w:lineRule="exact"/>
        <w:rPr>
          <w:sz w:val="20"/>
          <w:szCs w:val="20"/>
          <w:color w:val="auto"/>
        </w:rPr>
      </w:pPr>
    </w:p>
    <w:p>
      <w:pPr>
        <w:jc w:val="both"/>
        <w:ind w:right="420" w:firstLine="865"/>
        <w:spacing w:after="0" w:line="253" w:lineRule="auto"/>
        <w:rPr>
          <w:sz w:val="20"/>
          <w:szCs w:val="20"/>
          <w:color w:val="auto"/>
        </w:rPr>
      </w:pPr>
      <w:r>
        <w:rPr>
          <w:rFonts w:ascii="Arial" w:cs="Arial" w:eastAsia="Arial" w:hAnsi="Arial"/>
          <w:sz w:val="20"/>
          <w:szCs w:val="20"/>
          <w:i w:val="1"/>
          <w:iCs w:val="1"/>
          <w:color w:val="auto"/>
        </w:rPr>
        <w:t>The Award shall also be eligible for accelerated vesting as provided in Section 12.2 of the Plan; provided that, in the event Section 12.2(d) of the Plan applies, in the event of Participant's Termination of Service without "cause" (and other than as a result of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303530</wp:posOffset>
            </wp:positionV>
            <wp:extent cx="7182485" cy="4127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7">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85" w:name="page286"/>
    <w:bookmarkEnd w:id="285"/>
    <w:p>
      <w:pPr>
        <w:ind w:left="10240"/>
        <w:spacing w:after="0"/>
        <w:rPr>
          <w:sz w:val="20"/>
          <w:szCs w:val="20"/>
          <w:color w:val="auto"/>
        </w:rPr>
      </w:pPr>
      <w:r>
        <w:rPr>
          <w:rFonts w:ascii="Arial" w:cs="Arial" w:eastAsia="Arial" w:hAnsi="Arial"/>
          <w:sz w:val="17"/>
          <w:szCs w:val="17"/>
          <w:color w:val="auto"/>
        </w:rPr>
        <w:t>Exhibit 10.39</w:t>
      </w:r>
    </w:p>
    <w:p>
      <w:pPr>
        <w:spacing w:after="0" w:line="167"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i w:val="1"/>
          <w:iCs w:val="1"/>
          <w:color w:val="auto"/>
        </w:rPr>
        <w:t>Retirement, death or Disability, in which case the first paragraph of this Section 2 shall apply) upon or within twelve (12) months following the Change in Control (as described therein), provided such termination occurs prior to the Payment Date, Participant will vest in the Target PSUs on the date of such termination. Notwithstanding the foregoing, and notwithstanding anything to the contrary contained in the Plan, in the event of a Change in Control prior to the Payment Date, if Participant is a party to a Change in Control Severance Agreement with the Company at the time of such Change in Control, and a Qualifying Termination Event has occurred, as defined in the Participant’s Change in Control Severance Agreement, the Target PSUs shall accelerate, vest and be settled in full immediately prior to such Change in Control.</w:t>
      </w:r>
    </w:p>
    <w:p>
      <w:pPr>
        <w:spacing w:after="0" w:line="120" w:lineRule="exact"/>
        <w:rPr>
          <w:sz w:val="20"/>
          <w:szCs w:val="20"/>
          <w:color w:val="auto"/>
        </w:rPr>
      </w:pPr>
    </w:p>
    <w:p>
      <w:pPr>
        <w:ind w:right="200" w:firstLine="865"/>
        <w:spacing w:after="0" w:line="244" w:lineRule="auto"/>
        <w:rPr>
          <w:sz w:val="20"/>
          <w:szCs w:val="20"/>
          <w:color w:val="auto"/>
        </w:rPr>
      </w:pPr>
      <w:r>
        <w:rPr>
          <w:rFonts w:ascii="Arial" w:cs="Arial" w:eastAsia="Arial" w:hAnsi="Arial"/>
          <w:sz w:val="20"/>
          <w:szCs w:val="20"/>
          <w:i w:val="1"/>
          <w:iCs w:val="1"/>
          <w:color w:val="auto"/>
        </w:rPr>
        <w:t>For purposes of this Award, “Disability” means Participant (a) is unable to engage in any substantial gainful activity by reason of any medically determinable physical or mental impairment which can be expected to result in death or can be expected to last for a continuous period of not less than 12 months, or (b)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Company or its Subsidiaries.</w:t>
      </w:r>
    </w:p>
    <w:p>
      <w:pPr>
        <w:spacing w:after="0" w:line="118" w:lineRule="exact"/>
        <w:rPr>
          <w:sz w:val="20"/>
          <w:szCs w:val="20"/>
          <w:color w:val="auto"/>
        </w:rPr>
      </w:pPr>
    </w:p>
    <w:p>
      <w:pPr>
        <w:ind w:right="260" w:firstLine="865"/>
        <w:spacing w:after="0" w:line="268" w:lineRule="auto"/>
        <w:rPr>
          <w:sz w:val="20"/>
          <w:szCs w:val="20"/>
          <w:color w:val="auto"/>
        </w:rPr>
      </w:pPr>
      <w:r>
        <w:rPr>
          <w:rFonts w:ascii="Arial" w:cs="Arial" w:eastAsia="Arial" w:hAnsi="Arial"/>
          <w:sz w:val="20"/>
          <w:szCs w:val="20"/>
          <w:i w:val="1"/>
          <w:iCs w:val="1"/>
          <w:color w:val="auto"/>
        </w:rPr>
        <w:t>For purposes of this Award, "Retirement" means Participant’s voluntary Termination of Service after having attained age 62, with 10 years of completed service.</w:t>
      </w:r>
    </w:p>
    <w:p>
      <w:pPr>
        <w:spacing w:after="0" w:line="95" w:lineRule="exact"/>
        <w:rPr>
          <w:sz w:val="20"/>
          <w:szCs w:val="20"/>
          <w:color w:val="auto"/>
        </w:rPr>
      </w:pPr>
    </w:p>
    <w:p>
      <w:pPr>
        <w:ind w:right="40" w:firstLine="866"/>
        <w:spacing w:after="0" w:line="265" w:lineRule="auto"/>
        <w:tabs>
          <w:tab w:leader="none" w:pos="1068" w:val="left"/>
        </w:tabs>
        <w:numPr>
          <w:ilvl w:val="0"/>
          <w:numId w:val="156"/>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The Agreement, as amended by this Amendment, shall remain in full force and effect in accordance with the terms and conditions thereof. This Amendment may be executed simultaneously in any number of counterparts, each of which shall be deemed an original but all of which together shall constitute one and the same instrument. In the event of any conflict between the original terms of the Agreement and this Amendment, the terms of this Amendment shall prevail.</w:t>
      </w:r>
    </w:p>
    <w:p>
      <w:pPr>
        <w:spacing w:after="0" w:line="100" w:lineRule="exact"/>
        <w:rPr>
          <w:sz w:val="20"/>
          <w:szCs w:val="20"/>
          <w:color w:val="auto"/>
        </w:rPr>
      </w:pPr>
    </w:p>
    <w:p>
      <w:pPr>
        <w:jc w:val="both"/>
        <w:ind w:right="380"/>
        <w:spacing w:after="0" w:line="253" w:lineRule="auto"/>
        <w:rPr>
          <w:sz w:val="20"/>
          <w:szCs w:val="20"/>
          <w:color w:val="auto"/>
        </w:rPr>
      </w:pPr>
      <w:r>
        <w:rPr>
          <w:rFonts w:ascii="Arial" w:cs="Arial" w:eastAsia="Arial" w:hAnsi="Arial"/>
          <w:sz w:val="20"/>
          <w:szCs w:val="20"/>
          <w:color w:val="auto"/>
        </w:rPr>
        <w:t>THE PARTIES TO THIS AMENDMENT HAVE READ THE FOREGOING AMENDMENT AND FULLY UNDERSTAND EACH AND EVERY PROVISION CONTAINED HEREIN. WHEREFORE, THE PARTIES HAVE EXECUTED THIS AMENDMENT ON THE DATES SHOWN BELOW.</w:t>
      </w:r>
    </w:p>
    <w:p>
      <w:pPr>
        <w:spacing w:after="0" w:line="185"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EMPLOYEE</w:t>
      </w:r>
    </w:p>
    <w:p>
      <w:pPr>
        <w:sectPr>
          <w:pgSz w:w="11900" w:h="16838" w:orient="portrait"/>
          <w:cols w:equalWidth="0" w:num="1">
            <w:col w:w="11280"/>
          </w:cols>
          <w:pgMar w:left="320" w:top="124" w:right="29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right="2000"/>
        <w:spacing w:after="0" w:line="324" w:lineRule="auto"/>
        <w:rPr>
          <w:sz w:val="20"/>
          <w:szCs w:val="20"/>
          <w:color w:val="auto"/>
        </w:rPr>
      </w:pPr>
      <w:r>
        <w:rPr>
          <w:rFonts w:ascii="Arial" w:cs="Arial" w:eastAsia="Arial" w:hAnsi="Arial"/>
          <w:sz w:val="18"/>
          <w:szCs w:val="18"/>
          <w:color w:val="auto"/>
        </w:rPr>
        <w:t>By:_______________________________________ Carey Smith</w:t>
      </w:r>
    </w:p>
    <w:p>
      <w:pPr>
        <w:spacing w:after="0" w:line="126" w:lineRule="exact"/>
        <w:rPr>
          <w:sz w:val="20"/>
          <w:szCs w:val="20"/>
          <w:color w:val="auto"/>
        </w:rPr>
      </w:pPr>
    </w:p>
    <w:p>
      <w:pPr>
        <w:sectPr>
          <w:pgSz w:w="11900" w:h="16838" w:orient="portrait"/>
          <w:cols w:equalWidth="0" w:num="2">
            <w:col w:w="4300" w:space="720"/>
            <w:col w:w="6260"/>
          </w:cols>
          <w:pgMar w:left="320" w:top="124" w:right="299" w:bottom="1440" w:gutter="0" w:footer="0" w:header="0"/>
          <w:type w:val="continuous"/>
        </w:sectPr>
      </w:pPr>
    </w:p>
    <w:p>
      <w:pPr>
        <w:ind w:left="5020"/>
        <w:spacing w:after="0"/>
        <w:rPr>
          <w:sz w:val="20"/>
          <w:szCs w:val="20"/>
          <w:color w:val="auto"/>
        </w:rPr>
      </w:pPr>
      <w:r>
        <w:rPr>
          <w:rFonts w:ascii="Arial" w:cs="Arial" w:eastAsia="Arial" w:hAnsi="Arial"/>
          <w:sz w:val="18"/>
          <w:szCs w:val="18"/>
          <w:color w:val="auto"/>
        </w:rPr>
        <w:t>PARSONS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3188970</wp:posOffset>
            </wp:positionH>
            <wp:positionV relativeFrom="paragraph">
              <wp:posOffset>172085</wp:posOffset>
            </wp:positionV>
            <wp:extent cx="1891665" cy="3702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8">
                      <a:extLst>
                        <a:ext uri="{28A0092B-C50C-407E-A947-70E740481C1C}"/>
                      </a:extLst>
                    </a:blip>
                    <a:srcRect/>
                    <a:stretch>
                      <a:fillRect/>
                    </a:stretch>
                  </pic:blipFill>
                  <pic:spPr bwMode="auto">
                    <a:xfrm>
                      <a:off x="0" y="0"/>
                      <a:ext cx="1891665" cy="370205"/>
                    </a:xfrm>
                    <a:prstGeom prst="rect">
                      <a:avLst/>
                    </a:prstGeom>
                    <a:noFill/>
                  </pic:spPr>
                </pic:pic>
              </a:graphicData>
            </a:graphic>
          </wp:anchor>
        </w:drawing>
      </w:r>
    </w:p>
    <w:p>
      <w:pPr>
        <w:sectPr>
          <w:pgSz w:w="11900" w:h="16838" w:orient="portrait"/>
          <w:cols w:equalWidth="0" w:num="1">
            <w:col w:w="11280"/>
          </w:cols>
          <w:pgMar w:left="320" w:top="124"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vMerge w:val="restart"/>
          </w:tcPr>
          <w:p>
            <w:pPr>
              <w:spacing w:after="0"/>
              <w:rPr>
                <w:sz w:val="20"/>
                <w:szCs w:val="20"/>
                <w:color w:val="auto"/>
              </w:rPr>
            </w:pPr>
            <w:r>
              <w:rPr>
                <w:rFonts w:ascii="Arial" w:cs="Arial" w:eastAsia="Arial" w:hAnsi="Arial"/>
                <w:sz w:val="20"/>
                <w:szCs w:val="20"/>
                <w:color w:val="auto"/>
              </w:rPr>
              <w:t>Dated: January 26, 2022</w:t>
            </w:r>
          </w:p>
        </w:tc>
        <w:tc>
          <w:tcPr>
            <w:tcW w:w="7780" w:type="dxa"/>
            <w:vAlign w:val="bottom"/>
          </w:tcPr>
          <w:p>
            <w:pPr>
              <w:ind w:left="1520"/>
              <w:spacing w:after="0"/>
              <w:rPr>
                <w:sz w:val="20"/>
                <w:szCs w:val="20"/>
                <w:color w:val="auto"/>
              </w:rPr>
            </w:pPr>
            <w:r>
              <w:rPr>
                <w:rFonts w:ascii="Arial" w:cs="Arial" w:eastAsia="Arial" w:hAnsi="Arial"/>
                <w:sz w:val="20"/>
                <w:szCs w:val="20"/>
                <w:color w:val="auto"/>
              </w:rPr>
              <w:t>Susan Balaguer</w:t>
            </w:r>
          </w:p>
        </w:tc>
        <w:tc>
          <w:tcPr>
            <w:tcW w:w="0" w:type="dxa"/>
            <w:vAlign w:val="bottom"/>
          </w:tcPr>
          <w:p>
            <w:pPr>
              <w:spacing w:after="0"/>
              <w:rPr>
                <w:sz w:val="1"/>
                <w:szCs w:val="1"/>
                <w:color w:val="auto"/>
              </w:rPr>
            </w:pPr>
          </w:p>
        </w:tc>
      </w:tr>
      <w:tr>
        <w:trPr>
          <w:trHeight w:val="132"/>
        </w:trPr>
        <w:tc>
          <w:tcPr>
            <w:tcW w:w="3500" w:type="dxa"/>
            <w:vAlign w:val="bottom"/>
            <w:vMerge w:val="continue"/>
          </w:tcPr>
          <w:p>
            <w:pPr>
              <w:spacing w:after="0"/>
              <w:rPr>
                <w:sz w:val="11"/>
                <w:szCs w:val="11"/>
                <w:color w:val="auto"/>
              </w:rPr>
            </w:pPr>
          </w:p>
        </w:tc>
        <w:tc>
          <w:tcPr>
            <w:tcW w:w="7780" w:type="dxa"/>
            <w:vAlign w:val="bottom"/>
            <w:vMerge w:val="restart"/>
          </w:tcPr>
          <w:p>
            <w:pPr>
              <w:ind w:left="1520"/>
              <w:spacing w:after="0"/>
              <w:rPr>
                <w:sz w:val="20"/>
                <w:szCs w:val="20"/>
                <w:color w:val="auto"/>
              </w:rPr>
            </w:pPr>
            <w:r>
              <w:rPr>
                <w:rFonts w:ascii="Arial" w:cs="Arial" w:eastAsia="Arial" w:hAnsi="Arial"/>
                <w:sz w:val="20"/>
                <w:szCs w:val="20"/>
                <w:color w:val="auto"/>
              </w:rPr>
              <w:t>Chief Human Resources Officer</w:t>
            </w:r>
          </w:p>
        </w:tc>
        <w:tc>
          <w:tcPr>
            <w:tcW w:w="0" w:type="dxa"/>
            <w:vAlign w:val="bottom"/>
          </w:tcPr>
          <w:p>
            <w:pPr>
              <w:spacing w:after="0"/>
              <w:rPr>
                <w:sz w:val="1"/>
                <w:szCs w:val="1"/>
                <w:color w:val="auto"/>
              </w:rPr>
            </w:pPr>
          </w:p>
        </w:tc>
      </w:tr>
      <w:tr>
        <w:trPr>
          <w:trHeight w:val="127"/>
        </w:trPr>
        <w:tc>
          <w:tcPr>
            <w:tcW w:w="3500" w:type="dxa"/>
            <w:vAlign w:val="bottom"/>
          </w:tcPr>
          <w:p>
            <w:pPr>
              <w:spacing w:after="0"/>
              <w:rPr>
                <w:sz w:val="11"/>
                <w:szCs w:val="11"/>
                <w:color w:val="auto"/>
              </w:rPr>
            </w:pPr>
          </w:p>
        </w:tc>
        <w:tc>
          <w:tcPr>
            <w:tcW w:w="7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1"/>
        </w:trPr>
        <w:tc>
          <w:tcPr>
            <w:tcW w:w="3500" w:type="dxa"/>
            <w:vAlign w:val="bottom"/>
            <w:tcBorders>
              <w:bottom w:val="single" w:sz="8" w:color="9A9A9A"/>
            </w:tcBorders>
          </w:tcPr>
          <w:p>
            <w:pPr>
              <w:spacing w:after="0"/>
              <w:rPr>
                <w:sz w:val="24"/>
                <w:szCs w:val="24"/>
                <w:color w:val="auto"/>
              </w:rPr>
            </w:pPr>
          </w:p>
        </w:tc>
        <w:tc>
          <w:tcPr>
            <w:tcW w:w="7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-27940</wp:posOffset>
            </wp:positionV>
            <wp:extent cx="33655" cy="4127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0">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80"/>
          </w:cols>
          <w:pgMar w:left="320" w:top="124" w:right="299" w:bottom="1440" w:gutter="0" w:footer="0" w:header="0"/>
          <w:type w:val="continuous"/>
        </w:sectPr>
      </w:pPr>
    </w:p>
    <w:bookmarkStart w:id="286" w:name="page287"/>
    <w:bookmarkEnd w:id="286"/>
    <w:p>
      <w:pPr>
        <w:jc w:val="right"/>
        <w:spacing w:after="0"/>
        <w:rPr>
          <w:sz w:val="20"/>
          <w:szCs w:val="20"/>
          <w:color w:val="auto"/>
        </w:rPr>
      </w:pPr>
      <w:r>
        <w:rPr>
          <w:rFonts w:ascii="Arial" w:cs="Arial" w:eastAsia="Arial" w:hAnsi="Arial"/>
          <w:sz w:val="19"/>
          <w:szCs w:val="19"/>
          <w:color w:val="auto"/>
        </w:rPr>
        <w:t>Exhibit 10.39</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AMENDMENT TO PARSONS CORPORATION INCENTIVE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PERFORMANCE STOCK UNIT AWARD</w:t>
      </w:r>
    </w:p>
    <w:p>
      <w:pPr>
        <w:spacing w:after="0" w:line="145" w:lineRule="exact"/>
        <w:rPr>
          <w:sz w:val="20"/>
          <w:szCs w:val="20"/>
          <w:color w:val="auto"/>
        </w:rPr>
      </w:pPr>
    </w:p>
    <w:p>
      <w:pPr>
        <w:ind w:right="120" w:firstLine="589"/>
        <w:spacing w:after="0" w:line="268" w:lineRule="auto"/>
        <w:rPr>
          <w:sz w:val="20"/>
          <w:szCs w:val="20"/>
          <w:color w:val="auto"/>
        </w:rPr>
      </w:pPr>
      <w:r>
        <w:rPr>
          <w:rFonts w:ascii="Arial" w:cs="Arial" w:eastAsia="Arial" w:hAnsi="Arial"/>
          <w:sz w:val="20"/>
          <w:szCs w:val="20"/>
          <w:color w:val="auto"/>
        </w:rPr>
        <w:t>This Amendment to Parsons Corporation Incentive Award Plan Performance Stock Unit Award (“Amendment”) is made effective as of July 19, 2021, by and between Parsons Corporation (“Company”), and Carey Smith (“Employee”).</w:t>
      </w:r>
    </w:p>
    <w:p>
      <w:pPr>
        <w:spacing w:after="0" w:line="95" w:lineRule="exact"/>
        <w:rPr>
          <w:sz w:val="20"/>
          <w:szCs w:val="20"/>
          <w:color w:val="auto"/>
        </w:rPr>
      </w:pPr>
    </w:p>
    <w:p>
      <w:pPr>
        <w:ind w:right="1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Incentive Award Plan Performance Stock Unit Award dated as of July 1, 2021 (the “Award”);</w:t>
      </w:r>
    </w:p>
    <w:p>
      <w:pPr>
        <w:spacing w:after="0" w:line="95" w:lineRule="exact"/>
        <w:rPr>
          <w:sz w:val="20"/>
          <w:szCs w:val="20"/>
          <w:color w:val="auto"/>
        </w:rPr>
      </w:pPr>
    </w:p>
    <w:p>
      <w:pPr>
        <w:ind w:right="1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Change in Control Severance Agreement (“CIC Agreement”), which was amended as of July 19, 2021;</w:t>
      </w:r>
    </w:p>
    <w:p>
      <w:pPr>
        <w:spacing w:after="0" w:line="95" w:lineRule="exact"/>
        <w:rPr>
          <w:sz w:val="20"/>
          <w:szCs w:val="20"/>
          <w:color w:val="auto"/>
        </w:rPr>
      </w:pPr>
    </w:p>
    <w:p>
      <w:pPr>
        <w:ind w:right="640" w:firstLine="589"/>
        <w:spacing w:after="0" w:line="268" w:lineRule="auto"/>
        <w:rPr>
          <w:sz w:val="20"/>
          <w:szCs w:val="20"/>
          <w:color w:val="auto"/>
        </w:rPr>
      </w:pPr>
      <w:r>
        <w:rPr>
          <w:rFonts w:ascii="Arial" w:cs="Arial" w:eastAsia="Arial" w:hAnsi="Arial"/>
          <w:sz w:val="20"/>
          <w:szCs w:val="20"/>
          <w:color w:val="auto"/>
        </w:rPr>
        <w:t>WHEREAS, the Company and Employee desire to amend the Award to incorporate and reflect any amendments to the CIC Agreement;</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parties agree as follows:</w:t>
      </w:r>
    </w:p>
    <w:p>
      <w:pPr>
        <w:spacing w:after="0" w:line="150" w:lineRule="exact"/>
        <w:rPr>
          <w:sz w:val="20"/>
          <w:szCs w:val="20"/>
          <w:color w:val="auto"/>
        </w:rPr>
      </w:pPr>
    </w:p>
    <w:p>
      <w:pPr>
        <w:ind w:left="1400" w:hanging="809"/>
        <w:spacing w:after="0"/>
        <w:tabs>
          <w:tab w:leader="none" w:pos="140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Paragraph 2 of Exhibit B is hereby restated as follows:</w:t>
      </w:r>
    </w:p>
    <w:p>
      <w:pPr>
        <w:spacing w:after="0" w:line="150" w:lineRule="exact"/>
        <w:rPr>
          <w:sz w:val="20"/>
          <w:szCs w:val="20"/>
          <w:color w:val="auto"/>
        </w:rPr>
      </w:pPr>
    </w:p>
    <w:p>
      <w:pPr>
        <w:ind w:right="20" w:firstLine="865"/>
        <w:spacing w:after="0" w:line="269" w:lineRule="auto"/>
        <w:rPr>
          <w:sz w:val="20"/>
          <w:szCs w:val="20"/>
          <w:color w:val="auto"/>
        </w:rPr>
      </w:pPr>
      <w:r>
        <w:rPr>
          <w:rFonts w:ascii="Arial" w:cs="Arial" w:eastAsia="Arial" w:hAnsi="Arial"/>
          <w:sz w:val="18"/>
          <w:szCs w:val="18"/>
          <w:i w:val="1"/>
          <w:iCs w:val="1"/>
          <w:color w:val="auto"/>
        </w:rPr>
        <w:t>ACCELERATED VESTING. In the event of Participant’s Termination of Service due to Retirement, death or Disability prior to the Payment Date, Participant will remain eligible to vest in and receive on the Payment Date that number of PSUs as is determined by multiplying (a) the number of PSUs that Participant would vest in as provided in Section 1 of this Exhibit B had he/she not incurred a Termination of Service prior to the Payment Date, by (b) (i) the number of months that have elapsed since January 1, 2021, divided by (ii)</w:t>
      </w:r>
    </w:p>
    <w:p>
      <w:pPr>
        <w:spacing w:after="0" w:line="3" w:lineRule="exact"/>
        <w:rPr>
          <w:sz w:val="20"/>
          <w:szCs w:val="20"/>
          <w:color w:val="auto"/>
        </w:rPr>
      </w:pPr>
    </w:p>
    <w:p>
      <w:pPr>
        <w:ind w:right="200" w:firstLine="1"/>
        <w:spacing w:after="0" w:line="249" w:lineRule="auto"/>
        <w:tabs>
          <w:tab w:leader="none" w:pos="304" w:val="left"/>
        </w:tabs>
        <w:numPr>
          <w:ilvl w:val="0"/>
          <w:numId w:val="158"/>
        </w:numPr>
        <w:rPr>
          <w:rFonts w:ascii="Arial" w:cs="Arial" w:eastAsia="Arial" w:hAnsi="Arial"/>
          <w:sz w:val="20"/>
          <w:szCs w:val="20"/>
          <w:i w:val="1"/>
          <w:iCs w:val="1"/>
          <w:color w:val="auto"/>
        </w:rPr>
      </w:pPr>
      <w:r>
        <w:rPr>
          <w:rFonts w:ascii="Arial" w:cs="Arial" w:eastAsia="Arial" w:hAnsi="Arial"/>
          <w:sz w:val="20"/>
          <w:szCs w:val="20"/>
          <w:i w:val="1"/>
          <w:iCs w:val="1"/>
          <w:color w:val="auto"/>
        </w:rPr>
        <w:t>Partial months shall be rounded up to the next whole calendar month for purposes of the numerator in this calculation. In the event the calculation results in a fractional PSU, any fractional PSU will be rounded up to the nearest whole PSU.</w:t>
      </w:r>
    </w:p>
    <w:p>
      <w:pPr>
        <w:spacing w:after="0" w:line="113" w:lineRule="exact"/>
        <w:rPr>
          <w:sz w:val="20"/>
          <w:szCs w:val="20"/>
          <w:color w:val="auto"/>
        </w:rPr>
      </w:pPr>
    </w:p>
    <w:p>
      <w:pPr>
        <w:ind w:right="20" w:firstLine="865"/>
        <w:spacing w:after="0" w:line="256" w:lineRule="auto"/>
        <w:rPr>
          <w:sz w:val="20"/>
          <w:szCs w:val="20"/>
          <w:color w:val="auto"/>
        </w:rPr>
      </w:pPr>
      <w:r>
        <w:rPr>
          <w:rFonts w:ascii="Arial" w:cs="Arial" w:eastAsia="Arial" w:hAnsi="Arial"/>
          <w:sz w:val="19"/>
          <w:szCs w:val="19"/>
          <w:i w:val="1"/>
          <w:iCs w:val="1"/>
          <w:color w:val="auto"/>
        </w:rPr>
        <w:t>Notwithstanding the foregoing, if Participant is a party to a Change in Control Severance Agreement with the Company at the time of Participant’s Termination of Service due to Retirement, death or Disability prior to the Payment Date, and such termination occurs prior to the occurrence of a Change in Control, in lieu of the treatment in the foregoing paragraph, Participant will remain eligible to vest in and receive on the Payment Date (or, if earlier, the date of a Change in Control) that number of PSUs as is determined by multiplying (a) the number of PSUs that Participant would vested in as provided in Section 1 of this Exhibit B had he/she not incurred a Termination of Service prior to the Payment Date (or, in the event of a Change in Control prior to the Payment Date, the Target PSUs), by (b) (i) the number of months that have elapsed since January 1, 2021, divided by (ii) 36. Partial months shall be rounded up to the next whole calendar month for purposes of the numerator in this calculation. In the event the calculation results in a fractional PSU, any fractional PSU will be rounded up to the nearest whole PSU.</w:t>
      </w:r>
    </w:p>
    <w:p>
      <w:pPr>
        <w:spacing w:after="0" w:line="108" w:lineRule="exact"/>
        <w:rPr>
          <w:sz w:val="20"/>
          <w:szCs w:val="20"/>
          <w:color w:val="auto"/>
        </w:rPr>
      </w:pPr>
    </w:p>
    <w:p>
      <w:pPr>
        <w:jc w:val="both"/>
        <w:ind w:right="420" w:firstLine="865"/>
        <w:spacing w:after="0" w:line="253" w:lineRule="auto"/>
        <w:rPr>
          <w:sz w:val="20"/>
          <w:szCs w:val="20"/>
          <w:color w:val="auto"/>
        </w:rPr>
      </w:pPr>
      <w:r>
        <w:rPr>
          <w:rFonts w:ascii="Arial" w:cs="Arial" w:eastAsia="Arial" w:hAnsi="Arial"/>
          <w:sz w:val="20"/>
          <w:szCs w:val="20"/>
          <w:i w:val="1"/>
          <w:iCs w:val="1"/>
          <w:color w:val="auto"/>
        </w:rPr>
        <w:t>The Award shall also be eligible for accelerated vesting as provided in Section 12.2 of the Plan; provided that, in the event Section 12.2(d) of the Plan applies, in the event of Participant's Termination of Service without "cause" (and other than as a result of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303530</wp:posOffset>
            </wp:positionV>
            <wp:extent cx="7182485" cy="4127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1">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87" w:name="page288"/>
    <w:bookmarkEnd w:id="287"/>
    <w:p>
      <w:pPr>
        <w:ind w:left="10240"/>
        <w:spacing w:after="0"/>
        <w:rPr>
          <w:sz w:val="20"/>
          <w:szCs w:val="20"/>
          <w:color w:val="auto"/>
        </w:rPr>
      </w:pPr>
      <w:r>
        <w:rPr>
          <w:rFonts w:ascii="Arial" w:cs="Arial" w:eastAsia="Arial" w:hAnsi="Arial"/>
          <w:sz w:val="17"/>
          <w:szCs w:val="17"/>
          <w:color w:val="auto"/>
        </w:rPr>
        <w:t>Exhibit 10.39</w:t>
      </w:r>
    </w:p>
    <w:p>
      <w:pPr>
        <w:spacing w:after="0" w:line="167"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i w:val="1"/>
          <w:iCs w:val="1"/>
          <w:color w:val="auto"/>
        </w:rPr>
        <w:t>Retirement, death or Disability, in which case the first paragraph of this Section 2 shall apply) upon or within twelve (12) months following the Change in Control (as described therein), provided such termination occurs prior to the Payment Date, Participant will vest in the Target PSUs on the date of such termination. Notwithstanding the foregoing, and notwithstanding anything to the contrary contained in the Plan, in the event of a Change in Control prior to the Payment Date, if Participant is a party to a Change in Control Severance Agreement with the Company at the time of such Change in Control, and a Qualifying Termination Event has occurred, as defined in the Participant’s Change in Control Severance Agreement, the Target PSUs shall accelerate, vest and be settled in full immediately prior to such Change in Control.</w:t>
      </w:r>
    </w:p>
    <w:p>
      <w:pPr>
        <w:spacing w:after="0" w:line="120" w:lineRule="exact"/>
        <w:rPr>
          <w:sz w:val="20"/>
          <w:szCs w:val="20"/>
          <w:color w:val="auto"/>
        </w:rPr>
      </w:pPr>
    </w:p>
    <w:p>
      <w:pPr>
        <w:ind w:right="160" w:firstLine="865"/>
        <w:spacing w:after="0" w:line="244" w:lineRule="auto"/>
        <w:rPr>
          <w:sz w:val="20"/>
          <w:szCs w:val="20"/>
          <w:color w:val="auto"/>
        </w:rPr>
      </w:pPr>
      <w:r>
        <w:rPr>
          <w:rFonts w:ascii="Arial" w:cs="Arial" w:eastAsia="Arial" w:hAnsi="Arial"/>
          <w:sz w:val="20"/>
          <w:szCs w:val="20"/>
          <w:i w:val="1"/>
          <w:iCs w:val="1"/>
          <w:color w:val="auto"/>
        </w:rPr>
        <w:t>For purposes of this Award, “Disability” means Participant (a) is unable to engage in any substantial gainful activity by reason of any medically determinable physical or mental impairment which can be expected to result in death or can be expected to last for a continuous period of not less than 12 months, or (b)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Company or its Subsidiaries.</w:t>
      </w:r>
    </w:p>
    <w:p>
      <w:pPr>
        <w:spacing w:after="0" w:line="118" w:lineRule="exact"/>
        <w:rPr>
          <w:sz w:val="20"/>
          <w:szCs w:val="20"/>
          <w:color w:val="auto"/>
        </w:rPr>
      </w:pPr>
    </w:p>
    <w:p>
      <w:pPr>
        <w:ind w:right="220" w:firstLine="865"/>
        <w:spacing w:after="0" w:line="268" w:lineRule="auto"/>
        <w:rPr>
          <w:sz w:val="20"/>
          <w:szCs w:val="20"/>
          <w:color w:val="auto"/>
        </w:rPr>
      </w:pPr>
      <w:r>
        <w:rPr>
          <w:rFonts w:ascii="Arial" w:cs="Arial" w:eastAsia="Arial" w:hAnsi="Arial"/>
          <w:sz w:val="20"/>
          <w:szCs w:val="20"/>
          <w:i w:val="1"/>
          <w:iCs w:val="1"/>
          <w:color w:val="auto"/>
        </w:rPr>
        <w:t>For purposes of this Award, "Retirement" means Participant’s voluntary Termination of Service after having attained age 62, with 10 years of completed service.</w:t>
      </w:r>
    </w:p>
    <w:p>
      <w:pPr>
        <w:spacing w:after="0" w:line="95" w:lineRule="exact"/>
        <w:rPr>
          <w:sz w:val="20"/>
          <w:szCs w:val="20"/>
          <w:color w:val="auto"/>
        </w:rPr>
      </w:pPr>
    </w:p>
    <w:p>
      <w:pPr>
        <w:ind w:firstLine="866"/>
        <w:spacing w:after="0" w:line="265" w:lineRule="auto"/>
        <w:tabs>
          <w:tab w:leader="none" w:pos="1068"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The Agreement, as amended by this Amendment, shall remain in full force and effect in accordance with the terms and conditions thereof. This Amendment may be executed simultaneously in any number of counterparts, each of which shall be deemed an original but all of which together shall constitute one and the same instrument. In the event of any conflict between the original terms of the Agreement and this Amendment, the terms of this Amendment shall prevail.</w:t>
      </w:r>
    </w:p>
    <w:p>
      <w:pPr>
        <w:spacing w:after="0" w:line="100" w:lineRule="exact"/>
        <w:rPr>
          <w:sz w:val="20"/>
          <w:szCs w:val="20"/>
          <w:color w:val="auto"/>
        </w:rPr>
      </w:pPr>
    </w:p>
    <w:p>
      <w:pPr>
        <w:jc w:val="both"/>
        <w:ind w:right="340"/>
        <w:spacing w:after="0" w:line="253" w:lineRule="auto"/>
        <w:rPr>
          <w:sz w:val="20"/>
          <w:szCs w:val="20"/>
          <w:color w:val="auto"/>
        </w:rPr>
      </w:pPr>
      <w:r>
        <w:rPr>
          <w:rFonts w:ascii="Arial" w:cs="Arial" w:eastAsia="Arial" w:hAnsi="Arial"/>
          <w:sz w:val="20"/>
          <w:szCs w:val="20"/>
          <w:color w:val="auto"/>
        </w:rPr>
        <w:t>THE PARTIES TO THIS AMENDMENT HAVE READ THE FOREGOING AMENDMENT AND FULLY UNDERSTAND EACH AND EVERY PROVISION CONTAINED HEREIN. WHEREFORE, THE PARTIES HAVE EXECUTED THIS AMENDMENT ON THE DATES SHOWN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660" w:type="dxa"/>
            <w:vAlign w:val="bottom"/>
          </w:tcPr>
          <w:p>
            <w:pPr>
              <w:spacing w:after="0"/>
              <w:rPr>
                <w:sz w:val="22"/>
                <w:szCs w:val="22"/>
                <w:color w:val="auto"/>
              </w:rPr>
            </w:pPr>
          </w:p>
        </w:tc>
        <w:tc>
          <w:tcPr>
            <w:tcW w:w="5620" w:type="dxa"/>
            <w:vAlign w:val="bottom"/>
          </w:tcPr>
          <w:p>
            <w:pPr>
              <w:ind w:left="1360"/>
              <w:spacing w:after="0"/>
              <w:rPr>
                <w:sz w:val="20"/>
                <w:szCs w:val="20"/>
                <w:color w:val="auto"/>
              </w:rPr>
            </w:pPr>
            <w:r>
              <w:rPr>
                <w:rFonts w:ascii="Arial" w:cs="Arial" w:eastAsia="Arial" w:hAnsi="Arial"/>
                <w:sz w:val="20"/>
                <w:szCs w:val="20"/>
                <w:color w:val="auto"/>
              </w:rPr>
              <w:t>EMPLOYEE</w:t>
            </w:r>
          </w:p>
        </w:tc>
        <w:tc>
          <w:tcPr>
            <w:tcW w:w="0" w:type="dxa"/>
            <w:vAlign w:val="bottom"/>
          </w:tcPr>
          <w:p>
            <w:pPr>
              <w:spacing w:after="0"/>
              <w:rPr>
                <w:sz w:val="1"/>
                <w:szCs w:val="1"/>
                <w:color w:val="auto"/>
              </w:rPr>
            </w:pPr>
          </w:p>
        </w:tc>
      </w:tr>
      <w:tr>
        <w:trPr>
          <w:trHeight w:val="654"/>
        </w:trPr>
        <w:tc>
          <w:tcPr>
            <w:tcW w:w="3660" w:type="dxa"/>
            <w:vAlign w:val="bottom"/>
          </w:tcPr>
          <w:p>
            <w:pPr>
              <w:spacing w:after="0"/>
              <w:rPr>
                <w:sz w:val="20"/>
                <w:szCs w:val="20"/>
                <w:color w:val="auto"/>
              </w:rPr>
            </w:pPr>
            <w:r>
              <w:rPr>
                <w:rFonts w:ascii="Arial" w:cs="Arial" w:eastAsia="Arial" w:hAnsi="Arial"/>
                <w:sz w:val="20"/>
                <w:szCs w:val="20"/>
                <w:color w:val="auto"/>
              </w:rPr>
              <w:t>Dated: _________________</w:t>
            </w:r>
          </w:p>
        </w:tc>
        <w:tc>
          <w:tcPr>
            <w:tcW w:w="5620" w:type="dxa"/>
            <w:vAlign w:val="bottom"/>
          </w:tcPr>
          <w:p>
            <w:pPr>
              <w:ind w:left="1360"/>
              <w:spacing w:after="0"/>
              <w:rPr>
                <w:sz w:val="20"/>
                <w:szCs w:val="20"/>
                <w:color w:val="auto"/>
              </w:rPr>
            </w:pPr>
            <w:r>
              <w:rPr>
                <w:rFonts w:ascii="Arial" w:cs="Arial" w:eastAsia="Arial" w:hAnsi="Arial"/>
                <w:sz w:val="20"/>
                <w:szCs w:val="20"/>
                <w:color w:val="auto"/>
                <w:w w:val="91"/>
              </w:rPr>
              <w:t>By:_______________________________________</w:t>
            </w:r>
          </w:p>
        </w:tc>
        <w:tc>
          <w:tcPr>
            <w:tcW w:w="0" w:type="dxa"/>
            <w:vAlign w:val="bottom"/>
          </w:tcPr>
          <w:p>
            <w:pPr>
              <w:spacing w:after="0"/>
              <w:rPr>
                <w:sz w:val="1"/>
                <w:szCs w:val="1"/>
                <w:color w:val="auto"/>
              </w:rPr>
            </w:pPr>
          </w:p>
        </w:tc>
      </w:tr>
      <w:tr>
        <w:trPr>
          <w:trHeight w:val="259"/>
        </w:trPr>
        <w:tc>
          <w:tcPr>
            <w:tcW w:w="3660" w:type="dxa"/>
            <w:vAlign w:val="bottom"/>
          </w:tcPr>
          <w:p>
            <w:pPr>
              <w:spacing w:after="0"/>
              <w:rPr>
                <w:sz w:val="22"/>
                <w:szCs w:val="22"/>
                <w:color w:val="auto"/>
              </w:rPr>
            </w:pPr>
          </w:p>
        </w:tc>
        <w:tc>
          <w:tcPr>
            <w:tcW w:w="5620" w:type="dxa"/>
            <w:vAlign w:val="bottom"/>
          </w:tcPr>
          <w:p>
            <w:pPr>
              <w:ind w:left="1360"/>
              <w:spacing w:after="0"/>
              <w:rPr>
                <w:sz w:val="20"/>
                <w:szCs w:val="20"/>
                <w:color w:val="auto"/>
              </w:rPr>
            </w:pPr>
            <w:r>
              <w:rPr>
                <w:rFonts w:ascii="Arial" w:cs="Arial" w:eastAsia="Arial" w:hAnsi="Arial"/>
                <w:sz w:val="20"/>
                <w:szCs w:val="20"/>
                <w:color w:val="auto"/>
              </w:rPr>
              <w:t>Carey Smith</w:t>
            </w:r>
          </w:p>
        </w:tc>
        <w:tc>
          <w:tcPr>
            <w:tcW w:w="0" w:type="dxa"/>
            <w:vAlign w:val="bottom"/>
          </w:tcPr>
          <w:p>
            <w:pPr>
              <w:spacing w:after="0"/>
              <w:rPr>
                <w:sz w:val="1"/>
                <w:szCs w:val="1"/>
                <w:color w:val="auto"/>
              </w:rPr>
            </w:pPr>
          </w:p>
        </w:tc>
      </w:tr>
      <w:tr>
        <w:trPr>
          <w:trHeight w:val="456"/>
        </w:trPr>
        <w:tc>
          <w:tcPr>
            <w:tcW w:w="3660" w:type="dxa"/>
            <w:vAlign w:val="bottom"/>
          </w:tcPr>
          <w:p>
            <w:pPr>
              <w:spacing w:after="0"/>
              <w:rPr>
                <w:sz w:val="24"/>
                <w:szCs w:val="24"/>
                <w:color w:val="auto"/>
              </w:rPr>
            </w:pPr>
          </w:p>
        </w:tc>
        <w:tc>
          <w:tcPr>
            <w:tcW w:w="5620" w:type="dxa"/>
            <w:vAlign w:val="bottom"/>
          </w:tcPr>
          <w:p>
            <w:pPr>
              <w:ind w:left="1360"/>
              <w:spacing w:after="0"/>
              <w:rPr>
                <w:sz w:val="20"/>
                <w:szCs w:val="20"/>
                <w:color w:val="auto"/>
              </w:rPr>
            </w:pPr>
            <w:r>
              <w:rPr>
                <w:rFonts w:ascii="Arial" w:cs="Arial" w:eastAsia="Arial" w:hAnsi="Arial"/>
                <w:sz w:val="20"/>
                <w:szCs w:val="20"/>
                <w:color w:val="auto"/>
              </w:rPr>
              <w:t>PARSONS CORPORATION</w:t>
            </w:r>
          </w:p>
        </w:tc>
        <w:tc>
          <w:tcPr>
            <w:tcW w:w="0" w:type="dxa"/>
            <w:vAlign w:val="bottom"/>
          </w:tcPr>
          <w:p>
            <w:pPr>
              <w:spacing w:after="0"/>
              <w:rPr>
                <w:sz w:val="1"/>
                <w:szCs w:val="1"/>
                <w:color w:val="auto"/>
              </w:rPr>
            </w:pPr>
          </w:p>
        </w:tc>
      </w:tr>
      <w:tr>
        <w:trPr>
          <w:trHeight w:val="913"/>
        </w:trPr>
        <w:tc>
          <w:tcPr>
            <w:tcW w:w="3660" w:type="dxa"/>
            <w:vAlign w:val="bottom"/>
          </w:tcPr>
          <w:p>
            <w:pPr>
              <w:spacing w:after="0"/>
              <w:rPr>
                <w:sz w:val="20"/>
                <w:szCs w:val="20"/>
                <w:color w:val="auto"/>
              </w:rPr>
            </w:pPr>
            <w:r>
              <w:rPr>
                <w:rFonts w:ascii="Arial" w:cs="Arial" w:eastAsia="Arial" w:hAnsi="Arial"/>
                <w:sz w:val="20"/>
                <w:szCs w:val="20"/>
                <w:color w:val="auto"/>
              </w:rPr>
              <w:t>Dated: January 26, 2022</w:t>
            </w:r>
          </w:p>
        </w:tc>
        <w:tc>
          <w:tcPr>
            <w:tcW w:w="5620" w:type="dxa"/>
            <w:vAlign w:val="bottom"/>
            <w:vMerge w:val="restart"/>
          </w:tcPr>
          <w:p>
            <w:pPr>
              <w:ind w:left="1360"/>
              <w:spacing w:after="0"/>
              <w:rPr>
                <w:sz w:val="20"/>
                <w:szCs w:val="20"/>
                <w:color w:val="auto"/>
              </w:rPr>
            </w:pPr>
            <w:r>
              <w:rPr>
                <w:rFonts w:ascii="Arial" w:cs="Arial" w:eastAsia="Arial" w:hAnsi="Arial"/>
                <w:sz w:val="20"/>
                <w:szCs w:val="20"/>
                <w:color w:val="auto"/>
              </w:rPr>
              <w:t>Susan Balaguer</w:t>
            </w:r>
          </w:p>
        </w:tc>
        <w:tc>
          <w:tcPr>
            <w:tcW w:w="0" w:type="dxa"/>
            <w:vAlign w:val="bottom"/>
          </w:tcPr>
          <w:p>
            <w:pPr>
              <w:spacing w:after="0"/>
              <w:rPr>
                <w:sz w:val="1"/>
                <w:szCs w:val="1"/>
                <w:color w:val="auto"/>
              </w:rPr>
            </w:pPr>
          </w:p>
        </w:tc>
      </w:tr>
      <w:tr>
        <w:trPr>
          <w:trHeight w:val="96"/>
        </w:trPr>
        <w:tc>
          <w:tcPr>
            <w:tcW w:w="3660" w:type="dxa"/>
            <w:vAlign w:val="bottom"/>
          </w:tcPr>
          <w:p>
            <w:pPr>
              <w:spacing w:after="0"/>
              <w:rPr>
                <w:sz w:val="8"/>
                <w:szCs w:val="8"/>
                <w:color w:val="auto"/>
              </w:rPr>
            </w:pPr>
          </w:p>
        </w:tc>
        <w:tc>
          <w:tcPr>
            <w:tcW w:w="5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3660" w:type="dxa"/>
            <w:vAlign w:val="bottom"/>
          </w:tcPr>
          <w:p>
            <w:pPr>
              <w:spacing w:after="0"/>
              <w:rPr>
                <w:sz w:val="22"/>
                <w:szCs w:val="22"/>
                <w:color w:val="auto"/>
              </w:rPr>
            </w:pPr>
          </w:p>
        </w:tc>
        <w:tc>
          <w:tcPr>
            <w:tcW w:w="5620" w:type="dxa"/>
            <w:vAlign w:val="bottom"/>
          </w:tcPr>
          <w:p>
            <w:pPr>
              <w:ind w:left="1360"/>
              <w:spacing w:after="0"/>
              <w:rPr>
                <w:sz w:val="20"/>
                <w:szCs w:val="20"/>
                <w:color w:val="auto"/>
              </w:rPr>
            </w:pPr>
            <w:r>
              <w:rPr>
                <w:rFonts w:ascii="Arial" w:cs="Arial" w:eastAsia="Arial" w:hAnsi="Arial"/>
                <w:sz w:val="20"/>
                <w:szCs w:val="20"/>
                <w:color w:val="auto"/>
              </w:rPr>
              <w:t>Chief Human Resources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3188970</wp:posOffset>
            </wp:positionH>
            <wp:positionV relativeFrom="paragraph">
              <wp:posOffset>-665480</wp:posOffset>
            </wp:positionV>
            <wp:extent cx="1731010" cy="3702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2">
                      <a:extLst>
                        <a:ext uri="{28A0092B-C50C-407E-A947-70E740481C1C}"/>
                      </a:extLst>
                    </a:blip>
                    <a:srcRect/>
                    <a:stretch>
                      <a:fillRect/>
                    </a:stretch>
                  </pic:blipFill>
                  <pic:spPr bwMode="auto">
                    <a:xfrm>
                      <a:off x="0" y="0"/>
                      <a:ext cx="1731010" cy="3702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88" w:name="page289"/>
    <w:bookmarkEnd w:id="288"/>
    <w:p>
      <w:pPr>
        <w:jc w:val="right"/>
        <w:spacing w:after="0"/>
        <w:rPr>
          <w:sz w:val="20"/>
          <w:szCs w:val="20"/>
          <w:color w:val="auto"/>
        </w:rPr>
      </w:pPr>
      <w:r>
        <w:rPr>
          <w:rFonts w:ascii="Arial" w:cs="Arial" w:eastAsia="Arial" w:hAnsi="Arial"/>
          <w:sz w:val="19"/>
          <w:szCs w:val="19"/>
          <w:color w:val="auto"/>
        </w:rPr>
        <w:t>Exhibit 10.40</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AMENDMENT TO PARSONS CORPORATION INCENTIVE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RESTRICTED STOCK UNIT AWARD</w:t>
      </w:r>
    </w:p>
    <w:p>
      <w:pPr>
        <w:spacing w:after="0" w:line="145" w:lineRule="exact"/>
        <w:rPr>
          <w:sz w:val="20"/>
          <w:szCs w:val="20"/>
          <w:color w:val="auto"/>
        </w:rPr>
      </w:pPr>
    </w:p>
    <w:p>
      <w:pPr>
        <w:ind w:right="120" w:firstLine="589"/>
        <w:spacing w:after="0" w:line="268" w:lineRule="auto"/>
        <w:rPr>
          <w:sz w:val="20"/>
          <w:szCs w:val="20"/>
          <w:color w:val="auto"/>
        </w:rPr>
      </w:pPr>
      <w:r>
        <w:rPr>
          <w:rFonts w:ascii="Arial" w:cs="Arial" w:eastAsia="Arial" w:hAnsi="Arial"/>
          <w:sz w:val="20"/>
          <w:szCs w:val="20"/>
          <w:color w:val="auto"/>
        </w:rPr>
        <w:t>This Amendment to Parsons Corporation Incentive Award Plan Restricted Stock Unit Award (“Amendment”) is made effective as of July 19, 2021, by and between Parsons Corporation (“Company”), and Carey Smith (“Employee”).</w:t>
      </w:r>
    </w:p>
    <w:p>
      <w:pPr>
        <w:spacing w:after="0" w:line="95" w:lineRule="exact"/>
        <w:rPr>
          <w:sz w:val="20"/>
          <w:szCs w:val="20"/>
          <w:color w:val="auto"/>
        </w:rPr>
      </w:pPr>
    </w:p>
    <w:p>
      <w:pPr>
        <w:ind w:right="3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Incentive Award Plan Restricted Stock Unit Award dated as of March 5, 2020 (the “Award”);</w:t>
      </w:r>
    </w:p>
    <w:p>
      <w:pPr>
        <w:spacing w:after="0" w:line="95" w:lineRule="exact"/>
        <w:rPr>
          <w:sz w:val="20"/>
          <w:szCs w:val="20"/>
          <w:color w:val="auto"/>
        </w:rPr>
      </w:pPr>
    </w:p>
    <w:p>
      <w:pPr>
        <w:ind w:right="1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Change in Control Severance Agreement (“CIC Agreement”), which was amended as of July 19, 2021;</w:t>
      </w:r>
    </w:p>
    <w:p>
      <w:pPr>
        <w:spacing w:after="0" w:line="95" w:lineRule="exact"/>
        <w:rPr>
          <w:sz w:val="20"/>
          <w:szCs w:val="20"/>
          <w:color w:val="auto"/>
        </w:rPr>
      </w:pPr>
    </w:p>
    <w:p>
      <w:pPr>
        <w:ind w:right="640" w:firstLine="589"/>
        <w:spacing w:after="0" w:line="268" w:lineRule="auto"/>
        <w:rPr>
          <w:sz w:val="20"/>
          <w:szCs w:val="20"/>
          <w:color w:val="auto"/>
        </w:rPr>
      </w:pPr>
      <w:r>
        <w:rPr>
          <w:rFonts w:ascii="Arial" w:cs="Arial" w:eastAsia="Arial" w:hAnsi="Arial"/>
          <w:sz w:val="20"/>
          <w:szCs w:val="20"/>
          <w:color w:val="auto"/>
        </w:rPr>
        <w:t>WHEREAS, the Company and Employee desire to amend the Award to incorporate and reflect any amendments to the CIC Agreement;</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parties agree as follows:</w:t>
      </w:r>
    </w:p>
    <w:p>
      <w:pPr>
        <w:spacing w:after="0" w:line="150" w:lineRule="exact"/>
        <w:rPr>
          <w:sz w:val="20"/>
          <w:szCs w:val="20"/>
          <w:color w:val="auto"/>
        </w:rPr>
      </w:pPr>
    </w:p>
    <w:p>
      <w:pPr>
        <w:ind w:left="1400" w:hanging="809"/>
        <w:spacing w:after="0"/>
        <w:tabs>
          <w:tab w:leader="none" w:pos="140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Paragraph 2 of Exhibit B is hereby restated as follows:</w:t>
      </w:r>
    </w:p>
    <w:p>
      <w:pPr>
        <w:spacing w:after="0" w:line="200" w:lineRule="exact"/>
        <w:rPr>
          <w:sz w:val="20"/>
          <w:szCs w:val="20"/>
          <w:color w:val="auto"/>
        </w:rPr>
      </w:pPr>
    </w:p>
    <w:p>
      <w:pPr>
        <w:spacing w:after="0" w:line="234" w:lineRule="exact"/>
        <w:rPr>
          <w:sz w:val="20"/>
          <w:szCs w:val="20"/>
          <w:color w:val="auto"/>
        </w:rPr>
      </w:pPr>
    </w:p>
    <w:p>
      <w:pPr>
        <w:jc w:val="both"/>
        <w:ind w:left="860"/>
        <w:spacing w:after="0" w:line="277" w:lineRule="auto"/>
        <w:rPr>
          <w:sz w:val="20"/>
          <w:szCs w:val="20"/>
          <w:color w:val="auto"/>
        </w:rPr>
      </w:pPr>
      <w:r>
        <w:rPr>
          <w:rFonts w:ascii="Arial" w:cs="Arial" w:eastAsia="Arial" w:hAnsi="Arial"/>
          <w:sz w:val="17"/>
          <w:szCs w:val="17"/>
          <w:i w:val="1"/>
          <w:iCs w:val="1"/>
          <w:u w:val="single" w:color="auto"/>
          <w:color w:val="auto"/>
        </w:rPr>
        <w:t>ACCELERATED VESTING</w:t>
      </w:r>
      <w:r>
        <w:rPr>
          <w:rFonts w:ascii="Arial" w:cs="Arial" w:eastAsia="Arial" w:hAnsi="Arial"/>
          <w:sz w:val="17"/>
          <w:szCs w:val="17"/>
          <w:i w:val="1"/>
          <w:iCs w:val="1"/>
          <w:color w:val="auto"/>
        </w:rPr>
        <w:t>. In the event of Participant’s death or Disability, Participant will vest in such number of RSUs as is determined by multiplying (a) the number of RSUs scheduled to vest on the next occurring annual vesting date, by (b) (i) the number of months that have elapsed since the previous annual vesting date (or if no annual vesting date has yet occurred, since the Grant Date), divided by (ii) 12. Partial months shall be rounded up to the next whole calendar month for purposes of the numerator in this calculation. In the event the calculation results in a fractional RSU, any fractional RSU will be rounded up to the nearest whole RSU.</w:t>
      </w:r>
    </w:p>
    <w:p>
      <w:pPr>
        <w:spacing w:after="0" w:line="152" w:lineRule="exact"/>
        <w:rPr>
          <w:sz w:val="20"/>
          <w:szCs w:val="20"/>
          <w:color w:val="auto"/>
        </w:rPr>
      </w:pPr>
    </w:p>
    <w:p>
      <w:pPr>
        <w:jc w:val="both"/>
        <w:ind w:left="860"/>
        <w:spacing w:after="0" w:line="241" w:lineRule="auto"/>
        <w:rPr>
          <w:sz w:val="20"/>
          <w:szCs w:val="20"/>
          <w:color w:val="auto"/>
        </w:rPr>
      </w:pPr>
      <w:r>
        <w:rPr>
          <w:rFonts w:ascii="Arial" w:cs="Arial" w:eastAsia="Arial" w:hAnsi="Arial"/>
          <w:sz w:val="19"/>
          <w:szCs w:val="19"/>
          <w:i w:val="1"/>
          <w:iCs w:val="1"/>
          <w:color w:val="auto"/>
        </w:rPr>
        <w:t>The Award shall also be eligible for accelerated vesting as provided in Section 12.2 of the Plan. Notwithstanding the foregoing, and notwithstanding anything to the contrary contained in the Plan, in the event of a Change in Control, if Participant is a party to a Change in Control Severance Agreement with the Company at the time of such Change in Control, and a Qualifying Termination Event has occurred, as defined in the Participant’s Change in Control Severance Agreement, the RSUs shall accelerate, vest and be settled in full immediately prior to such Change in Control.”</w:t>
      </w:r>
    </w:p>
    <w:p>
      <w:pPr>
        <w:spacing w:after="0" w:line="183" w:lineRule="exact"/>
        <w:rPr>
          <w:sz w:val="20"/>
          <w:szCs w:val="20"/>
          <w:color w:val="auto"/>
        </w:rPr>
      </w:pPr>
    </w:p>
    <w:p>
      <w:pPr>
        <w:jc w:val="both"/>
        <w:ind w:left="860"/>
        <w:spacing w:after="0" w:line="277" w:lineRule="auto"/>
        <w:rPr>
          <w:sz w:val="20"/>
          <w:szCs w:val="20"/>
          <w:color w:val="auto"/>
        </w:rPr>
      </w:pPr>
      <w:r>
        <w:rPr>
          <w:rFonts w:ascii="Arial" w:cs="Arial" w:eastAsia="Arial" w:hAnsi="Arial"/>
          <w:sz w:val="17"/>
          <w:szCs w:val="17"/>
          <w:i w:val="1"/>
          <w:iCs w:val="1"/>
          <w:color w:val="auto"/>
        </w:rPr>
        <w:t>For purposes of this Award, “</w:t>
      </w:r>
      <w:r>
        <w:rPr>
          <w:rFonts w:ascii="Arial" w:cs="Arial" w:eastAsia="Arial" w:hAnsi="Arial"/>
          <w:sz w:val="17"/>
          <w:szCs w:val="17"/>
          <w:i w:val="1"/>
          <w:iCs w:val="1"/>
          <w:u w:val="single" w:color="auto"/>
          <w:color w:val="auto"/>
        </w:rPr>
        <w:t>Disability</w:t>
      </w:r>
      <w:r>
        <w:rPr>
          <w:rFonts w:ascii="Arial" w:cs="Arial" w:eastAsia="Arial" w:hAnsi="Arial"/>
          <w:sz w:val="17"/>
          <w:szCs w:val="17"/>
          <w:i w:val="1"/>
          <w:iCs w:val="1"/>
          <w:color w:val="auto"/>
        </w:rPr>
        <w:t>” means Participant (a) is unable to engage in any substantial gainful activity by reason of any medically determinable physical or mental impairment which can be expected to result in death or can be expected to last for a continuous period of not less than 12 months, or (b)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Company or its Subsidiaries.</w:t>
      </w:r>
    </w:p>
    <w:p>
      <w:pPr>
        <w:spacing w:after="0" w:line="152" w:lineRule="exact"/>
        <w:rPr>
          <w:sz w:val="20"/>
          <w:szCs w:val="20"/>
          <w:color w:val="auto"/>
        </w:rPr>
      </w:pPr>
    </w:p>
    <w:p>
      <w:pPr>
        <w:jc w:val="both"/>
        <w:ind w:left="860"/>
        <w:spacing w:after="0" w:line="247" w:lineRule="auto"/>
        <w:rPr>
          <w:sz w:val="20"/>
          <w:szCs w:val="20"/>
          <w:color w:val="auto"/>
        </w:rPr>
      </w:pPr>
      <w:r>
        <w:rPr>
          <w:rFonts w:ascii="Arial" w:cs="Arial" w:eastAsia="Arial" w:hAnsi="Arial"/>
          <w:sz w:val="19"/>
          <w:szCs w:val="19"/>
          <w:i w:val="1"/>
          <w:iCs w:val="1"/>
          <w:color w:val="auto"/>
        </w:rPr>
        <w:t>Notwithstanding anything to the contrary contained herein, in the event of Participant’s Termination of Service due to Retirement, Participant will remain eligible to vest in and receive on the Payment Date the total number of RSUs set forth in the Grant Notice. For purposes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310515</wp:posOffset>
            </wp:positionV>
            <wp:extent cx="7182485" cy="4127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89" w:name="page290"/>
    <w:bookmarkEnd w:id="289"/>
    <w:p>
      <w:pPr>
        <w:ind w:left="10240"/>
        <w:spacing w:after="0"/>
        <w:rPr>
          <w:sz w:val="20"/>
          <w:szCs w:val="20"/>
          <w:color w:val="auto"/>
        </w:rPr>
      </w:pPr>
      <w:r>
        <w:rPr>
          <w:rFonts w:ascii="Arial" w:cs="Arial" w:eastAsia="Arial" w:hAnsi="Arial"/>
          <w:sz w:val="17"/>
          <w:szCs w:val="17"/>
          <w:color w:val="auto"/>
        </w:rPr>
        <w:t>Exhibit 10.40</w:t>
      </w:r>
    </w:p>
    <w:p>
      <w:pPr>
        <w:spacing w:after="0" w:line="35"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this Award, "Retirement" means Participant’s voluntary Termination of Service after having attained age 62, with 10 years of completed</w:t>
      </w:r>
    </w:p>
    <w:p>
      <w:pPr>
        <w:spacing w:after="0" w:line="20" w:lineRule="exact"/>
        <w:rPr>
          <w:sz w:val="20"/>
          <w:szCs w:val="20"/>
          <w:color w:val="auto"/>
        </w:rPr>
      </w:pPr>
    </w:p>
    <w:p>
      <w:pPr>
        <w:ind w:left="860"/>
        <w:spacing w:after="0"/>
        <w:rPr>
          <w:sz w:val="20"/>
          <w:szCs w:val="20"/>
          <w:color w:val="auto"/>
        </w:rPr>
      </w:pPr>
      <w:r>
        <w:rPr>
          <w:rFonts w:ascii="Arial" w:cs="Arial" w:eastAsia="Arial" w:hAnsi="Arial"/>
          <w:sz w:val="19"/>
          <w:szCs w:val="19"/>
          <w:i w:val="1"/>
          <w:iCs w:val="1"/>
          <w:color w:val="auto"/>
        </w:rPr>
        <w:t>service.</w:t>
      </w:r>
    </w:p>
    <w:p>
      <w:pPr>
        <w:spacing w:after="0" w:line="129" w:lineRule="exact"/>
        <w:rPr>
          <w:sz w:val="20"/>
          <w:szCs w:val="20"/>
          <w:color w:val="auto"/>
        </w:rPr>
      </w:pPr>
    </w:p>
    <w:p>
      <w:pPr>
        <w:ind w:right="40" w:firstLine="866"/>
        <w:spacing w:after="0" w:line="265" w:lineRule="auto"/>
        <w:tabs>
          <w:tab w:leader="none" w:pos="1068"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The Agreement, as amended by this Amendment, shall remain in full force and effect in accordance with the terms and conditions thereof. This Amendment may be executed simultaneously in any number of counterparts, each of which shall be deemed an original but all of which together shall constitute one and the same instrument. In the event of any conflict between the original terms of the Agreement and this Amendment, the terms of this Amendment shall prevail.</w:t>
      </w:r>
    </w:p>
    <w:p>
      <w:pPr>
        <w:spacing w:after="0" w:line="100" w:lineRule="exact"/>
        <w:rPr>
          <w:sz w:val="20"/>
          <w:szCs w:val="20"/>
          <w:color w:val="auto"/>
        </w:rPr>
      </w:pPr>
    </w:p>
    <w:p>
      <w:pPr>
        <w:jc w:val="both"/>
        <w:ind w:right="380"/>
        <w:spacing w:after="0" w:line="253" w:lineRule="auto"/>
        <w:rPr>
          <w:sz w:val="20"/>
          <w:szCs w:val="20"/>
          <w:color w:val="auto"/>
        </w:rPr>
      </w:pPr>
      <w:r>
        <w:rPr>
          <w:rFonts w:ascii="Arial" w:cs="Arial" w:eastAsia="Arial" w:hAnsi="Arial"/>
          <w:sz w:val="20"/>
          <w:szCs w:val="20"/>
          <w:color w:val="auto"/>
        </w:rPr>
        <w:t>THE PARTIES TO THIS AMENDMENT HAVE READ THE FOREGOING AMENDMENT AND FULLY UNDERSTAND EACH AND EVERY PROVISION CONTAINED HEREIN. WHEREFORE, THE PARTIES HAVE EXECUTED THIS AMENDMENT ON THE DATES SHOWN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780" w:type="dxa"/>
            <w:vAlign w:val="bottom"/>
          </w:tcPr>
          <w:p>
            <w:pPr>
              <w:spacing w:after="0"/>
              <w:rPr>
                <w:sz w:val="22"/>
                <w:szCs w:val="22"/>
                <w:color w:val="auto"/>
              </w:rPr>
            </w:pPr>
          </w:p>
        </w:tc>
        <w:tc>
          <w:tcPr>
            <w:tcW w:w="7500" w:type="dxa"/>
            <w:vAlign w:val="bottom"/>
          </w:tcPr>
          <w:p>
            <w:pPr>
              <w:ind w:left="1240"/>
              <w:spacing w:after="0"/>
              <w:rPr>
                <w:sz w:val="20"/>
                <w:szCs w:val="20"/>
                <w:color w:val="auto"/>
              </w:rPr>
            </w:pPr>
            <w:r>
              <w:rPr>
                <w:rFonts w:ascii="Arial" w:cs="Arial" w:eastAsia="Arial" w:hAnsi="Arial"/>
                <w:sz w:val="20"/>
                <w:szCs w:val="20"/>
                <w:color w:val="auto"/>
              </w:rPr>
              <w:t>EMPLOYEE</w:t>
            </w:r>
          </w:p>
        </w:tc>
        <w:tc>
          <w:tcPr>
            <w:tcW w:w="0" w:type="dxa"/>
            <w:vAlign w:val="bottom"/>
          </w:tcPr>
          <w:p>
            <w:pPr>
              <w:spacing w:after="0"/>
              <w:rPr>
                <w:sz w:val="1"/>
                <w:szCs w:val="1"/>
                <w:color w:val="auto"/>
              </w:rPr>
            </w:pPr>
          </w:p>
        </w:tc>
      </w:tr>
      <w:tr>
        <w:trPr>
          <w:trHeight w:val="654"/>
        </w:trPr>
        <w:tc>
          <w:tcPr>
            <w:tcW w:w="3780" w:type="dxa"/>
            <w:vAlign w:val="bottom"/>
          </w:tcPr>
          <w:p>
            <w:pPr>
              <w:spacing w:after="0"/>
              <w:rPr>
                <w:sz w:val="20"/>
                <w:szCs w:val="20"/>
                <w:color w:val="auto"/>
              </w:rPr>
            </w:pPr>
            <w:r>
              <w:rPr>
                <w:rFonts w:ascii="Arial" w:cs="Arial" w:eastAsia="Arial" w:hAnsi="Arial"/>
                <w:sz w:val="20"/>
                <w:szCs w:val="20"/>
                <w:color w:val="auto"/>
              </w:rPr>
              <w:t>Dated: ___________________</w:t>
            </w:r>
          </w:p>
        </w:tc>
        <w:tc>
          <w:tcPr>
            <w:tcW w:w="7500" w:type="dxa"/>
            <w:vAlign w:val="bottom"/>
          </w:tcPr>
          <w:p>
            <w:pPr>
              <w:ind w:left="1240"/>
              <w:spacing w:after="0"/>
              <w:rPr>
                <w:sz w:val="20"/>
                <w:szCs w:val="20"/>
                <w:color w:val="auto"/>
              </w:rPr>
            </w:pPr>
            <w:r>
              <w:rPr>
                <w:rFonts w:ascii="Arial" w:cs="Arial" w:eastAsia="Arial" w:hAnsi="Arial"/>
                <w:sz w:val="20"/>
                <w:szCs w:val="20"/>
                <w:color w:val="auto"/>
              </w:rPr>
              <w:t>By:_______________________________________</w:t>
            </w:r>
          </w:p>
        </w:tc>
        <w:tc>
          <w:tcPr>
            <w:tcW w:w="0" w:type="dxa"/>
            <w:vAlign w:val="bottom"/>
          </w:tcPr>
          <w:p>
            <w:pPr>
              <w:spacing w:after="0"/>
              <w:rPr>
                <w:sz w:val="1"/>
                <w:szCs w:val="1"/>
                <w:color w:val="auto"/>
              </w:rPr>
            </w:pPr>
          </w:p>
        </w:tc>
      </w:tr>
      <w:tr>
        <w:trPr>
          <w:trHeight w:val="259"/>
        </w:trPr>
        <w:tc>
          <w:tcPr>
            <w:tcW w:w="3780" w:type="dxa"/>
            <w:vAlign w:val="bottom"/>
          </w:tcPr>
          <w:p>
            <w:pPr>
              <w:spacing w:after="0"/>
              <w:rPr>
                <w:sz w:val="22"/>
                <w:szCs w:val="22"/>
                <w:color w:val="auto"/>
              </w:rPr>
            </w:pPr>
          </w:p>
        </w:tc>
        <w:tc>
          <w:tcPr>
            <w:tcW w:w="7500" w:type="dxa"/>
            <w:vAlign w:val="bottom"/>
          </w:tcPr>
          <w:p>
            <w:pPr>
              <w:ind w:left="1240"/>
              <w:spacing w:after="0"/>
              <w:rPr>
                <w:sz w:val="20"/>
                <w:szCs w:val="20"/>
                <w:color w:val="auto"/>
              </w:rPr>
            </w:pPr>
            <w:r>
              <w:rPr>
                <w:rFonts w:ascii="Arial" w:cs="Arial" w:eastAsia="Arial" w:hAnsi="Arial"/>
                <w:sz w:val="20"/>
                <w:szCs w:val="20"/>
                <w:color w:val="auto"/>
              </w:rPr>
              <w:t>Carey Smith</w:t>
            </w:r>
          </w:p>
        </w:tc>
        <w:tc>
          <w:tcPr>
            <w:tcW w:w="0" w:type="dxa"/>
            <w:vAlign w:val="bottom"/>
          </w:tcPr>
          <w:p>
            <w:pPr>
              <w:spacing w:after="0"/>
              <w:rPr>
                <w:sz w:val="1"/>
                <w:szCs w:val="1"/>
                <w:color w:val="auto"/>
              </w:rPr>
            </w:pPr>
          </w:p>
        </w:tc>
      </w:tr>
      <w:tr>
        <w:trPr>
          <w:trHeight w:val="456"/>
        </w:trPr>
        <w:tc>
          <w:tcPr>
            <w:tcW w:w="3780" w:type="dxa"/>
            <w:vAlign w:val="bottom"/>
          </w:tcPr>
          <w:p>
            <w:pPr>
              <w:spacing w:after="0"/>
              <w:rPr>
                <w:sz w:val="24"/>
                <w:szCs w:val="24"/>
                <w:color w:val="auto"/>
              </w:rPr>
            </w:pPr>
          </w:p>
        </w:tc>
        <w:tc>
          <w:tcPr>
            <w:tcW w:w="7500" w:type="dxa"/>
            <w:vAlign w:val="bottom"/>
          </w:tcPr>
          <w:p>
            <w:pPr>
              <w:ind w:left="1240"/>
              <w:spacing w:after="0"/>
              <w:rPr>
                <w:sz w:val="20"/>
                <w:szCs w:val="20"/>
                <w:color w:val="auto"/>
              </w:rPr>
            </w:pPr>
            <w:r>
              <w:rPr>
                <w:rFonts w:ascii="Arial" w:cs="Arial" w:eastAsia="Arial" w:hAnsi="Arial"/>
                <w:sz w:val="20"/>
                <w:szCs w:val="20"/>
                <w:color w:val="auto"/>
              </w:rPr>
              <w:t>PARSONS CORPORATION</w:t>
            </w:r>
          </w:p>
        </w:tc>
        <w:tc>
          <w:tcPr>
            <w:tcW w:w="0" w:type="dxa"/>
            <w:vAlign w:val="bottom"/>
          </w:tcPr>
          <w:p>
            <w:pPr>
              <w:spacing w:after="0"/>
              <w:rPr>
                <w:sz w:val="1"/>
                <w:szCs w:val="1"/>
                <w:color w:val="auto"/>
              </w:rPr>
            </w:pPr>
          </w:p>
        </w:tc>
      </w:tr>
      <w:tr>
        <w:trPr>
          <w:trHeight w:val="685"/>
        </w:trPr>
        <w:tc>
          <w:tcPr>
            <w:tcW w:w="3780" w:type="dxa"/>
            <w:vAlign w:val="bottom"/>
          </w:tcPr>
          <w:p>
            <w:pPr>
              <w:spacing w:after="0"/>
              <w:rPr>
                <w:sz w:val="20"/>
                <w:szCs w:val="20"/>
                <w:color w:val="auto"/>
              </w:rPr>
            </w:pPr>
            <w:r>
              <w:rPr>
                <w:rFonts w:ascii="Arial" w:cs="Arial" w:eastAsia="Arial" w:hAnsi="Arial"/>
                <w:sz w:val="20"/>
                <w:szCs w:val="20"/>
                <w:color w:val="auto"/>
              </w:rPr>
              <w:t>Dated: January 31, 2022</w:t>
            </w:r>
          </w:p>
        </w:tc>
        <w:tc>
          <w:tcPr>
            <w:tcW w:w="7500" w:type="dxa"/>
            <w:vAlign w:val="bottom"/>
            <w:vMerge w:val="restart"/>
          </w:tcPr>
          <w:p>
            <w:pPr>
              <w:ind w:left="1240"/>
              <w:spacing w:after="0"/>
              <w:rPr>
                <w:sz w:val="20"/>
                <w:szCs w:val="20"/>
                <w:color w:val="auto"/>
              </w:rPr>
            </w:pPr>
            <w:r>
              <w:rPr>
                <w:rFonts w:ascii="Arial" w:cs="Arial" w:eastAsia="Arial" w:hAnsi="Arial"/>
                <w:sz w:val="20"/>
                <w:szCs w:val="20"/>
                <w:color w:val="auto"/>
              </w:rPr>
              <w:t>Susan Balaguer</w:t>
            </w:r>
          </w:p>
        </w:tc>
        <w:tc>
          <w:tcPr>
            <w:tcW w:w="0" w:type="dxa"/>
            <w:vAlign w:val="bottom"/>
          </w:tcPr>
          <w:p>
            <w:pPr>
              <w:spacing w:after="0"/>
              <w:rPr>
                <w:sz w:val="1"/>
                <w:szCs w:val="1"/>
                <w:color w:val="auto"/>
              </w:rPr>
            </w:pPr>
          </w:p>
        </w:tc>
      </w:tr>
      <w:tr>
        <w:trPr>
          <w:trHeight w:val="96"/>
        </w:trPr>
        <w:tc>
          <w:tcPr>
            <w:tcW w:w="3780" w:type="dxa"/>
            <w:vAlign w:val="bottom"/>
          </w:tcPr>
          <w:p>
            <w:pPr>
              <w:spacing w:after="0"/>
              <w:rPr>
                <w:sz w:val="8"/>
                <w:szCs w:val="8"/>
                <w:color w:val="auto"/>
              </w:rPr>
            </w:pPr>
          </w:p>
        </w:tc>
        <w:tc>
          <w:tcPr>
            <w:tcW w:w="7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3780" w:type="dxa"/>
            <w:vAlign w:val="bottom"/>
          </w:tcPr>
          <w:p>
            <w:pPr>
              <w:spacing w:after="0"/>
              <w:rPr>
                <w:sz w:val="22"/>
                <w:szCs w:val="22"/>
                <w:color w:val="auto"/>
              </w:rPr>
            </w:pPr>
          </w:p>
        </w:tc>
        <w:tc>
          <w:tcPr>
            <w:tcW w:w="7500" w:type="dxa"/>
            <w:vAlign w:val="bottom"/>
          </w:tcPr>
          <w:p>
            <w:pPr>
              <w:ind w:left="1240"/>
              <w:spacing w:after="0"/>
              <w:rPr>
                <w:sz w:val="20"/>
                <w:szCs w:val="20"/>
                <w:color w:val="auto"/>
              </w:rPr>
            </w:pPr>
            <w:r>
              <w:rPr>
                <w:rFonts w:ascii="Arial" w:cs="Arial" w:eastAsia="Arial" w:hAnsi="Arial"/>
                <w:sz w:val="20"/>
                <w:szCs w:val="20"/>
                <w:color w:val="auto"/>
              </w:rPr>
              <w:t>Chief Human Resources Officer</w:t>
            </w:r>
          </w:p>
        </w:tc>
        <w:tc>
          <w:tcPr>
            <w:tcW w:w="0" w:type="dxa"/>
            <w:vAlign w:val="bottom"/>
          </w:tcPr>
          <w:p>
            <w:pPr>
              <w:spacing w:after="0"/>
              <w:rPr>
                <w:sz w:val="1"/>
                <w:szCs w:val="1"/>
                <w:color w:val="auto"/>
              </w:rPr>
            </w:pPr>
          </w:p>
        </w:tc>
      </w:tr>
      <w:tr>
        <w:trPr>
          <w:trHeight w:val="3318"/>
        </w:trPr>
        <w:tc>
          <w:tcPr>
            <w:tcW w:w="378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-27940</wp:posOffset>
            </wp:positionV>
            <wp:extent cx="33655" cy="412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3188970</wp:posOffset>
            </wp:positionH>
            <wp:positionV relativeFrom="paragraph">
              <wp:posOffset>-2784475</wp:posOffset>
            </wp:positionV>
            <wp:extent cx="1706880" cy="3702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6">
                      <a:extLst>
                        <a:ext uri="{28A0092B-C50C-407E-A947-70E740481C1C}"/>
                      </a:extLst>
                    </a:blip>
                    <a:srcRect/>
                    <a:stretch>
                      <a:fillRect/>
                    </a:stretch>
                  </pic:blipFill>
                  <pic:spPr bwMode="auto">
                    <a:xfrm>
                      <a:off x="0" y="0"/>
                      <a:ext cx="1706880" cy="370205"/>
                    </a:xfrm>
                    <a:prstGeom prst="rect">
                      <a:avLst/>
                    </a:prstGeom>
                    <a:noFill/>
                  </pic:spPr>
                </pic:pic>
              </a:graphicData>
            </a:graphic>
          </wp:anchor>
        </w:drawing>
      </w:r>
    </w:p>
    <w:p>
      <w:pPr>
        <w:sectPr>
          <w:pgSz w:w="11900" w:h="16838" w:orient="portrait"/>
          <w:cols w:equalWidth="0" w:num="1">
            <w:col w:w="11280"/>
          </w:cols>
          <w:pgMar w:left="320" w:top="124" w:right="299" w:bottom="1440" w:gutter="0" w:footer="0" w:header="0"/>
        </w:sectPr>
      </w:pPr>
    </w:p>
    <w:bookmarkStart w:id="290" w:name="page291"/>
    <w:bookmarkEnd w:id="290"/>
    <w:p>
      <w:pPr>
        <w:jc w:val="right"/>
        <w:spacing w:after="0"/>
        <w:rPr>
          <w:sz w:val="20"/>
          <w:szCs w:val="20"/>
          <w:color w:val="auto"/>
        </w:rPr>
      </w:pPr>
      <w:r>
        <w:rPr>
          <w:rFonts w:ascii="Arial" w:cs="Arial" w:eastAsia="Arial" w:hAnsi="Arial"/>
          <w:sz w:val="19"/>
          <w:szCs w:val="19"/>
          <w:color w:val="auto"/>
        </w:rPr>
        <w:t>Exhibit 10.40</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AMENDMENT TO PARSONS CORPORATION INCENTIVE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RESTRICTED STOCK UNIT AWARD</w:t>
      </w:r>
    </w:p>
    <w:p>
      <w:pPr>
        <w:spacing w:after="0" w:line="145" w:lineRule="exact"/>
        <w:rPr>
          <w:sz w:val="20"/>
          <w:szCs w:val="20"/>
          <w:color w:val="auto"/>
        </w:rPr>
      </w:pPr>
    </w:p>
    <w:p>
      <w:pPr>
        <w:ind w:right="120" w:firstLine="589"/>
        <w:spacing w:after="0" w:line="268" w:lineRule="auto"/>
        <w:rPr>
          <w:sz w:val="20"/>
          <w:szCs w:val="20"/>
          <w:color w:val="auto"/>
        </w:rPr>
      </w:pPr>
      <w:r>
        <w:rPr>
          <w:rFonts w:ascii="Arial" w:cs="Arial" w:eastAsia="Arial" w:hAnsi="Arial"/>
          <w:sz w:val="20"/>
          <w:szCs w:val="20"/>
          <w:color w:val="auto"/>
        </w:rPr>
        <w:t>This Amendment to Parsons Corporation Incentive Award Plan Restricted Stock Unit Award (“Amendment”) is made effective as of July 19, 2021, by and between Parsons Corporation (“Company”), and Carey Smith (“Employee”).</w:t>
      </w:r>
    </w:p>
    <w:p>
      <w:pPr>
        <w:spacing w:after="0" w:line="95" w:lineRule="exact"/>
        <w:rPr>
          <w:sz w:val="20"/>
          <w:szCs w:val="20"/>
          <w:color w:val="auto"/>
        </w:rPr>
      </w:pPr>
    </w:p>
    <w:p>
      <w:pPr>
        <w:ind w:right="3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Incentive Award Plan Restricted Stock Unit Award dated as of March 1, 2021 (the “Award”);</w:t>
      </w:r>
    </w:p>
    <w:p>
      <w:pPr>
        <w:spacing w:after="0" w:line="95" w:lineRule="exact"/>
        <w:rPr>
          <w:sz w:val="20"/>
          <w:szCs w:val="20"/>
          <w:color w:val="auto"/>
        </w:rPr>
      </w:pPr>
    </w:p>
    <w:p>
      <w:pPr>
        <w:ind w:right="1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Change in Control Severance Agreement (“CIC Agreement”), which was amended as of July 19, 2021;</w:t>
      </w:r>
    </w:p>
    <w:p>
      <w:pPr>
        <w:spacing w:after="0" w:line="95" w:lineRule="exact"/>
        <w:rPr>
          <w:sz w:val="20"/>
          <w:szCs w:val="20"/>
          <w:color w:val="auto"/>
        </w:rPr>
      </w:pPr>
    </w:p>
    <w:p>
      <w:pPr>
        <w:ind w:right="640" w:firstLine="589"/>
        <w:spacing w:after="0" w:line="268" w:lineRule="auto"/>
        <w:rPr>
          <w:sz w:val="20"/>
          <w:szCs w:val="20"/>
          <w:color w:val="auto"/>
        </w:rPr>
      </w:pPr>
      <w:r>
        <w:rPr>
          <w:rFonts w:ascii="Arial" w:cs="Arial" w:eastAsia="Arial" w:hAnsi="Arial"/>
          <w:sz w:val="20"/>
          <w:szCs w:val="20"/>
          <w:color w:val="auto"/>
        </w:rPr>
        <w:t>WHEREAS, the Company and Employee desire to amend the Award to incorporate and reflect any amendments to the CIC Agreement;</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parties agree as follows:</w:t>
      </w:r>
    </w:p>
    <w:p>
      <w:pPr>
        <w:spacing w:after="0" w:line="150" w:lineRule="exact"/>
        <w:rPr>
          <w:sz w:val="20"/>
          <w:szCs w:val="20"/>
          <w:color w:val="auto"/>
        </w:rPr>
      </w:pPr>
    </w:p>
    <w:p>
      <w:pPr>
        <w:ind w:left="1400" w:hanging="809"/>
        <w:spacing w:after="0"/>
        <w:tabs>
          <w:tab w:leader="none" w:pos="140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Paragraph 2 of Exhibit B is hereby restated as follows:</w:t>
      </w:r>
    </w:p>
    <w:p>
      <w:pPr>
        <w:spacing w:after="0" w:line="200" w:lineRule="exact"/>
        <w:rPr>
          <w:sz w:val="20"/>
          <w:szCs w:val="20"/>
          <w:color w:val="auto"/>
        </w:rPr>
      </w:pPr>
    </w:p>
    <w:p>
      <w:pPr>
        <w:spacing w:after="0" w:line="234" w:lineRule="exact"/>
        <w:rPr>
          <w:sz w:val="20"/>
          <w:szCs w:val="20"/>
          <w:color w:val="auto"/>
        </w:rPr>
      </w:pPr>
    </w:p>
    <w:p>
      <w:pPr>
        <w:jc w:val="both"/>
        <w:ind w:left="860"/>
        <w:spacing w:after="0" w:line="277" w:lineRule="auto"/>
        <w:rPr>
          <w:sz w:val="20"/>
          <w:szCs w:val="20"/>
          <w:color w:val="auto"/>
        </w:rPr>
      </w:pPr>
      <w:r>
        <w:rPr>
          <w:rFonts w:ascii="Arial" w:cs="Arial" w:eastAsia="Arial" w:hAnsi="Arial"/>
          <w:sz w:val="17"/>
          <w:szCs w:val="17"/>
          <w:i w:val="1"/>
          <w:iCs w:val="1"/>
          <w:u w:val="single" w:color="auto"/>
          <w:color w:val="auto"/>
        </w:rPr>
        <w:t>ACCELERATED VESTING</w:t>
      </w:r>
      <w:r>
        <w:rPr>
          <w:rFonts w:ascii="Arial" w:cs="Arial" w:eastAsia="Arial" w:hAnsi="Arial"/>
          <w:sz w:val="17"/>
          <w:szCs w:val="17"/>
          <w:i w:val="1"/>
          <w:iCs w:val="1"/>
          <w:color w:val="auto"/>
        </w:rPr>
        <w:t>. In the event of Participant’s death or Disability, Participant will vest in such number of RSUs as is determined by multiplying (a) the number of RSUs scheduled to vest on the next occurring annual vesting date, by (b) (i) the number of months that have elapsed since the previous annual vesting date (or if no annual vesting date has yet occurred, since the Grant Date), divided by (ii) 12. Partial months shall be rounded up to the next whole calendar month for purposes of the numerator in this calculation. In the event the calculation results in a fractional RSU, any fractional RSU will be rounded up to the nearest whole RSU.</w:t>
      </w:r>
    </w:p>
    <w:p>
      <w:pPr>
        <w:spacing w:after="0" w:line="152" w:lineRule="exact"/>
        <w:rPr>
          <w:sz w:val="20"/>
          <w:szCs w:val="20"/>
          <w:color w:val="auto"/>
        </w:rPr>
      </w:pPr>
    </w:p>
    <w:p>
      <w:pPr>
        <w:jc w:val="both"/>
        <w:ind w:left="860"/>
        <w:spacing w:after="0" w:line="241" w:lineRule="auto"/>
        <w:rPr>
          <w:sz w:val="20"/>
          <w:szCs w:val="20"/>
          <w:color w:val="auto"/>
        </w:rPr>
      </w:pPr>
      <w:r>
        <w:rPr>
          <w:rFonts w:ascii="Arial" w:cs="Arial" w:eastAsia="Arial" w:hAnsi="Arial"/>
          <w:sz w:val="19"/>
          <w:szCs w:val="19"/>
          <w:i w:val="1"/>
          <w:iCs w:val="1"/>
          <w:color w:val="auto"/>
        </w:rPr>
        <w:t>The Award shall also be eligible for accelerated vesting as provided in Section 12.2 of the Plan. Notwithstanding the foregoing, and notwithstanding anything to the contrary contained in the Plan, in the event of a Change in Control, if Participant is a party to a Change in Control Severance Agreement with the Company at the time of such Change in Control, and a Qualifying Termination Event has occurred, as defined in the Participant’s Change in Control Severance Agreement, the RSUs shall accelerate, vest and be settled in full immediately prior to such Change in Control.</w:t>
      </w:r>
    </w:p>
    <w:p>
      <w:pPr>
        <w:spacing w:after="0" w:line="183" w:lineRule="exact"/>
        <w:rPr>
          <w:sz w:val="20"/>
          <w:szCs w:val="20"/>
          <w:color w:val="auto"/>
        </w:rPr>
      </w:pPr>
    </w:p>
    <w:p>
      <w:pPr>
        <w:jc w:val="both"/>
        <w:ind w:left="860"/>
        <w:spacing w:after="0" w:line="277" w:lineRule="auto"/>
        <w:rPr>
          <w:sz w:val="20"/>
          <w:szCs w:val="20"/>
          <w:color w:val="auto"/>
        </w:rPr>
      </w:pPr>
      <w:r>
        <w:rPr>
          <w:rFonts w:ascii="Arial" w:cs="Arial" w:eastAsia="Arial" w:hAnsi="Arial"/>
          <w:sz w:val="17"/>
          <w:szCs w:val="17"/>
          <w:i w:val="1"/>
          <w:iCs w:val="1"/>
          <w:color w:val="auto"/>
        </w:rPr>
        <w:t>For purposes of this Award, “</w:t>
      </w:r>
      <w:r>
        <w:rPr>
          <w:rFonts w:ascii="Arial" w:cs="Arial" w:eastAsia="Arial" w:hAnsi="Arial"/>
          <w:sz w:val="17"/>
          <w:szCs w:val="17"/>
          <w:i w:val="1"/>
          <w:iCs w:val="1"/>
          <w:u w:val="single" w:color="auto"/>
          <w:color w:val="auto"/>
        </w:rPr>
        <w:t>Disability</w:t>
      </w:r>
      <w:r>
        <w:rPr>
          <w:rFonts w:ascii="Arial" w:cs="Arial" w:eastAsia="Arial" w:hAnsi="Arial"/>
          <w:sz w:val="17"/>
          <w:szCs w:val="17"/>
          <w:i w:val="1"/>
          <w:iCs w:val="1"/>
          <w:color w:val="auto"/>
        </w:rPr>
        <w:t>” means Participant (a) is unable to engage in any substantial gainful activity by reason of any medically determinable physical or mental impairment which can be expected to result in death or can be expected to last for a continuous period of not less than 12 months, or (b)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Company or its Subsidiaries.</w:t>
      </w:r>
    </w:p>
    <w:p>
      <w:pPr>
        <w:spacing w:after="0" w:line="152" w:lineRule="exact"/>
        <w:rPr>
          <w:sz w:val="20"/>
          <w:szCs w:val="20"/>
          <w:color w:val="auto"/>
        </w:rPr>
      </w:pPr>
    </w:p>
    <w:p>
      <w:pPr>
        <w:jc w:val="both"/>
        <w:ind w:left="860"/>
        <w:spacing w:after="0" w:line="247" w:lineRule="auto"/>
        <w:rPr>
          <w:sz w:val="20"/>
          <w:szCs w:val="20"/>
          <w:color w:val="auto"/>
        </w:rPr>
      </w:pPr>
      <w:r>
        <w:rPr>
          <w:rFonts w:ascii="Arial" w:cs="Arial" w:eastAsia="Arial" w:hAnsi="Arial"/>
          <w:sz w:val="19"/>
          <w:szCs w:val="19"/>
          <w:i w:val="1"/>
          <w:iCs w:val="1"/>
          <w:color w:val="auto"/>
        </w:rPr>
        <w:t>Notwithstanding anything to the contrary contained herein, in the event of Participant’s Termination of Service due to Retirement, Participant will remain eligible to vest in and receive on the Payment Date the total number of RSUs set forth in the Grant Notice. For purposes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310515</wp:posOffset>
            </wp:positionV>
            <wp:extent cx="7182485" cy="4127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7">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91" w:name="page292"/>
    <w:bookmarkEnd w:id="291"/>
    <w:p>
      <w:pPr>
        <w:ind w:left="10240"/>
        <w:spacing w:after="0"/>
        <w:rPr>
          <w:sz w:val="20"/>
          <w:szCs w:val="20"/>
          <w:color w:val="auto"/>
        </w:rPr>
      </w:pPr>
      <w:r>
        <w:rPr>
          <w:rFonts w:ascii="Arial" w:cs="Arial" w:eastAsia="Arial" w:hAnsi="Arial"/>
          <w:sz w:val="17"/>
          <w:szCs w:val="17"/>
          <w:color w:val="auto"/>
        </w:rPr>
        <w:t>Exhibit 10.40</w:t>
      </w:r>
    </w:p>
    <w:p>
      <w:pPr>
        <w:spacing w:after="0" w:line="35"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this Award, "Retirement" means Participant’s voluntary Termination of Service after having attained age 62, with 10 years of completed</w:t>
      </w:r>
    </w:p>
    <w:p>
      <w:pPr>
        <w:spacing w:after="0" w:line="20" w:lineRule="exact"/>
        <w:rPr>
          <w:sz w:val="20"/>
          <w:szCs w:val="20"/>
          <w:color w:val="auto"/>
        </w:rPr>
      </w:pPr>
    </w:p>
    <w:p>
      <w:pPr>
        <w:ind w:left="860"/>
        <w:spacing w:after="0"/>
        <w:rPr>
          <w:sz w:val="20"/>
          <w:szCs w:val="20"/>
          <w:color w:val="auto"/>
        </w:rPr>
      </w:pPr>
      <w:r>
        <w:rPr>
          <w:rFonts w:ascii="Arial" w:cs="Arial" w:eastAsia="Arial" w:hAnsi="Arial"/>
          <w:sz w:val="19"/>
          <w:szCs w:val="19"/>
          <w:i w:val="1"/>
          <w:iCs w:val="1"/>
          <w:color w:val="auto"/>
        </w:rPr>
        <w:t>service.</w:t>
      </w:r>
    </w:p>
    <w:p>
      <w:pPr>
        <w:spacing w:after="0" w:line="129" w:lineRule="exact"/>
        <w:rPr>
          <w:sz w:val="20"/>
          <w:szCs w:val="20"/>
          <w:color w:val="auto"/>
        </w:rPr>
      </w:pPr>
    </w:p>
    <w:p>
      <w:pPr>
        <w:ind w:right="40" w:firstLine="866"/>
        <w:spacing w:after="0" w:line="265" w:lineRule="auto"/>
        <w:tabs>
          <w:tab w:leader="none" w:pos="1068"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The Agreement, as amended by this Amendment, shall remain in full force and effect in accordance with the terms and conditions thereof. This Amendment may be executed simultaneously in any number of counterparts, each of which shall be deemed an original but all of which together shall constitute one and the same instrument. In the event of any conflict between the original terms of the Agreement and this Amendment, the terms of this Amendment shall prevail.</w:t>
      </w:r>
    </w:p>
    <w:p>
      <w:pPr>
        <w:spacing w:after="0" w:line="100" w:lineRule="exact"/>
        <w:rPr>
          <w:sz w:val="20"/>
          <w:szCs w:val="20"/>
          <w:color w:val="auto"/>
        </w:rPr>
      </w:pPr>
    </w:p>
    <w:p>
      <w:pPr>
        <w:jc w:val="both"/>
        <w:ind w:right="380"/>
        <w:spacing w:after="0" w:line="253" w:lineRule="auto"/>
        <w:rPr>
          <w:sz w:val="20"/>
          <w:szCs w:val="20"/>
          <w:color w:val="auto"/>
        </w:rPr>
      </w:pPr>
      <w:r>
        <w:rPr>
          <w:rFonts w:ascii="Arial" w:cs="Arial" w:eastAsia="Arial" w:hAnsi="Arial"/>
          <w:sz w:val="20"/>
          <w:szCs w:val="20"/>
          <w:color w:val="auto"/>
        </w:rPr>
        <w:t>THE PARTIES TO THIS AMENDMENT HAVE READ THE FOREGOING AMENDMENT AND FULLY UNDERSTAND EACH AND EVERY PROVISION CONTAINED HEREIN. WHEREFORE, THE PARTIES HAVE EXECUTED THIS AMENDMENT ON THE DATES SHOWN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780" w:type="dxa"/>
            <w:vAlign w:val="bottom"/>
          </w:tcPr>
          <w:p>
            <w:pPr>
              <w:spacing w:after="0"/>
              <w:rPr>
                <w:sz w:val="22"/>
                <w:szCs w:val="22"/>
                <w:color w:val="auto"/>
              </w:rPr>
            </w:pPr>
          </w:p>
        </w:tc>
        <w:tc>
          <w:tcPr>
            <w:tcW w:w="7500" w:type="dxa"/>
            <w:vAlign w:val="bottom"/>
          </w:tcPr>
          <w:p>
            <w:pPr>
              <w:ind w:left="1240"/>
              <w:spacing w:after="0"/>
              <w:rPr>
                <w:sz w:val="20"/>
                <w:szCs w:val="20"/>
                <w:color w:val="auto"/>
              </w:rPr>
            </w:pPr>
            <w:r>
              <w:rPr>
                <w:rFonts w:ascii="Arial" w:cs="Arial" w:eastAsia="Arial" w:hAnsi="Arial"/>
                <w:sz w:val="20"/>
                <w:szCs w:val="20"/>
                <w:color w:val="auto"/>
              </w:rPr>
              <w:t>EMPLOYEE</w:t>
            </w:r>
          </w:p>
        </w:tc>
        <w:tc>
          <w:tcPr>
            <w:tcW w:w="0" w:type="dxa"/>
            <w:vAlign w:val="bottom"/>
          </w:tcPr>
          <w:p>
            <w:pPr>
              <w:spacing w:after="0"/>
              <w:rPr>
                <w:sz w:val="1"/>
                <w:szCs w:val="1"/>
                <w:color w:val="auto"/>
              </w:rPr>
            </w:pPr>
          </w:p>
        </w:tc>
      </w:tr>
      <w:tr>
        <w:trPr>
          <w:trHeight w:val="654"/>
        </w:trPr>
        <w:tc>
          <w:tcPr>
            <w:tcW w:w="3780" w:type="dxa"/>
            <w:vAlign w:val="bottom"/>
          </w:tcPr>
          <w:p>
            <w:pPr>
              <w:spacing w:after="0"/>
              <w:rPr>
                <w:sz w:val="20"/>
                <w:szCs w:val="20"/>
                <w:color w:val="auto"/>
              </w:rPr>
            </w:pPr>
            <w:r>
              <w:rPr>
                <w:rFonts w:ascii="Arial" w:cs="Arial" w:eastAsia="Arial" w:hAnsi="Arial"/>
                <w:sz w:val="20"/>
                <w:szCs w:val="20"/>
                <w:color w:val="auto"/>
              </w:rPr>
              <w:t>Dated: ___________________</w:t>
            </w:r>
          </w:p>
        </w:tc>
        <w:tc>
          <w:tcPr>
            <w:tcW w:w="7500" w:type="dxa"/>
            <w:vAlign w:val="bottom"/>
          </w:tcPr>
          <w:p>
            <w:pPr>
              <w:ind w:left="1240"/>
              <w:spacing w:after="0"/>
              <w:rPr>
                <w:sz w:val="20"/>
                <w:szCs w:val="20"/>
                <w:color w:val="auto"/>
              </w:rPr>
            </w:pPr>
            <w:r>
              <w:rPr>
                <w:rFonts w:ascii="Arial" w:cs="Arial" w:eastAsia="Arial" w:hAnsi="Arial"/>
                <w:sz w:val="20"/>
                <w:szCs w:val="20"/>
                <w:color w:val="auto"/>
              </w:rPr>
              <w:t>By:_______________________________________</w:t>
            </w:r>
          </w:p>
        </w:tc>
        <w:tc>
          <w:tcPr>
            <w:tcW w:w="0" w:type="dxa"/>
            <w:vAlign w:val="bottom"/>
          </w:tcPr>
          <w:p>
            <w:pPr>
              <w:spacing w:after="0"/>
              <w:rPr>
                <w:sz w:val="1"/>
                <w:szCs w:val="1"/>
                <w:color w:val="auto"/>
              </w:rPr>
            </w:pPr>
          </w:p>
        </w:tc>
      </w:tr>
      <w:tr>
        <w:trPr>
          <w:trHeight w:val="259"/>
        </w:trPr>
        <w:tc>
          <w:tcPr>
            <w:tcW w:w="3780" w:type="dxa"/>
            <w:vAlign w:val="bottom"/>
          </w:tcPr>
          <w:p>
            <w:pPr>
              <w:spacing w:after="0"/>
              <w:rPr>
                <w:sz w:val="22"/>
                <w:szCs w:val="22"/>
                <w:color w:val="auto"/>
              </w:rPr>
            </w:pPr>
          </w:p>
        </w:tc>
        <w:tc>
          <w:tcPr>
            <w:tcW w:w="7500" w:type="dxa"/>
            <w:vAlign w:val="bottom"/>
          </w:tcPr>
          <w:p>
            <w:pPr>
              <w:ind w:left="1240"/>
              <w:spacing w:after="0"/>
              <w:rPr>
                <w:sz w:val="20"/>
                <w:szCs w:val="20"/>
                <w:color w:val="auto"/>
              </w:rPr>
            </w:pPr>
            <w:r>
              <w:rPr>
                <w:rFonts w:ascii="Arial" w:cs="Arial" w:eastAsia="Arial" w:hAnsi="Arial"/>
                <w:sz w:val="20"/>
                <w:szCs w:val="20"/>
                <w:color w:val="auto"/>
              </w:rPr>
              <w:t>Carey Smith</w:t>
            </w:r>
          </w:p>
        </w:tc>
        <w:tc>
          <w:tcPr>
            <w:tcW w:w="0" w:type="dxa"/>
            <w:vAlign w:val="bottom"/>
          </w:tcPr>
          <w:p>
            <w:pPr>
              <w:spacing w:after="0"/>
              <w:rPr>
                <w:sz w:val="1"/>
                <w:szCs w:val="1"/>
                <w:color w:val="auto"/>
              </w:rPr>
            </w:pPr>
          </w:p>
        </w:tc>
      </w:tr>
      <w:tr>
        <w:trPr>
          <w:trHeight w:val="456"/>
        </w:trPr>
        <w:tc>
          <w:tcPr>
            <w:tcW w:w="3780" w:type="dxa"/>
            <w:vAlign w:val="bottom"/>
          </w:tcPr>
          <w:p>
            <w:pPr>
              <w:spacing w:after="0"/>
              <w:rPr>
                <w:sz w:val="24"/>
                <w:szCs w:val="24"/>
                <w:color w:val="auto"/>
              </w:rPr>
            </w:pPr>
          </w:p>
        </w:tc>
        <w:tc>
          <w:tcPr>
            <w:tcW w:w="7500" w:type="dxa"/>
            <w:vAlign w:val="bottom"/>
          </w:tcPr>
          <w:p>
            <w:pPr>
              <w:ind w:left="1240"/>
              <w:spacing w:after="0"/>
              <w:rPr>
                <w:sz w:val="20"/>
                <w:szCs w:val="20"/>
                <w:color w:val="auto"/>
              </w:rPr>
            </w:pPr>
            <w:r>
              <w:rPr>
                <w:rFonts w:ascii="Arial" w:cs="Arial" w:eastAsia="Arial" w:hAnsi="Arial"/>
                <w:sz w:val="20"/>
                <w:szCs w:val="20"/>
                <w:color w:val="auto"/>
              </w:rPr>
              <w:t>PARSONS CORPORATION</w:t>
            </w:r>
          </w:p>
        </w:tc>
        <w:tc>
          <w:tcPr>
            <w:tcW w:w="0" w:type="dxa"/>
            <w:vAlign w:val="bottom"/>
          </w:tcPr>
          <w:p>
            <w:pPr>
              <w:spacing w:after="0"/>
              <w:rPr>
                <w:sz w:val="1"/>
                <w:szCs w:val="1"/>
                <w:color w:val="auto"/>
              </w:rPr>
            </w:pPr>
          </w:p>
        </w:tc>
      </w:tr>
      <w:tr>
        <w:trPr>
          <w:trHeight w:val="913"/>
        </w:trPr>
        <w:tc>
          <w:tcPr>
            <w:tcW w:w="3780" w:type="dxa"/>
            <w:vAlign w:val="bottom"/>
          </w:tcPr>
          <w:p>
            <w:pPr>
              <w:spacing w:after="0"/>
              <w:rPr>
                <w:sz w:val="20"/>
                <w:szCs w:val="20"/>
                <w:color w:val="auto"/>
              </w:rPr>
            </w:pPr>
            <w:r>
              <w:rPr>
                <w:rFonts w:ascii="Arial" w:cs="Arial" w:eastAsia="Arial" w:hAnsi="Arial"/>
                <w:sz w:val="20"/>
                <w:szCs w:val="20"/>
                <w:color w:val="auto"/>
              </w:rPr>
              <w:t>Dated: January 26, 2022</w:t>
            </w:r>
          </w:p>
        </w:tc>
        <w:tc>
          <w:tcPr>
            <w:tcW w:w="7500" w:type="dxa"/>
            <w:vAlign w:val="bottom"/>
            <w:vMerge w:val="restart"/>
          </w:tcPr>
          <w:p>
            <w:pPr>
              <w:ind w:left="1240"/>
              <w:spacing w:after="0"/>
              <w:rPr>
                <w:sz w:val="20"/>
                <w:szCs w:val="20"/>
                <w:color w:val="auto"/>
              </w:rPr>
            </w:pPr>
            <w:r>
              <w:rPr>
                <w:rFonts w:ascii="Arial" w:cs="Arial" w:eastAsia="Arial" w:hAnsi="Arial"/>
                <w:sz w:val="20"/>
                <w:szCs w:val="20"/>
                <w:color w:val="auto"/>
              </w:rPr>
              <w:t>Susan Balaguer</w:t>
            </w:r>
          </w:p>
        </w:tc>
        <w:tc>
          <w:tcPr>
            <w:tcW w:w="0" w:type="dxa"/>
            <w:vAlign w:val="bottom"/>
          </w:tcPr>
          <w:p>
            <w:pPr>
              <w:spacing w:after="0"/>
              <w:rPr>
                <w:sz w:val="1"/>
                <w:szCs w:val="1"/>
                <w:color w:val="auto"/>
              </w:rPr>
            </w:pPr>
          </w:p>
        </w:tc>
      </w:tr>
      <w:tr>
        <w:trPr>
          <w:trHeight w:val="96"/>
        </w:trPr>
        <w:tc>
          <w:tcPr>
            <w:tcW w:w="3780" w:type="dxa"/>
            <w:vAlign w:val="bottom"/>
          </w:tcPr>
          <w:p>
            <w:pPr>
              <w:spacing w:after="0"/>
              <w:rPr>
                <w:sz w:val="8"/>
                <w:szCs w:val="8"/>
                <w:color w:val="auto"/>
              </w:rPr>
            </w:pPr>
          </w:p>
        </w:tc>
        <w:tc>
          <w:tcPr>
            <w:tcW w:w="7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3780" w:type="dxa"/>
            <w:vAlign w:val="bottom"/>
          </w:tcPr>
          <w:p>
            <w:pPr>
              <w:spacing w:after="0"/>
              <w:rPr>
                <w:sz w:val="22"/>
                <w:szCs w:val="22"/>
                <w:color w:val="auto"/>
              </w:rPr>
            </w:pPr>
          </w:p>
        </w:tc>
        <w:tc>
          <w:tcPr>
            <w:tcW w:w="7500" w:type="dxa"/>
            <w:vAlign w:val="bottom"/>
          </w:tcPr>
          <w:p>
            <w:pPr>
              <w:ind w:left="1240"/>
              <w:spacing w:after="0"/>
              <w:rPr>
                <w:sz w:val="20"/>
                <w:szCs w:val="20"/>
                <w:color w:val="auto"/>
              </w:rPr>
            </w:pPr>
            <w:r>
              <w:rPr>
                <w:rFonts w:ascii="Arial" w:cs="Arial" w:eastAsia="Arial" w:hAnsi="Arial"/>
                <w:sz w:val="20"/>
                <w:szCs w:val="20"/>
                <w:color w:val="auto"/>
              </w:rPr>
              <w:t>Chief Human Resources Officer</w:t>
            </w:r>
          </w:p>
        </w:tc>
        <w:tc>
          <w:tcPr>
            <w:tcW w:w="0" w:type="dxa"/>
            <w:vAlign w:val="bottom"/>
          </w:tcPr>
          <w:p>
            <w:pPr>
              <w:spacing w:after="0"/>
              <w:rPr>
                <w:sz w:val="1"/>
                <w:szCs w:val="1"/>
                <w:color w:val="auto"/>
              </w:rPr>
            </w:pPr>
          </w:p>
        </w:tc>
      </w:tr>
      <w:tr>
        <w:trPr>
          <w:trHeight w:val="3102"/>
        </w:trPr>
        <w:tc>
          <w:tcPr>
            <w:tcW w:w="378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-27940</wp:posOffset>
            </wp:positionV>
            <wp:extent cx="33655" cy="4127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8">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3188970</wp:posOffset>
            </wp:positionH>
            <wp:positionV relativeFrom="paragraph">
              <wp:posOffset>-2647950</wp:posOffset>
            </wp:positionV>
            <wp:extent cx="1811020" cy="3702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0">
                      <a:extLst>
                        <a:ext uri="{28A0092B-C50C-407E-A947-70E740481C1C}"/>
                      </a:extLst>
                    </a:blip>
                    <a:srcRect/>
                    <a:stretch>
                      <a:fillRect/>
                    </a:stretch>
                  </pic:blipFill>
                  <pic:spPr bwMode="auto">
                    <a:xfrm>
                      <a:off x="0" y="0"/>
                      <a:ext cx="1811020" cy="370205"/>
                    </a:xfrm>
                    <a:prstGeom prst="rect">
                      <a:avLst/>
                    </a:prstGeom>
                    <a:noFill/>
                  </pic:spPr>
                </pic:pic>
              </a:graphicData>
            </a:graphic>
          </wp:anchor>
        </w:drawing>
      </w:r>
    </w:p>
    <w:p>
      <w:pPr>
        <w:sectPr>
          <w:pgSz w:w="11900" w:h="16838" w:orient="portrait"/>
          <w:cols w:equalWidth="0" w:num="1">
            <w:col w:w="11280"/>
          </w:cols>
          <w:pgMar w:left="320" w:top="124" w:right="299" w:bottom="1440" w:gutter="0" w:footer="0" w:header="0"/>
        </w:sectPr>
      </w:pPr>
    </w:p>
    <w:bookmarkStart w:id="292" w:name="page293"/>
    <w:bookmarkEnd w:id="292"/>
    <w:p>
      <w:pPr>
        <w:jc w:val="right"/>
        <w:spacing w:after="0"/>
        <w:rPr>
          <w:sz w:val="20"/>
          <w:szCs w:val="20"/>
          <w:color w:val="auto"/>
        </w:rPr>
      </w:pPr>
      <w:r>
        <w:rPr>
          <w:rFonts w:ascii="Arial" w:cs="Arial" w:eastAsia="Arial" w:hAnsi="Arial"/>
          <w:sz w:val="19"/>
          <w:szCs w:val="19"/>
          <w:color w:val="auto"/>
        </w:rPr>
        <w:t>Exhibit 10.40</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AMENDMENT TO PARSONS CORPORATION INCENTIVE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RESTRICTED STOCK UNIT AWARD</w:t>
      </w:r>
    </w:p>
    <w:p>
      <w:pPr>
        <w:spacing w:after="0" w:line="145" w:lineRule="exact"/>
        <w:rPr>
          <w:sz w:val="20"/>
          <w:szCs w:val="20"/>
          <w:color w:val="auto"/>
        </w:rPr>
      </w:pPr>
    </w:p>
    <w:p>
      <w:pPr>
        <w:ind w:right="120" w:firstLine="589"/>
        <w:spacing w:after="0" w:line="268" w:lineRule="auto"/>
        <w:rPr>
          <w:sz w:val="20"/>
          <w:szCs w:val="20"/>
          <w:color w:val="auto"/>
        </w:rPr>
      </w:pPr>
      <w:r>
        <w:rPr>
          <w:rFonts w:ascii="Arial" w:cs="Arial" w:eastAsia="Arial" w:hAnsi="Arial"/>
          <w:sz w:val="20"/>
          <w:szCs w:val="20"/>
          <w:color w:val="auto"/>
        </w:rPr>
        <w:t>This Amendment to Parsons Corporation Incentive Award Plan Restricted Stock Unit Award (“Amendment”) is made effective as of July 19, 2021, by and between Parsons Corporation (“Company”), and Carey Smith (“Employee”).</w:t>
      </w:r>
    </w:p>
    <w:p>
      <w:pPr>
        <w:spacing w:after="0" w:line="95" w:lineRule="exact"/>
        <w:rPr>
          <w:sz w:val="20"/>
          <w:szCs w:val="20"/>
          <w:color w:val="auto"/>
        </w:rPr>
      </w:pPr>
    </w:p>
    <w:p>
      <w:pPr>
        <w:ind w:right="3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Incentive Award Plan Restricted Stock Unit Award dated as of July 1, 2021 (the “Award”);</w:t>
      </w:r>
    </w:p>
    <w:p>
      <w:pPr>
        <w:spacing w:after="0" w:line="95" w:lineRule="exact"/>
        <w:rPr>
          <w:sz w:val="20"/>
          <w:szCs w:val="20"/>
          <w:color w:val="auto"/>
        </w:rPr>
      </w:pPr>
    </w:p>
    <w:p>
      <w:pPr>
        <w:ind w:right="1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Change in Control Severance Agreement (“CIC Agreement”), which was amended as of July 19, 2021;</w:t>
      </w:r>
    </w:p>
    <w:p>
      <w:pPr>
        <w:spacing w:after="0" w:line="95" w:lineRule="exact"/>
        <w:rPr>
          <w:sz w:val="20"/>
          <w:szCs w:val="20"/>
          <w:color w:val="auto"/>
        </w:rPr>
      </w:pPr>
    </w:p>
    <w:p>
      <w:pPr>
        <w:ind w:right="640" w:firstLine="589"/>
        <w:spacing w:after="0" w:line="268" w:lineRule="auto"/>
        <w:rPr>
          <w:sz w:val="20"/>
          <w:szCs w:val="20"/>
          <w:color w:val="auto"/>
        </w:rPr>
      </w:pPr>
      <w:r>
        <w:rPr>
          <w:rFonts w:ascii="Arial" w:cs="Arial" w:eastAsia="Arial" w:hAnsi="Arial"/>
          <w:sz w:val="20"/>
          <w:szCs w:val="20"/>
          <w:color w:val="auto"/>
        </w:rPr>
        <w:t>WHEREAS, the Company and Employee desire to amend the Award to incorporate and reflect any amendments to the CIC Agreement;</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parties agree as follows:</w:t>
      </w:r>
    </w:p>
    <w:p>
      <w:pPr>
        <w:spacing w:after="0" w:line="150" w:lineRule="exact"/>
        <w:rPr>
          <w:sz w:val="20"/>
          <w:szCs w:val="20"/>
          <w:color w:val="auto"/>
        </w:rPr>
      </w:pPr>
    </w:p>
    <w:p>
      <w:pPr>
        <w:ind w:left="1400" w:hanging="809"/>
        <w:spacing w:after="0"/>
        <w:tabs>
          <w:tab w:leader="none" w:pos="140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Paragraph 2 of Exhibit B is hereby restated as follows:</w:t>
      </w:r>
    </w:p>
    <w:p>
      <w:pPr>
        <w:spacing w:after="0" w:line="200" w:lineRule="exact"/>
        <w:rPr>
          <w:sz w:val="20"/>
          <w:szCs w:val="20"/>
          <w:color w:val="auto"/>
        </w:rPr>
      </w:pPr>
    </w:p>
    <w:p>
      <w:pPr>
        <w:spacing w:after="0" w:line="234" w:lineRule="exact"/>
        <w:rPr>
          <w:sz w:val="20"/>
          <w:szCs w:val="20"/>
          <w:color w:val="auto"/>
        </w:rPr>
      </w:pPr>
    </w:p>
    <w:p>
      <w:pPr>
        <w:jc w:val="both"/>
        <w:ind w:left="860"/>
        <w:spacing w:after="0" w:line="277" w:lineRule="auto"/>
        <w:rPr>
          <w:sz w:val="20"/>
          <w:szCs w:val="20"/>
          <w:color w:val="auto"/>
        </w:rPr>
      </w:pPr>
      <w:r>
        <w:rPr>
          <w:rFonts w:ascii="Arial" w:cs="Arial" w:eastAsia="Arial" w:hAnsi="Arial"/>
          <w:sz w:val="17"/>
          <w:szCs w:val="17"/>
          <w:i w:val="1"/>
          <w:iCs w:val="1"/>
          <w:u w:val="single" w:color="auto"/>
          <w:color w:val="auto"/>
        </w:rPr>
        <w:t>ACCELERATED VESTING</w:t>
      </w:r>
      <w:r>
        <w:rPr>
          <w:rFonts w:ascii="Arial" w:cs="Arial" w:eastAsia="Arial" w:hAnsi="Arial"/>
          <w:sz w:val="17"/>
          <w:szCs w:val="17"/>
          <w:i w:val="1"/>
          <w:iCs w:val="1"/>
          <w:color w:val="auto"/>
        </w:rPr>
        <w:t>. In the event of Participant’s death or Disability, Participant will vest in such number of RSUs as is determined by multiplying (a) the number of RSUs scheduled to vest on the next occurring annual vesting date, by (b) (i) the number of months that have elapsed since the previous annual vesting date (or if no annual vesting date has yet occurred, since the Grant Date), divided by (ii) 12. Partial months shall be rounded up to the next whole calendar month for purposes of the numerator in this calculation. In the event the calculation results in a fractional RSU, any fractional RSU will be rounded up to the nearest whole RSU.</w:t>
      </w:r>
    </w:p>
    <w:p>
      <w:pPr>
        <w:spacing w:after="0" w:line="152" w:lineRule="exact"/>
        <w:rPr>
          <w:sz w:val="20"/>
          <w:szCs w:val="20"/>
          <w:color w:val="auto"/>
        </w:rPr>
      </w:pPr>
    </w:p>
    <w:p>
      <w:pPr>
        <w:jc w:val="both"/>
        <w:ind w:left="860"/>
        <w:spacing w:after="0" w:line="241" w:lineRule="auto"/>
        <w:rPr>
          <w:sz w:val="20"/>
          <w:szCs w:val="20"/>
          <w:color w:val="auto"/>
        </w:rPr>
      </w:pPr>
      <w:r>
        <w:rPr>
          <w:rFonts w:ascii="Arial" w:cs="Arial" w:eastAsia="Arial" w:hAnsi="Arial"/>
          <w:sz w:val="19"/>
          <w:szCs w:val="19"/>
          <w:i w:val="1"/>
          <w:iCs w:val="1"/>
          <w:color w:val="auto"/>
        </w:rPr>
        <w:t>The Award shall also be eligible for accelerated vesting as provided in Section 12.2 of the Plan. Notwithstanding the foregoing, and notwithstanding anything to the contrary contained in the Plan, in the event of a Change in Control, if Participant is a party to a Change in Control Severance Agreement with the Company at the time of such Change in Control, and a Qualifying Termination Event has occurred, as defined in the Participant’s Change in Control Severance Agreement, the RSUs shall accelerate, vest and be settled in full immediately prior to such Change in Control.</w:t>
      </w:r>
    </w:p>
    <w:p>
      <w:pPr>
        <w:spacing w:after="0" w:line="183" w:lineRule="exact"/>
        <w:rPr>
          <w:sz w:val="20"/>
          <w:szCs w:val="20"/>
          <w:color w:val="auto"/>
        </w:rPr>
      </w:pPr>
    </w:p>
    <w:p>
      <w:pPr>
        <w:jc w:val="both"/>
        <w:ind w:left="860"/>
        <w:spacing w:after="0" w:line="277" w:lineRule="auto"/>
        <w:rPr>
          <w:sz w:val="20"/>
          <w:szCs w:val="20"/>
          <w:color w:val="auto"/>
        </w:rPr>
      </w:pPr>
      <w:r>
        <w:rPr>
          <w:rFonts w:ascii="Arial" w:cs="Arial" w:eastAsia="Arial" w:hAnsi="Arial"/>
          <w:sz w:val="17"/>
          <w:szCs w:val="17"/>
          <w:i w:val="1"/>
          <w:iCs w:val="1"/>
          <w:color w:val="auto"/>
        </w:rPr>
        <w:t>For purposes of this Award, “</w:t>
      </w:r>
      <w:r>
        <w:rPr>
          <w:rFonts w:ascii="Arial" w:cs="Arial" w:eastAsia="Arial" w:hAnsi="Arial"/>
          <w:sz w:val="17"/>
          <w:szCs w:val="17"/>
          <w:i w:val="1"/>
          <w:iCs w:val="1"/>
          <w:u w:val="single" w:color="auto"/>
          <w:color w:val="auto"/>
        </w:rPr>
        <w:t>Disability</w:t>
      </w:r>
      <w:r>
        <w:rPr>
          <w:rFonts w:ascii="Arial" w:cs="Arial" w:eastAsia="Arial" w:hAnsi="Arial"/>
          <w:sz w:val="17"/>
          <w:szCs w:val="17"/>
          <w:i w:val="1"/>
          <w:iCs w:val="1"/>
          <w:color w:val="auto"/>
        </w:rPr>
        <w:t>” means Participant (a) is unable to engage in any substantial gainful activity by reason of any medically determinable physical or mental impairment which can be expected to result in death or can be expected to last for a continuous period of not less than 12 months, or (b)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Company or its Subsidiaries.</w:t>
      </w:r>
    </w:p>
    <w:p>
      <w:pPr>
        <w:spacing w:after="0" w:line="152" w:lineRule="exact"/>
        <w:rPr>
          <w:sz w:val="20"/>
          <w:szCs w:val="20"/>
          <w:color w:val="auto"/>
        </w:rPr>
      </w:pPr>
    </w:p>
    <w:p>
      <w:pPr>
        <w:jc w:val="both"/>
        <w:ind w:left="860"/>
        <w:spacing w:after="0" w:line="247" w:lineRule="auto"/>
        <w:rPr>
          <w:sz w:val="20"/>
          <w:szCs w:val="20"/>
          <w:color w:val="auto"/>
        </w:rPr>
      </w:pPr>
      <w:r>
        <w:rPr>
          <w:rFonts w:ascii="Arial" w:cs="Arial" w:eastAsia="Arial" w:hAnsi="Arial"/>
          <w:sz w:val="19"/>
          <w:szCs w:val="19"/>
          <w:i w:val="1"/>
          <w:iCs w:val="1"/>
          <w:color w:val="auto"/>
        </w:rPr>
        <w:t>Notwithstanding anything to the contrary contained herein, in the event of Participant’s Termination of Service due to Retirement, Participant will remain eligible to vest in and receive on the Payment Date the total number of RSUs set forth in the Grant Notice. For purposes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310515</wp:posOffset>
            </wp:positionV>
            <wp:extent cx="7182485" cy="4127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1">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93" w:name="page294"/>
    <w:bookmarkEnd w:id="293"/>
    <w:p>
      <w:pPr>
        <w:ind w:left="10240"/>
        <w:spacing w:after="0"/>
        <w:rPr>
          <w:sz w:val="20"/>
          <w:szCs w:val="20"/>
          <w:color w:val="auto"/>
        </w:rPr>
      </w:pPr>
      <w:r>
        <w:rPr>
          <w:rFonts w:ascii="Arial" w:cs="Arial" w:eastAsia="Arial" w:hAnsi="Arial"/>
          <w:sz w:val="17"/>
          <w:szCs w:val="17"/>
          <w:color w:val="auto"/>
        </w:rPr>
        <w:t>Exhibit 10.40</w:t>
      </w:r>
    </w:p>
    <w:p>
      <w:pPr>
        <w:spacing w:after="0" w:line="35"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this Award, "Retirement" means Participant’s voluntary Termination of Service after having attained age 62, with 10 years of completed</w:t>
      </w:r>
    </w:p>
    <w:p>
      <w:pPr>
        <w:spacing w:after="0" w:line="20" w:lineRule="exact"/>
        <w:rPr>
          <w:sz w:val="20"/>
          <w:szCs w:val="20"/>
          <w:color w:val="auto"/>
        </w:rPr>
      </w:pPr>
    </w:p>
    <w:p>
      <w:pPr>
        <w:ind w:left="860"/>
        <w:spacing w:after="0"/>
        <w:rPr>
          <w:sz w:val="20"/>
          <w:szCs w:val="20"/>
          <w:color w:val="auto"/>
        </w:rPr>
      </w:pPr>
      <w:r>
        <w:rPr>
          <w:rFonts w:ascii="Arial" w:cs="Arial" w:eastAsia="Arial" w:hAnsi="Arial"/>
          <w:sz w:val="19"/>
          <w:szCs w:val="19"/>
          <w:i w:val="1"/>
          <w:iCs w:val="1"/>
          <w:color w:val="auto"/>
        </w:rPr>
        <w:t>service.</w:t>
      </w:r>
    </w:p>
    <w:p>
      <w:pPr>
        <w:spacing w:after="0" w:line="129" w:lineRule="exact"/>
        <w:rPr>
          <w:sz w:val="20"/>
          <w:szCs w:val="20"/>
          <w:color w:val="auto"/>
        </w:rPr>
      </w:pPr>
    </w:p>
    <w:p>
      <w:pPr>
        <w:ind w:firstLine="866"/>
        <w:spacing w:after="0" w:line="265" w:lineRule="auto"/>
        <w:tabs>
          <w:tab w:leader="none" w:pos="1068"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The Agreement, as amended by this Amendment, shall remain in full force and effect in accordance with the terms and conditions thereof. This Amendment may be executed simultaneously in any number of counterparts, each of which shall be deemed an original but all of which together shall constitute one and the same instrument. In the event of any conflict between the original terms of the Agreement and this Amendment, the terms of this Amendment shall prevail.</w:t>
      </w:r>
    </w:p>
    <w:p>
      <w:pPr>
        <w:spacing w:after="0" w:line="100" w:lineRule="exact"/>
        <w:rPr>
          <w:sz w:val="20"/>
          <w:szCs w:val="20"/>
          <w:color w:val="auto"/>
        </w:rPr>
      </w:pPr>
    </w:p>
    <w:p>
      <w:pPr>
        <w:jc w:val="both"/>
        <w:ind w:right="340"/>
        <w:spacing w:after="0" w:line="253" w:lineRule="auto"/>
        <w:rPr>
          <w:sz w:val="20"/>
          <w:szCs w:val="20"/>
          <w:color w:val="auto"/>
        </w:rPr>
      </w:pPr>
      <w:r>
        <w:rPr>
          <w:rFonts w:ascii="Arial" w:cs="Arial" w:eastAsia="Arial" w:hAnsi="Arial"/>
          <w:sz w:val="20"/>
          <w:szCs w:val="20"/>
          <w:color w:val="auto"/>
        </w:rPr>
        <w:t>THE PARTIES TO THIS AMENDMENT HAVE READ THE FOREGOING AMENDMENT AND FULLY UNDERSTAND EACH AND EVERY PROVISION CONTAINED HEREIN. WHEREFORE, THE PARTIES HAVE EXECUTED THIS AMENDMENT ON THE DATES SHOWN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920" w:type="dxa"/>
            <w:vAlign w:val="bottom"/>
          </w:tcPr>
          <w:p>
            <w:pPr>
              <w:spacing w:after="0"/>
              <w:rPr>
                <w:sz w:val="22"/>
                <w:szCs w:val="22"/>
                <w:color w:val="auto"/>
              </w:rPr>
            </w:pPr>
          </w:p>
        </w:tc>
        <w:tc>
          <w:tcPr>
            <w:tcW w:w="5360" w:type="dxa"/>
            <w:vAlign w:val="bottom"/>
          </w:tcPr>
          <w:p>
            <w:pPr>
              <w:ind w:left="1100"/>
              <w:spacing w:after="0"/>
              <w:rPr>
                <w:sz w:val="20"/>
                <w:szCs w:val="20"/>
                <w:color w:val="auto"/>
              </w:rPr>
            </w:pPr>
            <w:r>
              <w:rPr>
                <w:rFonts w:ascii="Arial" w:cs="Arial" w:eastAsia="Arial" w:hAnsi="Arial"/>
                <w:sz w:val="20"/>
                <w:szCs w:val="20"/>
                <w:color w:val="auto"/>
              </w:rPr>
              <w:t>EMPLOYEE</w:t>
            </w:r>
          </w:p>
        </w:tc>
        <w:tc>
          <w:tcPr>
            <w:tcW w:w="0" w:type="dxa"/>
            <w:vAlign w:val="bottom"/>
          </w:tcPr>
          <w:p>
            <w:pPr>
              <w:spacing w:after="0"/>
              <w:rPr>
                <w:sz w:val="1"/>
                <w:szCs w:val="1"/>
                <w:color w:val="auto"/>
              </w:rPr>
            </w:pPr>
          </w:p>
        </w:tc>
      </w:tr>
      <w:tr>
        <w:trPr>
          <w:trHeight w:val="654"/>
        </w:trPr>
        <w:tc>
          <w:tcPr>
            <w:tcW w:w="3920" w:type="dxa"/>
            <w:vAlign w:val="bottom"/>
          </w:tcPr>
          <w:p>
            <w:pPr>
              <w:spacing w:after="0"/>
              <w:rPr>
                <w:sz w:val="20"/>
                <w:szCs w:val="20"/>
                <w:color w:val="auto"/>
              </w:rPr>
            </w:pPr>
            <w:r>
              <w:rPr>
                <w:rFonts w:ascii="Arial" w:cs="Arial" w:eastAsia="Arial" w:hAnsi="Arial"/>
                <w:sz w:val="20"/>
                <w:szCs w:val="20"/>
                <w:color w:val="auto"/>
              </w:rPr>
              <w:t>Dated: ______________________</w:t>
            </w:r>
          </w:p>
        </w:tc>
        <w:tc>
          <w:tcPr>
            <w:tcW w:w="5360" w:type="dxa"/>
            <w:vAlign w:val="bottom"/>
          </w:tcPr>
          <w:p>
            <w:pPr>
              <w:ind w:left="1100"/>
              <w:spacing w:after="0"/>
              <w:rPr>
                <w:sz w:val="20"/>
                <w:szCs w:val="20"/>
                <w:color w:val="auto"/>
              </w:rPr>
            </w:pPr>
            <w:r>
              <w:rPr>
                <w:rFonts w:ascii="Arial" w:cs="Arial" w:eastAsia="Arial" w:hAnsi="Arial"/>
                <w:sz w:val="20"/>
                <w:szCs w:val="20"/>
                <w:color w:val="auto"/>
                <w:w w:val="91"/>
              </w:rPr>
              <w:t>By:_______________________________________</w:t>
            </w:r>
          </w:p>
        </w:tc>
        <w:tc>
          <w:tcPr>
            <w:tcW w:w="0" w:type="dxa"/>
            <w:vAlign w:val="bottom"/>
          </w:tcPr>
          <w:p>
            <w:pPr>
              <w:spacing w:after="0"/>
              <w:rPr>
                <w:sz w:val="1"/>
                <w:szCs w:val="1"/>
                <w:color w:val="auto"/>
              </w:rPr>
            </w:pPr>
          </w:p>
        </w:tc>
      </w:tr>
      <w:tr>
        <w:trPr>
          <w:trHeight w:val="259"/>
        </w:trPr>
        <w:tc>
          <w:tcPr>
            <w:tcW w:w="3920" w:type="dxa"/>
            <w:vAlign w:val="bottom"/>
          </w:tcPr>
          <w:p>
            <w:pPr>
              <w:spacing w:after="0"/>
              <w:rPr>
                <w:sz w:val="22"/>
                <w:szCs w:val="22"/>
                <w:color w:val="auto"/>
              </w:rPr>
            </w:pPr>
          </w:p>
        </w:tc>
        <w:tc>
          <w:tcPr>
            <w:tcW w:w="5360" w:type="dxa"/>
            <w:vAlign w:val="bottom"/>
          </w:tcPr>
          <w:p>
            <w:pPr>
              <w:ind w:left="1100"/>
              <w:spacing w:after="0"/>
              <w:rPr>
                <w:sz w:val="20"/>
                <w:szCs w:val="20"/>
                <w:color w:val="auto"/>
              </w:rPr>
            </w:pPr>
            <w:r>
              <w:rPr>
                <w:rFonts w:ascii="Arial" w:cs="Arial" w:eastAsia="Arial" w:hAnsi="Arial"/>
                <w:sz w:val="20"/>
                <w:szCs w:val="20"/>
                <w:color w:val="auto"/>
              </w:rPr>
              <w:t>Carey Smith</w:t>
            </w:r>
          </w:p>
        </w:tc>
        <w:tc>
          <w:tcPr>
            <w:tcW w:w="0" w:type="dxa"/>
            <w:vAlign w:val="bottom"/>
          </w:tcPr>
          <w:p>
            <w:pPr>
              <w:spacing w:after="0"/>
              <w:rPr>
                <w:sz w:val="1"/>
                <w:szCs w:val="1"/>
                <w:color w:val="auto"/>
              </w:rPr>
            </w:pPr>
          </w:p>
        </w:tc>
      </w:tr>
      <w:tr>
        <w:trPr>
          <w:trHeight w:val="456"/>
        </w:trPr>
        <w:tc>
          <w:tcPr>
            <w:tcW w:w="3920" w:type="dxa"/>
            <w:vAlign w:val="bottom"/>
          </w:tcPr>
          <w:p>
            <w:pPr>
              <w:spacing w:after="0"/>
              <w:rPr>
                <w:sz w:val="24"/>
                <w:szCs w:val="24"/>
                <w:color w:val="auto"/>
              </w:rPr>
            </w:pPr>
          </w:p>
        </w:tc>
        <w:tc>
          <w:tcPr>
            <w:tcW w:w="5360" w:type="dxa"/>
            <w:vAlign w:val="bottom"/>
          </w:tcPr>
          <w:p>
            <w:pPr>
              <w:ind w:left="1100"/>
              <w:spacing w:after="0"/>
              <w:rPr>
                <w:sz w:val="20"/>
                <w:szCs w:val="20"/>
                <w:color w:val="auto"/>
              </w:rPr>
            </w:pPr>
            <w:r>
              <w:rPr>
                <w:rFonts w:ascii="Arial" w:cs="Arial" w:eastAsia="Arial" w:hAnsi="Arial"/>
                <w:sz w:val="20"/>
                <w:szCs w:val="20"/>
                <w:color w:val="auto"/>
              </w:rPr>
              <w:t>PARSONS CORPORATION</w:t>
            </w:r>
          </w:p>
        </w:tc>
        <w:tc>
          <w:tcPr>
            <w:tcW w:w="0" w:type="dxa"/>
            <w:vAlign w:val="bottom"/>
          </w:tcPr>
          <w:p>
            <w:pPr>
              <w:spacing w:after="0"/>
              <w:rPr>
                <w:sz w:val="1"/>
                <w:szCs w:val="1"/>
                <w:color w:val="auto"/>
              </w:rPr>
            </w:pPr>
          </w:p>
        </w:tc>
      </w:tr>
      <w:tr>
        <w:trPr>
          <w:trHeight w:val="781"/>
        </w:trPr>
        <w:tc>
          <w:tcPr>
            <w:tcW w:w="3920" w:type="dxa"/>
            <w:vAlign w:val="bottom"/>
            <w:vMerge w:val="restart"/>
          </w:tcPr>
          <w:p>
            <w:pPr>
              <w:spacing w:after="0"/>
              <w:rPr>
                <w:sz w:val="20"/>
                <w:szCs w:val="20"/>
                <w:color w:val="auto"/>
              </w:rPr>
            </w:pPr>
            <w:r>
              <w:rPr>
                <w:rFonts w:ascii="Arial" w:cs="Arial" w:eastAsia="Arial" w:hAnsi="Arial"/>
                <w:sz w:val="20"/>
                <w:szCs w:val="20"/>
                <w:color w:val="auto"/>
              </w:rPr>
              <w:t>Dated: January 26, 2022</w:t>
            </w:r>
          </w:p>
        </w:tc>
        <w:tc>
          <w:tcPr>
            <w:tcW w:w="5360" w:type="dxa"/>
            <w:vAlign w:val="bottom"/>
          </w:tcPr>
          <w:p>
            <w:pPr>
              <w:ind w:left="1100"/>
              <w:spacing w:after="0"/>
              <w:rPr>
                <w:sz w:val="20"/>
                <w:szCs w:val="20"/>
                <w:color w:val="auto"/>
              </w:rPr>
            </w:pPr>
            <w:r>
              <w:rPr>
                <w:rFonts w:ascii="Arial" w:cs="Arial" w:eastAsia="Arial" w:hAnsi="Arial"/>
                <w:sz w:val="20"/>
                <w:szCs w:val="20"/>
                <w:color w:val="auto"/>
              </w:rPr>
              <w:t>Susan Balaguer</w:t>
            </w:r>
          </w:p>
        </w:tc>
        <w:tc>
          <w:tcPr>
            <w:tcW w:w="0" w:type="dxa"/>
            <w:vAlign w:val="bottom"/>
          </w:tcPr>
          <w:p>
            <w:pPr>
              <w:spacing w:after="0"/>
              <w:rPr>
                <w:sz w:val="1"/>
                <w:szCs w:val="1"/>
                <w:color w:val="auto"/>
              </w:rPr>
            </w:pPr>
          </w:p>
        </w:tc>
      </w:tr>
      <w:tr>
        <w:trPr>
          <w:trHeight w:val="132"/>
        </w:trPr>
        <w:tc>
          <w:tcPr>
            <w:tcW w:w="3920" w:type="dxa"/>
            <w:vAlign w:val="bottom"/>
            <w:vMerge w:val="continue"/>
          </w:tcPr>
          <w:p>
            <w:pPr>
              <w:spacing w:after="0"/>
              <w:rPr>
                <w:sz w:val="11"/>
                <w:szCs w:val="11"/>
                <w:color w:val="auto"/>
              </w:rPr>
            </w:pPr>
          </w:p>
        </w:tc>
        <w:tc>
          <w:tcPr>
            <w:tcW w:w="5360" w:type="dxa"/>
            <w:vAlign w:val="bottom"/>
            <w:vMerge w:val="restart"/>
          </w:tcPr>
          <w:p>
            <w:pPr>
              <w:ind w:left="1100"/>
              <w:spacing w:after="0"/>
              <w:rPr>
                <w:sz w:val="20"/>
                <w:szCs w:val="20"/>
                <w:color w:val="auto"/>
              </w:rPr>
            </w:pPr>
            <w:r>
              <w:rPr>
                <w:rFonts w:ascii="Arial" w:cs="Arial" w:eastAsia="Arial" w:hAnsi="Arial"/>
                <w:sz w:val="20"/>
                <w:szCs w:val="20"/>
                <w:color w:val="auto"/>
              </w:rPr>
              <w:t>Chief Human Resources Officer</w:t>
            </w:r>
          </w:p>
        </w:tc>
        <w:tc>
          <w:tcPr>
            <w:tcW w:w="0" w:type="dxa"/>
            <w:vAlign w:val="bottom"/>
          </w:tcPr>
          <w:p>
            <w:pPr>
              <w:spacing w:after="0"/>
              <w:rPr>
                <w:sz w:val="1"/>
                <w:szCs w:val="1"/>
                <w:color w:val="auto"/>
              </w:rPr>
            </w:pPr>
          </w:p>
        </w:tc>
      </w:tr>
      <w:tr>
        <w:trPr>
          <w:trHeight w:val="127"/>
        </w:trPr>
        <w:tc>
          <w:tcPr>
            <w:tcW w:w="3920" w:type="dxa"/>
            <w:vAlign w:val="bottom"/>
          </w:tcPr>
          <w:p>
            <w:pPr>
              <w:spacing w:after="0"/>
              <w:rPr>
                <w:sz w:val="11"/>
                <w:szCs w:val="11"/>
                <w:color w:val="auto"/>
              </w:rPr>
            </w:pPr>
          </w:p>
        </w:tc>
        <w:tc>
          <w:tcPr>
            <w:tcW w:w="5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3188970</wp:posOffset>
            </wp:positionH>
            <wp:positionV relativeFrom="paragraph">
              <wp:posOffset>-665480</wp:posOffset>
            </wp:positionV>
            <wp:extent cx="1746885" cy="3702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2">
                      <a:extLst>
                        <a:ext uri="{28A0092B-C50C-407E-A947-70E740481C1C}"/>
                      </a:extLst>
                    </a:blip>
                    <a:srcRect/>
                    <a:stretch>
                      <a:fillRect/>
                    </a:stretch>
                  </pic:blipFill>
                  <pic:spPr bwMode="auto">
                    <a:xfrm>
                      <a:off x="0" y="0"/>
                      <a:ext cx="1746885" cy="3702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94" w:name="page295"/>
    <w:bookmarkEnd w:id="294"/>
    <w:p>
      <w:pPr>
        <w:jc w:val="right"/>
        <w:spacing w:after="0"/>
        <w:rPr>
          <w:sz w:val="20"/>
          <w:szCs w:val="20"/>
          <w:color w:val="auto"/>
        </w:rPr>
      </w:pPr>
      <w:r>
        <w:rPr>
          <w:rFonts w:ascii="Arial" w:cs="Arial" w:eastAsia="Arial" w:hAnsi="Arial"/>
          <w:sz w:val="19"/>
          <w:szCs w:val="19"/>
          <w:color w:val="auto"/>
        </w:rPr>
        <w:t>Exhibit 10.41</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AMENDMENT TO PARSONS CORPORATION INCENTIVE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PERFORMANCE STOCK UNIT AWARD</w:t>
      </w:r>
    </w:p>
    <w:p>
      <w:pPr>
        <w:spacing w:after="0" w:line="145" w:lineRule="exact"/>
        <w:rPr>
          <w:sz w:val="20"/>
          <w:szCs w:val="20"/>
          <w:color w:val="auto"/>
        </w:rPr>
      </w:pPr>
    </w:p>
    <w:p>
      <w:pPr>
        <w:ind w:right="120" w:firstLine="589"/>
        <w:spacing w:after="0" w:line="268" w:lineRule="auto"/>
        <w:rPr>
          <w:sz w:val="20"/>
          <w:szCs w:val="20"/>
          <w:color w:val="auto"/>
        </w:rPr>
      </w:pPr>
      <w:r>
        <w:rPr>
          <w:rFonts w:ascii="Arial" w:cs="Arial" w:eastAsia="Arial" w:hAnsi="Arial"/>
          <w:sz w:val="20"/>
          <w:szCs w:val="20"/>
          <w:color w:val="auto"/>
        </w:rPr>
        <w:t>This Amendment to Parsons Corporation Incentive Award Plan Performance Stock Unit Award (“Amendment”) is made effective as of July 19, 2021, by and between Parsons Corporation (“Company”), and Charles Harrington (“Employee”).</w:t>
      </w:r>
    </w:p>
    <w:p>
      <w:pPr>
        <w:spacing w:after="0" w:line="95" w:lineRule="exact"/>
        <w:rPr>
          <w:sz w:val="20"/>
          <w:szCs w:val="20"/>
          <w:color w:val="auto"/>
        </w:rPr>
      </w:pPr>
    </w:p>
    <w:p>
      <w:pPr>
        <w:ind w:right="1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Incentive Award Plan Performance Stock Unit Award dated as of March 5, 2020 (the “Award”);</w:t>
      </w:r>
    </w:p>
    <w:p>
      <w:pPr>
        <w:spacing w:after="0" w:line="95" w:lineRule="exact"/>
        <w:rPr>
          <w:sz w:val="20"/>
          <w:szCs w:val="20"/>
          <w:color w:val="auto"/>
        </w:rPr>
      </w:pPr>
    </w:p>
    <w:p>
      <w:pPr>
        <w:ind w:right="1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Change in Control Severance Agreement (“CIC Agreement”), which was amended as of July 19, 2021;</w:t>
      </w:r>
    </w:p>
    <w:p>
      <w:pPr>
        <w:spacing w:after="0" w:line="95" w:lineRule="exact"/>
        <w:rPr>
          <w:sz w:val="20"/>
          <w:szCs w:val="20"/>
          <w:color w:val="auto"/>
        </w:rPr>
      </w:pPr>
    </w:p>
    <w:p>
      <w:pPr>
        <w:ind w:right="640" w:firstLine="589"/>
        <w:spacing w:after="0" w:line="268" w:lineRule="auto"/>
        <w:rPr>
          <w:sz w:val="20"/>
          <w:szCs w:val="20"/>
          <w:color w:val="auto"/>
        </w:rPr>
      </w:pPr>
      <w:r>
        <w:rPr>
          <w:rFonts w:ascii="Arial" w:cs="Arial" w:eastAsia="Arial" w:hAnsi="Arial"/>
          <w:sz w:val="20"/>
          <w:szCs w:val="20"/>
          <w:color w:val="auto"/>
        </w:rPr>
        <w:t>WHEREAS, the Company and Employee desire to amend the Award to incorporate and reflect any amendments to the CIC Agreement;</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parties agree as follows:</w:t>
      </w:r>
    </w:p>
    <w:p>
      <w:pPr>
        <w:spacing w:after="0" w:line="150" w:lineRule="exact"/>
        <w:rPr>
          <w:sz w:val="20"/>
          <w:szCs w:val="20"/>
          <w:color w:val="auto"/>
        </w:rPr>
      </w:pPr>
    </w:p>
    <w:p>
      <w:pPr>
        <w:ind w:left="1400" w:hanging="809"/>
        <w:spacing w:after="0"/>
        <w:tabs>
          <w:tab w:leader="none" w:pos="140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Paragraph 2 of Exhibit B is hereby restated as follows:</w:t>
      </w:r>
    </w:p>
    <w:p>
      <w:pPr>
        <w:spacing w:after="0" w:line="150" w:lineRule="exact"/>
        <w:rPr>
          <w:sz w:val="20"/>
          <w:szCs w:val="20"/>
          <w:color w:val="auto"/>
        </w:rPr>
      </w:pPr>
    </w:p>
    <w:p>
      <w:pPr>
        <w:ind w:right="20" w:firstLine="865"/>
        <w:spacing w:after="0" w:line="269" w:lineRule="auto"/>
        <w:rPr>
          <w:sz w:val="20"/>
          <w:szCs w:val="20"/>
          <w:color w:val="auto"/>
        </w:rPr>
      </w:pPr>
      <w:r>
        <w:rPr>
          <w:rFonts w:ascii="Arial" w:cs="Arial" w:eastAsia="Arial" w:hAnsi="Arial"/>
          <w:sz w:val="18"/>
          <w:szCs w:val="18"/>
          <w:i w:val="1"/>
          <w:iCs w:val="1"/>
          <w:color w:val="auto"/>
        </w:rPr>
        <w:t>ACCELERATED VESTING. In the event of Participant’s Termination of Service due to Retirement, death or Disability prior to the Payment Date, Participant will remain eligible to vest in and receive on the Payment Date that number of PSUs as is determined by multiplying (a) the number of PSUs that Participant would vest in as provided in Section 1 of this Exhibit B had he/she not incurred a Termination of Service prior to the Payment Date, by (b) (i) the number of months that have elapsed since January 1, 2020, divided by (ii)</w:t>
      </w:r>
    </w:p>
    <w:p>
      <w:pPr>
        <w:spacing w:after="0" w:line="3" w:lineRule="exact"/>
        <w:rPr>
          <w:sz w:val="20"/>
          <w:szCs w:val="20"/>
          <w:color w:val="auto"/>
        </w:rPr>
      </w:pPr>
    </w:p>
    <w:p>
      <w:pPr>
        <w:ind w:right="200" w:firstLine="1"/>
        <w:spacing w:after="0" w:line="249" w:lineRule="auto"/>
        <w:tabs>
          <w:tab w:leader="none" w:pos="304" w:val="left"/>
        </w:tabs>
        <w:numPr>
          <w:ilvl w:val="0"/>
          <w:numId w:val="167"/>
        </w:numPr>
        <w:rPr>
          <w:rFonts w:ascii="Arial" w:cs="Arial" w:eastAsia="Arial" w:hAnsi="Arial"/>
          <w:sz w:val="20"/>
          <w:szCs w:val="20"/>
          <w:i w:val="1"/>
          <w:iCs w:val="1"/>
          <w:color w:val="auto"/>
        </w:rPr>
      </w:pPr>
      <w:r>
        <w:rPr>
          <w:rFonts w:ascii="Arial" w:cs="Arial" w:eastAsia="Arial" w:hAnsi="Arial"/>
          <w:sz w:val="20"/>
          <w:szCs w:val="20"/>
          <w:i w:val="1"/>
          <w:iCs w:val="1"/>
          <w:color w:val="auto"/>
        </w:rPr>
        <w:t>Partial months shall be rounded up to the next whole calendar month for purposes of the numerator in this calculation. In the event the calculation results in a fractional PSU, any fractional PSU will be rounded up to the nearest whole PSU.</w:t>
      </w:r>
    </w:p>
    <w:p>
      <w:pPr>
        <w:spacing w:after="0" w:line="113" w:lineRule="exact"/>
        <w:rPr>
          <w:sz w:val="20"/>
          <w:szCs w:val="20"/>
          <w:color w:val="auto"/>
        </w:rPr>
      </w:pPr>
    </w:p>
    <w:p>
      <w:pPr>
        <w:ind w:right="20" w:firstLine="865"/>
        <w:spacing w:after="0" w:line="256" w:lineRule="auto"/>
        <w:rPr>
          <w:sz w:val="20"/>
          <w:szCs w:val="20"/>
          <w:color w:val="auto"/>
        </w:rPr>
      </w:pPr>
      <w:r>
        <w:rPr>
          <w:rFonts w:ascii="Arial" w:cs="Arial" w:eastAsia="Arial" w:hAnsi="Arial"/>
          <w:sz w:val="19"/>
          <w:szCs w:val="19"/>
          <w:i w:val="1"/>
          <w:iCs w:val="1"/>
          <w:color w:val="auto"/>
        </w:rPr>
        <w:t>Notwithstanding the foregoing, if Participant is a party to a Change in Control Severance Agreement with the Company at the time of Participant’s Termination of Service due to Retirement, death or Disability prior to the Payment Date, and such termination occurs prior to the occurrence of a Change in Control, in lieu of the treatment in the foregoing paragraph, Participant will remain eligible to vest in and receive on the Payment Date (or, if earlier, the date of a Change in Control) that number of PSUs as is determined by multiplying (a) the number of PSUs that Participant would vested in as provided in Section 1 of this Exhibit B had he/she not incurred a Termination of Service prior to the Payment Date (or, in the event of a Change in Control prior to the Payment Date, the Target PSUs), by (b) (i) the number of months that have elapsed since January 1, 2020, divided by (ii) 36. Partial months shall be rounded up to the next whole calendar month for purposes of the numerator in this calculation. In the event the calculation results in a fractional PSU, any fractional PSU will be rounded up to the nearest whole PSU.</w:t>
      </w:r>
    </w:p>
    <w:p>
      <w:pPr>
        <w:spacing w:after="0" w:line="108" w:lineRule="exact"/>
        <w:rPr>
          <w:sz w:val="20"/>
          <w:szCs w:val="20"/>
          <w:color w:val="auto"/>
        </w:rPr>
      </w:pPr>
    </w:p>
    <w:p>
      <w:pPr>
        <w:jc w:val="both"/>
        <w:ind w:right="420" w:firstLine="865"/>
        <w:spacing w:after="0" w:line="253" w:lineRule="auto"/>
        <w:rPr>
          <w:sz w:val="20"/>
          <w:szCs w:val="20"/>
          <w:color w:val="auto"/>
        </w:rPr>
      </w:pPr>
      <w:r>
        <w:rPr>
          <w:rFonts w:ascii="Arial" w:cs="Arial" w:eastAsia="Arial" w:hAnsi="Arial"/>
          <w:sz w:val="20"/>
          <w:szCs w:val="20"/>
          <w:i w:val="1"/>
          <w:iCs w:val="1"/>
          <w:color w:val="auto"/>
        </w:rPr>
        <w:t>The Award shall also be eligible for accelerated vesting as provided in Section 12.2 of the Plan; provided that, in the event Section 12.2(d) of the Plan applies, in the event of Participant's Termination of Service without "cause" (and other than as a result of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303530</wp:posOffset>
            </wp:positionV>
            <wp:extent cx="7182485" cy="4127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95" w:name="page296"/>
    <w:bookmarkEnd w:id="295"/>
    <w:p>
      <w:pPr>
        <w:ind w:left="10240"/>
        <w:spacing w:after="0"/>
        <w:rPr>
          <w:sz w:val="20"/>
          <w:szCs w:val="20"/>
          <w:color w:val="auto"/>
        </w:rPr>
      </w:pPr>
      <w:r>
        <w:rPr>
          <w:rFonts w:ascii="Arial" w:cs="Arial" w:eastAsia="Arial" w:hAnsi="Arial"/>
          <w:sz w:val="17"/>
          <w:szCs w:val="17"/>
          <w:color w:val="auto"/>
        </w:rPr>
        <w:t>Exhibit 10.41</w:t>
      </w:r>
    </w:p>
    <w:p>
      <w:pPr>
        <w:spacing w:after="0" w:line="167"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i w:val="1"/>
          <w:iCs w:val="1"/>
          <w:color w:val="auto"/>
        </w:rPr>
        <w:t>Retirement, death or Disability, in which case the first paragraph of this Section 2 shall apply) upon or within twelve (12) months following the Change in Control (as described therein), provided such termination occurs prior to the Payment Date, Participant will vest in the Target PSUs on the date of such termination. Notwithstanding the foregoing, and notwithstanding anything to the contrary contained in the Plan, in the event of a Change in Control prior to the Payment Date, if Participant is a party to a Change in Control Severance Agreement with the Company at the time of such Change in Control, and a Qualifying Termination Event has occurred, as defined in the Participant’s Change in Control Severance Agreement, the Target PSUs shall accelerate, vest and be settled in full immediately prior to such Change in Control.</w:t>
      </w:r>
    </w:p>
    <w:p>
      <w:pPr>
        <w:spacing w:after="0" w:line="120" w:lineRule="exact"/>
        <w:rPr>
          <w:sz w:val="20"/>
          <w:szCs w:val="20"/>
          <w:color w:val="auto"/>
        </w:rPr>
      </w:pPr>
    </w:p>
    <w:p>
      <w:pPr>
        <w:ind w:right="200" w:firstLine="865"/>
        <w:spacing w:after="0" w:line="244" w:lineRule="auto"/>
        <w:rPr>
          <w:sz w:val="20"/>
          <w:szCs w:val="20"/>
          <w:color w:val="auto"/>
        </w:rPr>
      </w:pPr>
      <w:r>
        <w:rPr>
          <w:rFonts w:ascii="Arial" w:cs="Arial" w:eastAsia="Arial" w:hAnsi="Arial"/>
          <w:sz w:val="20"/>
          <w:szCs w:val="20"/>
          <w:i w:val="1"/>
          <w:iCs w:val="1"/>
          <w:color w:val="auto"/>
        </w:rPr>
        <w:t>For purposes of this Award, “Disability” means Participant (a) is unable to engage in any substantial gainful activity by reason of any medically determinable physical or mental impairment which can be expected to result in death or can be expected to last for a continuous period of not less than 12 months, or (b)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Company or its Subsidiaries.</w:t>
      </w:r>
    </w:p>
    <w:p>
      <w:pPr>
        <w:spacing w:after="0" w:line="118" w:lineRule="exact"/>
        <w:rPr>
          <w:sz w:val="20"/>
          <w:szCs w:val="20"/>
          <w:color w:val="auto"/>
        </w:rPr>
      </w:pPr>
    </w:p>
    <w:p>
      <w:pPr>
        <w:ind w:right="260" w:firstLine="865"/>
        <w:spacing w:after="0" w:line="268" w:lineRule="auto"/>
        <w:rPr>
          <w:sz w:val="20"/>
          <w:szCs w:val="20"/>
          <w:color w:val="auto"/>
        </w:rPr>
      </w:pPr>
      <w:r>
        <w:rPr>
          <w:rFonts w:ascii="Arial" w:cs="Arial" w:eastAsia="Arial" w:hAnsi="Arial"/>
          <w:sz w:val="20"/>
          <w:szCs w:val="20"/>
          <w:i w:val="1"/>
          <w:iCs w:val="1"/>
          <w:color w:val="auto"/>
        </w:rPr>
        <w:t>For purposes of this Award, "Retirement" means Participant’s voluntary Termination of Service after having attained age 62, with 10 years of completed service.</w:t>
      </w:r>
    </w:p>
    <w:p>
      <w:pPr>
        <w:spacing w:after="0" w:line="95" w:lineRule="exact"/>
        <w:rPr>
          <w:sz w:val="20"/>
          <w:szCs w:val="20"/>
          <w:color w:val="auto"/>
        </w:rPr>
      </w:pPr>
    </w:p>
    <w:p>
      <w:pPr>
        <w:ind w:right="40" w:firstLine="866"/>
        <w:spacing w:after="0" w:line="265" w:lineRule="auto"/>
        <w:tabs>
          <w:tab w:leader="none" w:pos="1068" w:val="left"/>
        </w:tabs>
        <w:numPr>
          <w:ilvl w:val="0"/>
          <w:numId w:val="168"/>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The Agreement, as amended by this Amendment, shall remain in full force and effect in accordance with the terms and conditions thereof. This Amendment may be executed simultaneously in any number of counterparts, each of which shall be deemed an original but all of which together shall constitute one and the same instrument. In the event of any conflict between the original terms of the Agreement and this Amendment, the terms of this Amendment shall prevail.</w:t>
      </w:r>
    </w:p>
    <w:p>
      <w:pPr>
        <w:spacing w:after="0" w:line="100" w:lineRule="exact"/>
        <w:rPr>
          <w:sz w:val="20"/>
          <w:szCs w:val="20"/>
          <w:color w:val="auto"/>
        </w:rPr>
      </w:pPr>
    </w:p>
    <w:p>
      <w:pPr>
        <w:jc w:val="both"/>
        <w:ind w:right="380"/>
        <w:spacing w:after="0" w:line="253" w:lineRule="auto"/>
        <w:rPr>
          <w:sz w:val="20"/>
          <w:szCs w:val="20"/>
          <w:color w:val="auto"/>
        </w:rPr>
      </w:pPr>
      <w:r>
        <w:rPr>
          <w:rFonts w:ascii="Arial" w:cs="Arial" w:eastAsia="Arial" w:hAnsi="Arial"/>
          <w:sz w:val="20"/>
          <w:szCs w:val="20"/>
          <w:color w:val="auto"/>
        </w:rPr>
        <w:t>THE PARTIES TO THIS AMENDMENT HAVE READ THE FOREGOING AMENDMENT AND FULLY UNDERSTAND EACH AND EVERY PROVISION CONTAINED HEREIN. WHEREFORE, THE PARTIES HAVE EXECUTED THIS AMENDMENT ON THE DATES SHOWN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880" w:type="dxa"/>
            <w:vAlign w:val="bottom"/>
          </w:tcPr>
          <w:p>
            <w:pPr>
              <w:spacing w:after="0"/>
              <w:rPr>
                <w:sz w:val="22"/>
                <w:szCs w:val="22"/>
                <w:color w:val="auto"/>
              </w:rPr>
            </w:pPr>
          </w:p>
        </w:tc>
        <w:tc>
          <w:tcPr>
            <w:tcW w:w="7400" w:type="dxa"/>
            <w:vAlign w:val="bottom"/>
          </w:tcPr>
          <w:p>
            <w:pPr>
              <w:ind w:left="1140"/>
              <w:spacing w:after="0"/>
              <w:rPr>
                <w:sz w:val="20"/>
                <w:szCs w:val="20"/>
                <w:color w:val="auto"/>
              </w:rPr>
            </w:pPr>
            <w:r>
              <w:rPr>
                <w:rFonts w:ascii="Arial" w:cs="Arial" w:eastAsia="Arial" w:hAnsi="Arial"/>
                <w:sz w:val="20"/>
                <w:szCs w:val="20"/>
                <w:color w:val="auto"/>
              </w:rPr>
              <w:t>EMPLOYEE</w:t>
            </w:r>
          </w:p>
        </w:tc>
      </w:tr>
      <w:tr>
        <w:trPr>
          <w:trHeight w:val="654"/>
        </w:trPr>
        <w:tc>
          <w:tcPr>
            <w:tcW w:w="3880" w:type="dxa"/>
            <w:vAlign w:val="bottom"/>
          </w:tcPr>
          <w:p>
            <w:pPr>
              <w:spacing w:after="0"/>
              <w:rPr>
                <w:sz w:val="20"/>
                <w:szCs w:val="20"/>
                <w:color w:val="auto"/>
              </w:rPr>
            </w:pPr>
            <w:r>
              <w:rPr>
                <w:rFonts w:ascii="Arial" w:cs="Arial" w:eastAsia="Arial" w:hAnsi="Arial"/>
                <w:sz w:val="20"/>
                <w:szCs w:val="20"/>
                <w:color w:val="auto"/>
              </w:rPr>
              <w:t>Dated: _____________________</w:t>
            </w:r>
          </w:p>
        </w:tc>
        <w:tc>
          <w:tcPr>
            <w:tcW w:w="7400" w:type="dxa"/>
            <w:vAlign w:val="bottom"/>
          </w:tcPr>
          <w:p>
            <w:pPr>
              <w:ind w:left="1140"/>
              <w:spacing w:after="0"/>
              <w:rPr>
                <w:sz w:val="20"/>
                <w:szCs w:val="20"/>
                <w:color w:val="auto"/>
              </w:rPr>
            </w:pPr>
            <w:r>
              <w:rPr>
                <w:rFonts w:ascii="Arial" w:cs="Arial" w:eastAsia="Arial" w:hAnsi="Arial"/>
                <w:sz w:val="20"/>
                <w:szCs w:val="20"/>
                <w:color w:val="auto"/>
              </w:rPr>
              <w:t>By:_______________________________________</w:t>
            </w:r>
          </w:p>
        </w:tc>
      </w:tr>
      <w:tr>
        <w:trPr>
          <w:trHeight w:val="259"/>
        </w:trPr>
        <w:tc>
          <w:tcPr>
            <w:tcW w:w="3880" w:type="dxa"/>
            <w:vAlign w:val="bottom"/>
          </w:tcPr>
          <w:p>
            <w:pPr>
              <w:spacing w:after="0"/>
              <w:rPr>
                <w:sz w:val="22"/>
                <w:szCs w:val="22"/>
                <w:color w:val="auto"/>
              </w:rPr>
            </w:pPr>
          </w:p>
        </w:tc>
        <w:tc>
          <w:tcPr>
            <w:tcW w:w="7400" w:type="dxa"/>
            <w:vAlign w:val="bottom"/>
          </w:tcPr>
          <w:p>
            <w:pPr>
              <w:ind w:left="1140"/>
              <w:spacing w:after="0"/>
              <w:rPr>
                <w:sz w:val="20"/>
                <w:szCs w:val="20"/>
                <w:color w:val="auto"/>
              </w:rPr>
            </w:pPr>
            <w:r>
              <w:rPr>
                <w:rFonts w:ascii="Arial" w:cs="Arial" w:eastAsia="Arial" w:hAnsi="Arial"/>
                <w:sz w:val="20"/>
                <w:szCs w:val="20"/>
                <w:color w:val="auto"/>
              </w:rPr>
              <w:t>Charles Harrington</w:t>
            </w:r>
          </w:p>
        </w:tc>
      </w:tr>
      <w:tr>
        <w:trPr>
          <w:trHeight w:val="456"/>
        </w:trPr>
        <w:tc>
          <w:tcPr>
            <w:tcW w:w="3880" w:type="dxa"/>
            <w:vAlign w:val="bottom"/>
          </w:tcPr>
          <w:p>
            <w:pPr>
              <w:spacing w:after="0"/>
              <w:rPr>
                <w:sz w:val="24"/>
                <w:szCs w:val="24"/>
                <w:color w:val="auto"/>
              </w:rPr>
            </w:pPr>
          </w:p>
        </w:tc>
        <w:tc>
          <w:tcPr>
            <w:tcW w:w="7400" w:type="dxa"/>
            <w:vAlign w:val="bottom"/>
          </w:tcPr>
          <w:p>
            <w:pPr>
              <w:ind w:left="1140"/>
              <w:spacing w:after="0"/>
              <w:rPr>
                <w:sz w:val="20"/>
                <w:szCs w:val="20"/>
                <w:color w:val="auto"/>
              </w:rPr>
            </w:pPr>
            <w:r>
              <w:rPr>
                <w:rFonts w:ascii="Arial" w:cs="Arial" w:eastAsia="Arial" w:hAnsi="Arial"/>
                <w:sz w:val="20"/>
                <w:szCs w:val="20"/>
                <w:color w:val="auto"/>
              </w:rPr>
              <w:t>PARSONS CORPORATION</w:t>
            </w:r>
          </w:p>
        </w:tc>
      </w:tr>
      <w:tr>
        <w:trPr>
          <w:trHeight w:val="958"/>
        </w:trPr>
        <w:tc>
          <w:tcPr>
            <w:tcW w:w="3880" w:type="dxa"/>
            <w:vAlign w:val="bottom"/>
          </w:tcPr>
          <w:p>
            <w:pPr>
              <w:spacing w:after="0"/>
              <w:rPr>
                <w:sz w:val="20"/>
                <w:szCs w:val="20"/>
                <w:color w:val="auto"/>
              </w:rPr>
            </w:pPr>
            <w:r>
              <w:rPr>
                <w:rFonts w:ascii="Arial" w:cs="Arial" w:eastAsia="Arial" w:hAnsi="Arial"/>
                <w:sz w:val="20"/>
                <w:szCs w:val="20"/>
                <w:color w:val="auto"/>
              </w:rPr>
              <w:t>Dated: January 26, 2022</w:t>
            </w:r>
          </w:p>
        </w:tc>
        <w:tc>
          <w:tcPr>
            <w:tcW w:w="7400" w:type="dxa"/>
            <w:vAlign w:val="bottom"/>
          </w:tcPr>
          <w:p>
            <w:pPr>
              <w:ind w:left="1140"/>
              <w:spacing w:after="0"/>
              <w:rPr>
                <w:sz w:val="20"/>
                <w:szCs w:val="20"/>
                <w:color w:val="auto"/>
              </w:rPr>
            </w:pPr>
            <w:r>
              <w:rPr>
                <w:rFonts w:ascii="Arial" w:cs="Arial" w:eastAsia="Arial" w:hAnsi="Arial"/>
                <w:sz w:val="20"/>
                <w:szCs w:val="20"/>
                <w:color w:val="auto"/>
              </w:rPr>
              <w:t>Susan Balaguer</w:t>
            </w:r>
          </w:p>
        </w:tc>
      </w:tr>
      <w:tr>
        <w:trPr>
          <w:trHeight w:val="259"/>
        </w:trPr>
        <w:tc>
          <w:tcPr>
            <w:tcW w:w="3880" w:type="dxa"/>
            <w:vAlign w:val="bottom"/>
          </w:tcPr>
          <w:p>
            <w:pPr>
              <w:spacing w:after="0"/>
              <w:rPr>
                <w:sz w:val="22"/>
                <w:szCs w:val="22"/>
                <w:color w:val="auto"/>
              </w:rPr>
            </w:pPr>
          </w:p>
        </w:tc>
        <w:tc>
          <w:tcPr>
            <w:tcW w:w="7400" w:type="dxa"/>
            <w:vAlign w:val="bottom"/>
          </w:tcPr>
          <w:p>
            <w:pPr>
              <w:ind w:left="1140"/>
              <w:spacing w:after="0"/>
              <w:rPr>
                <w:sz w:val="20"/>
                <w:szCs w:val="20"/>
                <w:color w:val="auto"/>
              </w:rPr>
            </w:pPr>
            <w:r>
              <w:rPr>
                <w:rFonts w:ascii="Arial" w:cs="Arial" w:eastAsia="Arial" w:hAnsi="Arial"/>
                <w:sz w:val="20"/>
                <w:szCs w:val="20"/>
                <w:color w:val="auto"/>
              </w:rPr>
              <w:t>Chief Human Resources Officer</w:t>
            </w:r>
          </w:p>
        </w:tc>
      </w:tr>
      <w:tr>
        <w:trPr>
          <w:trHeight w:val="731"/>
        </w:trPr>
        <w:tc>
          <w:tcPr>
            <w:tcW w:w="3880" w:type="dxa"/>
            <w:vAlign w:val="bottom"/>
            <w:tcBorders>
              <w:bottom w:val="single" w:sz="8" w:color="9A9A9A"/>
            </w:tcBorders>
          </w:tcPr>
          <w:p>
            <w:pPr>
              <w:spacing w:after="0"/>
              <w:rPr>
                <w:sz w:val="24"/>
                <w:szCs w:val="24"/>
                <w:color w:val="auto"/>
              </w:rPr>
            </w:pPr>
          </w:p>
        </w:tc>
        <w:tc>
          <w:tcPr>
            <w:tcW w:w="7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-27940</wp:posOffset>
            </wp:positionV>
            <wp:extent cx="33655" cy="4127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3188970</wp:posOffset>
            </wp:positionH>
            <wp:positionV relativeFrom="paragraph">
              <wp:posOffset>-1110615</wp:posOffset>
            </wp:positionV>
            <wp:extent cx="1755140" cy="3378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6">
                      <a:extLst>
                        <a:ext uri="{28A0092B-C50C-407E-A947-70E740481C1C}"/>
                      </a:extLst>
                    </a:blip>
                    <a:srcRect/>
                    <a:stretch>
                      <a:fillRect/>
                    </a:stretch>
                  </pic:blipFill>
                  <pic:spPr bwMode="auto">
                    <a:xfrm>
                      <a:off x="0" y="0"/>
                      <a:ext cx="1755140" cy="337820"/>
                    </a:xfrm>
                    <a:prstGeom prst="rect">
                      <a:avLst/>
                    </a:prstGeom>
                    <a:noFill/>
                  </pic:spPr>
                </pic:pic>
              </a:graphicData>
            </a:graphic>
          </wp:anchor>
        </w:drawing>
      </w:r>
    </w:p>
    <w:p>
      <w:pPr>
        <w:sectPr>
          <w:pgSz w:w="11900" w:h="16838" w:orient="portrait"/>
          <w:cols w:equalWidth="0" w:num="1">
            <w:col w:w="11280"/>
          </w:cols>
          <w:pgMar w:left="320" w:top="124" w:right="299" w:bottom="1440" w:gutter="0" w:footer="0" w:header="0"/>
        </w:sectPr>
      </w:pPr>
    </w:p>
    <w:bookmarkStart w:id="296" w:name="page297"/>
    <w:bookmarkEnd w:id="296"/>
    <w:p>
      <w:pPr>
        <w:jc w:val="right"/>
        <w:spacing w:after="0"/>
        <w:rPr>
          <w:sz w:val="20"/>
          <w:szCs w:val="20"/>
          <w:color w:val="auto"/>
        </w:rPr>
      </w:pPr>
      <w:r>
        <w:rPr>
          <w:rFonts w:ascii="Arial" w:cs="Arial" w:eastAsia="Arial" w:hAnsi="Arial"/>
          <w:sz w:val="19"/>
          <w:szCs w:val="19"/>
          <w:color w:val="auto"/>
        </w:rPr>
        <w:t>Exhibit 10.41</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AMENDMENT TO PARSONS CORPORATION INCENTIVE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PERFORMANCE STOCK UNIT AWARD</w:t>
      </w:r>
    </w:p>
    <w:p>
      <w:pPr>
        <w:spacing w:after="0" w:line="145" w:lineRule="exact"/>
        <w:rPr>
          <w:sz w:val="20"/>
          <w:szCs w:val="20"/>
          <w:color w:val="auto"/>
        </w:rPr>
      </w:pPr>
    </w:p>
    <w:p>
      <w:pPr>
        <w:ind w:right="120" w:firstLine="589"/>
        <w:spacing w:after="0" w:line="268" w:lineRule="auto"/>
        <w:rPr>
          <w:sz w:val="20"/>
          <w:szCs w:val="20"/>
          <w:color w:val="auto"/>
        </w:rPr>
      </w:pPr>
      <w:r>
        <w:rPr>
          <w:rFonts w:ascii="Arial" w:cs="Arial" w:eastAsia="Arial" w:hAnsi="Arial"/>
          <w:sz w:val="20"/>
          <w:szCs w:val="20"/>
          <w:color w:val="auto"/>
        </w:rPr>
        <w:t>This Amendment to Parsons Corporation Incentive Award Plan Performance Stock Unit Award (“Amendment”) is made effective as of July 19, 2021, by and between Parsons Corporation (“Company”), and Charles Harrington (“Employee”).</w:t>
      </w:r>
    </w:p>
    <w:p>
      <w:pPr>
        <w:spacing w:after="0" w:line="95" w:lineRule="exact"/>
        <w:rPr>
          <w:sz w:val="20"/>
          <w:szCs w:val="20"/>
          <w:color w:val="auto"/>
        </w:rPr>
      </w:pPr>
    </w:p>
    <w:p>
      <w:pPr>
        <w:ind w:right="1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Incentive Award Plan Performance Stock Unit Award dated as of March 1, 2021 (the “Award”);</w:t>
      </w:r>
    </w:p>
    <w:p>
      <w:pPr>
        <w:spacing w:after="0" w:line="95" w:lineRule="exact"/>
        <w:rPr>
          <w:sz w:val="20"/>
          <w:szCs w:val="20"/>
          <w:color w:val="auto"/>
        </w:rPr>
      </w:pPr>
    </w:p>
    <w:p>
      <w:pPr>
        <w:ind w:right="1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Change in Control Severance Agreement (“CIC Agreement”), which was amended as of July 19, 2021;</w:t>
      </w:r>
    </w:p>
    <w:p>
      <w:pPr>
        <w:spacing w:after="0" w:line="95" w:lineRule="exact"/>
        <w:rPr>
          <w:sz w:val="20"/>
          <w:szCs w:val="20"/>
          <w:color w:val="auto"/>
        </w:rPr>
      </w:pPr>
    </w:p>
    <w:p>
      <w:pPr>
        <w:ind w:right="640" w:firstLine="589"/>
        <w:spacing w:after="0" w:line="268" w:lineRule="auto"/>
        <w:rPr>
          <w:sz w:val="20"/>
          <w:szCs w:val="20"/>
          <w:color w:val="auto"/>
        </w:rPr>
      </w:pPr>
      <w:r>
        <w:rPr>
          <w:rFonts w:ascii="Arial" w:cs="Arial" w:eastAsia="Arial" w:hAnsi="Arial"/>
          <w:sz w:val="20"/>
          <w:szCs w:val="20"/>
          <w:color w:val="auto"/>
        </w:rPr>
        <w:t>WHEREAS, the Company and Employee desire to amend the Award to incorporate and reflect any amendments to the CIC Agreement;</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parties agree as follows:</w:t>
      </w:r>
    </w:p>
    <w:p>
      <w:pPr>
        <w:spacing w:after="0" w:line="150" w:lineRule="exact"/>
        <w:rPr>
          <w:sz w:val="20"/>
          <w:szCs w:val="20"/>
          <w:color w:val="auto"/>
        </w:rPr>
      </w:pPr>
    </w:p>
    <w:p>
      <w:pPr>
        <w:ind w:left="1400" w:hanging="809"/>
        <w:spacing w:after="0"/>
        <w:tabs>
          <w:tab w:leader="none" w:pos="140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Paragraph 2 of Exhibit B is hereby restated as follows:</w:t>
      </w:r>
    </w:p>
    <w:p>
      <w:pPr>
        <w:spacing w:after="0" w:line="150" w:lineRule="exact"/>
        <w:rPr>
          <w:sz w:val="20"/>
          <w:szCs w:val="20"/>
          <w:color w:val="auto"/>
        </w:rPr>
      </w:pPr>
    </w:p>
    <w:p>
      <w:pPr>
        <w:ind w:right="20" w:firstLine="865"/>
        <w:spacing w:after="0" w:line="269" w:lineRule="auto"/>
        <w:rPr>
          <w:sz w:val="20"/>
          <w:szCs w:val="20"/>
          <w:color w:val="auto"/>
        </w:rPr>
      </w:pPr>
      <w:r>
        <w:rPr>
          <w:rFonts w:ascii="Arial" w:cs="Arial" w:eastAsia="Arial" w:hAnsi="Arial"/>
          <w:sz w:val="18"/>
          <w:szCs w:val="18"/>
          <w:i w:val="1"/>
          <w:iCs w:val="1"/>
          <w:color w:val="auto"/>
        </w:rPr>
        <w:t>ACCELERATED VESTING. In the event of Participant’s Termination of Service due to Retirement, death or Disability prior to the Payment Date, Participant will remain eligible to vest in and receive on the Payment Date that number of PSUs as is determined by multiplying (a) the number of PSUs that Participant would vest in as provided in Section 1 of this Exhibit B had he/she not incurred a Termination of Service prior to the Payment Date, by (b) (i) the number of months that have elapsed since January 1, 2021, divided by (ii)</w:t>
      </w:r>
    </w:p>
    <w:p>
      <w:pPr>
        <w:spacing w:after="0" w:line="3" w:lineRule="exact"/>
        <w:rPr>
          <w:sz w:val="20"/>
          <w:szCs w:val="20"/>
          <w:color w:val="auto"/>
        </w:rPr>
      </w:pPr>
    </w:p>
    <w:p>
      <w:pPr>
        <w:ind w:right="200" w:firstLine="1"/>
        <w:spacing w:after="0" w:line="249" w:lineRule="auto"/>
        <w:tabs>
          <w:tab w:leader="none" w:pos="304" w:val="left"/>
        </w:tabs>
        <w:numPr>
          <w:ilvl w:val="0"/>
          <w:numId w:val="170"/>
        </w:numPr>
        <w:rPr>
          <w:rFonts w:ascii="Arial" w:cs="Arial" w:eastAsia="Arial" w:hAnsi="Arial"/>
          <w:sz w:val="20"/>
          <w:szCs w:val="20"/>
          <w:i w:val="1"/>
          <w:iCs w:val="1"/>
          <w:color w:val="auto"/>
        </w:rPr>
      </w:pPr>
      <w:r>
        <w:rPr>
          <w:rFonts w:ascii="Arial" w:cs="Arial" w:eastAsia="Arial" w:hAnsi="Arial"/>
          <w:sz w:val="20"/>
          <w:szCs w:val="20"/>
          <w:i w:val="1"/>
          <w:iCs w:val="1"/>
          <w:color w:val="auto"/>
        </w:rPr>
        <w:t>Partial months shall be rounded up to the next whole calendar month for purposes of the numerator in this calculation. In the event the calculation results in a fractional PSU, any fractional PSU will be rounded up to the nearest whole PSU.</w:t>
      </w:r>
    </w:p>
    <w:p>
      <w:pPr>
        <w:spacing w:after="0" w:line="113" w:lineRule="exact"/>
        <w:rPr>
          <w:sz w:val="20"/>
          <w:szCs w:val="20"/>
          <w:color w:val="auto"/>
        </w:rPr>
      </w:pPr>
    </w:p>
    <w:p>
      <w:pPr>
        <w:ind w:right="20" w:firstLine="865"/>
        <w:spacing w:after="0" w:line="256" w:lineRule="auto"/>
        <w:rPr>
          <w:sz w:val="20"/>
          <w:szCs w:val="20"/>
          <w:color w:val="auto"/>
        </w:rPr>
      </w:pPr>
      <w:r>
        <w:rPr>
          <w:rFonts w:ascii="Arial" w:cs="Arial" w:eastAsia="Arial" w:hAnsi="Arial"/>
          <w:sz w:val="19"/>
          <w:szCs w:val="19"/>
          <w:i w:val="1"/>
          <w:iCs w:val="1"/>
          <w:color w:val="auto"/>
        </w:rPr>
        <w:t>Notwithstanding the foregoing, if Participant is a party to a Change in Control Severance Agreement with the Company at the time of Participant’s Termination of Service due to Retirement, death or Disability prior to the Payment Date, and such termination occurs prior to the occurrence of a Change in Control, in lieu of the treatment in the foregoing paragraph, Participant will remain eligible to vest in and receive on the Payment Date (or, if earlier, the date of a Change in Control) that number of PSUs as is determined by multiplying (a) the number of PSUs that Participant would vested in as provided in Section 1 of this Exhibit B had he/she not incurred a Termination of Service prior to the Payment Date (or, in the event of a Change in Control prior to the Payment Date, the Target PSUs), by (b) (i) the number of months that have elapsed since January 1, 2021, divided by (ii) 36. Partial months shall be rounded up to the next whole calendar month for purposes of the numerator in this calculation. In the event the calculation results in a fractional PSU, any fractional PSU will be rounded up to the nearest whole PSU.</w:t>
      </w:r>
    </w:p>
    <w:p>
      <w:pPr>
        <w:spacing w:after="0" w:line="108" w:lineRule="exact"/>
        <w:rPr>
          <w:sz w:val="20"/>
          <w:szCs w:val="20"/>
          <w:color w:val="auto"/>
        </w:rPr>
      </w:pPr>
    </w:p>
    <w:p>
      <w:pPr>
        <w:jc w:val="both"/>
        <w:ind w:right="420" w:firstLine="865"/>
        <w:spacing w:after="0" w:line="253" w:lineRule="auto"/>
        <w:rPr>
          <w:sz w:val="20"/>
          <w:szCs w:val="20"/>
          <w:color w:val="auto"/>
        </w:rPr>
      </w:pPr>
      <w:r>
        <w:rPr>
          <w:rFonts w:ascii="Arial" w:cs="Arial" w:eastAsia="Arial" w:hAnsi="Arial"/>
          <w:sz w:val="20"/>
          <w:szCs w:val="20"/>
          <w:i w:val="1"/>
          <w:iCs w:val="1"/>
          <w:color w:val="auto"/>
        </w:rPr>
        <w:t>The Award shall also be eligible for accelerated vesting as provided in Section 12.2 of the Plan; provided that, in the event Section 12.2(d) of the Plan applies, in the event of Participant's Termination of Service without "cause" (and other than as a result of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303530</wp:posOffset>
            </wp:positionV>
            <wp:extent cx="7182485" cy="4127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7">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97" w:name="page298"/>
    <w:bookmarkEnd w:id="297"/>
    <w:p>
      <w:pPr>
        <w:ind w:left="10240"/>
        <w:spacing w:after="0"/>
        <w:rPr>
          <w:sz w:val="20"/>
          <w:szCs w:val="20"/>
          <w:color w:val="auto"/>
        </w:rPr>
      </w:pPr>
      <w:r>
        <w:rPr>
          <w:rFonts w:ascii="Arial" w:cs="Arial" w:eastAsia="Arial" w:hAnsi="Arial"/>
          <w:sz w:val="17"/>
          <w:szCs w:val="17"/>
          <w:color w:val="auto"/>
        </w:rPr>
        <w:t>Exhibit 10.41</w:t>
      </w:r>
    </w:p>
    <w:p>
      <w:pPr>
        <w:spacing w:after="0" w:line="167"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i w:val="1"/>
          <w:iCs w:val="1"/>
          <w:color w:val="auto"/>
        </w:rPr>
        <w:t>Retirement, death or Disability, in which case the first paragraph of this Section 2 shall apply) upon or within twelve (12) months following the Change in Control (as described therein), provided such termination occurs prior to the Payment Date, Participant will vest in the Target PSUs on the date of such termination. Notwithstanding the foregoing, and notwithstanding anything to the contrary contained in the Plan, in the event of a Change in Control prior to the Payment Date, if Participant is a party to a Change in Control Severance Agreement with the Company at the time of such Change in Control, and a Qualifying Termination Event has occurred, as defined in the Participant’s Change in Control Severance Agreement, the Target PSUs shall accelerate, vest and be settled in full immediately prior to such Change in Control.</w:t>
      </w:r>
    </w:p>
    <w:p>
      <w:pPr>
        <w:spacing w:after="0" w:line="120" w:lineRule="exact"/>
        <w:rPr>
          <w:sz w:val="20"/>
          <w:szCs w:val="20"/>
          <w:color w:val="auto"/>
        </w:rPr>
      </w:pPr>
    </w:p>
    <w:p>
      <w:pPr>
        <w:ind w:right="160" w:firstLine="865"/>
        <w:spacing w:after="0" w:line="244" w:lineRule="auto"/>
        <w:rPr>
          <w:sz w:val="20"/>
          <w:szCs w:val="20"/>
          <w:color w:val="auto"/>
        </w:rPr>
      </w:pPr>
      <w:r>
        <w:rPr>
          <w:rFonts w:ascii="Arial" w:cs="Arial" w:eastAsia="Arial" w:hAnsi="Arial"/>
          <w:sz w:val="20"/>
          <w:szCs w:val="20"/>
          <w:i w:val="1"/>
          <w:iCs w:val="1"/>
          <w:color w:val="auto"/>
        </w:rPr>
        <w:t>For purposes of this Award, “Disability” means Participant (a) is unable to engage in any substantial gainful activity by reason of any medically determinable physical or mental impairment which can be expected to result in death or can be expected to last for a continuous period of not less than 12 months, or (b)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Company or its Subsidiaries.</w:t>
      </w:r>
    </w:p>
    <w:p>
      <w:pPr>
        <w:spacing w:after="0" w:line="118" w:lineRule="exact"/>
        <w:rPr>
          <w:sz w:val="20"/>
          <w:szCs w:val="20"/>
          <w:color w:val="auto"/>
        </w:rPr>
      </w:pPr>
    </w:p>
    <w:p>
      <w:pPr>
        <w:ind w:right="220" w:firstLine="865"/>
        <w:spacing w:after="0" w:line="268" w:lineRule="auto"/>
        <w:rPr>
          <w:sz w:val="20"/>
          <w:szCs w:val="20"/>
          <w:color w:val="auto"/>
        </w:rPr>
      </w:pPr>
      <w:r>
        <w:rPr>
          <w:rFonts w:ascii="Arial" w:cs="Arial" w:eastAsia="Arial" w:hAnsi="Arial"/>
          <w:sz w:val="20"/>
          <w:szCs w:val="20"/>
          <w:i w:val="1"/>
          <w:iCs w:val="1"/>
          <w:color w:val="auto"/>
        </w:rPr>
        <w:t>For purposes of this Award, "Retirement" means Participant’s voluntary Termination of Service after having attained age 62, with 10 years of completed service.</w:t>
      </w:r>
    </w:p>
    <w:p>
      <w:pPr>
        <w:spacing w:after="0" w:line="95" w:lineRule="exact"/>
        <w:rPr>
          <w:sz w:val="20"/>
          <w:szCs w:val="20"/>
          <w:color w:val="auto"/>
        </w:rPr>
      </w:pPr>
    </w:p>
    <w:p>
      <w:pPr>
        <w:ind w:firstLine="866"/>
        <w:spacing w:after="0" w:line="265" w:lineRule="auto"/>
        <w:tabs>
          <w:tab w:leader="none" w:pos="1068"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The Agreement, as amended by this Amendment, shall remain in full force and effect in accordance with the terms and conditions thereof. This Amendment may be executed simultaneously in any number of counterparts, each of which shall be deemed an original but all of which together shall constitute one and the same instrument. In the event of any conflict between the original terms of the Agreement and this Amendment, the terms of this Amendment shall prevail.</w:t>
      </w:r>
    </w:p>
    <w:p>
      <w:pPr>
        <w:spacing w:after="0" w:line="100" w:lineRule="exact"/>
        <w:rPr>
          <w:sz w:val="20"/>
          <w:szCs w:val="20"/>
          <w:color w:val="auto"/>
        </w:rPr>
      </w:pPr>
    </w:p>
    <w:p>
      <w:pPr>
        <w:jc w:val="both"/>
        <w:ind w:right="340"/>
        <w:spacing w:after="0" w:line="253" w:lineRule="auto"/>
        <w:rPr>
          <w:sz w:val="20"/>
          <w:szCs w:val="20"/>
          <w:color w:val="auto"/>
        </w:rPr>
      </w:pPr>
      <w:r>
        <w:rPr>
          <w:rFonts w:ascii="Arial" w:cs="Arial" w:eastAsia="Arial" w:hAnsi="Arial"/>
          <w:sz w:val="20"/>
          <w:szCs w:val="20"/>
          <w:color w:val="auto"/>
        </w:rPr>
        <w:t>THE PARTIES TO THIS AMENDMENT HAVE READ THE FOREGOING AMENDMENT AND FULLY UNDERSTAND EACH AND EVERY PROVISION CONTAINED HEREIN. WHEREFORE, THE PARTIES HAVE EXECUTED THIS AMENDMENT ON THE DATES SHOWN BELOW.</w:t>
      </w:r>
    </w:p>
    <w:p>
      <w:pPr>
        <w:spacing w:after="0" w:line="185"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EMPLOYEE</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right="1960"/>
        <w:spacing w:after="0" w:line="324" w:lineRule="auto"/>
        <w:rPr>
          <w:sz w:val="20"/>
          <w:szCs w:val="20"/>
          <w:color w:val="auto"/>
        </w:rPr>
      </w:pPr>
      <w:r>
        <w:rPr>
          <w:rFonts w:ascii="Arial" w:cs="Arial" w:eastAsia="Arial" w:hAnsi="Arial"/>
          <w:sz w:val="18"/>
          <w:szCs w:val="18"/>
          <w:color w:val="auto"/>
        </w:rPr>
        <w:t>By:_______________________________________ Charles Harrington</w:t>
      </w:r>
    </w:p>
    <w:p>
      <w:pPr>
        <w:spacing w:after="0" w:line="126" w:lineRule="exact"/>
        <w:rPr>
          <w:sz w:val="20"/>
          <w:szCs w:val="20"/>
          <w:color w:val="auto"/>
        </w:rPr>
      </w:pPr>
    </w:p>
    <w:p>
      <w:pPr>
        <w:sectPr>
          <w:pgSz w:w="11900" w:h="16838" w:orient="portrait"/>
          <w:cols w:equalWidth="0" w:num="2">
            <w:col w:w="4300" w:space="720"/>
            <w:col w:w="6220"/>
          </w:cols>
          <w:pgMar w:left="320" w:top="124" w:right="339" w:bottom="1440" w:gutter="0" w:footer="0" w:header="0"/>
          <w:type w:val="continuous"/>
        </w:sectPr>
      </w:pPr>
    </w:p>
    <w:p>
      <w:pPr>
        <w:ind w:left="5020"/>
        <w:spacing w:after="0"/>
        <w:rPr>
          <w:sz w:val="20"/>
          <w:szCs w:val="20"/>
          <w:color w:val="auto"/>
        </w:rPr>
      </w:pPr>
      <w:r>
        <w:rPr>
          <w:rFonts w:ascii="Arial" w:cs="Arial" w:eastAsia="Arial" w:hAnsi="Arial"/>
          <w:sz w:val="18"/>
          <w:szCs w:val="18"/>
          <w:color w:val="auto"/>
        </w:rPr>
        <w:t>PARSONS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3188970</wp:posOffset>
            </wp:positionH>
            <wp:positionV relativeFrom="paragraph">
              <wp:posOffset>172085</wp:posOffset>
            </wp:positionV>
            <wp:extent cx="1908175" cy="30607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8">
                      <a:extLst>
                        <a:ext uri="{28A0092B-C50C-407E-A947-70E740481C1C}"/>
                      </a:extLst>
                    </a:blip>
                    <a:srcRect/>
                    <a:stretch>
                      <a:fillRect/>
                    </a:stretch>
                  </pic:blipFill>
                  <pic:spPr bwMode="auto">
                    <a:xfrm>
                      <a:off x="0" y="0"/>
                      <a:ext cx="1908175" cy="30607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26,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color w:val="auto"/>
        </w:rPr>
        <w:t>Susan Balaguer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Human Resources Officer</w:t>
      </w:r>
    </w:p>
    <w:p>
      <w:pPr>
        <w:sectPr>
          <w:pgSz w:w="11900" w:h="16838" w:orient="portrait"/>
          <w:cols w:equalWidth="0" w:num="2">
            <w:col w:w="4300" w:space="720"/>
            <w:col w:w="6220"/>
          </w:cols>
          <w:pgMar w:left="320" w:top="124" w:right="339" w:bottom="1440" w:gutter="0" w:footer="0" w:header="0"/>
          <w:type w:val="continuous"/>
        </w:sectPr>
      </w:pPr>
    </w:p>
    <w:bookmarkStart w:id="298" w:name="page299"/>
    <w:bookmarkEnd w:id="298"/>
    <w:p>
      <w:pPr>
        <w:jc w:val="right"/>
        <w:spacing w:after="0"/>
        <w:rPr>
          <w:sz w:val="20"/>
          <w:szCs w:val="20"/>
          <w:color w:val="auto"/>
        </w:rPr>
      </w:pPr>
      <w:r>
        <w:rPr>
          <w:rFonts w:ascii="Arial" w:cs="Arial" w:eastAsia="Arial" w:hAnsi="Arial"/>
          <w:sz w:val="19"/>
          <w:szCs w:val="19"/>
          <w:color w:val="auto"/>
        </w:rPr>
        <w:t>Exhibit 10.42</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AMENDMENT TO PARSONS CORPORATION INCENTIVE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RESTRICTED STOCK UNIT AWARD</w:t>
      </w:r>
    </w:p>
    <w:p>
      <w:pPr>
        <w:spacing w:after="0" w:line="145" w:lineRule="exact"/>
        <w:rPr>
          <w:sz w:val="20"/>
          <w:szCs w:val="20"/>
          <w:color w:val="auto"/>
        </w:rPr>
      </w:pPr>
    </w:p>
    <w:p>
      <w:pPr>
        <w:ind w:right="120" w:firstLine="589"/>
        <w:spacing w:after="0" w:line="268" w:lineRule="auto"/>
        <w:rPr>
          <w:sz w:val="20"/>
          <w:szCs w:val="20"/>
          <w:color w:val="auto"/>
        </w:rPr>
      </w:pPr>
      <w:r>
        <w:rPr>
          <w:rFonts w:ascii="Arial" w:cs="Arial" w:eastAsia="Arial" w:hAnsi="Arial"/>
          <w:sz w:val="20"/>
          <w:szCs w:val="20"/>
          <w:color w:val="auto"/>
        </w:rPr>
        <w:t>This Amendment to Parsons Corporation Incentive Award Plan Restricted Stock Unit Award (“Amendment”) is made effective as of July 19, 2021, by and between Parsons Corporation (“Company”), and Charles Harrington (“Employee”).</w:t>
      </w:r>
    </w:p>
    <w:p>
      <w:pPr>
        <w:spacing w:after="0" w:line="95" w:lineRule="exact"/>
        <w:rPr>
          <w:sz w:val="20"/>
          <w:szCs w:val="20"/>
          <w:color w:val="auto"/>
        </w:rPr>
      </w:pPr>
    </w:p>
    <w:p>
      <w:pPr>
        <w:ind w:right="3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Incentive Award Plan Restricted Stock Unit Award dated as of March 5, 2020 (the “Award”);</w:t>
      </w:r>
    </w:p>
    <w:p>
      <w:pPr>
        <w:spacing w:after="0" w:line="95" w:lineRule="exact"/>
        <w:rPr>
          <w:sz w:val="20"/>
          <w:szCs w:val="20"/>
          <w:color w:val="auto"/>
        </w:rPr>
      </w:pPr>
    </w:p>
    <w:p>
      <w:pPr>
        <w:ind w:right="1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Change in Control Severance Agreement (“CIC Agreement”), which was amended as of July 19, 2021;</w:t>
      </w:r>
    </w:p>
    <w:p>
      <w:pPr>
        <w:spacing w:after="0" w:line="95" w:lineRule="exact"/>
        <w:rPr>
          <w:sz w:val="20"/>
          <w:szCs w:val="20"/>
          <w:color w:val="auto"/>
        </w:rPr>
      </w:pPr>
    </w:p>
    <w:p>
      <w:pPr>
        <w:ind w:right="640" w:firstLine="589"/>
        <w:spacing w:after="0" w:line="268" w:lineRule="auto"/>
        <w:rPr>
          <w:sz w:val="20"/>
          <w:szCs w:val="20"/>
          <w:color w:val="auto"/>
        </w:rPr>
      </w:pPr>
      <w:r>
        <w:rPr>
          <w:rFonts w:ascii="Arial" w:cs="Arial" w:eastAsia="Arial" w:hAnsi="Arial"/>
          <w:sz w:val="20"/>
          <w:szCs w:val="20"/>
          <w:color w:val="auto"/>
        </w:rPr>
        <w:t>WHEREAS, the Company and Employee desire to amend the Award to incorporate and reflect any amendments to the CIC Agreement;</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parties agree as follows:</w:t>
      </w:r>
    </w:p>
    <w:p>
      <w:pPr>
        <w:spacing w:after="0" w:line="150" w:lineRule="exact"/>
        <w:rPr>
          <w:sz w:val="20"/>
          <w:szCs w:val="20"/>
          <w:color w:val="auto"/>
        </w:rPr>
      </w:pPr>
    </w:p>
    <w:p>
      <w:pPr>
        <w:ind w:left="1400" w:hanging="809"/>
        <w:spacing w:after="0"/>
        <w:tabs>
          <w:tab w:leader="none" w:pos="140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Paragraph 2 of Exhibit B is hereby restated as follows:</w:t>
      </w:r>
    </w:p>
    <w:p>
      <w:pPr>
        <w:spacing w:after="0" w:line="200" w:lineRule="exact"/>
        <w:rPr>
          <w:sz w:val="20"/>
          <w:szCs w:val="20"/>
          <w:color w:val="auto"/>
        </w:rPr>
      </w:pPr>
    </w:p>
    <w:p>
      <w:pPr>
        <w:spacing w:after="0" w:line="234" w:lineRule="exact"/>
        <w:rPr>
          <w:sz w:val="20"/>
          <w:szCs w:val="20"/>
          <w:color w:val="auto"/>
        </w:rPr>
      </w:pPr>
    </w:p>
    <w:p>
      <w:pPr>
        <w:jc w:val="both"/>
        <w:ind w:left="860"/>
        <w:spacing w:after="0" w:line="277" w:lineRule="auto"/>
        <w:rPr>
          <w:sz w:val="20"/>
          <w:szCs w:val="20"/>
          <w:color w:val="auto"/>
        </w:rPr>
      </w:pPr>
      <w:r>
        <w:rPr>
          <w:rFonts w:ascii="Arial" w:cs="Arial" w:eastAsia="Arial" w:hAnsi="Arial"/>
          <w:sz w:val="17"/>
          <w:szCs w:val="17"/>
          <w:i w:val="1"/>
          <w:iCs w:val="1"/>
          <w:u w:val="single" w:color="auto"/>
          <w:color w:val="auto"/>
        </w:rPr>
        <w:t>ACCELERATED VESTING</w:t>
      </w:r>
      <w:r>
        <w:rPr>
          <w:rFonts w:ascii="Arial" w:cs="Arial" w:eastAsia="Arial" w:hAnsi="Arial"/>
          <w:sz w:val="17"/>
          <w:szCs w:val="17"/>
          <w:i w:val="1"/>
          <w:iCs w:val="1"/>
          <w:color w:val="auto"/>
        </w:rPr>
        <w:t>. In the event of Participant’s death or Disability, Participant will vest in such number of RSUs as is determined by multiplying (a) the number of RSUs scheduled to vest on the next occurring annual vesting date, by (b) (i) the number of months that have elapsed since the previous annual vesting date (or if no annual vesting date has yet occurred, since the Grant Date), divided by (ii) 12. Partial months shall be rounded up to the next whole calendar month for purposes of the numerator in this calculation. In the event the calculation results in a fractional RSU, any fractional RSU will be rounded up to the nearest whole RSU.</w:t>
      </w:r>
    </w:p>
    <w:p>
      <w:pPr>
        <w:spacing w:after="0" w:line="152" w:lineRule="exact"/>
        <w:rPr>
          <w:sz w:val="20"/>
          <w:szCs w:val="20"/>
          <w:color w:val="auto"/>
        </w:rPr>
      </w:pPr>
    </w:p>
    <w:p>
      <w:pPr>
        <w:jc w:val="both"/>
        <w:ind w:left="860"/>
        <w:spacing w:after="0" w:line="241" w:lineRule="auto"/>
        <w:rPr>
          <w:sz w:val="20"/>
          <w:szCs w:val="20"/>
          <w:color w:val="auto"/>
        </w:rPr>
      </w:pPr>
      <w:r>
        <w:rPr>
          <w:rFonts w:ascii="Arial" w:cs="Arial" w:eastAsia="Arial" w:hAnsi="Arial"/>
          <w:sz w:val="19"/>
          <w:szCs w:val="19"/>
          <w:i w:val="1"/>
          <w:iCs w:val="1"/>
          <w:color w:val="auto"/>
        </w:rPr>
        <w:t>The Award shall also be eligible for accelerated vesting as provided in Section 12.2 of the Plan. Notwithstanding the foregoing, and notwithstanding anything to the contrary contained in the Plan, in the event of a Change in Control, if Participant is a party to a Change in Control Severance Agreement with the Company at the time of such Change in Control, and a Qualifying Termination Event has occurred, as defined in the Participant’s Change in Control Severance Agreement, the RSUs shall accelerate, vest and be settled in full immediately prior to such Change in Control.”</w:t>
      </w:r>
    </w:p>
    <w:p>
      <w:pPr>
        <w:spacing w:after="0" w:line="183" w:lineRule="exact"/>
        <w:rPr>
          <w:sz w:val="20"/>
          <w:szCs w:val="20"/>
          <w:color w:val="auto"/>
        </w:rPr>
      </w:pPr>
    </w:p>
    <w:p>
      <w:pPr>
        <w:jc w:val="both"/>
        <w:ind w:left="860"/>
        <w:spacing w:after="0" w:line="277" w:lineRule="auto"/>
        <w:rPr>
          <w:sz w:val="20"/>
          <w:szCs w:val="20"/>
          <w:color w:val="auto"/>
        </w:rPr>
      </w:pPr>
      <w:r>
        <w:rPr>
          <w:rFonts w:ascii="Arial" w:cs="Arial" w:eastAsia="Arial" w:hAnsi="Arial"/>
          <w:sz w:val="17"/>
          <w:szCs w:val="17"/>
          <w:i w:val="1"/>
          <w:iCs w:val="1"/>
          <w:color w:val="auto"/>
        </w:rPr>
        <w:t>For purposes of this Award, “</w:t>
      </w:r>
      <w:r>
        <w:rPr>
          <w:rFonts w:ascii="Arial" w:cs="Arial" w:eastAsia="Arial" w:hAnsi="Arial"/>
          <w:sz w:val="17"/>
          <w:szCs w:val="17"/>
          <w:i w:val="1"/>
          <w:iCs w:val="1"/>
          <w:u w:val="single" w:color="auto"/>
          <w:color w:val="auto"/>
        </w:rPr>
        <w:t>Disability</w:t>
      </w:r>
      <w:r>
        <w:rPr>
          <w:rFonts w:ascii="Arial" w:cs="Arial" w:eastAsia="Arial" w:hAnsi="Arial"/>
          <w:sz w:val="17"/>
          <w:szCs w:val="17"/>
          <w:i w:val="1"/>
          <w:iCs w:val="1"/>
          <w:color w:val="auto"/>
        </w:rPr>
        <w:t>” means Participant (a) is unable to engage in any substantial gainful activity by reason of any medically determinable physical or mental impairment which can be expected to result in death or can be expected to last for a continuous period of not less than 12 months, or (b)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Company or its Subsidiaries.</w:t>
      </w:r>
    </w:p>
    <w:p>
      <w:pPr>
        <w:spacing w:after="0" w:line="152" w:lineRule="exact"/>
        <w:rPr>
          <w:sz w:val="20"/>
          <w:szCs w:val="20"/>
          <w:color w:val="auto"/>
        </w:rPr>
      </w:pPr>
    </w:p>
    <w:p>
      <w:pPr>
        <w:jc w:val="both"/>
        <w:ind w:left="860"/>
        <w:spacing w:after="0" w:line="247" w:lineRule="auto"/>
        <w:rPr>
          <w:sz w:val="20"/>
          <w:szCs w:val="20"/>
          <w:color w:val="auto"/>
        </w:rPr>
      </w:pPr>
      <w:r>
        <w:rPr>
          <w:rFonts w:ascii="Arial" w:cs="Arial" w:eastAsia="Arial" w:hAnsi="Arial"/>
          <w:sz w:val="19"/>
          <w:szCs w:val="19"/>
          <w:i w:val="1"/>
          <w:iCs w:val="1"/>
          <w:color w:val="auto"/>
        </w:rPr>
        <w:t>Notwithstanding anything to the contrary contained herein, in the event of Participant’s Termination of Service due to Retirement, Participant will remain eligible to vest in and receive on the Payment Date the total number of RSUs set forth in the Grant Notice. For purposes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310515</wp:posOffset>
            </wp:positionV>
            <wp:extent cx="7182485" cy="4127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99" w:name="page300"/>
    <w:bookmarkEnd w:id="299"/>
    <w:p>
      <w:pPr>
        <w:ind w:left="10240"/>
        <w:spacing w:after="0"/>
        <w:rPr>
          <w:sz w:val="20"/>
          <w:szCs w:val="20"/>
          <w:color w:val="auto"/>
        </w:rPr>
      </w:pPr>
      <w:r>
        <w:rPr>
          <w:rFonts w:ascii="Arial" w:cs="Arial" w:eastAsia="Arial" w:hAnsi="Arial"/>
          <w:sz w:val="17"/>
          <w:szCs w:val="17"/>
          <w:color w:val="auto"/>
        </w:rPr>
        <w:t>Exhibit 10.42</w:t>
      </w:r>
    </w:p>
    <w:p>
      <w:pPr>
        <w:spacing w:after="0" w:line="35"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this Award, "Retirement" means Participant’s voluntary Termination of Service after having attained age 62, with 10 years of completed</w:t>
      </w:r>
    </w:p>
    <w:p>
      <w:pPr>
        <w:spacing w:after="0" w:line="20" w:lineRule="exact"/>
        <w:rPr>
          <w:sz w:val="20"/>
          <w:szCs w:val="20"/>
          <w:color w:val="auto"/>
        </w:rPr>
      </w:pPr>
    </w:p>
    <w:p>
      <w:pPr>
        <w:ind w:left="860"/>
        <w:spacing w:after="0"/>
        <w:rPr>
          <w:sz w:val="20"/>
          <w:szCs w:val="20"/>
          <w:color w:val="auto"/>
        </w:rPr>
      </w:pPr>
      <w:r>
        <w:rPr>
          <w:rFonts w:ascii="Arial" w:cs="Arial" w:eastAsia="Arial" w:hAnsi="Arial"/>
          <w:sz w:val="19"/>
          <w:szCs w:val="19"/>
          <w:i w:val="1"/>
          <w:iCs w:val="1"/>
          <w:color w:val="auto"/>
        </w:rPr>
        <w:t>service.</w:t>
      </w:r>
    </w:p>
    <w:p>
      <w:pPr>
        <w:spacing w:after="0" w:line="129" w:lineRule="exact"/>
        <w:rPr>
          <w:sz w:val="20"/>
          <w:szCs w:val="20"/>
          <w:color w:val="auto"/>
        </w:rPr>
      </w:pPr>
    </w:p>
    <w:p>
      <w:pPr>
        <w:ind w:right="40" w:firstLine="866"/>
        <w:spacing w:after="0" w:line="265" w:lineRule="auto"/>
        <w:tabs>
          <w:tab w:leader="none" w:pos="1068" w:val="left"/>
        </w:tabs>
        <w:numPr>
          <w:ilvl w:val="0"/>
          <w:numId w:val="173"/>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The Agreement, as amended by this Amendment, shall remain in full force and effect in accordance with the terms and conditions thereof. This Amendment may be executed simultaneously in any number of counterparts, each of which shall be deemed an original but all of which together shall constitute one and the same instrument. In the event of any conflict between the original terms of the Agreement and this Amendment, the terms of this Amendment shall prevail.</w:t>
      </w:r>
    </w:p>
    <w:p>
      <w:pPr>
        <w:spacing w:after="0" w:line="100" w:lineRule="exact"/>
        <w:rPr>
          <w:sz w:val="20"/>
          <w:szCs w:val="20"/>
          <w:color w:val="auto"/>
        </w:rPr>
      </w:pPr>
    </w:p>
    <w:p>
      <w:pPr>
        <w:jc w:val="both"/>
        <w:ind w:right="380"/>
        <w:spacing w:after="0" w:line="253" w:lineRule="auto"/>
        <w:rPr>
          <w:sz w:val="20"/>
          <w:szCs w:val="20"/>
          <w:color w:val="auto"/>
        </w:rPr>
      </w:pPr>
      <w:r>
        <w:rPr>
          <w:rFonts w:ascii="Arial" w:cs="Arial" w:eastAsia="Arial" w:hAnsi="Arial"/>
          <w:sz w:val="20"/>
          <w:szCs w:val="20"/>
          <w:color w:val="auto"/>
        </w:rPr>
        <w:t>THE PARTIES TO THIS AMENDMENT HAVE READ THE FOREGOING AMENDMENT AND FULLY UNDERSTAND EACH AND EVERY PROVISION CONTAINED HEREIN. WHEREFORE, THE PARTIES HAVE EXECUTED THIS AMENDMENT ON THE DATES SHOWN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780" w:type="dxa"/>
            <w:vAlign w:val="bottom"/>
          </w:tcPr>
          <w:p>
            <w:pPr>
              <w:spacing w:after="0"/>
              <w:rPr>
                <w:sz w:val="22"/>
                <w:szCs w:val="22"/>
                <w:color w:val="auto"/>
              </w:rPr>
            </w:pPr>
          </w:p>
        </w:tc>
        <w:tc>
          <w:tcPr>
            <w:tcW w:w="7500" w:type="dxa"/>
            <w:vAlign w:val="bottom"/>
          </w:tcPr>
          <w:p>
            <w:pPr>
              <w:ind w:left="1240"/>
              <w:spacing w:after="0"/>
              <w:rPr>
                <w:sz w:val="20"/>
                <w:szCs w:val="20"/>
                <w:color w:val="auto"/>
              </w:rPr>
            </w:pPr>
            <w:r>
              <w:rPr>
                <w:rFonts w:ascii="Arial" w:cs="Arial" w:eastAsia="Arial" w:hAnsi="Arial"/>
                <w:sz w:val="20"/>
                <w:szCs w:val="20"/>
                <w:color w:val="auto"/>
              </w:rPr>
              <w:t>EMPLOYEE</w:t>
            </w:r>
          </w:p>
        </w:tc>
        <w:tc>
          <w:tcPr>
            <w:tcW w:w="0" w:type="dxa"/>
            <w:vAlign w:val="bottom"/>
          </w:tcPr>
          <w:p>
            <w:pPr>
              <w:spacing w:after="0"/>
              <w:rPr>
                <w:sz w:val="1"/>
                <w:szCs w:val="1"/>
                <w:color w:val="auto"/>
              </w:rPr>
            </w:pPr>
          </w:p>
        </w:tc>
      </w:tr>
      <w:tr>
        <w:trPr>
          <w:trHeight w:val="654"/>
        </w:trPr>
        <w:tc>
          <w:tcPr>
            <w:tcW w:w="3780" w:type="dxa"/>
            <w:vAlign w:val="bottom"/>
          </w:tcPr>
          <w:p>
            <w:pPr>
              <w:spacing w:after="0"/>
              <w:rPr>
                <w:sz w:val="20"/>
                <w:szCs w:val="20"/>
                <w:color w:val="auto"/>
              </w:rPr>
            </w:pPr>
            <w:r>
              <w:rPr>
                <w:rFonts w:ascii="Arial" w:cs="Arial" w:eastAsia="Arial" w:hAnsi="Arial"/>
                <w:sz w:val="20"/>
                <w:szCs w:val="20"/>
                <w:color w:val="auto"/>
              </w:rPr>
              <w:t>Dated: ___________________</w:t>
            </w:r>
          </w:p>
        </w:tc>
        <w:tc>
          <w:tcPr>
            <w:tcW w:w="7500" w:type="dxa"/>
            <w:vAlign w:val="bottom"/>
          </w:tcPr>
          <w:p>
            <w:pPr>
              <w:ind w:left="1240"/>
              <w:spacing w:after="0"/>
              <w:rPr>
                <w:sz w:val="20"/>
                <w:szCs w:val="20"/>
                <w:color w:val="auto"/>
              </w:rPr>
            </w:pPr>
            <w:r>
              <w:rPr>
                <w:rFonts w:ascii="Arial" w:cs="Arial" w:eastAsia="Arial" w:hAnsi="Arial"/>
                <w:sz w:val="20"/>
                <w:szCs w:val="20"/>
                <w:color w:val="auto"/>
              </w:rPr>
              <w:t>By:_______________________________________</w:t>
            </w:r>
          </w:p>
        </w:tc>
        <w:tc>
          <w:tcPr>
            <w:tcW w:w="0" w:type="dxa"/>
            <w:vAlign w:val="bottom"/>
          </w:tcPr>
          <w:p>
            <w:pPr>
              <w:spacing w:after="0"/>
              <w:rPr>
                <w:sz w:val="1"/>
                <w:szCs w:val="1"/>
                <w:color w:val="auto"/>
              </w:rPr>
            </w:pPr>
          </w:p>
        </w:tc>
      </w:tr>
      <w:tr>
        <w:trPr>
          <w:trHeight w:val="259"/>
        </w:trPr>
        <w:tc>
          <w:tcPr>
            <w:tcW w:w="3780" w:type="dxa"/>
            <w:vAlign w:val="bottom"/>
          </w:tcPr>
          <w:p>
            <w:pPr>
              <w:spacing w:after="0"/>
              <w:rPr>
                <w:sz w:val="22"/>
                <w:szCs w:val="22"/>
                <w:color w:val="auto"/>
              </w:rPr>
            </w:pPr>
          </w:p>
        </w:tc>
        <w:tc>
          <w:tcPr>
            <w:tcW w:w="7500" w:type="dxa"/>
            <w:vAlign w:val="bottom"/>
          </w:tcPr>
          <w:p>
            <w:pPr>
              <w:ind w:left="1240"/>
              <w:spacing w:after="0"/>
              <w:rPr>
                <w:sz w:val="20"/>
                <w:szCs w:val="20"/>
                <w:color w:val="auto"/>
              </w:rPr>
            </w:pPr>
            <w:r>
              <w:rPr>
                <w:rFonts w:ascii="Arial" w:cs="Arial" w:eastAsia="Arial" w:hAnsi="Arial"/>
                <w:sz w:val="20"/>
                <w:szCs w:val="20"/>
                <w:color w:val="auto"/>
              </w:rPr>
              <w:t>Charles Harrington</w:t>
            </w:r>
          </w:p>
        </w:tc>
        <w:tc>
          <w:tcPr>
            <w:tcW w:w="0" w:type="dxa"/>
            <w:vAlign w:val="bottom"/>
          </w:tcPr>
          <w:p>
            <w:pPr>
              <w:spacing w:after="0"/>
              <w:rPr>
                <w:sz w:val="1"/>
                <w:szCs w:val="1"/>
                <w:color w:val="auto"/>
              </w:rPr>
            </w:pPr>
          </w:p>
        </w:tc>
      </w:tr>
      <w:tr>
        <w:trPr>
          <w:trHeight w:val="685"/>
        </w:trPr>
        <w:tc>
          <w:tcPr>
            <w:tcW w:w="3780" w:type="dxa"/>
            <w:vAlign w:val="bottom"/>
          </w:tcPr>
          <w:p>
            <w:pPr>
              <w:spacing w:after="0"/>
              <w:rPr>
                <w:sz w:val="24"/>
                <w:szCs w:val="24"/>
                <w:color w:val="auto"/>
              </w:rPr>
            </w:pPr>
          </w:p>
        </w:tc>
        <w:tc>
          <w:tcPr>
            <w:tcW w:w="7500" w:type="dxa"/>
            <w:vAlign w:val="bottom"/>
          </w:tcPr>
          <w:p>
            <w:pPr>
              <w:ind w:left="1240"/>
              <w:spacing w:after="0"/>
              <w:rPr>
                <w:sz w:val="20"/>
                <w:szCs w:val="20"/>
                <w:color w:val="auto"/>
              </w:rPr>
            </w:pPr>
            <w:r>
              <w:rPr>
                <w:rFonts w:ascii="Arial" w:cs="Arial" w:eastAsia="Arial" w:hAnsi="Arial"/>
                <w:sz w:val="20"/>
                <w:szCs w:val="20"/>
                <w:color w:val="auto"/>
              </w:rPr>
              <w:t>PARSONS CORPORATION</w:t>
            </w:r>
          </w:p>
        </w:tc>
        <w:tc>
          <w:tcPr>
            <w:tcW w:w="0" w:type="dxa"/>
            <w:vAlign w:val="bottom"/>
          </w:tcPr>
          <w:p>
            <w:pPr>
              <w:spacing w:after="0"/>
              <w:rPr>
                <w:sz w:val="1"/>
                <w:szCs w:val="1"/>
                <w:color w:val="auto"/>
              </w:rPr>
            </w:pPr>
          </w:p>
        </w:tc>
      </w:tr>
      <w:tr>
        <w:trPr>
          <w:trHeight w:val="781"/>
        </w:trPr>
        <w:tc>
          <w:tcPr>
            <w:tcW w:w="3780" w:type="dxa"/>
            <w:vAlign w:val="bottom"/>
            <w:vMerge w:val="restart"/>
          </w:tcPr>
          <w:p>
            <w:pPr>
              <w:spacing w:after="0"/>
              <w:rPr>
                <w:sz w:val="20"/>
                <w:szCs w:val="20"/>
                <w:color w:val="auto"/>
              </w:rPr>
            </w:pPr>
            <w:r>
              <w:rPr>
                <w:rFonts w:ascii="Arial" w:cs="Arial" w:eastAsia="Arial" w:hAnsi="Arial"/>
                <w:sz w:val="20"/>
                <w:szCs w:val="20"/>
                <w:color w:val="auto"/>
              </w:rPr>
              <w:t>Dated: January 31, 2022</w:t>
            </w:r>
          </w:p>
        </w:tc>
        <w:tc>
          <w:tcPr>
            <w:tcW w:w="7500" w:type="dxa"/>
            <w:vAlign w:val="bottom"/>
          </w:tcPr>
          <w:p>
            <w:pPr>
              <w:ind w:left="1240"/>
              <w:spacing w:after="0"/>
              <w:rPr>
                <w:sz w:val="20"/>
                <w:szCs w:val="20"/>
                <w:color w:val="auto"/>
              </w:rPr>
            </w:pPr>
            <w:r>
              <w:rPr>
                <w:rFonts w:ascii="Arial" w:cs="Arial" w:eastAsia="Arial" w:hAnsi="Arial"/>
                <w:sz w:val="20"/>
                <w:szCs w:val="20"/>
                <w:color w:val="auto"/>
              </w:rPr>
              <w:t>Susan Balaguer</w:t>
            </w:r>
          </w:p>
        </w:tc>
        <w:tc>
          <w:tcPr>
            <w:tcW w:w="0" w:type="dxa"/>
            <w:vAlign w:val="bottom"/>
          </w:tcPr>
          <w:p>
            <w:pPr>
              <w:spacing w:after="0"/>
              <w:rPr>
                <w:sz w:val="1"/>
                <w:szCs w:val="1"/>
                <w:color w:val="auto"/>
              </w:rPr>
            </w:pPr>
          </w:p>
        </w:tc>
      </w:tr>
      <w:tr>
        <w:trPr>
          <w:trHeight w:val="132"/>
        </w:trPr>
        <w:tc>
          <w:tcPr>
            <w:tcW w:w="3780" w:type="dxa"/>
            <w:vAlign w:val="bottom"/>
            <w:vMerge w:val="continue"/>
          </w:tcPr>
          <w:p>
            <w:pPr>
              <w:spacing w:after="0"/>
              <w:rPr>
                <w:sz w:val="11"/>
                <w:szCs w:val="11"/>
                <w:color w:val="auto"/>
              </w:rPr>
            </w:pPr>
          </w:p>
        </w:tc>
        <w:tc>
          <w:tcPr>
            <w:tcW w:w="7500" w:type="dxa"/>
            <w:vAlign w:val="bottom"/>
            <w:vMerge w:val="restart"/>
          </w:tcPr>
          <w:p>
            <w:pPr>
              <w:ind w:left="1240"/>
              <w:spacing w:after="0"/>
              <w:rPr>
                <w:sz w:val="20"/>
                <w:szCs w:val="20"/>
                <w:color w:val="auto"/>
              </w:rPr>
            </w:pPr>
            <w:r>
              <w:rPr>
                <w:rFonts w:ascii="Arial" w:cs="Arial" w:eastAsia="Arial" w:hAnsi="Arial"/>
                <w:sz w:val="20"/>
                <w:szCs w:val="20"/>
                <w:color w:val="auto"/>
              </w:rPr>
              <w:t>Chief Human Resources Officer</w:t>
            </w:r>
          </w:p>
        </w:tc>
        <w:tc>
          <w:tcPr>
            <w:tcW w:w="0" w:type="dxa"/>
            <w:vAlign w:val="bottom"/>
          </w:tcPr>
          <w:p>
            <w:pPr>
              <w:spacing w:after="0"/>
              <w:rPr>
                <w:sz w:val="1"/>
                <w:szCs w:val="1"/>
                <w:color w:val="auto"/>
              </w:rPr>
            </w:pPr>
          </w:p>
        </w:tc>
      </w:tr>
      <w:tr>
        <w:trPr>
          <w:trHeight w:val="127"/>
        </w:trPr>
        <w:tc>
          <w:tcPr>
            <w:tcW w:w="3780" w:type="dxa"/>
            <w:vAlign w:val="bottom"/>
          </w:tcPr>
          <w:p>
            <w:pPr>
              <w:spacing w:after="0"/>
              <w:rPr>
                <w:sz w:val="11"/>
                <w:szCs w:val="11"/>
                <w:color w:val="auto"/>
              </w:rPr>
            </w:pPr>
          </w:p>
        </w:tc>
        <w:tc>
          <w:tcPr>
            <w:tcW w:w="7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7"/>
        </w:trPr>
        <w:tc>
          <w:tcPr>
            <w:tcW w:w="378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-27940</wp:posOffset>
            </wp:positionV>
            <wp:extent cx="33655" cy="4127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3188970</wp:posOffset>
            </wp:positionH>
            <wp:positionV relativeFrom="paragraph">
              <wp:posOffset>-1279525</wp:posOffset>
            </wp:positionV>
            <wp:extent cx="1690370" cy="3702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2">
                      <a:extLst>
                        <a:ext uri="{28A0092B-C50C-407E-A947-70E740481C1C}"/>
                      </a:extLst>
                    </a:blip>
                    <a:srcRect/>
                    <a:stretch>
                      <a:fillRect/>
                    </a:stretch>
                  </pic:blipFill>
                  <pic:spPr bwMode="auto">
                    <a:xfrm>
                      <a:off x="0" y="0"/>
                      <a:ext cx="1690370" cy="370205"/>
                    </a:xfrm>
                    <a:prstGeom prst="rect">
                      <a:avLst/>
                    </a:prstGeom>
                    <a:noFill/>
                  </pic:spPr>
                </pic:pic>
              </a:graphicData>
            </a:graphic>
          </wp:anchor>
        </w:drawing>
      </w:r>
    </w:p>
    <w:p>
      <w:pPr>
        <w:sectPr>
          <w:pgSz w:w="11900" w:h="16838" w:orient="portrait"/>
          <w:cols w:equalWidth="0" w:num="1">
            <w:col w:w="11280"/>
          </w:cols>
          <w:pgMar w:left="320" w:top="124" w:right="299" w:bottom="1440" w:gutter="0" w:footer="0" w:header="0"/>
        </w:sectPr>
      </w:pPr>
    </w:p>
    <w:bookmarkStart w:id="300" w:name="page301"/>
    <w:bookmarkEnd w:id="300"/>
    <w:p>
      <w:pPr>
        <w:jc w:val="right"/>
        <w:spacing w:after="0"/>
        <w:rPr>
          <w:sz w:val="20"/>
          <w:szCs w:val="20"/>
          <w:color w:val="auto"/>
        </w:rPr>
      </w:pPr>
      <w:r>
        <w:rPr>
          <w:rFonts w:ascii="Arial" w:cs="Arial" w:eastAsia="Arial" w:hAnsi="Arial"/>
          <w:sz w:val="19"/>
          <w:szCs w:val="19"/>
          <w:color w:val="auto"/>
        </w:rPr>
        <w:t>Exhibit 10.42</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AMENDMENT TO PARSONS CORPORATION INCENTIVE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RESTRICTED STOCK UNIT AWARD</w:t>
      </w:r>
    </w:p>
    <w:p>
      <w:pPr>
        <w:spacing w:after="0" w:line="145" w:lineRule="exact"/>
        <w:rPr>
          <w:sz w:val="20"/>
          <w:szCs w:val="20"/>
          <w:color w:val="auto"/>
        </w:rPr>
      </w:pPr>
    </w:p>
    <w:p>
      <w:pPr>
        <w:ind w:right="120" w:firstLine="589"/>
        <w:spacing w:after="0" w:line="268" w:lineRule="auto"/>
        <w:rPr>
          <w:sz w:val="20"/>
          <w:szCs w:val="20"/>
          <w:color w:val="auto"/>
        </w:rPr>
      </w:pPr>
      <w:r>
        <w:rPr>
          <w:rFonts w:ascii="Arial" w:cs="Arial" w:eastAsia="Arial" w:hAnsi="Arial"/>
          <w:sz w:val="20"/>
          <w:szCs w:val="20"/>
          <w:color w:val="auto"/>
        </w:rPr>
        <w:t>This Amendment to Parsons Corporation Incentive Award Plan Restricted Stock Unit Award (“Amendment”) is made effective as of July 19, 2021, by and between Parsons Corporation (“Company”), and Charles Harrington (“Employee”).</w:t>
      </w:r>
    </w:p>
    <w:p>
      <w:pPr>
        <w:spacing w:after="0" w:line="95" w:lineRule="exact"/>
        <w:rPr>
          <w:sz w:val="20"/>
          <w:szCs w:val="20"/>
          <w:color w:val="auto"/>
        </w:rPr>
      </w:pPr>
    </w:p>
    <w:p>
      <w:pPr>
        <w:ind w:right="3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Incentive Award Plan Restricted Stock Unit Award dated as of March 1, 2021 (the “Award”);</w:t>
      </w:r>
    </w:p>
    <w:p>
      <w:pPr>
        <w:spacing w:after="0" w:line="95" w:lineRule="exact"/>
        <w:rPr>
          <w:sz w:val="20"/>
          <w:szCs w:val="20"/>
          <w:color w:val="auto"/>
        </w:rPr>
      </w:pPr>
    </w:p>
    <w:p>
      <w:pPr>
        <w:ind w:right="1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Change in Control Severance Agreement (“CIC Agreement”), which was amended as of July 19, 2021;</w:t>
      </w:r>
    </w:p>
    <w:p>
      <w:pPr>
        <w:spacing w:after="0" w:line="95" w:lineRule="exact"/>
        <w:rPr>
          <w:sz w:val="20"/>
          <w:szCs w:val="20"/>
          <w:color w:val="auto"/>
        </w:rPr>
      </w:pPr>
    </w:p>
    <w:p>
      <w:pPr>
        <w:ind w:right="640" w:firstLine="589"/>
        <w:spacing w:after="0" w:line="268" w:lineRule="auto"/>
        <w:rPr>
          <w:sz w:val="20"/>
          <w:szCs w:val="20"/>
          <w:color w:val="auto"/>
        </w:rPr>
      </w:pPr>
      <w:r>
        <w:rPr>
          <w:rFonts w:ascii="Arial" w:cs="Arial" w:eastAsia="Arial" w:hAnsi="Arial"/>
          <w:sz w:val="20"/>
          <w:szCs w:val="20"/>
          <w:color w:val="auto"/>
        </w:rPr>
        <w:t>WHEREAS, the Company and Employee desire to amend the Award to incorporate and reflect any amendments to the CIC Agreement;</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parties agree as follows:</w:t>
      </w:r>
    </w:p>
    <w:p>
      <w:pPr>
        <w:spacing w:after="0" w:line="150" w:lineRule="exact"/>
        <w:rPr>
          <w:sz w:val="20"/>
          <w:szCs w:val="20"/>
          <w:color w:val="auto"/>
        </w:rPr>
      </w:pPr>
    </w:p>
    <w:p>
      <w:pPr>
        <w:ind w:left="1400" w:hanging="809"/>
        <w:spacing w:after="0"/>
        <w:tabs>
          <w:tab w:leader="none" w:pos="140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Paragraph 2 of Exhibit B is hereby restated as follows:</w:t>
      </w:r>
    </w:p>
    <w:p>
      <w:pPr>
        <w:spacing w:after="0" w:line="200" w:lineRule="exact"/>
        <w:rPr>
          <w:sz w:val="20"/>
          <w:szCs w:val="20"/>
          <w:color w:val="auto"/>
        </w:rPr>
      </w:pPr>
    </w:p>
    <w:p>
      <w:pPr>
        <w:spacing w:after="0" w:line="234" w:lineRule="exact"/>
        <w:rPr>
          <w:sz w:val="20"/>
          <w:szCs w:val="20"/>
          <w:color w:val="auto"/>
        </w:rPr>
      </w:pPr>
    </w:p>
    <w:p>
      <w:pPr>
        <w:jc w:val="both"/>
        <w:ind w:left="860"/>
        <w:spacing w:after="0" w:line="277" w:lineRule="auto"/>
        <w:rPr>
          <w:sz w:val="20"/>
          <w:szCs w:val="20"/>
          <w:color w:val="auto"/>
        </w:rPr>
      </w:pPr>
      <w:r>
        <w:rPr>
          <w:rFonts w:ascii="Arial" w:cs="Arial" w:eastAsia="Arial" w:hAnsi="Arial"/>
          <w:sz w:val="17"/>
          <w:szCs w:val="17"/>
          <w:i w:val="1"/>
          <w:iCs w:val="1"/>
          <w:u w:val="single" w:color="auto"/>
          <w:color w:val="auto"/>
        </w:rPr>
        <w:t>ACCELERATED VESTING</w:t>
      </w:r>
      <w:r>
        <w:rPr>
          <w:rFonts w:ascii="Arial" w:cs="Arial" w:eastAsia="Arial" w:hAnsi="Arial"/>
          <w:sz w:val="17"/>
          <w:szCs w:val="17"/>
          <w:i w:val="1"/>
          <w:iCs w:val="1"/>
          <w:color w:val="auto"/>
        </w:rPr>
        <w:t>. In the event of Participant’s death or Disability, Participant will vest in such number of RSUs as is determined by multiplying (a) the number of RSUs scheduled to vest on the next occurring annual vesting date, by (b) (i) the number of months that have elapsed since the previous annual vesting date (or if no annual vesting date has yet occurred, since the Grant Date), divided by (ii) 12. Partial months shall be rounded up to the next whole calendar month for purposes of the numerator in this calculation. In the event the calculation results in a fractional RSU, any fractional RSU will be rounded up to the nearest whole RSU.</w:t>
      </w:r>
    </w:p>
    <w:p>
      <w:pPr>
        <w:spacing w:after="0" w:line="152" w:lineRule="exact"/>
        <w:rPr>
          <w:sz w:val="20"/>
          <w:szCs w:val="20"/>
          <w:color w:val="auto"/>
        </w:rPr>
      </w:pPr>
    </w:p>
    <w:p>
      <w:pPr>
        <w:jc w:val="both"/>
        <w:ind w:left="860"/>
        <w:spacing w:after="0" w:line="241" w:lineRule="auto"/>
        <w:rPr>
          <w:sz w:val="20"/>
          <w:szCs w:val="20"/>
          <w:color w:val="auto"/>
        </w:rPr>
      </w:pPr>
      <w:r>
        <w:rPr>
          <w:rFonts w:ascii="Arial" w:cs="Arial" w:eastAsia="Arial" w:hAnsi="Arial"/>
          <w:sz w:val="19"/>
          <w:szCs w:val="19"/>
          <w:i w:val="1"/>
          <w:iCs w:val="1"/>
          <w:color w:val="auto"/>
        </w:rPr>
        <w:t>The Award shall also be eligible for accelerated vesting as provided in Section 12.2 of the Plan. Notwithstanding the foregoing, and notwithstanding anything to the contrary contained in the Plan, in the event of a Change in Control, if Participant is a party to a Change in Control Severance Agreement with the Company at the time of such Change in Control, and a Qualifying Termination Event has occurred, as defined in the Participant’s Change in Control Severance Agreement, the RSUs shall accelerate, vest and be settled in full immediately prior to such Change in Control.”</w:t>
      </w:r>
    </w:p>
    <w:p>
      <w:pPr>
        <w:spacing w:after="0" w:line="183" w:lineRule="exact"/>
        <w:rPr>
          <w:sz w:val="20"/>
          <w:szCs w:val="20"/>
          <w:color w:val="auto"/>
        </w:rPr>
      </w:pPr>
    </w:p>
    <w:p>
      <w:pPr>
        <w:jc w:val="both"/>
        <w:ind w:left="860"/>
        <w:spacing w:after="0" w:line="277" w:lineRule="auto"/>
        <w:rPr>
          <w:sz w:val="20"/>
          <w:szCs w:val="20"/>
          <w:color w:val="auto"/>
        </w:rPr>
      </w:pPr>
      <w:r>
        <w:rPr>
          <w:rFonts w:ascii="Arial" w:cs="Arial" w:eastAsia="Arial" w:hAnsi="Arial"/>
          <w:sz w:val="17"/>
          <w:szCs w:val="17"/>
          <w:i w:val="1"/>
          <w:iCs w:val="1"/>
          <w:color w:val="auto"/>
        </w:rPr>
        <w:t>For purposes of this Award, “</w:t>
      </w:r>
      <w:r>
        <w:rPr>
          <w:rFonts w:ascii="Arial" w:cs="Arial" w:eastAsia="Arial" w:hAnsi="Arial"/>
          <w:sz w:val="17"/>
          <w:szCs w:val="17"/>
          <w:i w:val="1"/>
          <w:iCs w:val="1"/>
          <w:u w:val="single" w:color="auto"/>
          <w:color w:val="auto"/>
        </w:rPr>
        <w:t>Disability</w:t>
      </w:r>
      <w:r>
        <w:rPr>
          <w:rFonts w:ascii="Arial" w:cs="Arial" w:eastAsia="Arial" w:hAnsi="Arial"/>
          <w:sz w:val="17"/>
          <w:szCs w:val="17"/>
          <w:i w:val="1"/>
          <w:iCs w:val="1"/>
          <w:color w:val="auto"/>
        </w:rPr>
        <w:t>” means Participant (a) is unable to engage in any substantial gainful activity by reason of any medically determinable physical or mental impairment which can be expected to result in death or can be expected to last for a continuous period of not less than 12 months, or (b)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Company or its Subsidiaries.</w:t>
      </w:r>
    </w:p>
    <w:p>
      <w:pPr>
        <w:spacing w:after="0" w:line="152" w:lineRule="exact"/>
        <w:rPr>
          <w:sz w:val="20"/>
          <w:szCs w:val="20"/>
          <w:color w:val="auto"/>
        </w:rPr>
      </w:pPr>
    </w:p>
    <w:p>
      <w:pPr>
        <w:jc w:val="both"/>
        <w:ind w:left="860"/>
        <w:spacing w:after="0" w:line="247" w:lineRule="auto"/>
        <w:rPr>
          <w:sz w:val="20"/>
          <w:szCs w:val="20"/>
          <w:color w:val="auto"/>
        </w:rPr>
      </w:pPr>
      <w:r>
        <w:rPr>
          <w:rFonts w:ascii="Arial" w:cs="Arial" w:eastAsia="Arial" w:hAnsi="Arial"/>
          <w:sz w:val="19"/>
          <w:szCs w:val="19"/>
          <w:i w:val="1"/>
          <w:iCs w:val="1"/>
          <w:color w:val="auto"/>
        </w:rPr>
        <w:t>Notwithstanding anything to the contrary contained herein, in the event of Participant’s Termination of Service due to Retirement, Participant will remain eligible to vest in and receive on the Payment Date the total number of RSUs set forth in the Grant Notice. For purposes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310515</wp:posOffset>
            </wp:positionV>
            <wp:extent cx="7182485" cy="412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1" w:name="page302"/>
    <w:bookmarkEnd w:id="301"/>
    <w:p>
      <w:pPr>
        <w:ind w:left="10240"/>
        <w:spacing w:after="0"/>
        <w:rPr>
          <w:sz w:val="20"/>
          <w:szCs w:val="20"/>
          <w:color w:val="auto"/>
        </w:rPr>
      </w:pPr>
      <w:r>
        <w:rPr>
          <w:rFonts w:ascii="Arial" w:cs="Arial" w:eastAsia="Arial" w:hAnsi="Arial"/>
          <w:sz w:val="17"/>
          <w:szCs w:val="17"/>
          <w:color w:val="auto"/>
        </w:rPr>
        <w:t>Exhibit 10.42</w:t>
      </w:r>
    </w:p>
    <w:p>
      <w:pPr>
        <w:spacing w:after="0" w:line="35"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this Award, "Retirement" means Participant’s voluntary Termination of Service after having attained age 62, with 10 years of completed</w:t>
      </w:r>
    </w:p>
    <w:p>
      <w:pPr>
        <w:spacing w:after="0" w:line="20" w:lineRule="exact"/>
        <w:rPr>
          <w:sz w:val="20"/>
          <w:szCs w:val="20"/>
          <w:color w:val="auto"/>
        </w:rPr>
      </w:pPr>
    </w:p>
    <w:p>
      <w:pPr>
        <w:ind w:left="860"/>
        <w:spacing w:after="0"/>
        <w:rPr>
          <w:sz w:val="20"/>
          <w:szCs w:val="20"/>
          <w:color w:val="auto"/>
        </w:rPr>
      </w:pPr>
      <w:r>
        <w:rPr>
          <w:rFonts w:ascii="Arial" w:cs="Arial" w:eastAsia="Arial" w:hAnsi="Arial"/>
          <w:sz w:val="19"/>
          <w:szCs w:val="19"/>
          <w:i w:val="1"/>
          <w:iCs w:val="1"/>
          <w:color w:val="auto"/>
        </w:rPr>
        <w:t>service.</w:t>
      </w:r>
    </w:p>
    <w:p>
      <w:pPr>
        <w:spacing w:after="0" w:line="129" w:lineRule="exact"/>
        <w:rPr>
          <w:sz w:val="20"/>
          <w:szCs w:val="20"/>
          <w:color w:val="auto"/>
        </w:rPr>
      </w:pPr>
    </w:p>
    <w:p>
      <w:pPr>
        <w:ind w:firstLine="866"/>
        <w:spacing w:after="0" w:line="265" w:lineRule="auto"/>
        <w:tabs>
          <w:tab w:leader="none" w:pos="1068" w:val="left"/>
        </w:tabs>
        <w:numPr>
          <w:ilvl w:val="0"/>
          <w:numId w:val="175"/>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The Agreement, as amended by this Amendment, shall remain in full force and effect in accordance with the terms and conditions thereof. This Amendment may be executed simultaneously in any number of counterparts, each of which shall be deemed an original but all of which together shall constitute one and the same instrument. In the event of any conflict between the original terms of the Agreement and this Amendment, the terms of this Amendment shall prevail.</w:t>
      </w:r>
    </w:p>
    <w:p>
      <w:pPr>
        <w:spacing w:after="0" w:line="100" w:lineRule="exact"/>
        <w:rPr>
          <w:sz w:val="20"/>
          <w:szCs w:val="20"/>
          <w:color w:val="auto"/>
        </w:rPr>
      </w:pPr>
    </w:p>
    <w:p>
      <w:pPr>
        <w:jc w:val="both"/>
        <w:ind w:right="340"/>
        <w:spacing w:after="0" w:line="253" w:lineRule="auto"/>
        <w:rPr>
          <w:sz w:val="20"/>
          <w:szCs w:val="20"/>
          <w:color w:val="auto"/>
        </w:rPr>
      </w:pPr>
      <w:r>
        <w:rPr>
          <w:rFonts w:ascii="Arial" w:cs="Arial" w:eastAsia="Arial" w:hAnsi="Arial"/>
          <w:sz w:val="20"/>
          <w:szCs w:val="20"/>
          <w:color w:val="auto"/>
        </w:rPr>
        <w:t>THE PARTIES TO THIS AMENDMENT HAVE READ THE FOREGOING AMENDMENT AND FULLY UNDERSTAND EACH AND EVERY PROVISION CONTAINED HEREIN. WHEREFORE, THE PARTIES HAVE EXECUTED THIS AMENDMENT ON THE DATES SHOWN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820" w:type="dxa"/>
            <w:vAlign w:val="bottom"/>
          </w:tcPr>
          <w:p>
            <w:pPr>
              <w:spacing w:after="0"/>
              <w:rPr>
                <w:sz w:val="22"/>
                <w:szCs w:val="22"/>
                <w:color w:val="auto"/>
              </w:rPr>
            </w:pPr>
          </w:p>
        </w:tc>
        <w:tc>
          <w:tcPr>
            <w:tcW w:w="5460" w:type="dxa"/>
            <w:vAlign w:val="bottom"/>
          </w:tcPr>
          <w:p>
            <w:pPr>
              <w:ind w:left="1200"/>
              <w:spacing w:after="0"/>
              <w:rPr>
                <w:sz w:val="20"/>
                <w:szCs w:val="20"/>
                <w:color w:val="auto"/>
              </w:rPr>
            </w:pPr>
            <w:r>
              <w:rPr>
                <w:rFonts w:ascii="Arial" w:cs="Arial" w:eastAsia="Arial" w:hAnsi="Arial"/>
                <w:sz w:val="20"/>
                <w:szCs w:val="20"/>
                <w:color w:val="auto"/>
              </w:rPr>
              <w:t>EMPLOYEE</w:t>
            </w:r>
          </w:p>
        </w:tc>
      </w:tr>
      <w:tr>
        <w:trPr>
          <w:trHeight w:val="654"/>
        </w:trPr>
        <w:tc>
          <w:tcPr>
            <w:tcW w:w="3820" w:type="dxa"/>
            <w:vAlign w:val="bottom"/>
          </w:tcPr>
          <w:p>
            <w:pPr>
              <w:spacing w:after="0"/>
              <w:rPr>
                <w:sz w:val="20"/>
                <w:szCs w:val="20"/>
                <w:color w:val="auto"/>
              </w:rPr>
            </w:pPr>
            <w:r>
              <w:rPr>
                <w:rFonts w:ascii="Arial" w:cs="Arial" w:eastAsia="Arial" w:hAnsi="Arial"/>
                <w:sz w:val="20"/>
                <w:szCs w:val="20"/>
                <w:color w:val="auto"/>
              </w:rPr>
              <w:t>Dated: ____________________</w:t>
            </w:r>
          </w:p>
        </w:tc>
        <w:tc>
          <w:tcPr>
            <w:tcW w:w="5460" w:type="dxa"/>
            <w:vAlign w:val="bottom"/>
          </w:tcPr>
          <w:p>
            <w:pPr>
              <w:ind w:left="1200"/>
              <w:spacing w:after="0"/>
              <w:rPr>
                <w:sz w:val="20"/>
                <w:szCs w:val="20"/>
                <w:color w:val="auto"/>
              </w:rPr>
            </w:pPr>
            <w:r>
              <w:rPr>
                <w:rFonts w:ascii="Arial" w:cs="Arial" w:eastAsia="Arial" w:hAnsi="Arial"/>
                <w:sz w:val="20"/>
                <w:szCs w:val="20"/>
                <w:color w:val="auto"/>
                <w:w w:val="91"/>
              </w:rPr>
              <w:t>By:_______________________________________</w:t>
            </w:r>
          </w:p>
        </w:tc>
      </w:tr>
      <w:tr>
        <w:trPr>
          <w:trHeight w:val="259"/>
        </w:trPr>
        <w:tc>
          <w:tcPr>
            <w:tcW w:w="3820" w:type="dxa"/>
            <w:vAlign w:val="bottom"/>
          </w:tcPr>
          <w:p>
            <w:pPr>
              <w:spacing w:after="0"/>
              <w:rPr>
                <w:sz w:val="22"/>
                <w:szCs w:val="22"/>
                <w:color w:val="auto"/>
              </w:rPr>
            </w:pPr>
          </w:p>
        </w:tc>
        <w:tc>
          <w:tcPr>
            <w:tcW w:w="5460" w:type="dxa"/>
            <w:vAlign w:val="bottom"/>
          </w:tcPr>
          <w:p>
            <w:pPr>
              <w:ind w:left="1200"/>
              <w:spacing w:after="0"/>
              <w:rPr>
                <w:sz w:val="20"/>
                <w:szCs w:val="20"/>
                <w:color w:val="auto"/>
              </w:rPr>
            </w:pPr>
            <w:r>
              <w:rPr>
                <w:rFonts w:ascii="Arial" w:cs="Arial" w:eastAsia="Arial" w:hAnsi="Arial"/>
                <w:sz w:val="20"/>
                <w:szCs w:val="20"/>
                <w:color w:val="auto"/>
              </w:rPr>
              <w:t>Charles Harrington</w:t>
            </w:r>
          </w:p>
        </w:tc>
      </w:tr>
      <w:tr>
        <w:trPr>
          <w:trHeight w:val="456"/>
        </w:trPr>
        <w:tc>
          <w:tcPr>
            <w:tcW w:w="3820" w:type="dxa"/>
            <w:vAlign w:val="bottom"/>
          </w:tcPr>
          <w:p>
            <w:pPr>
              <w:spacing w:after="0"/>
              <w:rPr>
                <w:sz w:val="24"/>
                <w:szCs w:val="24"/>
                <w:color w:val="auto"/>
              </w:rPr>
            </w:pPr>
          </w:p>
        </w:tc>
        <w:tc>
          <w:tcPr>
            <w:tcW w:w="5460" w:type="dxa"/>
            <w:vAlign w:val="bottom"/>
          </w:tcPr>
          <w:p>
            <w:pPr>
              <w:ind w:left="1200"/>
              <w:spacing w:after="0"/>
              <w:rPr>
                <w:sz w:val="20"/>
                <w:szCs w:val="20"/>
                <w:color w:val="auto"/>
              </w:rPr>
            </w:pPr>
            <w:r>
              <w:rPr>
                <w:rFonts w:ascii="Arial" w:cs="Arial" w:eastAsia="Arial" w:hAnsi="Arial"/>
                <w:sz w:val="20"/>
                <w:szCs w:val="20"/>
                <w:color w:val="auto"/>
              </w:rPr>
              <w:t>PARSONS CORPORATION</w:t>
            </w:r>
          </w:p>
        </w:tc>
      </w:tr>
      <w:tr>
        <w:trPr>
          <w:trHeight w:val="946"/>
        </w:trPr>
        <w:tc>
          <w:tcPr>
            <w:tcW w:w="3820" w:type="dxa"/>
            <w:vAlign w:val="bottom"/>
          </w:tcPr>
          <w:p>
            <w:pPr>
              <w:spacing w:after="0"/>
              <w:rPr>
                <w:sz w:val="20"/>
                <w:szCs w:val="20"/>
                <w:color w:val="auto"/>
              </w:rPr>
            </w:pPr>
            <w:r>
              <w:rPr>
                <w:rFonts w:ascii="Arial" w:cs="Arial" w:eastAsia="Arial" w:hAnsi="Arial"/>
                <w:sz w:val="20"/>
                <w:szCs w:val="20"/>
                <w:color w:val="auto"/>
              </w:rPr>
              <w:t>Dated: January 26, 2022</w:t>
            </w:r>
          </w:p>
        </w:tc>
        <w:tc>
          <w:tcPr>
            <w:tcW w:w="5460" w:type="dxa"/>
            <w:vAlign w:val="bottom"/>
          </w:tcPr>
          <w:p>
            <w:pPr>
              <w:ind w:left="1200"/>
              <w:spacing w:after="0"/>
              <w:rPr>
                <w:sz w:val="20"/>
                <w:szCs w:val="20"/>
                <w:color w:val="auto"/>
              </w:rPr>
            </w:pPr>
            <w:r>
              <w:rPr>
                <w:rFonts w:ascii="Arial" w:cs="Arial" w:eastAsia="Arial" w:hAnsi="Arial"/>
                <w:sz w:val="20"/>
                <w:szCs w:val="20"/>
                <w:color w:val="auto"/>
              </w:rPr>
              <w:t>Susan Balaguer</w:t>
            </w:r>
          </w:p>
        </w:tc>
      </w:tr>
      <w:tr>
        <w:trPr>
          <w:trHeight w:val="259"/>
        </w:trPr>
        <w:tc>
          <w:tcPr>
            <w:tcW w:w="3820" w:type="dxa"/>
            <w:vAlign w:val="bottom"/>
          </w:tcPr>
          <w:p>
            <w:pPr>
              <w:spacing w:after="0"/>
              <w:rPr>
                <w:sz w:val="22"/>
                <w:szCs w:val="22"/>
                <w:color w:val="auto"/>
              </w:rPr>
            </w:pPr>
          </w:p>
        </w:tc>
        <w:tc>
          <w:tcPr>
            <w:tcW w:w="5460" w:type="dxa"/>
            <w:vAlign w:val="bottom"/>
          </w:tcPr>
          <w:p>
            <w:pPr>
              <w:ind w:left="1200"/>
              <w:spacing w:after="0"/>
              <w:rPr>
                <w:sz w:val="20"/>
                <w:szCs w:val="20"/>
                <w:color w:val="auto"/>
              </w:rPr>
            </w:pPr>
            <w:r>
              <w:rPr>
                <w:rFonts w:ascii="Arial" w:cs="Arial" w:eastAsia="Arial" w:hAnsi="Arial"/>
                <w:sz w:val="20"/>
                <w:szCs w:val="20"/>
                <w:color w:val="auto"/>
              </w:rPr>
              <w:t>Chief Human Resources Officer</w:t>
            </w:r>
          </w:p>
        </w:tc>
      </w:tr>
    </w:tbl>
    <w:p>
      <w:pPr>
        <w:sectPr>
          <w:pgSz w:w="11900" w:h="16838" w:orient="portrait"/>
          <w:cols w:equalWidth="0" w:num="1">
            <w:col w:w="11240"/>
          </w:cols>
          <w:pgMar w:left="320" w:top="124" w:right="339" w:bottom="1440" w:gutter="0" w:footer="0" w:header="0"/>
        </w:sectPr>
      </w:pPr>
    </w:p>
    <w:bookmarkStart w:id="302" w:name="page303"/>
    <w:bookmarkEnd w:id="302"/>
    <w:p>
      <w:pPr>
        <w:jc w:val="right"/>
        <w:spacing w:after="0"/>
        <w:rPr>
          <w:sz w:val="20"/>
          <w:szCs w:val="20"/>
          <w:color w:val="auto"/>
        </w:rPr>
      </w:pPr>
      <w:r>
        <w:rPr>
          <w:rFonts w:ascii="Arial" w:cs="Arial" w:eastAsia="Arial" w:hAnsi="Arial"/>
          <w:sz w:val="19"/>
          <w:szCs w:val="19"/>
          <w:color w:val="auto"/>
        </w:rPr>
        <w:t>Exhibit 10.43</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AMENDMENT TO PARSONS CORPORATION INCENTIVE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PERFORMANCE STOCK UNIT AWARD</w:t>
      </w:r>
    </w:p>
    <w:p>
      <w:pPr>
        <w:spacing w:after="0" w:line="145" w:lineRule="exact"/>
        <w:rPr>
          <w:sz w:val="20"/>
          <w:szCs w:val="20"/>
          <w:color w:val="auto"/>
        </w:rPr>
      </w:pPr>
    </w:p>
    <w:p>
      <w:pPr>
        <w:ind w:right="120" w:firstLine="589"/>
        <w:spacing w:after="0" w:line="268" w:lineRule="auto"/>
        <w:rPr>
          <w:sz w:val="20"/>
          <w:szCs w:val="20"/>
          <w:color w:val="auto"/>
        </w:rPr>
      </w:pPr>
      <w:r>
        <w:rPr>
          <w:rFonts w:ascii="Arial" w:cs="Arial" w:eastAsia="Arial" w:hAnsi="Arial"/>
          <w:sz w:val="20"/>
          <w:szCs w:val="20"/>
          <w:color w:val="auto"/>
        </w:rPr>
        <w:t>This Amendment to Parsons Corporation Incentive Award Plan Performance Stock Unit Award (“Amendment”) is made effective as of July 19, 2021, by and between Parsons Corporation (“Company”), and George Ball (“Employee”).</w:t>
      </w:r>
    </w:p>
    <w:p>
      <w:pPr>
        <w:spacing w:after="0" w:line="95" w:lineRule="exact"/>
        <w:rPr>
          <w:sz w:val="20"/>
          <w:szCs w:val="20"/>
          <w:color w:val="auto"/>
        </w:rPr>
      </w:pPr>
    </w:p>
    <w:p>
      <w:pPr>
        <w:ind w:right="1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Incentive Award Plan Performance Stock Unit Award dated as of March 5, 2020 (the “Award”);</w:t>
      </w:r>
    </w:p>
    <w:p>
      <w:pPr>
        <w:spacing w:after="0" w:line="95" w:lineRule="exact"/>
        <w:rPr>
          <w:sz w:val="20"/>
          <w:szCs w:val="20"/>
          <w:color w:val="auto"/>
        </w:rPr>
      </w:pPr>
    </w:p>
    <w:p>
      <w:pPr>
        <w:ind w:right="1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Change in Control Severance Agreement (“CIC Agreement”), which was amended as of July 19, 2021;</w:t>
      </w:r>
    </w:p>
    <w:p>
      <w:pPr>
        <w:spacing w:after="0" w:line="95" w:lineRule="exact"/>
        <w:rPr>
          <w:sz w:val="20"/>
          <w:szCs w:val="20"/>
          <w:color w:val="auto"/>
        </w:rPr>
      </w:pPr>
    </w:p>
    <w:p>
      <w:pPr>
        <w:ind w:right="640" w:firstLine="589"/>
        <w:spacing w:after="0" w:line="268" w:lineRule="auto"/>
        <w:rPr>
          <w:sz w:val="20"/>
          <w:szCs w:val="20"/>
          <w:color w:val="auto"/>
        </w:rPr>
      </w:pPr>
      <w:r>
        <w:rPr>
          <w:rFonts w:ascii="Arial" w:cs="Arial" w:eastAsia="Arial" w:hAnsi="Arial"/>
          <w:sz w:val="20"/>
          <w:szCs w:val="20"/>
          <w:color w:val="auto"/>
        </w:rPr>
        <w:t>WHEREAS, the Company and Employee desire to amend the Award to incorporate and reflect any amendments to the CIC Agreement;</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parties agree as follows:</w:t>
      </w:r>
    </w:p>
    <w:p>
      <w:pPr>
        <w:spacing w:after="0" w:line="150" w:lineRule="exact"/>
        <w:rPr>
          <w:sz w:val="20"/>
          <w:szCs w:val="20"/>
          <w:color w:val="auto"/>
        </w:rPr>
      </w:pPr>
    </w:p>
    <w:p>
      <w:pPr>
        <w:ind w:left="1400" w:hanging="809"/>
        <w:spacing w:after="0"/>
        <w:tabs>
          <w:tab w:leader="none" w:pos="140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Paragraph 2 of Exhibit B is hereby restated as follows:</w:t>
      </w:r>
    </w:p>
    <w:p>
      <w:pPr>
        <w:spacing w:after="0" w:line="150" w:lineRule="exact"/>
        <w:rPr>
          <w:sz w:val="20"/>
          <w:szCs w:val="20"/>
          <w:color w:val="auto"/>
        </w:rPr>
      </w:pPr>
    </w:p>
    <w:p>
      <w:pPr>
        <w:ind w:right="20" w:firstLine="865"/>
        <w:spacing w:after="0" w:line="269" w:lineRule="auto"/>
        <w:rPr>
          <w:sz w:val="20"/>
          <w:szCs w:val="20"/>
          <w:color w:val="auto"/>
        </w:rPr>
      </w:pPr>
      <w:r>
        <w:rPr>
          <w:rFonts w:ascii="Arial" w:cs="Arial" w:eastAsia="Arial" w:hAnsi="Arial"/>
          <w:sz w:val="18"/>
          <w:szCs w:val="18"/>
          <w:i w:val="1"/>
          <w:iCs w:val="1"/>
          <w:color w:val="auto"/>
        </w:rPr>
        <w:t>ACCELERATED VESTING. In the event of Participant’s Termination of Service due to Retirement, death or Disability prior to the Payment Date, Participant will remain eligible to vest in and receive on the Payment Date that number of PSUs as is determined by multiplying (a) the number of PSUs that Participant would vest in as provided in Section 1 of this Exhibit B had he/she not incurred a Termination of Service prior to the Payment Date, by (b) (i) the number of months that have elapsed since January 1, 2020, divided by (ii)</w:t>
      </w:r>
    </w:p>
    <w:p>
      <w:pPr>
        <w:spacing w:after="0" w:line="3" w:lineRule="exact"/>
        <w:rPr>
          <w:sz w:val="20"/>
          <w:szCs w:val="20"/>
          <w:color w:val="auto"/>
        </w:rPr>
      </w:pPr>
    </w:p>
    <w:p>
      <w:pPr>
        <w:ind w:right="200" w:firstLine="1"/>
        <w:spacing w:after="0" w:line="249" w:lineRule="auto"/>
        <w:tabs>
          <w:tab w:leader="none" w:pos="304" w:val="left"/>
        </w:tabs>
        <w:numPr>
          <w:ilvl w:val="0"/>
          <w:numId w:val="177"/>
        </w:numPr>
        <w:rPr>
          <w:rFonts w:ascii="Arial" w:cs="Arial" w:eastAsia="Arial" w:hAnsi="Arial"/>
          <w:sz w:val="20"/>
          <w:szCs w:val="20"/>
          <w:i w:val="1"/>
          <w:iCs w:val="1"/>
          <w:color w:val="auto"/>
        </w:rPr>
      </w:pPr>
      <w:r>
        <w:rPr>
          <w:rFonts w:ascii="Arial" w:cs="Arial" w:eastAsia="Arial" w:hAnsi="Arial"/>
          <w:sz w:val="20"/>
          <w:szCs w:val="20"/>
          <w:i w:val="1"/>
          <w:iCs w:val="1"/>
          <w:color w:val="auto"/>
        </w:rPr>
        <w:t>Partial months shall be rounded up to the next whole calendar month for purposes of the numerator in this calculation. In the event the calculation results in a fractional PSU, any fractional PSU will be rounded up to the nearest whole PSU.</w:t>
      </w:r>
    </w:p>
    <w:p>
      <w:pPr>
        <w:spacing w:after="0" w:line="113" w:lineRule="exact"/>
        <w:rPr>
          <w:sz w:val="20"/>
          <w:szCs w:val="20"/>
          <w:color w:val="auto"/>
        </w:rPr>
      </w:pPr>
    </w:p>
    <w:p>
      <w:pPr>
        <w:ind w:right="20" w:firstLine="865"/>
        <w:spacing w:after="0" w:line="256" w:lineRule="auto"/>
        <w:rPr>
          <w:sz w:val="20"/>
          <w:szCs w:val="20"/>
          <w:color w:val="auto"/>
        </w:rPr>
      </w:pPr>
      <w:r>
        <w:rPr>
          <w:rFonts w:ascii="Arial" w:cs="Arial" w:eastAsia="Arial" w:hAnsi="Arial"/>
          <w:sz w:val="19"/>
          <w:szCs w:val="19"/>
          <w:i w:val="1"/>
          <w:iCs w:val="1"/>
          <w:color w:val="auto"/>
        </w:rPr>
        <w:t>Notwithstanding the foregoing, if Participant is a party to a Change in Control Severance Agreement with the Company at the time of Participant’s Termination of Service due to Retirement, death or Disability prior to the Payment Date, and such termination occurs prior to the occurrence of a Change in Control, in lieu of the treatment in the foregoing paragraph, Participant will remain eligible to vest in and receive on the Payment Date (or, if earlier, the date of a Change in Control) that number of PSUs as is determined by multiplying (a) the number of PSUs that Participant would vested in as provided in Section 1 of this Exhibit B had he/she not incurred a Termination of Service prior to the Payment Date (or, in the event of a Change in Control prior to the Payment Date, the Target PSUs), by (b) (i) the number of months that have elapsed since January 1, 2020, divided by (ii) 36. Partial months shall be rounded up to the next whole calendar month for purposes of the numerator in this calculation. In the event the calculation results in a fractional PSU, any fractional PSU will be rounded up to the nearest whole PSU.</w:t>
      </w:r>
    </w:p>
    <w:p>
      <w:pPr>
        <w:spacing w:after="0" w:line="108" w:lineRule="exact"/>
        <w:rPr>
          <w:sz w:val="20"/>
          <w:szCs w:val="20"/>
          <w:color w:val="auto"/>
        </w:rPr>
      </w:pPr>
    </w:p>
    <w:p>
      <w:pPr>
        <w:jc w:val="both"/>
        <w:ind w:right="420" w:firstLine="865"/>
        <w:spacing w:after="0" w:line="253" w:lineRule="auto"/>
        <w:rPr>
          <w:sz w:val="20"/>
          <w:szCs w:val="20"/>
          <w:color w:val="auto"/>
        </w:rPr>
      </w:pPr>
      <w:r>
        <w:rPr>
          <w:rFonts w:ascii="Arial" w:cs="Arial" w:eastAsia="Arial" w:hAnsi="Arial"/>
          <w:sz w:val="20"/>
          <w:szCs w:val="20"/>
          <w:i w:val="1"/>
          <w:iCs w:val="1"/>
          <w:color w:val="auto"/>
        </w:rPr>
        <w:t>The Award shall also be eligible for accelerated vesting as provided in Section 12.2 of the Plan; provided that, in the event Section 12.2(d) of the Plan applies, in the event of Participant's Termination of Service without "cause" (and other than as a result of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303530</wp:posOffset>
            </wp:positionV>
            <wp:extent cx="7182485" cy="4127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4">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3" w:name="page304"/>
    <w:bookmarkEnd w:id="303"/>
    <w:p>
      <w:pPr>
        <w:ind w:left="10240"/>
        <w:spacing w:after="0"/>
        <w:rPr>
          <w:sz w:val="20"/>
          <w:szCs w:val="20"/>
          <w:color w:val="auto"/>
        </w:rPr>
      </w:pPr>
      <w:r>
        <w:rPr>
          <w:rFonts w:ascii="Arial" w:cs="Arial" w:eastAsia="Arial" w:hAnsi="Arial"/>
          <w:sz w:val="17"/>
          <w:szCs w:val="17"/>
          <w:color w:val="auto"/>
        </w:rPr>
        <w:t>Exhibit 10.43</w:t>
      </w:r>
    </w:p>
    <w:p>
      <w:pPr>
        <w:spacing w:after="0" w:line="167"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i w:val="1"/>
          <w:iCs w:val="1"/>
          <w:color w:val="auto"/>
        </w:rPr>
        <w:t>Retirement, death or Disability, in which case the first paragraph of this Section 2 shall apply) upon or within twelve (12) months following the Change in Control (as described therein), provided such termination occurs prior to the Payment Date, Participant will vest in the Target PSUs on the date of such termination. Notwithstanding the foregoing, and notwithstanding anything to the contrary contained in the Plan, in the event of a Change in Control prior to the Payment Date, if Participant is a party to a Change in Control Severance Agreement with the Company at the time of such Change in Control, and a Qualifying Termination Event has occurred, as defined in the Participant’s Change in Control Severance Agreement, the Target PSUs shall accelerate, vest and be settled in full immediately prior to such Change in Control.</w:t>
      </w:r>
    </w:p>
    <w:p>
      <w:pPr>
        <w:spacing w:after="0" w:line="120" w:lineRule="exact"/>
        <w:rPr>
          <w:sz w:val="20"/>
          <w:szCs w:val="20"/>
          <w:color w:val="auto"/>
        </w:rPr>
      </w:pPr>
    </w:p>
    <w:p>
      <w:pPr>
        <w:ind w:right="200" w:firstLine="865"/>
        <w:spacing w:after="0" w:line="244" w:lineRule="auto"/>
        <w:rPr>
          <w:sz w:val="20"/>
          <w:szCs w:val="20"/>
          <w:color w:val="auto"/>
        </w:rPr>
      </w:pPr>
      <w:r>
        <w:rPr>
          <w:rFonts w:ascii="Arial" w:cs="Arial" w:eastAsia="Arial" w:hAnsi="Arial"/>
          <w:sz w:val="20"/>
          <w:szCs w:val="20"/>
          <w:i w:val="1"/>
          <w:iCs w:val="1"/>
          <w:color w:val="auto"/>
        </w:rPr>
        <w:t>For purposes of this Award, “Disability” means Participant (a) is unable to engage in any substantial gainful activity by reason of any medically determinable physical or mental impairment which can be expected to result in death or can be expected to last for a continuous period of not less than 12 months, or (b)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Company or its Subsidiaries.</w:t>
      </w:r>
    </w:p>
    <w:p>
      <w:pPr>
        <w:spacing w:after="0" w:line="118" w:lineRule="exact"/>
        <w:rPr>
          <w:sz w:val="20"/>
          <w:szCs w:val="20"/>
          <w:color w:val="auto"/>
        </w:rPr>
      </w:pPr>
    </w:p>
    <w:p>
      <w:pPr>
        <w:ind w:right="260" w:firstLine="865"/>
        <w:spacing w:after="0" w:line="268" w:lineRule="auto"/>
        <w:rPr>
          <w:sz w:val="20"/>
          <w:szCs w:val="20"/>
          <w:color w:val="auto"/>
        </w:rPr>
      </w:pPr>
      <w:r>
        <w:rPr>
          <w:rFonts w:ascii="Arial" w:cs="Arial" w:eastAsia="Arial" w:hAnsi="Arial"/>
          <w:sz w:val="20"/>
          <w:szCs w:val="20"/>
          <w:i w:val="1"/>
          <w:iCs w:val="1"/>
          <w:color w:val="auto"/>
        </w:rPr>
        <w:t>For purposes of this Award, "Retirement" means Participant’s voluntary Termination of Service after having attained age 62, with 10 years of completed service.</w:t>
      </w:r>
    </w:p>
    <w:p>
      <w:pPr>
        <w:spacing w:after="0" w:line="95" w:lineRule="exact"/>
        <w:rPr>
          <w:sz w:val="20"/>
          <w:szCs w:val="20"/>
          <w:color w:val="auto"/>
        </w:rPr>
      </w:pPr>
    </w:p>
    <w:p>
      <w:pPr>
        <w:ind w:right="40" w:firstLine="866"/>
        <w:spacing w:after="0" w:line="265" w:lineRule="auto"/>
        <w:tabs>
          <w:tab w:leader="none" w:pos="1068"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The Agreement, as amended by this Amendment, shall remain in full force and effect in accordance with the terms and conditions thereof. This Amendment may be executed simultaneously in any number of counterparts, each of which shall be deemed an original but all of which together shall constitute one and the same instrument. In the event of any conflict between the original terms of the Agreement and this Amendment, the terms of this Amendment shall prevail.</w:t>
      </w:r>
    </w:p>
    <w:p>
      <w:pPr>
        <w:spacing w:after="0" w:line="100" w:lineRule="exact"/>
        <w:rPr>
          <w:sz w:val="20"/>
          <w:szCs w:val="20"/>
          <w:color w:val="auto"/>
        </w:rPr>
      </w:pPr>
    </w:p>
    <w:p>
      <w:pPr>
        <w:jc w:val="both"/>
        <w:ind w:right="380"/>
        <w:spacing w:after="0" w:line="253" w:lineRule="auto"/>
        <w:rPr>
          <w:sz w:val="20"/>
          <w:szCs w:val="20"/>
          <w:color w:val="auto"/>
        </w:rPr>
      </w:pPr>
      <w:r>
        <w:rPr>
          <w:rFonts w:ascii="Arial" w:cs="Arial" w:eastAsia="Arial" w:hAnsi="Arial"/>
          <w:sz w:val="20"/>
          <w:szCs w:val="20"/>
          <w:color w:val="auto"/>
        </w:rPr>
        <w:t>THE PARTIES TO THIS AMENDMENT HAVE READ THE FOREGOING AMENDMENT AND FULLY UNDERSTAND EACH AND EVERY PROVISION CONTAINED HEREIN. WHEREFORE, THE PARTIES HAVE EXECUTED THIS AMENDMENT ON THE DATES SHOWN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940" w:type="dxa"/>
            <w:vAlign w:val="bottom"/>
          </w:tcPr>
          <w:p>
            <w:pPr>
              <w:spacing w:after="0"/>
              <w:rPr>
                <w:sz w:val="22"/>
                <w:szCs w:val="22"/>
                <w:color w:val="auto"/>
              </w:rPr>
            </w:pPr>
          </w:p>
        </w:tc>
        <w:tc>
          <w:tcPr>
            <w:tcW w:w="7340" w:type="dxa"/>
            <w:vAlign w:val="bottom"/>
          </w:tcPr>
          <w:p>
            <w:pPr>
              <w:ind w:left="1080"/>
              <w:spacing w:after="0"/>
              <w:rPr>
                <w:sz w:val="20"/>
                <w:szCs w:val="20"/>
                <w:color w:val="auto"/>
              </w:rPr>
            </w:pPr>
            <w:r>
              <w:rPr>
                <w:rFonts w:ascii="Arial" w:cs="Arial" w:eastAsia="Arial" w:hAnsi="Arial"/>
                <w:sz w:val="20"/>
                <w:szCs w:val="20"/>
                <w:color w:val="auto"/>
              </w:rPr>
              <w:t>EMPLOYEE</w:t>
            </w:r>
          </w:p>
        </w:tc>
        <w:tc>
          <w:tcPr>
            <w:tcW w:w="0" w:type="dxa"/>
            <w:vAlign w:val="bottom"/>
          </w:tcPr>
          <w:p>
            <w:pPr>
              <w:spacing w:after="0"/>
              <w:rPr>
                <w:sz w:val="1"/>
                <w:szCs w:val="1"/>
                <w:color w:val="auto"/>
              </w:rPr>
            </w:pPr>
          </w:p>
        </w:tc>
      </w:tr>
      <w:tr>
        <w:trPr>
          <w:trHeight w:val="654"/>
        </w:trPr>
        <w:tc>
          <w:tcPr>
            <w:tcW w:w="3940" w:type="dxa"/>
            <w:vAlign w:val="bottom"/>
          </w:tcPr>
          <w:p>
            <w:pPr>
              <w:spacing w:after="0"/>
              <w:rPr>
                <w:sz w:val="20"/>
                <w:szCs w:val="20"/>
                <w:color w:val="auto"/>
              </w:rPr>
            </w:pPr>
            <w:r>
              <w:rPr>
                <w:rFonts w:ascii="Arial" w:cs="Arial" w:eastAsia="Arial" w:hAnsi="Arial"/>
                <w:sz w:val="20"/>
                <w:szCs w:val="20"/>
                <w:color w:val="auto"/>
              </w:rPr>
              <w:t>Dated:_______________________</w:t>
            </w:r>
          </w:p>
        </w:tc>
        <w:tc>
          <w:tcPr>
            <w:tcW w:w="7340" w:type="dxa"/>
            <w:vAlign w:val="bottom"/>
          </w:tcPr>
          <w:p>
            <w:pPr>
              <w:ind w:left="1080"/>
              <w:spacing w:after="0"/>
              <w:rPr>
                <w:sz w:val="20"/>
                <w:szCs w:val="20"/>
                <w:color w:val="auto"/>
              </w:rPr>
            </w:pPr>
            <w:r>
              <w:rPr>
                <w:rFonts w:ascii="Arial" w:cs="Arial" w:eastAsia="Arial" w:hAnsi="Arial"/>
                <w:sz w:val="20"/>
                <w:szCs w:val="20"/>
                <w:color w:val="auto"/>
              </w:rPr>
              <w:t>By:_______________________________________</w:t>
            </w:r>
          </w:p>
        </w:tc>
        <w:tc>
          <w:tcPr>
            <w:tcW w:w="0" w:type="dxa"/>
            <w:vAlign w:val="bottom"/>
          </w:tcPr>
          <w:p>
            <w:pPr>
              <w:spacing w:after="0"/>
              <w:rPr>
                <w:sz w:val="1"/>
                <w:szCs w:val="1"/>
                <w:color w:val="auto"/>
              </w:rPr>
            </w:pPr>
          </w:p>
        </w:tc>
      </w:tr>
      <w:tr>
        <w:trPr>
          <w:trHeight w:val="259"/>
        </w:trPr>
        <w:tc>
          <w:tcPr>
            <w:tcW w:w="3940" w:type="dxa"/>
            <w:vAlign w:val="bottom"/>
          </w:tcPr>
          <w:p>
            <w:pPr>
              <w:spacing w:after="0"/>
              <w:rPr>
                <w:sz w:val="22"/>
                <w:szCs w:val="22"/>
                <w:color w:val="auto"/>
              </w:rPr>
            </w:pPr>
          </w:p>
        </w:tc>
        <w:tc>
          <w:tcPr>
            <w:tcW w:w="7340" w:type="dxa"/>
            <w:vAlign w:val="bottom"/>
          </w:tcPr>
          <w:p>
            <w:pPr>
              <w:ind w:left="1080"/>
              <w:spacing w:after="0"/>
              <w:rPr>
                <w:sz w:val="20"/>
                <w:szCs w:val="20"/>
                <w:color w:val="auto"/>
              </w:rPr>
            </w:pPr>
            <w:r>
              <w:rPr>
                <w:rFonts w:ascii="Arial" w:cs="Arial" w:eastAsia="Arial" w:hAnsi="Arial"/>
                <w:sz w:val="20"/>
                <w:szCs w:val="20"/>
                <w:color w:val="auto"/>
              </w:rPr>
              <w:t>George Ball</w:t>
            </w:r>
          </w:p>
        </w:tc>
        <w:tc>
          <w:tcPr>
            <w:tcW w:w="0" w:type="dxa"/>
            <w:vAlign w:val="bottom"/>
          </w:tcPr>
          <w:p>
            <w:pPr>
              <w:spacing w:after="0"/>
              <w:rPr>
                <w:sz w:val="1"/>
                <w:szCs w:val="1"/>
                <w:color w:val="auto"/>
              </w:rPr>
            </w:pPr>
          </w:p>
        </w:tc>
      </w:tr>
      <w:tr>
        <w:trPr>
          <w:trHeight w:val="456"/>
        </w:trPr>
        <w:tc>
          <w:tcPr>
            <w:tcW w:w="3940" w:type="dxa"/>
            <w:vAlign w:val="bottom"/>
          </w:tcPr>
          <w:p>
            <w:pPr>
              <w:spacing w:after="0"/>
              <w:rPr>
                <w:sz w:val="24"/>
                <w:szCs w:val="24"/>
                <w:color w:val="auto"/>
              </w:rPr>
            </w:pPr>
          </w:p>
        </w:tc>
        <w:tc>
          <w:tcPr>
            <w:tcW w:w="7340" w:type="dxa"/>
            <w:vAlign w:val="bottom"/>
          </w:tcPr>
          <w:p>
            <w:pPr>
              <w:ind w:left="1080"/>
              <w:spacing w:after="0"/>
              <w:rPr>
                <w:sz w:val="20"/>
                <w:szCs w:val="20"/>
                <w:color w:val="auto"/>
              </w:rPr>
            </w:pPr>
            <w:r>
              <w:rPr>
                <w:rFonts w:ascii="Arial" w:cs="Arial" w:eastAsia="Arial" w:hAnsi="Arial"/>
                <w:sz w:val="20"/>
                <w:szCs w:val="20"/>
                <w:color w:val="auto"/>
              </w:rPr>
              <w:t>PARSONS CORPORATION</w:t>
            </w:r>
          </w:p>
        </w:tc>
        <w:tc>
          <w:tcPr>
            <w:tcW w:w="0" w:type="dxa"/>
            <w:vAlign w:val="bottom"/>
          </w:tcPr>
          <w:p>
            <w:pPr>
              <w:spacing w:after="0"/>
              <w:rPr>
                <w:sz w:val="1"/>
                <w:szCs w:val="1"/>
                <w:color w:val="auto"/>
              </w:rPr>
            </w:pPr>
          </w:p>
        </w:tc>
      </w:tr>
      <w:tr>
        <w:trPr>
          <w:trHeight w:val="685"/>
        </w:trPr>
        <w:tc>
          <w:tcPr>
            <w:tcW w:w="3940" w:type="dxa"/>
            <w:vAlign w:val="bottom"/>
          </w:tcPr>
          <w:p>
            <w:pPr>
              <w:spacing w:after="0"/>
              <w:rPr>
                <w:sz w:val="20"/>
                <w:szCs w:val="20"/>
                <w:color w:val="auto"/>
              </w:rPr>
            </w:pPr>
            <w:r>
              <w:rPr>
                <w:rFonts w:ascii="Arial" w:cs="Arial" w:eastAsia="Arial" w:hAnsi="Arial"/>
                <w:sz w:val="20"/>
                <w:szCs w:val="20"/>
                <w:color w:val="auto"/>
              </w:rPr>
              <w:t>Dated: January 26, 2022</w:t>
            </w:r>
          </w:p>
        </w:tc>
        <w:tc>
          <w:tcPr>
            <w:tcW w:w="7340" w:type="dxa"/>
            <w:vAlign w:val="bottom"/>
            <w:vMerge w:val="restart"/>
          </w:tcPr>
          <w:p>
            <w:pPr>
              <w:ind w:left="1080"/>
              <w:spacing w:after="0"/>
              <w:rPr>
                <w:sz w:val="20"/>
                <w:szCs w:val="20"/>
                <w:color w:val="auto"/>
              </w:rPr>
            </w:pPr>
            <w:r>
              <w:rPr>
                <w:rFonts w:ascii="Arial" w:cs="Arial" w:eastAsia="Arial" w:hAnsi="Arial"/>
                <w:sz w:val="20"/>
                <w:szCs w:val="20"/>
                <w:color w:val="auto"/>
              </w:rPr>
              <w:t>Susan Balaguer</w:t>
            </w:r>
          </w:p>
        </w:tc>
        <w:tc>
          <w:tcPr>
            <w:tcW w:w="0" w:type="dxa"/>
            <w:vAlign w:val="bottom"/>
          </w:tcPr>
          <w:p>
            <w:pPr>
              <w:spacing w:after="0"/>
              <w:rPr>
                <w:sz w:val="1"/>
                <w:szCs w:val="1"/>
                <w:color w:val="auto"/>
              </w:rPr>
            </w:pPr>
          </w:p>
        </w:tc>
      </w:tr>
      <w:tr>
        <w:trPr>
          <w:trHeight w:val="96"/>
        </w:trPr>
        <w:tc>
          <w:tcPr>
            <w:tcW w:w="3940" w:type="dxa"/>
            <w:vAlign w:val="bottom"/>
          </w:tcPr>
          <w:p>
            <w:pPr>
              <w:spacing w:after="0"/>
              <w:rPr>
                <w:sz w:val="8"/>
                <w:szCs w:val="8"/>
                <w:color w:val="auto"/>
              </w:rPr>
            </w:pPr>
          </w:p>
        </w:tc>
        <w:tc>
          <w:tcPr>
            <w:tcW w:w="7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3940" w:type="dxa"/>
            <w:vAlign w:val="bottom"/>
          </w:tcPr>
          <w:p>
            <w:pPr>
              <w:spacing w:after="0"/>
              <w:rPr>
                <w:sz w:val="22"/>
                <w:szCs w:val="22"/>
                <w:color w:val="auto"/>
              </w:rPr>
            </w:pPr>
          </w:p>
        </w:tc>
        <w:tc>
          <w:tcPr>
            <w:tcW w:w="7340" w:type="dxa"/>
            <w:vAlign w:val="bottom"/>
          </w:tcPr>
          <w:p>
            <w:pPr>
              <w:ind w:left="1080"/>
              <w:spacing w:after="0"/>
              <w:rPr>
                <w:sz w:val="20"/>
                <w:szCs w:val="20"/>
                <w:color w:val="auto"/>
              </w:rPr>
            </w:pPr>
            <w:r>
              <w:rPr>
                <w:rFonts w:ascii="Arial" w:cs="Arial" w:eastAsia="Arial" w:hAnsi="Arial"/>
                <w:sz w:val="20"/>
                <w:szCs w:val="20"/>
                <w:color w:val="auto"/>
              </w:rPr>
              <w:t>Chief Human Resources Officer</w:t>
            </w:r>
          </w:p>
        </w:tc>
        <w:tc>
          <w:tcPr>
            <w:tcW w:w="0" w:type="dxa"/>
            <w:vAlign w:val="bottom"/>
          </w:tcPr>
          <w:p>
            <w:pPr>
              <w:spacing w:after="0"/>
              <w:rPr>
                <w:sz w:val="1"/>
                <w:szCs w:val="1"/>
                <w:color w:val="auto"/>
              </w:rPr>
            </w:pPr>
          </w:p>
        </w:tc>
      </w:tr>
      <w:tr>
        <w:trPr>
          <w:trHeight w:val="731"/>
        </w:trPr>
        <w:tc>
          <w:tcPr>
            <w:tcW w:w="3940" w:type="dxa"/>
            <w:vAlign w:val="bottom"/>
            <w:tcBorders>
              <w:bottom w:val="single" w:sz="8" w:color="9A9A9A"/>
            </w:tcBorders>
          </w:tcPr>
          <w:p>
            <w:pPr>
              <w:spacing w:after="0"/>
              <w:rPr>
                <w:sz w:val="24"/>
                <w:szCs w:val="24"/>
                <w:color w:val="auto"/>
              </w:rPr>
            </w:pPr>
          </w:p>
        </w:tc>
        <w:tc>
          <w:tcPr>
            <w:tcW w:w="7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-27940</wp:posOffset>
            </wp:positionV>
            <wp:extent cx="33655" cy="412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3188970</wp:posOffset>
            </wp:positionH>
            <wp:positionV relativeFrom="paragraph">
              <wp:posOffset>-1142365</wp:posOffset>
            </wp:positionV>
            <wp:extent cx="1891665" cy="37020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7">
                      <a:extLst>
                        <a:ext uri="{28A0092B-C50C-407E-A947-70E740481C1C}"/>
                      </a:extLst>
                    </a:blip>
                    <a:srcRect/>
                    <a:stretch>
                      <a:fillRect/>
                    </a:stretch>
                  </pic:blipFill>
                  <pic:spPr bwMode="auto">
                    <a:xfrm>
                      <a:off x="0" y="0"/>
                      <a:ext cx="1891665" cy="370205"/>
                    </a:xfrm>
                    <a:prstGeom prst="rect">
                      <a:avLst/>
                    </a:prstGeom>
                    <a:noFill/>
                  </pic:spPr>
                </pic:pic>
              </a:graphicData>
            </a:graphic>
          </wp:anchor>
        </w:drawing>
      </w:r>
    </w:p>
    <w:p>
      <w:pPr>
        <w:sectPr>
          <w:pgSz w:w="11900" w:h="16838" w:orient="portrait"/>
          <w:cols w:equalWidth="0" w:num="1">
            <w:col w:w="11280"/>
          </w:cols>
          <w:pgMar w:left="320" w:top="124" w:right="299" w:bottom="1440" w:gutter="0" w:footer="0" w:header="0"/>
        </w:sectPr>
      </w:pPr>
    </w:p>
    <w:bookmarkStart w:id="304" w:name="page305"/>
    <w:bookmarkEnd w:id="304"/>
    <w:p>
      <w:pPr>
        <w:jc w:val="right"/>
        <w:spacing w:after="0"/>
        <w:rPr>
          <w:sz w:val="20"/>
          <w:szCs w:val="20"/>
          <w:color w:val="auto"/>
        </w:rPr>
      </w:pPr>
      <w:r>
        <w:rPr>
          <w:rFonts w:ascii="Arial" w:cs="Arial" w:eastAsia="Arial" w:hAnsi="Arial"/>
          <w:sz w:val="19"/>
          <w:szCs w:val="19"/>
          <w:color w:val="auto"/>
        </w:rPr>
        <w:t>Exhibit 10.43</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AMENDMENT TO PARSONS CORPORATION INCENTIVE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PERFORMANCE STOCK UNIT AWARD</w:t>
      </w:r>
    </w:p>
    <w:p>
      <w:pPr>
        <w:spacing w:after="0" w:line="145" w:lineRule="exact"/>
        <w:rPr>
          <w:sz w:val="20"/>
          <w:szCs w:val="20"/>
          <w:color w:val="auto"/>
        </w:rPr>
      </w:pPr>
    </w:p>
    <w:p>
      <w:pPr>
        <w:ind w:right="120" w:firstLine="589"/>
        <w:spacing w:after="0" w:line="268" w:lineRule="auto"/>
        <w:rPr>
          <w:sz w:val="20"/>
          <w:szCs w:val="20"/>
          <w:color w:val="auto"/>
        </w:rPr>
      </w:pPr>
      <w:r>
        <w:rPr>
          <w:rFonts w:ascii="Arial" w:cs="Arial" w:eastAsia="Arial" w:hAnsi="Arial"/>
          <w:sz w:val="20"/>
          <w:szCs w:val="20"/>
          <w:color w:val="auto"/>
        </w:rPr>
        <w:t>This Amendment to Parsons Corporation Incentive Award Plan Performance Stock Unit Award (“Amendment”) is made effective as of July 19, 2021, by and between Parsons Corporation (“Company”), and George Ball (“Employee”).</w:t>
      </w:r>
    </w:p>
    <w:p>
      <w:pPr>
        <w:spacing w:after="0" w:line="95" w:lineRule="exact"/>
        <w:rPr>
          <w:sz w:val="20"/>
          <w:szCs w:val="20"/>
          <w:color w:val="auto"/>
        </w:rPr>
      </w:pPr>
    </w:p>
    <w:p>
      <w:pPr>
        <w:ind w:right="1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Incentive Award Plan Performance Stock Unit Award dated as of March 1, 2021 (the “Award”);</w:t>
      </w:r>
    </w:p>
    <w:p>
      <w:pPr>
        <w:spacing w:after="0" w:line="95" w:lineRule="exact"/>
        <w:rPr>
          <w:sz w:val="20"/>
          <w:szCs w:val="20"/>
          <w:color w:val="auto"/>
        </w:rPr>
      </w:pPr>
    </w:p>
    <w:p>
      <w:pPr>
        <w:ind w:right="1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Change in Control Severance Agreement (“CIC Agreement”), which was amended as of July 19, 2021;</w:t>
      </w:r>
    </w:p>
    <w:p>
      <w:pPr>
        <w:spacing w:after="0" w:line="95" w:lineRule="exact"/>
        <w:rPr>
          <w:sz w:val="20"/>
          <w:szCs w:val="20"/>
          <w:color w:val="auto"/>
        </w:rPr>
      </w:pPr>
    </w:p>
    <w:p>
      <w:pPr>
        <w:ind w:right="640" w:firstLine="589"/>
        <w:spacing w:after="0" w:line="268" w:lineRule="auto"/>
        <w:rPr>
          <w:sz w:val="20"/>
          <w:szCs w:val="20"/>
          <w:color w:val="auto"/>
        </w:rPr>
      </w:pPr>
      <w:r>
        <w:rPr>
          <w:rFonts w:ascii="Arial" w:cs="Arial" w:eastAsia="Arial" w:hAnsi="Arial"/>
          <w:sz w:val="20"/>
          <w:szCs w:val="20"/>
          <w:color w:val="auto"/>
        </w:rPr>
        <w:t>WHEREAS, the Company and Employee desire to amend the Award to incorporate and reflect any amendments to the CIC Agreement;</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parties agree as follows:</w:t>
      </w:r>
    </w:p>
    <w:p>
      <w:pPr>
        <w:spacing w:after="0" w:line="150" w:lineRule="exact"/>
        <w:rPr>
          <w:sz w:val="20"/>
          <w:szCs w:val="20"/>
          <w:color w:val="auto"/>
        </w:rPr>
      </w:pPr>
    </w:p>
    <w:p>
      <w:pPr>
        <w:ind w:left="1400" w:hanging="809"/>
        <w:spacing w:after="0"/>
        <w:tabs>
          <w:tab w:leader="none" w:pos="140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Paragraph 2 of Exhibit B is hereby restated as follows:</w:t>
      </w:r>
    </w:p>
    <w:p>
      <w:pPr>
        <w:spacing w:after="0" w:line="150" w:lineRule="exact"/>
        <w:rPr>
          <w:sz w:val="20"/>
          <w:szCs w:val="20"/>
          <w:color w:val="auto"/>
        </w:rPr>
      </w:pPr>
    </w:p>
    <w:p>
      <w:pPr>
        <w:ind w:right="20" w:firstLine="865"/>
        <w:spacing w:after="0" w:line="269" w:lineRule="auto"/>
        <w:rPr>
          <w:sz w:val="20"/>
          <w:szCs w:val="20"/>
          <w:color w:val="auto"/>
        </w:rPr>
      </w:pPr>
      <w:r>
        <w:rPr>
          <w:rFonts w:ascii="Arial" w:cs="Arial" w:eastAsia="Arial" w:hAnsi="Arial"/>
          <w:sz w:val="18"/>
          <w:szCs w:val="18"/>
          <w:i w:val="1"/>
          <w:iCs w:val="1"/>
          <w:color w:val="auto"/>
        </w:rPr>
        <w:t>ACCELERATED VESTING. In the event of Participant’s Termination of Service due to Retirement, death or Disability prior to the Payment Date, Participant will remain eligible to vest in and receive on the Payment Date that number of PSUs as is determined by multiplying (a) the number of PSUs that Participant would vest in as provided in Section 1 of this Exhibit B had he/she not incurred a Termination of Service prior to the Payment Date, by (b) (i) the number of months that have elapsed since January 1, 2021, divided by (ii)</w:t>
      </w:r>
    </w:p>
    <w:p>
      <w:pPr>
        <w:spacing w:after="0" w:line="3" w:lineRule="exact"/>
        <w:rPr>
          <w:sz w:val="20"/>
          <w:szCs w:val="20"/>
          <w:color w:val="auto"/>
        </w:rPr>
      </w:pPr>
    </w:p>
    <w:p>
      <w:pPr>
        <w:ind w:right="200" w:firstLine="1"/>
        <w:spacing w:after="0" w:line="249" w:lineRule="auto"/>
        <w:tabs>
          <w:tab w:leader="none" w:pos="304" w:val="left"/>
        </w:tabs>
        <w:numPr>
          <w:ilvl w:val="0"/>
          <w:numId w:val="180"/>
        </w:numPr>
        <w:rPr>
          <w:rFonts w:ascii="Arial" w:cs="Arial" w:eastAsia="Arial" w:hAnsi="Arial"/>
          <w:sz w:val="20"/>
          <w:szCs w:val="20"/>
          <w:i w:val="1"/>
          <w:iCs w:val="1"/>
          <w:color w:val="auto"/>
        </w:rPr>
      </w:pPr>
      <w:r>
        <w:rPr>
          <w:rFonts w:ascii="Arial" w:cs="Arial" w:eastAsia="Arial" w:hAnsi="Arial"/>
          <w:sz w:val="20"/>
          <w:szCs w:val="20"/>
          <w:i w:val="1"/>
          <w:iCs w:val="1"/>
          <w:color w:val="auto"/>
        </w:rPr>
        <w:t>Partial months shall be rounded up to the next whole calendar month for purposes of the numerator in this calculation. In the event the calculation results in a fractional PSU, any fractional PSU will be rounded up to the nearest whole PSU.</w:t>
      </w:r>
    </w:p>
    <w:p>
      <w:pPr>
        <w:spacing w:after="0" w:line="113" w:lineRule="exact"/>
        <w:rPr>
          <w:sz w:val="20"/>
          <w:szCs w:val="20"/>
          <w:color w:val="auto"/>
        </w:rPr>
      </w:pPr>
    </w:p>
    <w:p>
      <w:pPr>
        <w:ind w:right="20" w:firstLine="865"/>
        <w:spacing w:after="0" w:line="256" w:lineRule="auto"/>
        <w:rPr>
          <w:sz w:val="20"/>
          <w:szCs w:val="20"/>
          <w:color w:val="auto"/>
        </w:rPr>
      </w:pPr>
      <w:r>
        <w:rPr>
          <w:rFonts w:ascii="Arial" w:cs="Arial" w:eastAsia="Arial" w:hAnsi="Arial"/>
          <w:sz w:val="19"/>
          <w:szCs w:val="19"/>
          <w:i w:val="1"/>
          <w:iCs w:val="1"/>
          <w:color w:val="auto"/>
        </w:rPr>
        <w:t>Notwithstanding the foregoing, if Participant is a party to a Change in Control Severance Agreement with the Company at the time of Participant’s Termination of Service due to Retirement, death or Disability prior to the Payment Date, and such termination occurs prior to the occurrence of a Change in Control, in lieu of the treatment in the foregoing paragraph, Participant will remain eligible to vest in and receive on the Payment Date (or, if earlier, the date of a Change in Control) that number of PSUs as is determined by multiplying (a) the number of PSUs that Participant would vested in as provided in Section 1 of this Exhibit B had he/she not incurred a Termination of Service prior to the Payment Date (or, in the event of a Change in Control prior to the Payment Date, the Target PSUs), by (b) (i) the number of months that have elapsed since January 1, 2021, divided by (ii) 36. Partial months shall be rounded up to the next whole calendar month for purposes of the numerator in this calculation. In the event the calculation results in a fractional PSU, any fractional PSU will be rounded up to the nearest whole PSU.</w:t>
      </w:r>
    </w:p>
    <w:p>
      <w:pPr>
        <w:spacing w:after="0" w:line="108" w:lineRule="exact"/>
        <w:rPr>
          <w:sz w:val="20"/>
          <w:szCs w:val="20"/>
          <w:color w:val="auto"/>
        </w:rPr>
      </w:pPr>
    </w:p>
    <w:p>
      <w:pPr>
        <w:jc w:val="both"/>
        <w:ind w:right="420" w:firstLine="865"/>
        <w:spacing w:after="0" w:line="253" w:lineRule="auto"/>
        <w:rPr>
          <w:sz w:val="20"/>
          <w:szCs w:val="20"/>
          <w:color w:val="auto"/>
        </w:rPr>
      </w:pPr>
      <w:r>
        <w:rPr>
          <w:rFonts w:ascii="Arial" w:cs="Arial" w:eastAsia="Arial" w:hAnsi="Arial"/>
          <w:sz w:val="20"/>
          <w:szCs w:val="20"/>
          <w:i w:val="1"/>
          <w:iCs w:val="1"/>
          <w:color w:val="auto"/>
        </w:rPr>
        <w:t>The Award shall also be eligible for accelerated vesting as provided in Section 12.2 of the Plan; provided that, in the event Section 12.2(d) of the Plan applies, in the event of Participant's Termination of Service without "cause" (and other than as a result of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303530</wp:posOffset>
            </wp:positionV>
            <wp:extent cx="7182485" cy="4127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5" w:name="page306"/>
    <w:bookmarkEnd w:id="305"/>
    <w:p>
      <w:pPr>
        <w:ind w:left="10240"/>
        <w:spacing w:after="0"/>
        <w:rPr>
          <w:sz w:val="20"/>
          <w:szCs w:val="20"/>
          <w:color w:val="auto"/>
        </w:rPr>
      </w:pPr>
      <w:r>
        <w:rPr>
          <w:rFonts w:ascii="Arial" w:cs="Arial" w:eastAsia="Arial" w:hAnsi="Arial"/>
          <w:sz w:val="17"/>
          <w:szCs w:val="17"/>
          <w:color w:val="auto"/>
        </w:rPr>
        <w:t>Exhibit 10.43</w:t>
      </w:r>
    </w:p>
    <w:p>
      <w:pPr>
        <w:spacing w:after="0" w:line="167"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i w:val="1"/>
          <w:iCs w:val="1"/>
          <w:color w:val="auto"/>
        </w:rPr>
        <w:t>Retirement, death or Disability, in which case the first paragraph of this Section 2 shall apply) upon or within twelve (12) months following the Change in Control (as described therein), provided such termination occurs prior to the Payment Date, Participant will vest in the Target PSUs on the date of such termination. Notwithstanding the foregoing, and notwithstanding anything to the contrary contained in the Plan, in the event of a Change in Control prior to the Payment Date, if Participant is a party to a Change in Control Severance Agreement with the Company at the time of such Change in Control, and a Qualifying Termination Event has occurred, as defined in the Participant’s Change in Control Severance Agreement, the Target PSUs shall accelerate, vest and be settled in full immediately prior to such Change in Control.</w:t>
      </w:r>
    </w:p>
    <w:p>
      <w:pPr>
        <w:spacing w:after="0" w:line="120" w:lineRule="exact"/>
        <w:rPr>
          <w:sz w:val="20"/>
          <w:szCs w:val="20"/>
          <w:color w:val="auto"/>
        </w:rPr>
      </w:pPr>
    </w:p>
    <w:p>
      <w:pPr>
        <w:ind w:right="160" w:firstLine="865"/>
        <w:spacing w:after="0" w:line="244" w:lineRule="auto"/>
        <w:rPr>
          <w:sz w:val="20"/>
          <w:szCs w:val="20"/>
          <w:color w:val="auto"/>
        </w:rPr>
      </w:pPr>
      <w:r>
        <w:rPr>
          <w:rFonts w:ascii="Arial" w:cs="Arial" w:eastAsia="Arial" w:hAnsi="Arial"/>
          <w:sz w:val="20"/>
          <w:szCs w:val="20"/>
          <w:i w:val="1"/>
          <w:iCs w:val="1"/>
          <w:color w:val="auto"/>
        </w:rPr>
        <w:t>For purposes of this Award, “Disability” means Participant (a) is unable to engage in any substantial gainful activity by reason of any medically determinable physical or mental impairment which can be expected to result in death or can be expected to last for a continuous period of not less than 12 months, or (b)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Company or its Subsidiaries.</w:t>
      </w:r>
    </w:p>
    <w:p>
      <w:pPr>
        <w:spacing w:after="0" w:line="118" w:lineRule="exact"/>
        <w:rPr>
          <w:sz w:val="20"/>
          <w:szCs w:val="20"/>
          <w:color w:val="auto"/>
        </w:rPr>
      </w:pPr>
    </w:p>
    <w:p>
      <w:pPr>
        <w:ind w:right="220" w:firstLine="865"/>
        <w:spacing w:after="0" w:line="268" w:lineRule="auto"/>
        <w:rPr>
          <w:sz w:val="20"/>
          <w:szCs w:val="20"/>
          <w:color w:val="auto"/>
        </w:rPr>
      </w:pPr>
      <w:r>
        <w:rPr>
          <w:rFonts w:ascii="Arial" w:cs="Arial" w:eastAsia="Arial" w:hAnsi="Arial"/>
          <w:sz w:val="20"/>
          <w:szCs w:val="20"/>
          <w:i w:val="1"/>
          <w:iCs w:val="1"/>
          <w:color w:val="auto"/>
        </w:rPr>
        <w:t>For purposes of this Award, "Retirement" means Participant’s voluntary Termination of Service after having attained age 62, with 10 years of completed service.</w:t>
      </w:r>
    </w:p>
    <w:p>
      <w:pPr>
        <w:spacing w:after="0" w:line="95" w:lineRule="exact"/>
        <w:rPr>
          <w:sz w:val="20"/>
          <w:szCs w:val="20"/>
          <w:color w:val="auto"/>
        </w:rPr>
      </w:pPr>
    </w:p>
    <w:p>
      <w:pPr>
        <w:ind w:firstLine="866"/>
        <w:spacing w:after="0" w:line="265" w:lineRule="auto"/>
        <w:tabs>
          <w:tab w:leader="none" w:pos="1068" w:val="left"/>
        </w:tabs>
        <w:numPr>
          <w:ilvl w:val="0"/>
          <w:numId w:val="181"/>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The Agreement, as amended by this Amendment, shall remain in full force and effect in accordance with the terms and conditions thereof. This Amendment may be executed simultaneously in any number of counterparts, each of which shall be deemed an original but all of which together shall constitute one and the same instrument. In the event of any conflict between the original terms of the Agreement and this Amendment, the terms of this Amendment shall prevail.</w:t>
      </w:r>
    </w:p>
    <w:p>
      <w:pPr>
        <w:spacing w:after="0" w:line="100" w:lineRule="exact"/>
        <w:rPr>
          <w:sz w:val="20"/>
          <w:szCs w:val="20"/>
          <w:color w:val="auto"/>
        </w:rPr>
      </w:pPr>
    </w:p>
    <w:p>
      <w:pPr>
        <w:jc w:val="both"/>
        <w:ind w:right="340"/>
        <w:spacing w:after="0" w:line="253" w:lineRule="auto"/>
        <w:rPr>
          <w:sz w:val="20"/>
          <w:szCs w:val="20"/>
          <w:color w:val="auto"/>
        </w:rPr>
      </w:pPr>
      <w:r>
        <w:rPr>
          <w:rFonts w:ascii="Arial" w:cs="Arial" w:eastAsia="Arial" w:hAnsi="Arial"/>
          <w:sz w:val="20"/>
          <w:szCs w:val="20"/>
          <w:color w:val="auto"/>
        </w:rPr>
        <w:t>THE PARTIES TO THIS AMENDMENT HAVE READ THE FOREGOING AMENDMENT AND FULLY UNDERSTAND EACH AND EVERY PROVISION CONTAINED HEREIN. WHEREFORE, THE PARTIES HAVE EXECUTED THIS AMENDMENT ON THE DATES SHOWN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780" w:type="dxa"/>
            <w:vAlign w:val="bottom"/>
          </w:tcPr>
          <w:p>
            <w:pPr>
              <w:spacing w:after="0"/>
              <w:rPr>
                <w:sz w:val="22"/>
                <w:szCs w:val="22"/>
                <w:color w:val="auto"/>
              </w:rPr>
            </w:pPr>
          </w:p>
        </w:tc>
        <w:tc>
          <w:tcPr>
            <w:tcW w:w="5500" w:type="dxa"/>
            <w:vAlign w:val="bottom"/>
          </w:tcPr>
          <w:p>
            <w:pPr>
              <w:ind w:left="1240"/>
              <w:spacing w:after="0"/>
              <w:rPr>
                <w:sz w:val="20"/>
                <w:szCs w:val="20"/>
                <w:color w:val="auto"/>
              </w:rPr>
            </w:pPr>
            <w:r>
              <w:rPr>
                <w:rFonts w:ascii="Arial" w:cs="Arial" w:eastAsia="Arial" w:hAnsi="Arial"/>
                <w:sz w:val="20"/>
                <w:szCs w:val="20"/>
                <w:color w:val="auto"/>
              </w:rPr>
              <w:t>EMPLOYEE</w:t>
            </w:r>
          </w:p>
        </w:tc>
        <w:tc>
          <w:tcPr>
            <w:tcW w:w="0" w:type="dxa"/>
            <w:vAlign w:val="bottom"/>
          </w:tcPr>
          <w:p>
            <w:pPr>
              <w:spacing w:after="0"/>
              <w:rPr>
                <w:sz w:val="1"/>
                <w:szCs w:val="1"/>
                <w:color w:val="auto"/>
              </w:rPr>
            </w:pPr>
          </w:p>
        </w:tc>
      </w:tr>
      <w:tr>
        <w:trPr>
          <w:trHeight w:val="654"/>
        </w:trPr>
        <w:tc>
          <w:tcPr>
            <w:tcW w:w="3780" w:type="dxa"/>
            <w:vAlign w:val="bottom"/>
          </w:tcPr>
          <w:p>
            <w:pPr>
              <w:spacing w:after="0"/>
              <w:rPr>
                <w:sz w:val="20"/>
                <w:szCs w:val="20"/>
                <w:color w:val="auto"/>
              </w:rPr>
            </w:pPr>
            <w:r>
              <w:rPr>
                <w:rFonts w:ascii="Arial" w:cs="Arial" w:eastAsia="Arial" w:hAnsi="Arial"/>
                <w:sz w:val="20"/>
                <w:szCs w:val="20"/>
                <w:color w:val="auto"/>
              </w:rPr>
              <w:t>Dated: ___________________</w:t>
            </w:r>
          </w:p>
        </w:tc>
        <w:tc>
          <w:tcPr>
            <w:tcW w:w="5500" w:type="dxa"/>
            <w:vAlign w:val="bottom"/>
          </w:tcPr>
          <w:p>
            <w:pPr>
              <w:ind w:left="1240"/>
              <w:spacing w:after="0"/>
              <w:rPr>
                <w:sz w:val="20"/>
                <w:szCs w:val="20"/>
                <w:color w:val="auto"/>
              </w:rPr>
            </w:pPr>
            <w:r>
              <w:rPr>
                <w:rFonts w:ascii="Arial" w:cs="Arial" w:eastAsia="Arial" w:hAnsi="Arial"/>
                <w:sz w:val="20"/>
                <w:szCs w:val="20"/>
                <w:color w:val="auto"/>
                <w:w w:val="91"/>
              </w:rPr>
              <w:t>By:_______________________________________</w:t>
            </w:r>
          </w:p>
        </w:tc>
        <w:tc>
          <w:tcPr>
            <w:tcW w:w="0" w:type="dxa"/>
            <w:vAlign w:val="bottom"/>
          </w:tcPr>
          <w:p>
            <w:pPr>
              <w:spacing w:after="0"/>
              <w:rPr>
                <w:sz w:val="1"/>
                <w:szCs w:val="1"/>
                <w:color w:val="auto"/>
              </w:rPr>
            </w:pPr>
          </w:p>
        </w:tc>
      </w:tr>
      <w:tr>
        <w:trPr>
          <w:trHeight w:val="259"/>
        </w:trPr>
        <w:tc>
          <w:tcPr>
            <w:tcW w:w="3780" w:type="dxa"/>
            <w:vAlign w:val="bottom"/>
          </w:tcPr>
          <w:p>
            <w:pPr>
              <w:spacing w:after="0"/>
              <w:rPr>
                <w:sz w:val="22"/>
                <w:szCs w:val="22"/>
                <w:color w:val="auto"/>
              </w:rPr>
            </w:pPr>
          </w:p>
        </w:tc>
        <w:tc>
          <w:tcPr>
            <w:tcW w:w="5500" w:type="dxa"/>
            <w:vAlign w:val="bottom"/>
          </w:tcPr>
          <w:p>
            <w:pPr>
              <w:ind w:left="1240"/>
              <w:spacing w:after="0"/>
              <w:rPr>
                <w:sz w:val="20"/>
                <w:szCs w:val="20"/>
                <w:color w:val="auto"/>
              </w:rPr>
            </w:pPr>
            <w:r>
              <w:rPr>
                <w:rFonts w:ascii="Arial" w:cs="Arial" w:eastAsia="Arial" w:hAnsi="Arial"/>
                <w:sz w:val="20"/>
                <w:szCs w:val="20"/>
                <w:color w:val="auto"/>
              </w:rPr>
              <w:t>George Ball</w:t>
            </w:r>
          </w:p>
        </w:tc>
        <w:tc>
          <w:tcPr>
            <w:tcW w:w="0" w:type="dxa"/>
            <w:vAlign w:val="bottom"/>
          </w:tcPr>
          <w:p>
            <w:pPr>
              <w:spacing w:after="0"/>
              <w:rPr>
                <w:sz w:val="1"/>
                <w:szCs w:val="1"/>
                <w:color w:val="auto"/>
              </w:rPr>
            </w:pPr>
          </w:p>
        </w:tc>
      </w:tr>
      <w:tr>
        <w:trPr>
          <w:trHeight w:val="456"/>
        </w:trPr>
        <w:tc>
          <w:tcPr>
            <w:tcW w:w="3780" w:type="dxa"/>
            <w:vAlign w:val="bottom"/>
          </w:tcPr>
          <w:p>
            <w:pPr>
              <w:spacing w:after="0"/>
              <w:rPr>
                <w:sz w:val="24"/>
                <w:szCs w:val="24"/>
                <w:color w:val="auto"/>
              </w:rPr>
            </w:pPr>
          </w:p>
        </w:tc>
        <w:tc>
          <w:tcPr>
            <w:tcW w:w="5500" w:type="dxa"/>
            <w:vAlign w:val="bottom"/>
          </w:tcPr>
          <w:p>
            <w:pPr>
              <w:ind w:left="1240"/>
              <w:spacing w:after="0"/>
              <w:rPr>
                <w:sz w:val="20"/>
                <w:szCs w:val="20"/>
                <w:color w:val="auto"/>
              </w:rPr>
            </w:pPr>
            <w:r>
              <w:rPr>
                <w:rFonts w:ascii="Arial" w:cs="Arial" w:eastAsia="Arial" w:hAnsi="Arial"/>
                <w:sz w:val="20"/>
                <w:szCs w:val="20"/>
                <w:color w:val="auto"/>
              </w:rPr>
              <w:t>PARSONS CORPORATION</w:t>
            </w:r>
          </w:p>
        </w:tc>
        <w:tc>
          <w:tcPr>
            <w:tcW w:w="0" w:type="dxa"/>
            <w:vAlign w:val="bottom"/>
          </w:tcPr>
          <w:p>
            <w:pPr>
              <w:spacing w:after="0"/>
              <w:rPr>
                <w:sz w:val="1"/>
                <w:szCs w:val="1"/>
                <w:color w:val="auto"/>
              </w:rPr>
            </w:pPr>
          </w:p>
        </w:tc>
      </w:tr>
      <w:tr>
        <w:trPr>
          <w:trHeight w:val="685"/>
        </w:trPr>
        <w:tc>
          <w:tcPr>
            <w:tcW w:w="3780" w:type="dxa"/>
            <w:vAlign w:val="bottom"/>
          </w:tcPr>
          <w:p>
            <w:pPr>
              <w:spacing w:after="0"/>
              <w:rPr>
                <w:sz w:val="20"/>
                <w:szCs w:val="20"/>
                <w:color w:val="auto"/>
              </w:rPr>
            </w:pPr>
            <w:r>
              <w:rPr>
                <w:rFonts w:ascii="Arial" w:cs="Arial" w:eastAsia="Arial" w:hAnsi="Arial"/>
                <w:sz w:val="20"/>
                <w:szCs w:val="20"/>
                <w:color w:val="auto"/>
              </w:rPr>
              <w:t>Dated: January 26, 2022</w:t>
            </w:r>
          </w:p>
        </w:tc>
        <w:tc>
          <w:tcPr>
            <w:tcW w:w="5500" w:type="dxa"/>
            <w:vAlign w:val="bottom"/>
            <w:vMerge w:val="restart"/>
          </w:tcPr>
          <w:p>
            <w:pPr>
              <w:ind w:left="1240"/>
              <w:spacing w:after="0"/>
              <w:rPr>
                <w:sz w:val="20"/>
                <w:szCs w:val="20"/>
                <w:color w:val="auto"/>
              </w:rPr>
            </w:pPr>
            <w:r>
              <w:rPr>
                <w:rFonts w:ascii="Arial" w:cs="Arial" w:eastAsia="Arial" w:hAnsi="Arial"/>
                <w:sz w:val="20"/>
                <w:szCs w:val="20"/>
                <w:color w:val="auto"/>
              </w:rPr>
              <w:t>Susan Balaguer</w:t>
            </w:r>
          </w:p>
        </w:tc>
        <w:tc>
          <w:tcPr>
            <w:tcW w:w="0" w:type="dxa"/>
            <w:vAlign w:val="bottom"/>
          </w:tcPr>
          <w:p>
            <w:pPr>
              <w:spacing w:after="0"/>
              <w:rPr>
                <w:sz w:val="1"/>
                <w:szCs w:val="1"/>
                <w:color w:val="auto"/>
              </w:rPr>
            </w:pPr>
          </w:p>
        </w:tc>
      </w:tr>
      <w:tr>
        <w:trPr>
          <w:trHeight w:val="96"/>
        </w:trPr>
        <w:tc>
          <w:tcPr>
            <w:tcW w:w="3780" w:type="dxa"/>
            <w:vAlign w:val="bottom"/>
          </w:tcPr>
          <w:p>
            <w:pPr>
              <w:spacing w:after="0"/>
              <w:rPr>
                <w:sz w:val="8"/>
                <w:szCs w:val="8"/>
                <w:color w:val="auto"/>
              </w:rPr>
            </w:pPr>
          </w:p>
        </w:tc>
        <w:tc>
          <w:tcPr>
            <w:tcW w:w="5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3780" w:type="dxa"/>
            <w:vAlign w:val="bottom"/>
          </w:tcPr>
          <w:p>
            <w:pPr>
              <w:spacing w:after="0"/>
              <w:rPr>
                <w:sz w:val="22"/>
                <w:szCs w:val="22"/>
                <w:color w:val="auto"/>
              </w:rPr>
            </w:pPr>
          </w:p>
        </w:tc>
        <w:tc>
          <w:tcPr>
            <w:tcW w:w="5500" w:type="dxa"/>
            <w:vAlign w:val="bottom"/>
          </w:tcPr>
          <w:p>
            <w:pPr>
              <w:ind w:left="1240"/>
              <w:spacing w:after="0"/>
              <w:rPr>
                <w:sz w:val="20"/>
                <w:szCs w:val="20"/>
                <w:color w:val="auto"/>
              </w:rPr>
            </w:pPr>
            <w:r>
              <w:rPr>
                <w:rFonts w:ascii="Arial" w:cs="Arial" w:eastAsia="Arial" w:hAnsi="Arial"/>
                <w:sz w:val="20"/>
                <w:szCs w:val="20"/>
                <w:color w:val="auto"/>
              </w:rPr>
              <w:t>Chief Human Resources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3188970</wp:posOffset>
            </wp:positionH>
            <wp:positionV relativeFrom="paragraph">
              <wp:posOffset>-665480</wp:posOffset>
            </wp:positionV>
            <wp:extent cx="1891665" cy="3702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9">
                      <a:extLst>
                        <a:ext uri="{28A0092B-C50C-407E-A947-70E740481C1C}"/>
                      </a:extLst>
                    </a:blip>
                    <a:srcRect/>
                    <a:stretch>
                      <a:fillRect/>
                    </a:stretch>
                  </pic:blipFill>
                  <pic:spPr bwMode="auto">
                    <a:xfrm>
                      <a:off x="0" y="0"/>
                      <a:ext cx="1891665" cy="3702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6" w:name="page307"/>
    <w:bookmarkEnd w:id="306"/>
    <w:p>
      <w:pPr>
        <w:jc w:val="right"/>
        <w:spacing w:after="0"/>
        <w:rPr>
          <w:sz w:val="20"/>
          <w:szCs w:val="20"/>
          <w:color w:val="auto"/>
        </w:rPr>
      </w:pPr>
      <w:r>
        <w:rPr>
          <w:rFonts w:ascii="Arial" w:cs="Arial" w:eastAsia="Arial" w:hAnsi="Arial"/>
          <w:sz w:val="19"/>
          <w:szCs w:val="19"/>
          <w:color w:val="auto"/>
        </w:rPr>
        <w:t>Exhibit 10.44</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AMENDMENT TO PARSONS CORPORATION INCENTIVE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RESTRICTED STOCK UNIT AWARD</w:t>
      </w:r>
    </w:p>
    <w:p>
      <w:pPr>
        <w:spacing w:after="0" w:line="145" w:lineRule="exact"/>
        <w:rPr>
          <w:sz w:val="20"/>
          <w:szCs w:val="20"/>
          <w:color w:val="auto"/>
        </w:rPr>
      </w:pPr>
    </w:p>
    <w:p>
      <w:pPr>
        <w:ind w:right="120" w:firstLine="589"/>
        <w:spacing w:after="0" w:line="268" w:lineRule="auto"/>
        <w:rPr>
          <w:sz w:val="20"/>
          <w:szCs w:val="20"/>
          <w:color w:val="auto"/>
        </w:rPr>
      </w:pPr>
      <w:r>
        <w:rPr>
          <w:rFonts w:ascii="Arial" w:cs="Arial" w:eastAsia="Arial" w:hAnsi="Arial"/>
          <w:sz w:val="20"/>
          <w:szCs w:val="20"/>
          <w:color w:val="auto"/>
        </w:rPr>
        <w:t>This Amendment to Parsons Corporation Incentive Award Plan Restricted Stock Unit Award (“Amendment”) is made effective as of July 19, 2021, by and between Parsons Corporation (“Company”), and George Ball (“Employee”).</w:t>
      </w:r>
    </w:p>
    <w:p>
      <w:pPr>
        <w:spacing w:after="0" w:line="95" w:lineRule="exact"/>
        <w:rPr>
          <w:sz w:val="20"/>
          <w:szCs w:val="20"/>
          <w:color w:val="auto"/>
        </w:rPr>
      </w:pPr>
    </w:p>
    <w:p>
      <w:pPr>
        <w:ind w:right="3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Incentive Award Plan Restricted Stock Unit Award dated as of March 5, 2020 (the “Award”);</w:t>
      </w:r>
    </w:p>
    <w:p>
      <w:pPr>
        <w:spacing w:after="0" w:line="95" w:lineRule="exact"/>
        <w:rPr>
          <w:sz w:val="20"/>
          <w:szCs w:val="20"/>
          <w:color w:val="auto"/>
        </w:rPr>
      </w:pPr>
    </w:p>
    <w:p>
      <w:pPr>
        <w:ind w:right="1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Change in Control Severance Agreement (“CIC Agreement”), which was amended as of July 19, 2021;</w:t>
      </w:r>
    </w:p>
    <w:p>
      <w:pPr>
        <w:spacing w:after="0" w:line="95" w:lineRule="exact"/>
        <w:rPr>
          <w:sz w:val="20"/>
          <w:szCs w:val="20"/>
          <w:color w:val="auto"/>
        </w:rPr>
      </w:pPr>
    </w:p>
    <w:p>
      <w:pPr>
        <w:ind w:right="640" w:firstLine="589"/>
        <w:spacing w:after="0" w:line="268" w:lineRule="auto"/>
        <w:rPr>
          <w:sz w:val="20"/>
          <w:szCs w:val="20"/>
          <w:color w:val="auto"/>
        </w:rPr>
      </w:pPr>
      <w:r>
        <w:rPr>
          <w:rFonts w:ascii="Arial" w:cs="Arial" w:eastAsia="Arial" w:hAnsi="Arial"/>
          <w:sz w:val="20"/>
          <w:szCs w:val="20"/>
          <w:color w:val="auto"/>
        </w:rPr>
        <w:t>WHEREAS, the Company and Employee desire to amend the Award to incorporate and reflect any amendments to the CIC Agreement;</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parties agree as follows:</w:t>
      </w:r>
    </w:p>
    <w:p>
      <w:pPr>
        <w:spacing w:after="0" w:line="150" w:lineRule="exact"/>
        <w:rPr>
          <w:sz w:val="20"/>
          <w:szCs w:val="20"/>
          <w:color w:val="auto"/>
        </w:rPr>
      </w:pPr>
    </w:p>
    <w:p>
      <w:pPr>
        <w:ind w:left="1400" w:hanging="809"/>
        <w:spacing w:after="0"/>
        <w:tabs>
          <w:tab w:leader="none" w:pos="140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Paragraph 2 of Exhibit B is hereby restated as follows:</w:t>
      </w:r>
    </w:p>
    <w:p>
      <w:pPr>
        <w:spacing w:after="0" w:line="200" w:lineRule="exact"/>
        <w:rPr>
          <w:sz w:val="20"/>
          <w:szCs w:val="20"/>
          <w:color w:val="auto"/>
        </w:rPr>
      </w:pPr>
    </w:p>
    <w:p>
      <w:pPr>
        <w:spacing w:after="0" w:line="234" w:lineRule="exact"/>
        <w:rPr>
          <w:sz w:val="20"/>
          <w:szCs w:val="20"/>
          <w:color w:val="auto"/>
        </w:rPr>
      </w:pPr>
    </w:p>
    <w:p>
      <w:pPr>
        <w:jc w:val="both"/>
        <w:ind w:left="860"/>
        <w:spacing w:after="0" w:line="277" w:lineRule="auto"/>
        <w:rPr>
          <w:sz w:val="20"/>
          <w:szCs w:val="20"/>
          <w:color w:val="auto"/>
        </w:rPr>
      </w:pPr>
      <w:r>
        <w:rPr>
          <w:rFonts w:ascii="Arial" w:cs="Arial" w:eastAsia="Arial" w:hAnsi="Arial"/>
          <w:sz w:val="17"/>
          <w:szCs w:val="17"/>
          <w:i w:val="1"/>
          <w:iCs w:val="1"/>
          <w:u w:val="single" w:color="auto"/>
          <w:color w:val="auto"/>
        </w:rPr>
        <w:t>ACCELERATED VESTING</w:t>
      </w:r>
      <w:r>
        <w:rPr>
          <w:rFonts w:ascii="Arial" w:cs="Arial" w:eastAsia="Arial" w:hAnsi="Arial"/>
          <w:sz w:val="17"/>
          <w:szCs w:val="17"/>
          <w:i w:val="1"/>
          <w:iCs w:val="1"/>
          <w:color w:val="auto"/>
        </w:rPr>
        <w:t>. In the event of Participant’s death or Disability, Participant will vest in such number of RSUs as is determined by multiplying (a) the number of RSUs scheduled to vest on the next occurring annual vesting date, by (b) (i) the number of months that have elapsed since the previous annual vesting date (or if no annual vesting date has yet occurred, since the Grant Date), divided by (ii) 12. Partial months shall be rounded up to the next whole calendar month for purposes of the numerator in this calculation. In the event the calculation results in a fractional RSU, any fractional RSU will be rounded up to the nearest whole RSU.</w:t>
      </w:r>
    </w:p>
    <w:p>
      <w:pPr>
        <w:spacing w:after="0" w:line="152" w:lineRule="exact"/>
        <w:rPr>
          <w:sz w:val="20"/>
          <w:szCs w:val="20"/>
          <w:color w:val="auto"/>
        </w:rPr>
      </w:pPr>
    </w:p>
    <w:p>
      <w:pPr>
        <w:jc w:val="both"/>
        <w:ind w:left="860"/>
        <w:spacing w:after="0" w:line="241" w:lineRule="auto"/>
        <w:rPr>
          <w:sz w:val="20"/>
          <w:szCs w:val="20"/>
          <w:color w:val="auto"/>
        </w:rPr>
      </w:pPr>
      <w:r>
        <w:rPr>
          <w:rFonts w:ascii="Arial" w:cs="Arial" w:eastAsia="Arial" w:hAnsi="Arial"/>
          <w:sz w:val="19"/>
          <w:szCs w:val="19"/>
          <w:i w:val="1"/>
          <w:iCs w:val="1"/>
          <w:color w:val="auto"/>
        </w:rPr>
        <w:t>The Award shall also be eligible for accelerated vesting as provided in Section 12.2 of the Plan. Notwithstanding the foregoing, and notwithstanding anything to the contrary contained in the Plan, in the event of a Change in Control, if Participant is a party to a Change in Control Severance Agreement with the Company at the time of such Change in Control, and a Qualifying Termination Event has occurred, as defined in the Participant’s Change in Control Severance Agreement, the RSUs shall accelerate, vest and be settled in full immediately prior to such Change in Control.”</w:t>
      </w:r>
    </w:p>
    <w:p>
      <w:pPr>
        <w:spacing w:after="0" w:line="183" w:lineRule="exact"/>
        <w:rPr>
          <w:sz w:val="20"/>
          <w:szCs w:val="20"/>
          <w:color w:val="auto"/>
        </w:rPr>
      </w:pPr>
    </w:p>
    <w:p>
      <w:pPr>
        <w:jc w:val="both"/>
        <w:ind w:left="860"/>
        <w:spacing w:after="0" w:line="277" w:lineRule="auto"/>
        <w:rPr>
          <w:sz w:val="20"/>
          <w:szCs w:val="20"/>
          <w:color w:val="auto"/>
        </w:rPr>
      </w:pPr>
      <w:r>
        <w:rPr>
          <w:rFonts w:ascii="Arial" w:cs="Arial" w:eastAsia="Arial" w:hAnsi="Arial"/>
          <w:sz w:val="17"/>
          <w:szCs w:val="17"/>
          <w:i w:val="1"/>
          <w:iCs w:val="1"/>
          <w:color w:val="auto"/>
        </w:rPr>
        <w:t>For purposes of this Award, “</w:t>
      </w:r>
      <w:r>
        <w:rPr>
          <w:rFonts w:ascii="Arial" w:cs="Arial" w:eastAsia="Arial" w:hAnsi="Arial"/>
          <w:sz w:val="17"/>
          <w:szCs w:val="17"/>
          <w:i w:val="1"/>
          <w:iCs w:val="1"/>
          <w:u w:val="single" w:color="auto"/>
          <w:color w:val="auto"/>
        </w:rPr>
        <w:t>Disability</w:t>
      </w:r>
      <w:r>
        <w:rPr>
          <w:rFonts w:ascii="Arial" w:cs="Arial" w:eastAsia="Arial" w:hAnsi="Arial"/>
          <w:sz w:val="17"/>
          <w:szCs w:val="17"/>
          <w:i w:val="1"/>
          <w:iCs w:val="1"/>
          <w:color w:val="auto"/>
        </w:rPr>
        <w:t>” means Participant (a) is unable to engage in any substantial gainful activity by reason of any medically determinable physical or mental impairment which can be expected to result in death or can be expected to last for a continuous period of not less than 12 months, or (b)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Company or its Subsidiaries.</w:t>
      </w:r>
    </w:p>
    <w:p>
      <w:pPr>
        <w:spacing w:after="0" w:line="152" w:lineRule="exact"/>
        <w:rPr>
          <w:sz w:val="20"/>
          <w:szCs w:val="20"/>
          <w:color w:val="auto"/>
        </w:rPr>
      </w:pPr>
    </w:p>
    <w:p>
      <w:pPr>
        <w:jc w:val="both"/>
        <w:ind w:left="860"/>
        <w:spacing w:after="0" w:line="247" w:lineRule="auto"/>
        <w:rPr>
          <w:sz w:val="20"/>
          <w:szCs w:val="20"/>
          <w:color w:val="auto"/>
        </w:rPr>
      </w:pPr>
      <w:r>
        <w:rPr>
          <w:rFonts w:ascii="Arial" w:cs="Arial" w:eastAsia="Arial" w:hAnsi="Arial"/>
          <w:sz w:val="19"/>
          <w:szCs w:val="19"/>
          <w:i w:val="1"/>
          <w:iCs w:val="1"/>
          <w:color w:val="auto"/>
        </w:rPr>
        <w:t>Notwithstanding anything to the contrary contained herein, in the event of Participant’s Termination of Service due to Retirement, Participant will remain eligible to vest in and receive on the Payment Date the total number of RSUs set forth in the Grant Notice. For purposes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310515</wp:posOffset>
            </wp:positionV>
            <wp:extent cx="7182485" cy="4127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0">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7" w:name="page308"/>
    <w:bookmarkEnd w:id="307"/>
    <w:p>
      <w:pPr>
        <w:ind w:left="10240"/>
        <w:spacing w:after="0"/>
        <w:rPr>
          <w:sz w:val="20"/>
          <w:szCs w:val="20"/>
          <w:color w:val="auto"/>
        </w:rPr>
      </w:pPr>
      <w:r>
        <w:rPr>
          <w:rFonts w:ascii="Arial" w:cs="Arial" w:eastAsia="Arial" w:hAnsi="Arial"/>
          <w:sz w:val="17"/>
          <w:szCs w:val="17"/>
          <w:color w:val="auto"/>
        </w:rPr>
        <w:t>Exhibit 10.44</w:t>
      </w:r>
    </w:p>
    <w:p>
      <w:pPr>
        <w:spacing w:after="0" w:line="37"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this Award, "Retirement" means Participant’s voluntary Termination of Service after having attained age 62, with 10 years of completed</w:t>
      </w:r>
    </w:p>
    <w:p>
      <w:pPr>
        <w:spacing w:after="0" w:line="20" w:lineRule="exact"/>
        <w:rPr>
          <w:sz w:val="20"/>
          <w:szCs w:val="20"/>
          <w:color w:val="auto"/>
        </w:rPr>
      </w:pPr>
    </w:p>
    <w:p>
      <w:pPr>
        <w:ind w:left="860"/>
        <w:spacing w:after="0"/>
        <w:rPr>
          <w:sz w:val="20"/>
          <w:szCs w:val="20"/>
          <w:color w:val="auto"/>
        </w:rPr>
      </w:pPr>
      <w:r>
        <w:rPr>
          <w:rFonts w:ascii="Arial" w:cs="Arial" w:eastAsia="Arial" w:hAnsi="Arial"/>
          <w:sz w:val="19"/>
          <w:szCs w:val="19"/>
          <w:i w:val="1"/>
          <w:iCs w:val="1"/>
          <w:color w:val="auto"/>
        </w:rPr>
        <w:t>service.</w:t>
      </w:r>
    </w:p>
    <w:p>
      <w:pPr>
        <w:spacing w:after="0" w:line="129" w:lineRule="exact"/>
        <w:rPr>
          <w:sz w:val="20"/>
          <w:szCs w:val="20"/>
          <w:color w:val="auto"/>
        </w:rPr>
      </w:pPr>
    </w:p>
    <w:p>
      <w:pPr>
        <w:ind w:right="40" w:firstLine="866"/>
        <w:spacing w:after="0" w:line="265" w:lineRule="auto"/>
        <w:tabs>
          <w:tab w:leader="none" w:pos="1068" w:val="left"/>
        </w:tabs>
        <w:numPr>
          <w:ilvl w:val="0"/>
          <w:numId w:val="183"/>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The Agreement, as amended by this Amendment, shall remain in full force and effect in accordance with the terms and conditions thereof. This Amendment may be executed simultaneously in any number of counterparts, each of which shall be deemed an original but all of which together shall constitute one and the same instrument. In the event of any conflict between the original terms of the Agreement and this Amendment, the terms of this Amendment shall prevail.</w:t>
      </w:r>
    </w:p>
    <w:p>
      <w:pPr>
        <w:spacing w:after="0" w:line="100" w:lineRule="exact"/>
        <w:rPr>
          <w:sz w:val="20"/>
          <w:szCs w:val="20"/>
          <w:color w:val="auto"/>
        </w:rPr>
      </w:pPr>
    </w:p>
    <w:p>
      <w:pPr>
        <w:jc w:val="both"/>
        <w:ind w:right="380"/>
        <w:spacing w:after="0" w:line="253" w:lineRule="auto"/>
        <w:rPr>
          <w:sz w:val="20"/>
          <w:szCs w:val="20"/>
          <w:color w:val="auto"/>
        </w:rPr>
      </w:pPr>
      <w:r>
        <w:rPr>
          <w:rFonts w:ascii="Arial" w:cs="Arial" w:eastAsia="Arial" w:hAnsi="Arial"/>
          <w:sz w:val="20"/>
          <w:szCs w:val="20"/>
          <w:color w:val="auto"/>
        </w:rPr>
        <w:t>THE PARTIES TO THIS AMENDMENT HAVE READ THE FOREGOING AMENDMENT AND FULLY UNDERSTAND EACH AND EVERY PROVISION CONTAINED HEREIN. WHEREFORE, THE PARTIES HAVE EXECUTED THIS AMENDMENT ON THE DATES SHOWN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820" w:type="dxa"/>
            <w:vAlign w:val="bottom"/>
          </w:tcPr>
          <w:p>
            <w:pPr>
              <w:spacing w:after="0"/>
              <w:rPr>
                <w:sz w:val="22"/>
                <w:szCs w:val="22"/>
                <w:color w:val="auto"/>
              </w:rPr>
            </w:pPr>
          </w:p>
        </w:tc>
        <w:tc>
          <w:tcPr>
            <w:tcW w:w="7460" w:type="dxa"/>
            <w:vAlign w:val="bottom"/>
          </w:tcPr>
          <w:p>
            <w:pPr>
              <w:ind w:left="1200"/>
              <w:spacing w:after="0"/>
              <w:rPr>
                <w:sz w:val="20"/>
                <w:szCs w:val="20"/>
                <w:color w:val="auto"/>
              </w:rPr>
            </w:pPr>
            <w:r>
              <w:rPr>
                <w:rFonts w:ascii="Arial" w:cs="Arial" w:eastAsia="Arial" w:hAnsi="Arial"/>
                <w:sz w:val="20"/>
                <w:szCs w:val="20"/>
                <w:color w:val="auto"/>
              </w:rPr>
              <w:t>EMPLOYEE</w:t>
            </w:r>
          </w:p>
        </w:tc>
        <w:tc>
          <w:tcPr>
            <w:tcW w:w="0" w:type="dxa"/>
            <w:vAlign w:val="bottom"/>
          </w:tcPr>
          <w:p>
            <w:pPr>
              <w:spacing w:after="0"/>
              <w:rPr>
                <w:sz w:val="1"/>
                <w:szCs w:val="1"/>
                <w:color w:val="auto"/>
              </w:rPr>
            </w:pPr>
          </w:p>
        </w:tc>
      </w:tr>
      <w:tr>
        <w:trPr>
          <w:trHeight w:val="654"/>
        </w:trPr>
        <w:tc>
          <w:tcPr>
            <w:tcW w:w="3820" w:type="dxa"/>
            <w:vAlign w:val="bottom"/>
          </w:tcPr>
          <w:p>
            <w:pPr>
              <w:spacing w:after="0"/>
              <w:rPr>
                <w:sz w:val="20"/>
                <w:szCs w:val="20"/>
                <w:color w:val="auto"/>
              </w:rPr>
            </w:pPr>
            <w:r>
              <w:rPr>
                <w:rFonts w:ascii="Arial" w:cs="Arial" w:eastAsia="Arial" w:hAnsi="Arial"/>
                <w:sz w:val="20"/>
                <w:szCs w:val="20"/>
                <w:color w:val="auto"/>
              </w:rPr>
              <w:t>Dated: ____________________</w:t>
            </w:r>
          </w:p>
        </w:tc>
        <w:tc>
          <w:tcPr>
            <w:tcW w:w="7460" w:type="dxa"/>
            <w:vAlign w:val="bottom"/>
          </w:tcPr>
          <w:p>
            <w:pPr>
              <w:ind w:left="1200"/>
              <w:spacing w:after="0"/>
              <w:rPr>
                <w:sz w:val="20"/>
                <w:szCs w:val="20"/>
                <w:color w:val="auto"/>
              </w:rPr>
            </w:pPr>
            <w:r>
              <w:rPr>
                <w:rFonts w:ascii="Arial" w:cs="Arial" w:eastAsia="Arial" w:hAnsi="Arial"/>
                <w:sz w:val="20"/>
                <w:szCs w:val="20"/>
                <w:color w:val="auto"/>
              </w:rPr>
              <w:t>By:_______________________________________</w:t>
            </w:r>
          </w:p>
        </w:tc>
        <w:tc>
          <w:tcPr>
            <w:tcW w:w="0" w:type="dxa"/>
            <w:vAlign w:val="bottom"/>
          </w:tcPr>
          <w:p>
            <w:pPr>
              <w:spacing w:after="0"/>
              <w:rPr>
                <w:sz w:val="1"/>
                <w:szCs w:val="1"/>
                <w:color w:val="auto"/>
              </w:rPr>
            </w:pPr>
          </w:p>
        </w:tc>
      </w:tr>
      <w:tr>
        <w:trPr>
          <w:trHeight w:val="259"/>
        </w:trPr>
        <w:tc>
          <w:tcPr>
            <w:tcW w:w="3820" w:type="dxa"/>
            <w:vAlign w:val="bottom"/>
          </w:tcPr>
          <w:p>
            <w:pPr>
              <w:spacing w:after="0"/>
              <w:rPr>
                <w:sz w:val="22"/>
                <w:szCs w:val="22"/>
                <w:color w:val="auto"/>
              </w:rPr>
            </w:pPr>
          </w:p>
        </w:tc>
        <w:tc>
          <w:tcPr>
            <w:tcW w:w="7460" w:type="dxa"/>
            <w:vAlign w:val="bottom"/>
          </w:tcPr>
          <w:p>
            <w:pPr>
              <w:ind w:left="1200"/>
              <w:spacing w:after="0"/>
              <w:rPr>
                <w:sz w:val="20"/>
                <w:szCs w:val="20"/>
                <w:color w:val="auto"/>
              </w:rPr>
            </w:pPr>
            <w:r>
              <w:rPr>
                <w:rFonts w:ascii="Arial" w:cs="Arial" w:eastAsia="Arial" w:hAnsi="Arial"/>
                <w:sz w:val="20"/>
                <w:szCs w:val="20"/>
                <w:color w:val="auto"/>
              </w:rPr>
              <w:t>George Ball</w:t>
            </w:r>
          </w:p>
        </w:tc>
        <w:tc>
          <w:tcPr>
            <w:tcW w:w="0" w:type="dxa"/>
            <w:vAlign w:val="bottom"/>
          </w:tcPr>
          <w:p>
            <w:pPr>
              <w:spacing w:after="0"/>
              <w:rPr>
                <w:sz w:val="1"/>
                <w:szCs w:val="1"/>
                <w:color w:val="auto"/>
              </w:rPr>
            </w:pPr>
          </w:p>
        </w:tc>
      </w:tr>
      <w:tr>
        <w:trPr>
          <w:trHeight w:val="456"/>
        </w:trPr>
        <w:tc>
          <w:tcPr>
            <w:tcW w:w="3820" w:type="dxa"/>
            <w:vAlign w:val="bottom"/>
          </w:tcPr>
          <w:p>
            <w:pPr>
              <w:spacing w:after="0"/>
              <w:rPr>
                <w:sz w:val="24"/>
                <w:szCs w:val="24"/>
                <w:color w:val="auto"/>
              </w:rPr>
            </w:pPr>
          </w:p>
        </w:tc>
        <w:tc>
          <w:tcPr>
            <w:tcW w:w="7460" w:type="dxa"/>
            <w:vAlign w:val="bottom"/>
          </w:tcPr>
          <w:p>
            <w:pPr>
              <w:ind w:left="1200"/>
              <w:spacing w:after="0"/>
              <w:rPr>
                <w:sz w:val="20"/>
                <w:szCs w:val="20"/>
                <w:color w:val="auto"/>
              </w:rPr>
            </w:pPr>
            <w:r>
              <w:rPr>
                <w:rFonts w:ascii="Arial" w:cs="Arial" w:eastAsia="Arial" w:hAnsi="Arial"/>
                <w:sz w:val="20"/>
                <w:szCs w:val="20"/>
                <w:color w:val="auto"/>
              </w:rPr>
              <w:t>PARSONS CORPORATION</w:t>
            </w:r>
          </w:p>
        </w:tc>
        <w:tc>
          <w:tcPr>
            <w:tcW w:w="0" w:type="dxa"/>
            <w:vAlign w:val="bottom"/>
          </w:tcPr>
          <w:p>
            <w:pPr>
              <w:spacing w:after="0"/>
              <w:rPr>
                <w:sz w:val="1"/>
                <w:szCs w:val="1"/>
                <w:color w:val="auto"/>
              </w:rPr>
            </w:pPr>
          </w:p>
        </w:tc>
      </w:tr>
      <w:tr>
        <w:trPr>
          <w:trHeight w:val="781"/>
        </w:trPr>
        <w:tc>
          <w:tcPr>
            <w:tcW w:w="3820" w:type="dxa"/>
            <w:vAlign w:val="bottom"/>
            <w:vMerge w:val="restart"/>
          </w:tcPr>
          <w:p>
            <w:pPr>
              <w:spacing w:after="0"/>
              <w:rPr>
                <w:sz w:val="20"/>
                <w:szCs w:val="20"/>
                <w:color w:val="auto"/>
              </w:rPr>
            </w:pPr>
            <w:r>
              <w:rPr>
                <w:rFonts w:ascii="Arial" w:cs="Arial" w:eastAsia="Arial" w:hAnsi="Arial"/>
                <w:sz w:val="20"/>
                <w:szCs w:val="20"/>
                <w:color w:val="auto"/>
              </w:rPr>
              <w:t>Dated: January 31, 2022</w:t>
            </w:r>
          </w:p>
        </w:tc>
        <w:tc>
          <w:tcPr>
            <w:tcW w:w="7460" w:type="dxa"/>
            <w:vAlign w:val="bottom"/>
          </w:tcPr>
          <w:p>
            <w:pPr>
              <w:ind w:left="1200"/>
              <w:spacing w:after="0"/>
              <w:rPr>
                <w:sz w:val="20"/>
                <w:szCs w:val="20"/>
                <w:color w:val="auto"/>
              </w:rPr>
            </w:pPr>
            <w:r>
              <w:rPr>
                <w:rFonts w:ascii="Arial" w:cs="Arial" w:eastAsia="Arial" w:hAnsi="Arial"/>
                <w:sz w:val="20"/>
                <w:szCs w:val="20"/>
                <w:color w:val="auto"/>
              </w:rPr>
              <w:t>Susan Balaguer</w:t>
            </w:r>
          </w:p>
        </w:tc>
        <w:tc>
          <w:tcPr>
            <w:tcW w:w="0" w:type="dxa"/>
            <w:vAlign w:val="bottom"/>
          </w:tcPr>
          <w:p>
            <w:pPr>
              <w:spacing w:after="0"/>
              <w:rPr>
                <w:sz w:val="1"/>
                <w:szCs w:val="1"/>
                <w:color w:val="auto"/>
              </w:rPr>
            </w:pPr>
          </w:p>
        </w:tc>
      </w:tr>
      <w:tr>
        <w:trPr>
          <w:trHeight w:val="132"/>
        </w:trPr>
        <w:tc>
          <w:tcPr>
            <w:tcW w:w="3820" w:type="dxa"/>
            <w:vAlign w:val="bottom"/>
            <w:vMerge w:val="continue"/>
          </w:tcPr>
          <w:p>
            <w:pPr>
              <w:spacing w:after="0"/>
              <w:rPr>
                <w:sz w:val="11"/>
                <w:szCs w:val="11"/>
                <w:color w:val="auto"/>
              </w:rPr>
            </w:pPr>
          </w:p>
        </w:tc>
        <w:tc>
          <w:tcPr>
            <w:tcW w:w="7460" w:type="dxa"/>
            <w:vAlign w:val="bottom"/>
            <w:vMerge w:val="restart"/>
          </w:tcPr>
          <w:p>
            <w:pPr>
              <w:ind w:left="1200"/>
              <w:spacing w:after="0"/>
              <w:rPr>
                <w:sz w:val="20"/>
                <w:szCs w:val="20"/>
                <w:color w:val="auto"/>
              </w:rPr>
            </w:pPr>
            <w:r>
              <w:rPr>
                <w:rFonts w:ascii="Arial" w:cs="Arial" w:eastAsia="Arial" w:hAnsi="Arial"/>
                <w:sz w:val="20"/>
                <w:szCs w:val="20"/>
                <w:color w:val="auto"/>
              </w:rPr>
              <w:t>Chief Human Resources Officer</w:t>
            </w:r>
          </w:p>
        </w:tc>
        <w:tc>
          <w:tcPr>
            <w:tcW w:w="0" w:type="dxa"/>
            <w:vAlign w:val="bottom"/>
          </w:tcPr>
          <w:p>
            <w:pPr>
              <w:spacing w:after="0"/>
              <w:rPr>
                <w:sz w:val="1"/>
                <w:szCs w:val="1"/>
                <w:color w:val="auto"/>
              </w:rPr>
            </w:pPr>
          </w:p>
        </w:tc>
      </w:tr>
      <w:tr>
        <w:trPr>
          <w:trHeight w:val="127"/>
        </w:trPr>
        <w:tc>
          <w:tcPr>
            <w:tcW w:w="3820" w:type="dxa"/>
            <w:vAlign w:val="bottom"/>
          </w:tcPr>
          <w:p>
            <w:pPr>
              <w:spacing w:after="0"/>
              <w:rPr>
                <w:sz w:val="11"/>
                <w:szCs w:val="11"/>
                <w:color w:val="auto"/>
              </w:rPr>
            </w:pPr>
          </w:p>
        </w:tc>
        <w:tc>
          <w:tcPr>
            <w:tcW w:w="7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18"/>
        </w:trPr>
        <w:tc>
          <w:tcPr>
            <w:tcW w:w="382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-27940</wp:posOffset>
            </wp:positionV>
            <wp:extent cx="33655" cy="4127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3188970</wp:posOffset>
            </wp:positionH>
            <wp:positionV relativeFrom="paragraph">
              <wp:posOffset>-2785110</wp:posOffset>
            </wp:positionV>
            <wp:extent cx="1561465" cy="3702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3">
                      <a:extLst>
                        <a:ext uri="{28A0092B-C50C-407E-A947-70E740481C1C}"/>
                      </a:extLst>
                    </a:blip>
                    <a:srcRect/>
                    <a:stretch>
                      <a:fillRect/>
                    </a:stretch>
                  </pic:blipFill>
                  <pic:spPr bwMode="auto">
                    <a:xfrm>
                      <a:off x="0" y="0"/>
                      <a:ext cx="1561465" cy="370205"/>
                    </a:xfrm>
                    <a:prstGeom prst="rect">
                      <a:avLst/>
                    </a:prstGeom>
                    <a:noFill/>
                  </pic:spPr>
                </pic:pic>
              </a:graphicData>
            </a:graphic>
          </wp:anchor>
        </w:drawing>
      </w:r>
    </w:p>
    <w:p>
      <w:pPr>
        <w:sectPr>
          <w:pgSz w:w="11900" w:h="16838" w:orient="portrait"/>
          <w:cols w:equalWidth="0" w:num="1">
            <w:col w:w="11280"/>
          </w:cols>
          <w:pgMar w:left="320" w:top="121" w:right="299" w:bottom="1440" w:gutter="0" w:footer="0" w:header="0"/>
        </w:sectPr>
      </w:pPr>
    </w:p>
    <w:bookmarkStart w:id="308" w:name="page309"/>
    <w:bookmarkEnd w:id="308"/>
    <w:p>
      <w:pPr>
        <w:jc w:val="right"/>
        <w:spacing w:after="0"/>
        <w:rPr>
          <w:sz w:val="20"/>
          <w:szCs w:val="20"/>
          <w:color w:val="auto"/>
        </w:rPr>
      </w:pPr>
      <w:r>
        <w:rPr>
          <w:rFonts w:ascii="Arial" w:cs="Arial" w:eastAsia="Arial" w:hAnsi="Arial"/>
          <w:sz w:val="19"/>
          <w:szCs w:val="19"/>
          <w:color w:val="auto"/>
        </w:rPr>
        <w:t>Exhibit 10.44</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AMENDMENT TO PARSONS CORPORATION INCENTIVE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RESTRICTED STOCK UNIT AWARD</w:t>
      </w:r>
    </w:p>
    <w:p>
      <w:pPr>
        <w:spacing w:after="0" w:line="145" w:lineRule="exact"/>
        <w:rPr>
          <w:sz w:val="20"/>
          <w:szCs w:val="20"/>
          <w:color w:val="auto"/>
        </w:rPr>
      </w:pPr>
    </w:p>
    <w:p>
      <w:pPr>
        <w:ind w:right="120" w:firstLine="589"/>
        <w:spacing w:after="0" w:line="268" w:lineRule="auto"/>
        <w:rPr>
          <w:sz w:val="20"/>
          <w:szCs w:val="20"/>
          <w:color w:val="auto"/>
        </w:rPr>
      </w:pPr>
      <w:r>
        <w:rPr>
          <w:rFonts w:ascii="Arial" w:cs="Arial" w:eastAsia="Arial" w:hAnsi="Arial"/>
          <w:sz w:val="20"/>
          <w:szCs w:val="20"/>
          <w:color w:val="auto"/>
        </w:rPr>
        <w:t>This Amendment to Parsons Corporation Incentive Award Plan Restricted Stock Unit Award (“Amendment”) is made effective as of July 19, 2021, by and between Parsons Corporation (“Company”), and George Ball (“Employee”).</w:t>
      </w:r>
    </w:p>
    <w:p>
      <w:pPr>
        <w:spacing w:after="0" w:line="95" w:lineRule="exact"/>
        <w:rPr>
          <w:sz w:val="20"/>
          <w:szCs w:val="20"/>
          <w:color w:val="auto"/>
        </w:rPr>
      </w:pPr>
    </w:p>
    <w:p>
      <w:pPr>
        <w:ind w:right="3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Incentive Award Plan Restricted Stock Unit Award dated as of March 1, 2021 (the “Award”);</w:t>
      </w:r>
    </w:p>
    <w:p>
      <w:pPr>
        <w:spacing w:after="0" w:line="95" w:lineRule="exact"/>
        <w:rPr>
          <w:sz w:val="20"/>
          <w:szCs w:val="20"/>
          <w:color w:val="auto"/>
        </w:rPr>
      </w:pPr>
    </w:p>
    <w:p>
      <w:pPr>
        <w:ind w:right="1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Change in Control Severance Agreement (“CIC Agreement”), which was amended as of July 19, 2021;</w:t>
      </w:r>
    </w:p>
    <w:p>
      <w:pPr>
        <w:spacing w:after="0" w:line="95" w:lineRule="exact"/>
        <w:rPr>
          <w:sz w:val="20"/>
          <w:szCs w:val="20"/>
          <w:color w:val="auto"/>
        </w:rPr>
      </w:pPr>
    </w:p>
    <w:p>
      <w:pPr>
        <w:ind w:right="640" w:firstLine="589"/>
        <w:spacing w:after="0" w:line="268" w:lineRule="auto"/>
        <w:rPr>
          <w:sz w:val="20"/>
          <w:szCs w:val="20"/>
          <w:color w:val="auto"/>
        </w:rPr>
      </w:pPr>
      <w:r>
        <w:rPr>
          <w:rFonts w:ascii="Arial" w:cs="Arial" w:eastAsia="Arial" w:hAnsi="Arial"/>
          <w:sz w:val="20"/>
          <w:szCs w:val="20"/>
          <w:color w:val="auto"/>
        </w:rPr>
        <w:t>WHEREAS, the Company and Employee desire to amend the Award to incorporate and reflect any amendments to the CIC Agreement;</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parties agree as follows:</w:t>
      </w:r>
    </w:p>
    <w:p>
      <w:pPr>
        <w:spacing w:after="0" w:line="150" w:lineRule="exact"/>
        <w:rPr>
          <w:sz w:val="20"/>
          <w:szCs w:val="20"/>
          <w:color w:val="auto"/>
        </w:rPr>
      </w:pPr>
    </w:p>
    <w:p>
      <w:pPr>
        <w:ind w:left="1400" w:hanging="809"/>
        <w:spacing w:after="0"/>
        <w:tabs>
          <w:tab w:leader="none" w:pos="140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Paragraph 2 of Exhibit B is hereby restated as follows:</w:t>
      </w:r>
    </w:p>
    <w:p>
      <w:pPr>
        <w:spacing w:after="0" w:line="200" w:lineRule="exact"/>
        <w:rPr>
          <w:sz w:val="20"/>
          <w:szCs w:val="20"/>
          <w:color w:val="auto"/>
        </w:rPr>
      </w:pPr>
    </w:p>
    <w:p>
      <w:pPr>
        <w:spacing w:after="0" w:line="234" w:lineRule="exact"/>
        <w:rPr>
          <w:sz w:val="20"/>
          <w:szCs w:val="20"/>
          <w:color w:val="auto"/>
        </w:rPr>
      </w:pPr>
    </w:p>
    <w:p>
      <w:pPr>
        <w:jc w:val="both"/>
        <w:ind w:left="860"/>
        <w:spacing w:after="0" w:line="277" w:lineRule="auto"/>
        <w:rPr>
          <w:sz w:val="20"/>
          <w:szCs w:val="20"/>
          <w:color w:val="auto"/>
        </w:rPr>
      </w:pPr>
      <w:r>
        <w:rPr>
          <w:rFonts w:ascii="Arial" w:cs="Arial" w:eastAsia="Arial" w:hAnsi="Arial"/>
          <w:sz w:val="17"/>
          <w:szCs w:val="17"/>
          <w:i w:val="1"/>
          <w:iCs w:val="1"/>
          <w:u w:val="single" w:color="auto"/>
          <w:color w:val="auto"/>
        </w:rPr>
        <w:t>ACCELERATED VESTING</w:t>
      </w:r>
      <w:r>
        <w:rPr>
          <w:rFonts w:ascii="Arial" w:cs="Arial" w:eastAsia="Arial" w:hAnsi="Arial"/>
          <w:sz w:val="17"/>
          <w:szCs w:val="17"/>
          <w:i w:val="1"/>
          <w:iCs w:val="1"/>
          <w:color w:val="auto"/>
        </w:rPr>
        <w:t>. In the event of Participant’s death or Disability, Participant will vest in such number of RSUs as is determined by multiplying (a) the number of RSUs scheduled to vest on the next occurring annual vesting date, by (b) (i) the number of months that have elapsed since the previous annual vesting date (or if no annual vesting date has yet occurred, since the Grant Date), divided by (ii) 12. Partial months shall be rounded up to the next whole calendar month for purposes of the numerator in this calculation. In the event the calculation results in a fractional RSU, any fractional RSU will be rounded up to the nearest whole RSU.</w:t>
      </w:r>
    </w:p>
    <w:p>
      <w:pPr>
        <w:spacing w:after="0" w:line="152" w:lineRule="exact"/>
        <w:rPr>
          <w:sz w:val="20"/>
          <w:szCs w:val="20"/>
          <w:color w:val="auto"/>
        </w:rPr>
      </w:pPr>
    </w:p>
    <w:p>
      <w:pPr>
        <w:jc w:val="both"/>
        <w:ind w:left="860"/>
        <w:spacing w:after="0" w:line="241" w:lineRule="auto"/>
        <w:rPr>
          <w:sz w:val="20"/>
          <w:szCs w:val="20"/>
          <w:color w:val="auto"/>
        </w:rPr>
      </w:pPr>
      <w:r>
        <w:rPr>
          <w:rFonts w:ascii="Arial" w:cs="Arial" w:eastAsia="Arial" w:hAnsi="Arial"/>
          <w:sz w:val="19"/>
          <w:szCs w:val="19"/>
          <w:i w:val="1"/>
          <w:iCs w:val="1"/>
          <w:color w:val="auto"/>
        </w:rPr>
        <w:t>The Award shall also be eligible for accelerated vesting as provided in Section 12.2 of the Plan. Notwithstanding the foregoing, and notwithstanding anything to the contrary contained in the Plan, in the event of a Change in Control, if Participant is a party to a Change in Control Severance Agreement with the Company at the time of such Change in Control, and a Qualifying Termination Event has occurred, as defined in the Participant’s Change in Control Severance Agreement, the RSUs shall accelerate, vest and be settled in full immediately prior to such Change in Control.”</w:t>
      </w:r>
    </w:p>
    <w:p>
      <w:pPr>
        <w:spacing w:after="0" w:line="183" w:lineRule="exact"/>
        <w:rPr>
          <w:sz w:val="20"/>
          <w:szCs w:val="20"/>
          <w:color w:val="auto"/>
        </w:rPr>
      </w:pPr>
    </w:p>
    <w:p>
      <w:pPr>
        <w:jc w:val="both"/>
        <w:ind w:left="860"/>
        <w:spacing w:after="0" w:line="277" w:lineRule="auto"/>
        <w:rPr>
          <w:sz w:val="20"/>
          <w:szCs w:val="20"/>
          <w:color w:val="auto"/>
        </w:rPr>
      </w:pPr>
      <w:r>
        <w:rPr>
          <w:rFonts w:ascii="Arial" w:cs="Arial" w:eastAsia="Arial" w:hAnsi="Arial"/>
          <w:sz w:val="17"/>
          <w:szCs w:val="17"/>
          <w:i w:val="1"/>
          <w:iCs w:val="1"/>
          <w:color w:val="auto"/>
        </w:rPr>
        <w:t>For purposes of this Award, “</w:t>
      </w:r>
      <w:r>
        <w:rPr>
          <w:rFonts w:ascii="Arial" w:cs="Arial" w:eastAsia="Arial" w:hAnsi="Arial"/>
          <w:sz w:val="17"/>
          <w:szCs w:val="17"/>
          <w:i w:val="1"/>
          <w:iCs w:val="1"/>
          <w:u w:val="single" w:color="auto"/>
          <w:color w:val="auto"/>
        </w:rPr>
        <w:t>Disability</w:t>
      </w:r>
      <w:r>
        <w:rPr>
          <w:rFonts w:ascii="Arial" w:cs="Arial" w:eastAsia="Arial" w:hAnsi="Arial"/>
          <w:sz w:val="17"/>
          <w:szCs w:val="17"/>
          <w:i w:val="1"/>
          <w:iCs w:val="1"/>
          <w:color w:val="auto"/>
        </w:rPr>
        <w:t>” means Participant (a) is unable to engage in any substantial gainful activity by reason of any medically determinable physical or mental impairment which can be expected to result in death or can be expected to last for a continuous period of not less than 12 months, or (b)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Company or its Subsidiaries.</w:t>
      </w:r>
    </w:p>
    <w:p>
      <w:pPr>
        <w:spacing w:after="0" w:line="152" w:lineRule="exact"/>
        <w:rPr>
          <w:sz w:val="20"/>
          <w:szCs w:val="20"/>
          <w:color w:val="auto"/>
        </w:rPr>
      </w:pPr>
    </w:p>
    <w:p>
      <w:pPr>
        <w:jc w:val="both"/>
        <w:ind w:left="860"/>
        <w:spacing w:after="0" w:line="247" w:lineRule="auto"/>
        <w:rPr>
          <w:sz w:val="20"/>
          <w:szCs w:val="20"/>
          <w:color w:val="auto"/>
        </w:rPr>
      </w:pPr>
      <w:r>
        <w:rPr>
          <w:rFonts w:ascii="Arial" w:cs="Arial" w:eastAsia="Arial" w:hAnsi="Arial"/>
          <w:sz w:val="19"/>
          <w:szCs w:val="19"/>
          <w:i w:val="1"/>
          <w:iCs w:val="1"/>
          <w:color w:val="auto"/>
        </w:rPr>
        <w:t>Notwithstanding anything to the contrary contained herein, in the event of Participant’s Termination of Service due to Retirement, Participant will remain eligible to vest in and receive on the Payment Date the total number of RSUs set forth in the Grant Notice. For purposes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310515</wp:posOffset>
            </wp:positionV>
            <wp:extent cx="7182485" cy="4127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4">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9" w:name="page310"/>
    <w:bookmarkEnd w:id="309"/>
    <w:p>
      <w:pPr>
        <w:ind w:left="10240"/>
        <w:spacing w:after="0"/>
        <w:rPr>
          <w:sz w:val="20"/>
          <w:szCs w:val="20"/>
          <w:color w:val="auto"/>
        </w:rPr>
      </w:pPr>
      <w:r>
        <w:rPr>
          <w:rFonts w:ascii="Arial" w:cs="Arial" w:eastAsia="Arial" w:hAnsi="Arial"/>
          <w:sz w:val="17"/>
          <w:szCs w:val="17"/>
          <w:color w:val="auto"/>
        </w:rPr>
        <w:t>Exhibit 10.44</w:t>
      </w:r>
    </w:p>
    <w:p>
      <w:pPr>
        <w:spacing w:after="0" w:line="37"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this Award, "Retirement" means Participant’s voluntary Termination of Service after having attained age 62, with 10 years of completed</w:t>
      </w:r>
    </w:p>
    <w:p>
      <w:pPr>
        <w:spacing w:after="0" w:line="20" w:lineRule="exact"/>
        <w:rPr>
          <w:sz w:val="20"/>
          <w:szCs w:val="20"/>
          <w:color w:val="auto"/>
        </w:rPr>
      </w:pPr>
    </w:p>
    <w:p>
      <w:pPr>
        <w:ind w:left="860"/>
        <w:spacing w:after="0"/>
        <w:rPr>
          <w:sz w:val="20"/>
          <w:szCs w:val="20"/>
          <w:color w:val="auto"/>
        </w:rPr>
      </w:pPr>
      <w:r>
        <w:rPr>
          <w:rFonts w:ascii="Arial" w:cs="Arial" w:eastAsia="Arial" w:hAnsi="Arial"/>
          <w:sz w:val="19"/>
          <w:szCs w:val="19"/>
          <w:i w:val="1"/>
          <w:iCs w:val="1"/>
          <w:color w:val="auto"/>
        </w:rPr>
        <w:t>service.</w:t>
      </w:r>
    </w:p>
    <w:p>
      <w:pPr>
        <w:spacing w:after="0" w:line="129" w:lineRule="exact"/>
        <w:rPr>
          <w:sz w:val="20"/>
          <w:szCs w:val="20"/>
          <w:color w:val="auto"/>
        </w:rPr>
      </w:pPr>
    </w:p>
    <w:p>
      <w:pPr>
        <w:ind w:firstLine="866"/>
        <w:spacing w:after="0" w:line="265" w:lineRule="auto"/>
        <w:tabs>
          <w:tab w:leader="none" w:pos="1068"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The Agreement, as amended by this Amendment, shall remain in full force and effect in accordance with the terms and conditions thereof. This Amendment may be executed simultaneously in any number of counterparts, each of which shall be deemed an original but all of which together shall constitute one and the same instrument. In the event of any conflict between the original terms of the Agreement and this Amendment, the terms of this Amendment shall prevail.</w:t>
      </w:r>
    </w:p>
    <w:p>
      <w:pPr>
        <w:spacing w:after="0" w:line="100" w:lineRule="exact"/>
        <w:rPr>
          <w:sz w:val="20"/>
          <w:szCs w:val="20"/>
          <w:color w:val="auto"/>
        </w:rPr>
      </w:pPr>
    </w:p>
    <w:p>
      <w:pPr>
        <w:jc w:val="both"/>
        <w:ind w:right="340"/>
        <w:spacing w:after="0" w:line="253" w:lineRule="auto"/>
        <w:rPr>
          <w:sz w:val="20"/>
          <w:szCs w:val="20"/>
          <w:color w:val="auto"/>
        </w:rPr>
      </w:pPr>
      <w:r>
        <w:rPr>
          <w:rFonts w:ascii="Arial" w:cs="Arial" w:eastAsia="Arial" w:hAnsi="Arial"/>
          <w:sz w:val="20"/>
          <w:szCs w:val="20"/>
          <w:color w:val="auto"/>
        </w:rPr>
        <w:t>THE PARTIES TO THIS AMENDMENT HAVE READ THE FOREGOING AMENDMENT AND FULLY UNDERSTAND EACH AND EVERY PROVISION CONTAINED HEREIN. WHEREFORE, THE PARTIES HAVE EXECUTED THIS AMENDMENT ON THE DATES SHOWN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720" w:type="dxa"/>
            <w:vAlign w:val="bottom"/>
          </w:tcPr>
          <w:p>
            <w:pPr>
              <w:spacing w:after="0"/>
              <w:rPr>
                <w:sz w:val="22"/>
                <w:szCs w:val="22"/>
                <w:color w:val="auto"/>
              </w:rPr>
            </w:pPr>
          </w:p>
        </w:tc>
        <w:tc>
          <w:tcPr>
            <w:tcW w:w="5560" w:type="dxa"/>
            <w:vAlign w:val="bottom"/>
          </w:tcPr>
          <w:p>
            <w:pPr>
              <w:ind w:left="1300"/>
              <w:spacing w:after="0"/>
              <w:rPr>
                <w:sz w:val="20"/>
                <w:szCs w:val="20"/>
                <w:color w:val="auto"/>
              </w:rPr>
            </w:pPr>
            <w:r>
              <w:rPr>
                <w:rFonts w:ascii="Arial" w:cs="Arial" w:eastAsia="Arial" w:hAnsi="Arial"/>
                <w:sz w:val="20"/>
                <w:szCs w:val="20"/>
                <w:color w:val="auto"/>
              </w:rPr>
              <w:t>EMPLOYEE</w:t>
            </w:r>
          </w:p>
        </w:tc>
        <w:tc>
          <w:tcPr>
            <w:tcW w:w="0" w:type="dxa"/>
            <w:vAlign w:val="bottom"/>
          </w:tcPr>
          <w:p>
            <w:pPr>
              <w:spacing w:after="0"/>
              <w:rPr>
                <w:sz w:val="1"/>
                <w:szCs w:val="1"/>
                <w:color w:val="auto"/>
              </w:rPr>
            </w:pPr>
          </w:p>
        </w:tc>
      </w:tr>
      <w:tr>
        <w:trPr>
          <w:trHeight w:val="654"/>
        </w:trPr>
        <w:tc>
          <w:tcPr>
            <w:tcW w:w="3720" w:type="dxa"/>
            <w:vAlign w:val="bottom"/>
          </w:tcPr>
          <w:p>
            <w:pPr>
              <w:spacing w:after="0"/>
              <w:rPr>
                <w:sz w:val="20"/>
                <w:szCs w:val="20"/>
                <w:color w:val="auto"/>
              </w:rPr>
            </w:pPr>
            <w:r>
              <w:rPr>
                <w:rFonts w:ascii="Arial" w:cs="Arial" w:eastAsia="Arial" w:hAnsi="Arial"/>
                <w:sz w:val="20"/>
                <w:szCs w:val="20"/>
                <w:color w:val="auto"/>
              </w:rPr>
              <w:t>Dated: __________________</w:t>
            </w:r>
          </w:p>
        </w:tc>
        <w:tc>
          <w:tcPr>
            <w:tcW w:w="5560" w:type="dxa"/>
            <w:vAlign w:val="bottom"/>
          </w:tcPr>
          <w:p>
            <w:pPr>
              <w:ind w:left="1300"/>
              <w:spacing w:after="0"/>
              <w:rPr>
                <w:sz w:val="20"/>
                <w:szCs w:val="20"/>
                <w:color w:val="auto"/>
              </w:rPr>
            </w:pPr>
            <w:r>
              <w:rPr>
                <w:rFonts w:ascii="Arial" w:cs="Arial" w:eastAsia="Arial" w:hAnsi="Arial"/>
                <w:sz w:val="20"/>
                <w:szCs w:val="20"/>
                <w:color w:val="auto"/>
                <w:w w:val="91"/>
              </w:rPr>
              <w:t>By:_______________________________________</w:t>
            </w:r>
          </w:p>
        </w:tc>
        <w:tc>
          <w:tcPr>
            <w:tcW w:w="0" w:type="dxa"/>
            <w:vAlign w:val="bottom"/>
          </w:tcPr>
          <w:p>
            <w:pPr>
              <w:spacing w:after="0"/>
              <w:rPr>
                <w:sz w:val="1"/>
                <w:szCs w:val="1"/>
                <w:color w:val="auto"/>
              </w:rPr>
            </w:pPr>
          </w:p>
        </w:tc>
      </w:tr>
      <w:tr>
        <w:trPr>
          <w:trHeight w:val="259"/>
        </w:trPr>
        <w:tc>
          <w:tcPr>
            <w:tcW w:w="3720" w:type="dxa"/>
            <w:vAlign w:val="bottom"/>
          </w:tcPr>
          <w:p>
            <w:pPr>
              <w:spacing w:after="0"/>
              <w:rPr>
                <w:sz w:val="22"/>
                <w:szCs w:val="22"/>
                <w:color w:val="auto"/>
              </w:rPr>
            </w:pPr>
          </w:p>
        </w:tc>
        <w:tc>
          <w:tcPr>
            <w:tcW w:w="5560" w:type="dxa"/>
            <w:vAlign w:val="bottom"/>
          </w:tcPr>
          <w:p>
            <w:pPr>
              <w:ind w:left="1300"/>
              <w:spacing w:after="0"/>
              <w:rPr>
                <w:sz w:val="20"/>
                <w:szCs w:val="20"/>
                <w:color w:val="auto"/>
              </w:rPr>
            </w:pPr>
            <w:r>
              <w:rPr>
                <w:rFonts w:ascii="Arial" w:cs="Arial" w:eastAsia="Arial" w:hAnsi="Arial"/>
                <w:sz w:val="20"/>
                <w:szCs w:val="20"/>
                <w:color w:val="auto"/>
              </w:rPr>
              <w:t>George Ball</w:t>
            </w:r>
          </w:p>
        </w:tc>
        <w:tc>
          <w:tcPr>
            <w:tcW w:w="0" w:type="dxa"/>
            <w:vAlign w:val="bottom"/>
          </w:tcPr>
          <w:p>
            <w:pPr>
              <w:spacing w:after="0"/>
              <w:rPr>
                <w:sz w:val="1"/>
                <w:szCs w:val="1"/>
                <w:color w:val="auto"/>
              </w:rPr>
            </w:pPr>
          </w:p>
        </w:tc>
      </w:tr>
      <w:tr>
        <w:trPr>
          <w:trHeight w:val="456"/>
        </w:trPr>
        <w:tc>
          <w:tcPr>
            <w:tcW w:w="3720" w:type="dxa"/>
            <w:vAlign w:val="bottom"/>
          </w:tcPr>
          <w:p>
            <w:pPr>
              <w:spacing w:after="0"/>
              <w:rPr>
                <w:sz w:val="24"/>
                <w:szCs w:val="24"/>
                <w:color w:val="auto"/>
              </w:rPr>
            </w:pPr>
          </w:p>
        </w:tc>
        <w:tc>
          <w:tcPr>
            <w:tcW w:w="5560" w:type="dxa"/>
            <w:vAlign w:val="bottom"/>
          </w:tcPr>
          <w:p>
            <w:pPr>
              <w:ind w:left="1300"/>
              <w:spacing w:after="0"/>
              <w:rPr>
                <w:sz w:val="20"/>
                <w:szCs w:val="20"/>
                <w:color w:val="auto"/>
              </w:rPr>
            </w:pPr>
            <w:r>
              <w:rPr>
                <w:rFonts w:ascii="Arial" w:cs="Arial" w:eastAsia="Arial" w:hAnsi="Arial"/>
                <w:sz w:val="20"/>
                <w:szCs w:val="20"/>
                <w:color w:val="auto"/>
              </w:rPr>
              <w:t>PARSONS CORPORATION</w:t>
            </w:r>
          </w:p>
        </w:tc>
        <w:tc>
          <w:tcPr>
            <w:tcW w:w="0" w:type="dxa"/>
            <w:vAlign w:val="bottom"/>
          </w:tcPr>
          <w:p>
            <w:pPr>
              <w:spacing w:after="0"/>
              <w:rPr>
                <w:sz w:val="1"/>
                <w:szCs w:val="1"/>
                <w:color w:val="auto"/>
              </w:rPr>
            </w:pPr>
          </w:p>
        </w:tc>
      </w:tr>
      <w:tr>
        <w:trPr>
          <w:trHeight w:val="781"/>
        </w:trPr>
        <w:tc>
          <w:tcPr>
            <w:tcW w:w="3720" w:type="dxa"/>
            <w:vAlign w:val="bottom"/>
            <w:vMerge w:val="restart"/>
          </w:tcPr>
          <w:p>
            <w:pPr>
              <w:spacing w:after="0"/>
              <w:rPr>
                <w:sz w:val="20"/>
                <w:szCs w:val="20"/>
                <w:color w:val="auto"/>
              </w:rPr>
            </w:pPr>
            <w:r>
              <w:rPr>
                <w:rFonts w:ascii="Arial" w:cs="Arial" w:eastAsia="Arial" w:hAnsi="Arial"/>
                <w:sz w:val="20"/>
                <w:szCs w:val="20"/>
                <w:color w:val="auto"/>
              </w:rPr>
              <w:t>Dated: January 26, 2022</w:t>
            </w:r>
          </w:p>
        </w:tc>
        <w:tc>
          <w:tcPr>
            <w:tcW w:w="5560" w:type="dxa"/>
            <w:vAlign w:val="bottom"/>
          </w:tcPr>
          <w:p>
            <w:pPr>
              <w:ind w:left="1300"/>
              <w:spacing w:after="0"/>
              <w:rPr>
                <w:sz w:val="20"/>
                <w:szCs w:val="20"/>
                <w:color w:val="auto"/>
              </w:rPr>
            </w:pPr>
            <w:r>
              <w:rPr>
                <w:rFonts w:ascii="Arial" w:cs="Arial" w:eastAsia="Arial" w:hAnsi="Arial"/>
                <w:sz w:val="20"/>
                <w:szCs w:val="20"/>
                <w:color w:val="auto"/>
              </w:rPr>
              <w:t>Susan Balaguer</w:t>
            </w:r>
          </w:p>
        </w:tc>
        <w:tc>
          <w:tcPr>
            <w:tcW w:w="0" w:type="dxa"/>
            <w:vAlign w:val="bottom"/>
          </w:tcPr>
          <w:p>
            <w:pPr>
              <w:spacing w:after="0"/>
              <w:rPr>
                <w:sz w:val="1"/>
                <w:szCs w:val="1"/>
                <w:color w:val="auto"/>
              </w:rPr>
            </w:pPr>
          </w:p>
        </w:tc>
      </w:tr>
      <w:tr>
        <w:trPr>
          <w:trHeight w:val="132"/>
        </w:trPr>
        <w:tc>
          <w:tcPr>
            <w:tcW w:w="3720" w:type="dxa"/>
            <w:vAlign w:val="bottom"/>
            <w:vMerge w:val="continue"/>
          </w:tcPr>
          <w:p>
            <w:pPr>
              <w:spacing w:after="0"/>
              <w:rPr>
                <w:sz w:val="11"/>
                <w:szCs w:val="11"/>
                <w:color w:val="auto"/>
              </w:rPr>
            </w:pPr>
          </w:p>
        </w:tc>
        <w:tc>
          <w:tcPr>
            <w:tcW w:w="5560" w:type="dxa"/>
            <w:vAlign w:val="bottom"/>
            <w:vMerge w:val="restart"/>
          </w:tcPr>
          <w:p>
            <w:pPr>
              <w:ind w:left="1300"/>
              <w:spacing w:after="0"/>
              <w:rPr>
                <w:sz w:val="20"/>
                <w:szCs w:val="20"/>
                <w:color w:val="auto"/>
              </w:rPr>
            </w:pPr>
            <w:r>
              <w:rPr>
                <w:rFonts w:ascii="Arial" w:cs="Arial" w:eastAsia="Arial" w:hAnsi="Arial"/>
                <w:sz w:val="20"/>
                <w:szCs w:val="20"/>
                <w:color w:val="auto"/>
              </w:rPr>
              <w:t>Chief Human Resources Officer</w:t>
            </w:r>
          </w:p>
        </w:tc>
        <w:tc>
          <w:tcPr>
            <w:tcW w:w="0" w:type="dxa"/>
            <w:vAlign w:val="bottom"/>
          </w:tcPr>
          <w:p>
            <w:pPr>
              <w:spacing w:after="0"/>
              <w:rPr>
                <w:sz w:val="1"/>
                <w:szCs w:val="1"/>
                <w:color w:val="auto"/>
              </w:rPr>
            </w:pPr>
          </w:p>
        </w:tc>
      </w:tr>
      <w:tr>
        <w:trPr>
          <w:trHeight w:val="127"/>
        </w:trPr>
        <w:tc>
          <w:tcPr>
            <w:tcW w:w="3720" w:type="dxa"/>
            <w:vAlign w:val="bottom"/>
          </w:tcPr>
          <w:p>
            <w:pPr>
              <w:spacing w:after="0"/>
              <w:rPr>
                <w:sz w:val="11"/>
                <w:szCs w:val="11"/>
                <w:color w:val="auto"/>
              </w:rPr>
            </w:pPr>
          </w:p>
        </w:tc>
        <w:tc>
          <w:tcPr>
            <w:tcW w:w="5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3188970</wp:posOffset>
            </wp:positionH>
            <wp:positionV relativeFrom="paragraph">
              <wp:posOffset>-665480</wp:posOffset>
            </wp:positionV>
            <wp:extent cx="1731010" cy="3702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5">
                      <a:extLst>
                        <a:ext uri="{28A0092B-C50C-407E-A947-70E740481C1C}"/>
                      </a:extLst>
                    </a:blip>
                    <a:srcRect/>
                    <a:stretch>
                      <a:fillRect/>
                    </a:stretch>
                  </pic:blipFill>
                  <pic:spPr bwMode="auto">
                    <a:xfrm>
                      <a:off x="0" y="0"/>
                      <a:ext cx="1731010" cy="3702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0" w:name="page311"/>
    <w:bookmarkEnd w:id="310"/>
    <w:p>
      <w:pPr>
        <w:jc w:val="right"/>
        <w:spacing w:after="0"/>
        <w:rPr>
          <w:sz w:val="20"/>
          <w:szCs w:val="20"/>
          <w:color w:val="auto"/>
        </w:rPr>
      </w:pPr>
      <w:r>
        <w:rPr>
          <w:rFonts w:ascii="Arial" w:cs="Arial" w:eastAsia="Arial" w:hAnsi="Arial"/>
          <w:sz w:val="19"/>
          <w:szCs w:val="19"/>
          <w:color w:val="auto"/>
        </w:rPr>
        <w:t>Exhibit 10.45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AMENDMENT TO PARSONS CORPORATION INCENTIVE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PERFORMANCE STOCK UNIT AWARD</w:t>
      </w:r>
    </w:p>
    <w:p>
      <w:pPr>
        <w:spacing w:after="0" w:line="145" w:lineRule="exact"/>
        <w:rPr>
          <w:sz w:val="20"/>
          <w:szCs w:val="20"/>
          <w:color w:val="auto"/>
        </w:rPr>
      </w:pPr>
    </w:p>
    <w:p>
      <w:pPr>
        <w:ind w:right="120" w:firstLine="589"/>
        <w:spacing w:after="0" w:line="268" w:lineRule="auto"/>
        <w:rPr>
          <w:sz w:val="20"/>
          <w:szCs w:val="20"/>
          <w:color w:val="auto"/>
        </w:rPr>
      </w:pPr>
      <w:r>
        <w:rPr>
          <w:rFonts w:ascii="Arial" w:cs="Arial" w:eastAsia="Arial" w:hAnsi="Arial"/>
          <w:sz w:val="20"/>
          <w:szCs w:val="20"/>
          <w:color w:val="auto"/>
        </w:rPr>
        <w:t>This Amendment to Parsons Corporation Incentive Award Plan Performance Stock Unit Award (“Amendment”) is made effective as of July 19, 2021, by and between Parsons Corporation (“Company”), and Michael Kolloway (“Employee”).</w:t>
      </w:r>
    </w:p>
    <w:p>
      <w:pPr>
        <w:spacing w:after="0" w:line="95" w:lineRule="exact"/>
        <w:rPr>
          <w:sz w:val="20"/>
          <w:szCs w:val="20"/>
          <w:color w:val="auto"/>
        </w:rPr>
      </w:pPr>
    </w:p>
    <w:p>
      <w:pPr>
        <w:ind w:right="1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Incentive Award Plan Performance Stock Unit Award dated as of March 5, 2020 (the “Award”);</w:t>
      </w:r>
    </w:p>
    <w:p>
      <w:pPr>
        <w:spacing w:after="0" w:line="95" w:lineRule="exact"/>
        <w:rPr>
          <w:sz w:val="20"/>
          <w:szCs w:val="20"/>
          <w:color w:val="auto"/>
        </w:rPr>
      </w:pPr>
    </w:p>
    <w:p>
      <w:pPr>
        <w:ind w:right="1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Change in Control Severance Agreement (“CIC Agreement”), which was amended as of July 19, 2021;</w:t>
      </w:r>
    </w:p>
    <w:p>
      <w:pPr>
        <w:spacing w:after="0" w:line="95" w:lineRule="exact"/>
        <w:rPr>
          <w:sz w:val="20"/>
          <w:szCs w:val="20"/>
          <w:color w:val="auto"/>
        </w:rPr>
      </w:pPr>
    </w:p>
    <w:p>
      <w:pPr>
        <w:ind w:right="640" w:firstLine="589"/>
        <w:spacing w:after="0" w:line="268" w:lineRule="auto"/>
        <w:rPr>
          <w:sz w:val="20"/>
          <w:szCs w:val="20"/>
          <w:color w:val="auto"/>
        </w:rPr>
      </w:pPr>
      <w:r>
        <w:rPr>
          <w:rFonts w:ascii="Arial" w:cs="Arial" w:eastAsia="Arial" w:hAnsi="Arial"/>
          <w:sz w:val="20"/>
          <w:szCs w:val="20"/>
          <w:color w:val="auto"/>
        </w:rPr>
        <w:t>WHEREAS, the Company and Employee desire to amend the Award to incorporate and reflect any amendments to the CIC Agreement;</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parties agree as follows:</w:t>
      </w:r>
    </w:p>
    <w:p>
      <w:pPr>
        <w:spacing w:after="0" w:line="150" w:lineRule="exact"/>
        <w:rPr>
          <w:sz w:val="20"/>
          <w:szCs w:val="20"/>
          <w:color w:val="auto"/>
        </w:rPr>
      </w:pPr>
    </w:p>
    <w:p>
      <w:pPr>
        <w:ind w:left="1400" w:hanging="809"/>
        <w:spacing w:after="0"/>
        <w:tabs>
          <w:tab w:leader="none" w:pos="140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Paragraph 2 of Exhibit B is hereby restated as follows:</w:t>
      </w:r>
    </w:p>
    <w:p>
      <w:pPr>
        <w:spacing w:after="0" w:line="150" w:lineRule="exact"/>
        <w:rPr>
          <w:sz w:val="20"/>
          <w:szCs w:val="20"/>
          <w:color w:val="auto"/>
        </w:rPr>
      </w:pPr>
    </w:p>
    <w:p>
      <w:pPr>
        <w:ind w:right="20" w:firstLine="865"/>
        <w:spacing w:after="0" w:line="269" w:lineRule="auto"/>
        <w:rPr>
          <w:sz w:val="20"/>
          <w:szCs w:val="20"/>
          <w:color w:val="auto"/>
        </w:rPr>
      </w:pPr>
      <w:r>
        <w:rPr>
          <w:rFonts w:ascii="Arial" w:cs="Arial" w:eastAsia="Arial" w:hAnsi="Arial"/>
          <w:sz w:val="18"/>
          <w:szCs w:val="18"/>
          <w:i w:val="1"/>
          <w:iCs w:val="1"/>
          <w:color w:val="auto"/>
        </w:rPr>
        <w:t>ACCELERATED VESTING. In the event of Participant’s Termination of Service due to Retirement, death or Disability prior to the Payment Date, Participant will remain eligible to vest in and receive on the Payment Date that number of PSUs as is determined by multiplying (a) the number of PSUs that Participant would vest in as provided in Section 1 of this Exhibit B had he/she not incurred a Termination of Service prior to the Payment Date, by (b) (i) the number of months that have elapsed since January 1, 2020, divided by (ii)</w:t>
      </w:r>
    </w:p>
    <w:p>
      <w:pPr>
        <w:spacing w:after="0" w:line="3" w:lineRule="exact"/>
        <w:rPr>
          <w:sz w:val="20"/>
          <w:szCs w:val="20"/>
          <w:color w:val="auto"/>
        </w:rPr>
      </w:pPr>
    </w:p>
    <w:p>
      <w:pPr>
        <w:ind w:right="200" w:firstLine="1"/>
        <w:spacing w:after="0" w:line="249" w:lineRule="auto"/>
        <w:tabs>
          <w:tab w:leader="none" w:pos="304" w:val="left"/>
        </w:tabs>
        <w:numPr>
          <w:ilvl w:val="0"/>
          <w:numId w:val="187"/>
        </w:numPr>
        <w:rPr>
          <w:rFonts w:ascii="Arial" w:cs="Arial" w:eastAsia="Arial" w:hAnsi="Arial"/>
          <w:sz w:val="20"/>
          <w:szCs w:val="20"/>
          <w:i w:val="1"/>
          <w:iCs w:val="1"/>
          <w:color w:val="auto"/>
        </w:rPr>
      </w:pPr>
      <w:r>
        <w:rPr>
          <w:rFonts w:ascii="Arial" w:cs="Arial" w:eastAsia="Arial" w:hAnsi="Arial"/>
          <w:sz w:val="20"/>
          <w:szCs w:val="20"/>
          <w:i w:val="1"/>
          <w:iCs w:val="1"/>
          <w:color w:val="auto"/>
        </w:rPr>
        <w:t>Partial months shall be rounded up to the next whole calendar month for purposes of the numerator in this calculation. In the event the calculation results in a fractional PSU, any fractional PSU will be rounded up to the nearest whole PSU.</w:t>
      </w:r>
    </w:p>
    <w:p>
      <w:pPr>
        <w:spacing w:after="0" w:line="113" w:lineRule="exact"/>
        <w:rPr>
          <w:sz w:val="20"/>
          <w:szCs w:val="20"/>
          <w:color w:val="auto"/>
        </w:rPr>
      </w:pPr>
    </w:p>
    <w:p>
      <w:pPr>
        <w:ind w:right="20" w:firstLine="865"/>
        <w:spacing w:after="0" w:line="256" w:lineRule="auto"/>
        <w:rPr>
          <w:sz w:val="20"/>
          <w:szCs w:val="20"/>
          <w:color w:val="auto"/>
        </w:rPr>
      </w:pPr>
      <w:r>
        <w:rPr>
          <w:rFonts w:ascii="Arial" w:cs="Arial" w:eastAsia="Arial" w:hAnsi="Arial"/>
          <w:sz w:val="19"/>
          <w:szCs w:val="19"/>
          <w:i w:val="1"/>
          <w:iCs w:val="1"/>
          <w:color w:val="auto"/>
        </w:rPr>
        <w:t>Notwithstanding the foregoing, if Participant is a party to a Change in Control Severance Agreement with the Company at the time of Participant’s Termination of Service due to Retirement, death or Disability prior to the Payment Date, and such termination occurs prior to the occurrence of a Change in Control, in lieu of the treatment in the foregoing paragraph, Participant will remain eligible to vest in and receive on the Payment Date (or, if earlier, the date of a Change in Control) that number of PSUs as is determined by multiplying (a) the number of PSUs that Participant would vested in as provided in Section 1 of this Exhibit B had he/she not incurred a Termination of Service prior to the Payment Date (or, in the event of a Change in Control prior to the Payment Date, the Target PSUs), by (b) (i) the number of months that have elapsed since January 1, 2020, divided by (ii) 36. Partial months shall be rounded up to the next whole calendar month for purposes of the numerator in this calculation. In the event the calculation results in a fractional PSU, any fractional PSU will be rounded up to the nearest whole PSU.</w:t>
      </w:r>
    </w:p>
    <w:p>
      <w:pPr>
        <w:spacing w:after="0" w:line="108" w:lineRule="exact"/>
        <w:rPr>
          <w:sz w:val="20"/>
          <w:szCs w:val="20"/>
          <w:color w:val="auto"/>
        </w:rPr>
      </w:pPr>
    </w:p>
    <w:p>
      <w:pPr>
        <w:jc w:val="both"/>
        <w:ind w:right="420" w:firstLine="865"/>
        <w:spacing w:after="0" w:line="253" w:lineRule="auto"/>
        <w:rPr>
          <w:sz w:val="20"/>
          <w:szCs w:val="20"/>
          <w:color w:val="auto"/>
        </w:rPr>
      </w:pPr>
      <w:r>
        <w:rPr>
          <w:rFonts w:ascii="Arial" w:cs="Arial" w:eastAsia="Arial" w:hAnsi="Arial"/>
          <w:sz w:val="20"/>
          <w:szCs w:val="20"/>
          <w:i w:val="1"/>
          <w:iCs w:val="1"/>
          <w:color w:val="auto"/>
        </w:rPr>
        <w:t>The Award shall also be eligible for accelerated vesting as provided in Section 12.2 of the Plan; provided that, in the event Section 12.2(d) of the Plan applies, in the event of Participant's Termination of Service without "cause" (and other than as a result of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303530</wp:posOffset>
            </wp:positionV>
            <wp:extent cx="7182485" cy="4127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6">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1" w:name="page312"/>
    <w:bookmarkEnd w:id="311"/>
    <w:p>
      <w:pPr>
        <w:ind w:left="10240"/>
        <w:spacing w:after="0"/>
        <w:rPr>
          <w:sz w:val="20"/>
          <w:szCs w:val="20"/>
          <w:color w:val="auto"/>
        </w:rPr>
      </w:pPr>
      <w:r>
        <w:rPr>
          <w:rFonts w:ascii="Arial" w:cs="Arial" w:eastAsia="Arial" w:hAnsi="Arial"/>
          <w:sz w:val="17"/>
          <w:szCs w:val="17"/>
          <w:color w:val="auto"/>
        </w:rPr>
        <w:t>Exhibit 10.45</w:t>
      </w:r>
    </w:p>
    <w:p>
      <w:pPr>
        <w:spacing w:after="0" w:line="167"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i w:val="1"/>
          <w:iCs w:val="1"/>
          <w:color w:val="auto"/>
        </w:rPr>
        <w:t>Retirement, death or Disability, in which case the first paragraph of this Section 2 shall apply) upon or within twelve (12) months following the Change in Control (as described therein), provided such termination occurs prior to the Payment Date, Participant will vest in the Target PSUs on the date of such termination. Notwithstanding the foregoing, and notwithstanding anything to the contrary contained in the Plan, in the event of a Change in Control prior to the Payment Date, if Participant is a party to a Change in Control Severance Agreement with the Company at the time of such Change in Control, and a Qualifying Termination Event has occurred, as defined in the Participant’s Change in Control Severance Agreement, the Target PSUs shall accelerate, vest and be settled in full immediately prior to such Change in Control.</w:t>
      </w:r>
    </w:p>
    <w:p>
      <w:pPr>
        <w:spacing w:after="0" w:line="120" w:lineRule="exact"/>
        <w:rPr>
          <w:sz w:val="20"/>
          <w:szCs w:val="20"/>
          <w:color w:val="auto"/>
        </w:rPr>
      </w:pPr>
    </w:p>
    <w:p>
      <w:pPr>
        <w:ind w:right="200" w:firstLine="865"/>
        <w:spacing w:after="0" w:line="244" w:lineRule="auto"/>
        <w:rPr>
          <w:sz w:val="20"/>
          <w:szCs w:val="20"/>
          <w:color w:val="auto"/>
        </w:rPr>
      </w:pPr>
      <w:r>
        <w:rPr>
          <w:rFonts w:ascii="Arial" w:cs="Arial" w:eastAsia="Arial" w:hAnsi="Arial"/>
          <w:sz w:val="20"/>
          <w:szCs w:val="20"/>
          <w:i w:val="1"/>
          <w:iCs w:val="1"/>
          <w:color w:val="auto"/>
        </w:rPr>
        <w:t>For purposes of this Award, “Disability” means Participant (a) is unable to engage in any substantial gainful activity by reason of any medically determinable physical or mental impairment which can be expected to result in death or can be expected to last for a continuous period of not less than 12 months, or (b)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Company or its Subsidiaries.</w:t>
      </w:r>
    </w:p>
    <w:p>
      <w:pPr>
        <w:spacing w:after="0" w:line="118" w:lineRule="exact"/>
        <w:rPr>
          <w:sz w:val="20"/>
          <w:szCs w:val="20"/>
          <w:color w:val="auto"/>
        </w:rPr>
      </w:pPr>
    </w:p>
    <w:p>
      <w:pPr>
        <w:ind w:right="260" w:firstLine="865"/>
        <w:spacing w:after="0" w:line="268" w:lineRule="auto"/>
        <w:rPr>
          <w:sz w:val="20"/>
          <w:szCs w:val="20"/>
          <w:color w:val="auto"/>
        </w:rPr>
      </w:pPr>
      <w:r>
        <w:rPr>
          <w:rFonts w:ascii="Arial" w:cs="Arial" w:eastAsia="Arial" w:hAnsi="Arial"/>
          <w:sz w:val="20"/>
          <w:szCs w:val="20"/>
          <w:i w:val="1"/>
          <w:iCs w:val="1"/>
          <w:color w:val="auto"/>
        </w:rPr>
        <w:t>For purposes of this Award, "Retirement" means Participant’s voluntary Termination of Service after having attained age 62, with 10 years of completed service.</w:t>
      </w:r>
    </w:p>
    <w:p>
      <w:pPr>
        <w:spacing w:after="0" w:line="95" w:lineRule="exact"/>
        <w:rPr>
          <w:sz w:val="20"/>
          <w:szCs w:val="20"/>
          <w:color w:val="auto"/>
        </w:rPr>
      </w:pPr>
    </w:p>
    <w:p>
      <w:pPr>
        <w:ind w:right="40" w:firstLine="866"/>
        <w:spacing w:after="0" w:line="265" w:lineRule="auto"/>
        <w:tabs>
          <w:tab w:leader="none" w:pos="1068" w:val="left"/>
        </w:tabs>
        <w:numPr>
          <w:ilvl w:val="0"/>
          <w:numId w:val="188"/>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The Agreement, as amended by this Amendment, shall remain in full force and effect in accordance with the terms and conditions thereof. This Amendment may be executed simultaneously in any number of counterparts, each of which shall be deemed an original but all of which together shall constitute one and the same instrument. In the event of any conflict between the original terms of the Agreement and this Amendment, the terms of this Amendment shall prevail.</w:t>
      </w:r>
    </w:p>
    <w:p>
      <w:pPr>
        <w:spacing w:after="0" w:line="100" w:lineRule="exact"/>
        <w:rPr>
          <w:sz w:val="20"/>
          <w:szCs w:val="20"/>
          <w:color w:val="auto"/>
        </w:rPr>
      </w:pPr>
    </w:p>
    <w:p>
      <w:pPr>
        <w:jc w:val="both"/>
        <w:ind w:right="380"/>
        <w:spacing w:after="0" w:line="253" w:lineRule="auto"/>
        <w:rPr>
          <w:sz w:val="20"/>
          <w:szCs w:val="20"/>
          <w:color w:val="auto"/>
        </w:rPr>
      </w:pPr>
      <w:r>
        <w:rPr>
          <w:rFonts w:ascii="Arial" w:cs="Arial" w:eastAsia="Arial" w:hAnsi="Arial"/>
          <w:sz w:val="20"/>
          <w:szCs w:val="20"/>
          <w:color w:val="auto"/>
        </w:rPr>
        <w:t>THE PARTIES TO THIS AMENDMENT HAVE READ THE FOREGOING AMENDMENT AND FULLY UNDERSTAND EACH AND EVERY PROVISION CONTAINED HEREIN. WHEREFORE, THE PARTIES HAVE EXECUTED THIS AMENDMENT ON THE DATES SHOWN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820" w:type="dxa"/>
            <w:vAlign w:val="bottom"/>
          </w:tcPr>
          <w:p>
            <w:pPr>
              <w:spacing w:after="0"/>
              <w:rPr>
                <w:sz w:val="22"/>
                <w:szCs w:val="22"/>
                <w:color w:val="auto"/>
              </w:rPr>
            </w:pPr>
          </w:p>
        </w:tc>
        <w:tc>
          <w:tcPr>
            <w:tcW w:w="7460" w:type="dxa"/>
            <w:vAlign w:val="bottom"/>
          </w:tcPr>
          <w:p>
            <w:pPr>
              <w:ind w:left="1200"/>
              <w:spacing w:after="0"/>
              <w:rPr>
                <w:sz w:val="20"/>
                <w:szCs w:val="20"/>
                <w:color w:val="auto"/>
              </w:rPr>
            </w:pPr>
            <w:r>
              <w:rPr>
                <w:rFonts w:ascii="Arial" w:cs="Arial" w:eastAsia="Arial" w:hAnsi="Arial"/>
                <w:sz w:val="20"/>
                <w:szCs w:val="20"/>
                <w:color w:val="auto"/>
              </w:rPr>
              <w:t>EMPLOYEE</w:t>
            </w:r>
          </w:p>
        </w:tc>
        <w:tc>
          <w:tcPr>
            <w:tcW w:w="0" w:type="dxa"/>
            <w:vAlign w:val="bottom"/>
          </w:tcPr>
          <w:p>
            <w:pPr>
              <w:spacing w:after="0"/>
              <w:rPr>
                <w:sz w:val="1"/>
                <w:szCs w:val="1"/>
                <w:color w:val="auto"/>
              </w:rPr>
            </w:pPr>
          </w:p>
        </w:tc>
      </w:tr>
      <w:tr>
        <w:trPr>
          <w:trHeight w:val="654"/>
        </w:trPr>
        <w:tc>
          <w:tcPr>
            <w:tcW w:w="3820" w:type="dxa"/>
            <w:vAlign w:val="bottom"/>
          </w:tcPr>
          <w:p>
            <w:pPr>
              <w:spacing w:after="0"/>
              <w:rPr>
                <w:sz w:val="20"/>
                <w:szCs w:val="20"/>
                <w:color w:val="auto"/>
              </w:rPr>
            </w:pPr>
            <w:r>
              <w:rPr>
                <w:rFonts w:ascii="Arial" w:cs="Arial" w:eastAsia="Arial" w:hAnsi="Arial"/>
                <w:sz w:val="20"/>
                <w:szCs w:val="20"/>
                <w:color w:val="auto"/>
              </w:rPr>
              <w:t>Dated: ____________________</w:t>
            </w:r>
          </w:p>
        </w:tc>
        <w:tc>
          <w:tcPr>
            <w:tcW w:w="7460" w:type="dxa"/>
            <w:vAlign w:val="bottom"/>
          </w:tcPr>
          <w:p>
            <w:pPr>
              <w:ind w:left="1200"/>
              <w:spacing w:after="0"/>
              <w:rPr>
                <w:sz w:val="20"/>
                <w:szCs w:val="20"/>
                <w:color w:val="auto"/>
              </w:rPr>
            </w:pPr>
            <w:r>
              <w:rPr>
                <w:rFonts w:ascii="Arial" w:cs="Arial" w:eastAsia="Arial" w:hAnsi="Arial"/>
                <w:sz w:val="20"/>
                <w:szCs w:val="20"/>
                <w:color w:val="auto"/>
              </w:rPr>
              <w:t>By:_______________________________________</w:t>
            </w:r>
          </w:p>
        </w:tc>
        <w:tc>
          <w:tcPr>
            <w:tcW w:w="0" w:type="dxa"/>
            <w:vAlign w:val="bottom"/>
          </w:tcPr>
          <w:p>
            <w:pPr>
              <w:spacing w:after="0"/>
              <w:rPr>
                <w:sz w:val="1"/>
                <w:szCs w:val="1"/>
                <w:color w:val="auto"/>
              </w:rPr>
            </w:pPr>
          </w:p>
        </w:tc>
      </w:tr>
      <w:tr>
        <w:trPr>
          <w:trHeight w:val="259"/>
        </w:trPr>
        <w:tc>
          <w:tcPr>
            <w:tcW w:w="3820" w:type="dxa"/>
            <w:vAlign w:val="bottom"/>
          </w:tcPr>
          <w:p>
            <w:pPr>
              <w:spacing w:after="0"/>
              <w:rPr>
                <w:sz w:val="22"/>
                <w:szCs w:val="22"/>
                <w:color w:val="auto"/>
              </w:rPr>
            </w:pPr>
          </w:p>
        </w:tc>
        <w:tc>
          <w:tcPr>
            <w:tcW w:w="7460" w:type="dxa"/>
            <w:vAlign w:val="bottom"/>
          </w:tcPr>
          <w:p>
            <w:pPr>
              <w:ind w:left="1200"/>
              <w:spacing w:after="0"/>
              <w:rPr>
                <w:sz w:val="20"/>
                <w:szCs w:val="20"/>
                <w:color w:val="auto"/>
              </w:rPr>
            </w:pPr>
            <w:r>
              <w:rPr>
                <w:rFonts w:ascii="Arial" w:cs="Arial" w:eastAsia="Arial" w:hAnsi="Arial"/>
                <w:sz w:val="20"/>
                <w:szCs w:val="20"/>
                <w:color w:val="auto"/>
              </w:rPr>
              <w:t>Michael Kolloway</w:t>
            </w:r>
          </w:p>
        </w:tc>
        <w:tc>
          <w:tcPr>
            <w:tcW w:w="0" w:type="dxa"/>
            <w:vAlign w:val="bottom"/>
          </w:tcPr>
          <w:p>
            <w:pPr>
              <w:spacing w:after="0"/>
              <w:rPr>
                <w:sz w:val="1"/>
                <w:szCs w:val="1"/>
                <w:color w:val="auto"/>
              </w:rPr>
            </w:pPr>
          </w:p>
        </w:tc>
      </w:tr>
      <w:tr>
        <w:trPr>
          <w:trHeight w:val="456"/>
        </w:trPr>
        <w:tc>
          <w:tcPr>
            <w:tcW w:w="3820" w:type="dxa"/>
            <w:vAlign w:val="bottom"/>
          </w:tcPr>
          <w:p>
            <w:pPr>
              <w:spacing w:after="0"/>
              <w:rPr>
                <w:sz w:val="24"/>
                <w:szCs w:val="24"/>
                <w:color w:val="auto"/>
              </w:rPr>
            </w:pPr>
          </w:p>
        </w:tc>
        <w:tc>
          <w:tcPr>
            <w:tcW w:w="7460" w:type="dxa"/>
            <w:vAlign w:val="bottom"/>
          </w:tcPr>
          <w:p>
            <w:pPr>
              <w:ind w:left="1200"/>
              <w:spacing w:after="0"/>
              <w:rPr>
                <w:sz w:val="20"/>
                <w:szCs w:val="20"/>
                <w:color w:val="auto"/>
              </w:rPr>
            </w:pPr>
            <w:r>
              <w:rPr>
                <w:rFonts w:ascii="Arial" w:cs="Arial" w:eastAsia="Arial" w:hAnsi="Arial"/>
                <w:sz w:val="20"/>
                <w:szCs w:val="20"/>
                <w:color w:val="auto"/>
              </w:rPr>
              <w:t>PARSONS CORPORATION</w:t>
            </w:r>
          </w:p>
        </w:tc>
        <w:tc>
          <w:tcPr>
            <w:tcW w:w="0" w:type="dxa"/>
            <w:vAlign w:val="bottom"/>
          </w:tcPr>
          <w:p>
            <w:pPr>
              <w:spacing w:after="0"/>
              <w:rPr>
                <w:sz w:val="1"/>
                <w:szCs w:val="1"/>
                <w:color w:val="auto"/>
              </w:rPr>
            </w:pPr>
          </w:p>
        </w:tc>
      </w:tr>
      <w:tr>
        <w:trPr>
          <w:trHeight w:val="913"/>
        </w:trPr>
        <w:tc>
          <w:tcPr>
            <w:tcW w:w="3820" w:type="dxa"/>
            <w:vAlign w:val="bottom"/>
          </w:tcPr>
          <w:p>
            <w:pPr>
              <w:spacing w:after="0"/>
              <w:rPr>
                <w:sz w:val="20"/>
                <w:szCs w:val="20"/>
                <w:color w:val="auto"/>
              </w:rPr>
            </w:pPr>
            <w:r>
              <w:rPr>
                <w:rFonts w:ascii="Arial" w:cs="Arial" w:eastAsia="Arial" w:hAnsi="Arial"/>
                <w:sz w:val="20"/>
                <w:szCs w:val="20"/>
                <w:color w:val="auto"/>
              </w:rPr>
              <w:t>Dated: January 26, 2022</w:t>
            </w:r>
          </w:p>
        </w:tc>
        <w:tc>
          <w:tcPr>
            <w:tcW w:w="7460" w:type="dxa"/>
            <w:vAlign w:val="bottom"/>
            <w:vMerge w:val="restart"/>
          </w:tcPr>
          <w:p>
            <w:pPr>
              <w:ind w:left="1200"/>
              <w:spacing w:after="0"/>
              <w:rPr>
                <w:sz w:val="20"/>
                <w:szCs w:val="20"/>
                <w:color w:val="auto"/>
              </w:rPr>
            </w:pPr>
            <w:r>
              <w:rPr>
                <w:rFonts w:ascii="Arial" w:cs="Arial" w:eastAsia="Arial" w:hAnsi="Arial"/>
                <w:sz w:val="20"/>
                <w:szCs w:val="20"/>
                <w:color w:val="auto"/>
              </w:rPr>
              <w:t>Susan Balaguer</w:t>
            </w:r>
          </w:p>
        </w:tc>
        <w:tc>
          <w:tcPr>
            <w:tcW w:w="0" w:type="dxa"/>
            <w:vAlign w:val="bottom"/>
          </w:tcPr>
          <w:p>
            <w:pPr>
              <w:spacing w:after="0"/>
              <w:rPr>
                <w:sz w:val="1"/>
                <w:szCs w:val="1"/>
                <w:color w:val="auto"/>
              </w:rPr>
            </w:pPr>
          </w:p>
        </w:tc>
      </w:tr>
      <w:tr>
        <w:trPr>
          <w:trHeight w:val="96"/>
        </w:trPr>
        <w:tc>
          <w:tcPr>
            <w:tcW w:w="3820" w:type="dxa"/>
            <w:vAlign w:val="bottom"/>
          </w:tcPr>
          <w:p>
            <w:pPr>
              <w:spacing w:after="0"/>
              <w:rPr>
                <w:sz w:val="8"/>
                <w:szCs w:val="8"/>
                <w:color w:val="auto"/>
              </w:rPr>
            </w:pPr>
          </w:p>
        </w:tc>
        <w:tc>
          <w:tcPr>
            <w:tcW w:w="7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3820" w:type="dxa"/>
            <w:vAlign w:val="bottom"/>
          </w:tcPr>
          <w:p>
            <w:pPr>
              <w:spacing w:after="0"/>
              <w:rPr>
                <w:sz w:val="22"/>
                <w:szCs w:val="22"/>
                <w:color w:val="auto"/>
              </w:rPr>
            </w:pPr>
          </w:p>
        </w:tc>
        <w:tc>
          <w:tcPr>
            <w:tcW w:w="7460" w:type="dxa"/>
            <w:vAlign w:val="bottom"/>
          </w:tcPr>
          <w:p>
            <w:pPr>
              <w:ind w:left="1200"/>
              <w:spacing w:after="0"/>
              <w:rPr>
                <w:sz w:val="20"/>
                <w:szCs w:val="20"/>
                <w:color w:val="auto"/>
              </w:rPr>
            </w:pPr>
            <w:r>
              <w:rPr>
                <w:rFonts w:ascii="Arial" w:cs="Arial" w:eastAsia="Arial" w:hAnsi="Arial"/>
                <w:sz w:val="20"/>
                <w:szCs w:val="20"/>
                <w:color w:val="auto"/>
              </w:rPr>
              <w:t>Chief Human Resources Officer</w:t>
            </w:r>
          </w:p>
        </w:tc>
        <w:tc>
          <w:tcPr>
            <w:tcW w:w="0" w:type="dxa"/>
            <w:vAlign w:val="bottom"/>
          </w:tcPr>
          <w:p>
            <w:pPr>
              <w:spacing w:after="0"/>
              <w:rPr>
                <w:sz w:val="1"/>
                <w:szCs w:val="1"/>
                <w:color w:val="auto"/>
              </w:rPr>
            </w:pPr>
          </w:p>
        </w:tc>
      </w:tr>
      <w:tr>
        <w:trPr>
          <w:trHeight w:val="731"/>
        </w:trPr>
        <w:tc>
          <w:tcPr>
            <w:tcW w:w="382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-27940</wp:posOffset>
            </wp:positionV>
            <wp:extent cx="33655" cy="4127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8">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3188970</wp:posOffset>
            </wp:positionH>
            <wp:positionV relativeFrom="paragraph">
              <wp:posOffset>-1142365</wp:posOffset>
            </wp:positionV>
            <wp:extent cx="1891665" cy="37020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9">
                      <a:extLst>
                        <a:ext uri="{28A0092B-C50C-407E-A947-70E740481C1C}"/>
                      </a:extLst>
                    </a:blip>
                    <a:srcRect/>
                    <a:stretch>
                      <a:fillRect/>
                    </a:stretch>
                  </pic:blipFill>
                  <pic:spPr bwMode="auto">
                    <a:xfrm>
                      <a:off x="0" y="0"/>
                      <a:ext cx="1891665" cy="370205"/>
                    </a:xfrm>
                    <a:prstGeom prst="rect">
                      <a:avLst/>
                    </a:prstGeom>
                    <a:noFill/>
                  </pic:spPr>
                </pic:pic>
              </a:graphicData>
            </a:graphic>
          </wp:anchor>
        </w:drawing>
      </w:r>
    </w:p>
    <w:p>
      <w:pPr>
        <w:sectPr>
          <w:pgSz w:w="11900" w:h="16838" w:orient="portrait"/>
          <w:cols w:equalWidth="0" w:num="1">
            <w:col w:w="11280"/>
          </w:cols>
          <w:pgMar w:left="320" w:top="124" w:right="299" w:bottom="1440" w:gutter="0" w:footer="0" w:header="0"/>
        </w:sectPr>
      </w:pPr>
    </w:p>
    <w:bookmarkStart w:id="312" w:name="page313"/>
    <w:bookmarkEnd w:id="312"/>
    <w:p>
      <w:pPr>
        <w:jc w:val="right"/>
        <w:spacing w:after="0"/>
        <w:rPr>
          <w:sz w:val="20"/>
          <w:szCs w:val="20"/>
          <w:color w:val="auto"/>
        </w:rPr>
      </w:pPr>
      <w:r>
        <w:rPr>
          <w:rFonts w:ascii="Arial" w:cs="Arial" w:eastAsia="Arial" w:hAnsi="Arial"/>
          <w:sz w:val="19"/>
          <w:szCs w:val="19"/>
          <w:color w:val="auto"/>
        </w:rPr>
        <w:t>Exhibit 10.45</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AMENDMENT TO PARSONS CORPORATION INCENTIVE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PERFORMANCE STOCK UNIT AWARD</w:t>
      </w:r>
    </w:p>
    <w:p>
      <w:pPr>
        <w:spacing w:after="0" w:line="145" w:lineRule="exact"/>
        <w:rPr>
          <w:sz w:val="20"/>
          <w:szCs w:val="20"/>
          <w:color w:val="auto"/>
        </w:rPr>
      </w:pPr>
    </w:p>
    <w:p>
      <w:pPr>
        <w:ind w:right="120" w:firstLine="589"/>
        <w:spacing w:after="0" w:line="268" w:lineRule="auto"/>
        <w:rPr>
          <w:sz w:val="20"/>
          <w:szCs w:val="20"/>
          <w:color w:val="auto"/>
        </w:rPr>
      </w:pPr>
      <w:r>
        <w:rPr>
          <w:rFonts w:ascii="Arial" w:cs="Arial" w:eastAsia="Arial" w:hAnsi="Arial"/>
          <w:sz w:val="20"/>
          <w:szCs w:val="20"/>
          <w:color w:val="auto"/>
        </w:rPr>
        <w:t>This Amendment to Parsons Corporation Incentive Award Plan Performance Stock Unit Award (“Amendment”) is made effective as of July 19,2021, by and between Parsons Corporation (“Company”), and Michael Kolloway (“Employee”).</w:t>
      </w:r>
    </w:p>
    <w:p>
      <w:pPr>
        <w:spacing w:after="0" w:line="95" w:lineRule="exact"/>
        <w:rPr>
          <w:sz w:val="20"/>
          <w:szCs w:val="20"/>
          <w:color w:val="auto"/>
        </w:rPr>
      </w:pPr>
    </w:p>
    <w:p>
      <w:pPr>
        <w:ind w:right="1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Incentive Award Plan Performance Stock Unit Award dated as of March 1, 2021 (the “Award”);</w:t>
      </w:r>
    </w:p>
    <w:p>
      <w:pPr>
        <w:spacing w:after="0" w:line="95" w:lineRule="exact"/>
        <w:rPr>
          <w:sz w:val="20"/>
          <w:szCs w:val="20"/>
          <w:color w:val="auto"/>
        </w:rPr>
      </w:pPr>
    </w:p>
    <w:p>
      <w:pPr>
        <w:ind w:right="1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Change in Control Severance Agreement (“CIC Agreement”), which was amended as of July 19, 2021;</w:t>
      </w:r>
    </w:p>
    <w:p>
      <w:pPr>
        <w:spacing w:after="0" w:line="95" w:lineRule="exact"/>
        <w:rPr>
          <w:sz w:val="20"/>
          <w:szCs w:val="20"/>
          <w:color w:val="auto"/>
        </w:rPr>
      </w:pPr>
    </w:p>
    <w:p>
      <w:pPr>
        <w:ind w:right="640" w:firstLine="589"/>
        <w:spacing w:after="0" w:line="268" w:lineRule="auto"/>
        <w:rPr>
          <w:sz w:val="20"/>
          <w:szCs w:val="20"/>
          <w:color w:val="auto"/>
        </w:rPr>
      </w:pPr>
      <w:r>
        <w:rPr>
          <w:rFonts w:ascii="Arial" w:cs="Arial" w:eastAsia="Arial" w:hAnsi="Arial"/>
          <w:sz w:val="20"/>
          <w:szCs w:val="20"/>
          <w:color w:val="auto"/>
        </w:rPr>
        <w:t>WHEREAS, the Company and Employee desire to amend the Award to incorporate and reflect any amendments to the CIC Agreement;</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parties agree as follows:</w:t>
      </w:r>
    </w:p>
    <w:p>
      <w:pPr>
        <w:spacing w:after="0" w:line="150" w:lineRule="exact"/>
        <w:rPr>
          <w:sz w:val="20"/>
          <w:szCs w:val="20"/>
          <w:color w:val="auto"/>
        </w:rPr>
      </w:pPr>
    </w:p>
    <w:p>
      <w:pPr>
        <w:ind w:left="1400" w:hanging="809"/>
        <w:spacing w:after="0"/>
        <w:tabs>
          <w:tab w:leader="none" w:pos="140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Paragraph 2 of Exhibit B is hereby restated as follows:</w:t>
      </w:r>
    </w:p>
    <w:p>
      <w:pPr>
        <w:spacing w:after="0" w:line="150" w:lineRule="exact"/>
        <w:rPr>
          <w:sz w:val="20"/>
          <w:szCs w:val="20"/>
          <w:color w:val="auto"/>
        </w:rPr>
      </w:pPr>
    </w:p>
    <w:p>
      <w:pPr>
        <w:ind w:right="20" w:firstLine="865"/>
        <w:spacing w:after="0" w:line="269" w:lineRule="auto"/>
        <w:rPr>
          <w:sz w:val="20"/>
          <w:szCs w:val="20"/>
          <w:color w:val="auto"/>
        </w:rPr>
      </w:pPr>
      <w:r>
        <w:rPr>
          <w:rFonts w:ascii="Arial" w:cs="Arial" w:eastAsia="Arial" w:hAnsi="Arial"/>
          <w:sz w:val="18"/>
          <w:szCs w:val="18"/>
          <w:i w:val="1"/>
          <w:iCs w:val="1"/>
          <w:color w:val="auto"/>
        </w:rPr>
        <w:t>ACCELERATED VESTING. In the event of Participant’s Termination of Service due to Retirement, death or Disability prior to the Payment Date, Participant will remain eligible to vest in and receive on the Payment Date that number of PSUs as is determined by multiplying (a) the number of PSUs that Participant would vest in as provided in Section 1 of this Exhibit B had he/she not incurred a Termination of Service prior to the Payment Date, by (b) (i) the number of months that have elapsed since January 1, 2021, divided by (ii)</w:t>
      </w:r>
    </w:p>
    <w:p>
      <w:pPr>
        <w:spacing w:after="0" w:line="3" w:lineRule="exact"/>
        <w:rPr>
          <w:sz w:val="20"/>
          <w:szCs w:val="20"/>
          <w:color w:val="auto"/>
        </w:rPr>
      </w:pPr>
    </w:p>
    <w:p>
      <w:pPr>
        <w:ind w:right="200" w:firstLine="1"/>
        <w:spacing w:after="0" w:line="249" w:lineRule="auto"/>
        <w:tabs>
          <w:tab w:leader="none" w:pos="304" w:val="left"/>
        </w:tabs>
        <w:numPr>
          <w:ilvl w:val="0"/>
          <w:numId w:val="190"/>
        </w:numPr>
        <w:rPr>
          <w:rFonts w:ascii="Arial" w:cs="Arial" w:eastAsia="Arial" w:hAnsi="Arial"/>
          <w:sz w:val="20"/>
          <w:szCs w:val="20"/>
          <w:i w:val="1"/>
          <w:iCs w:val="1"/>
          <w:color w:val="auto"/>
        </w:rPr>
      </w:pPr>
      <w:r>
        <w:rPr>
          <w:rFonts w:ascii="Arial" w:cs="Arial" w:eastAsia="Arial" w:hAnsi="Arial"/>
          <w:sz w:val="20"/>
          <w:szCs w:val="20"/>
          <w:i w:val="1"/>
          <w:iCs w:val="1"/>
          <w:color w:val="auto"/>
        </w:rPr>
        <w:t>Partial months shall be rounded up to the next whole calendar month for purposes of the numerator in this calculation. In the event the calculation results in a fractional PSU, any fractional PSU will be rounded up to the nearest whole PSU.</w:t>
      </w:r>
    </w:p>
    <w:p>
      <w:pPr>
        <w:spacing w:after="0" w:line="113" w:lineRule="exact"/>
        <w:rPr>
          <w:sz w:val="20"/>
          <w:szCs w:val="20"/>
          <w:color w:val="auto"/>
        </w:rPr>
      </w:pPr>
    </w:p>
    <w:p>
      <w:pPr>
        <w:ind w:right="20" w:firstLine="865"/>
        <w:spacing w:after="0" w:line="256" w:lineRule="auto"/>
        <w:rPr>
          <w:sz w:val="20"/>
          <w:szCs w:val="20"/>
          <w:color w:val="auto"/>
        </w:rPr>
      </w:pPr>
      <w:r>
        <w:rPr>
          <w:rFonts w:ascii="Arial" w:cs="Arial" w:eastAsia="Arial" w:hAnsi="Arial"/>
          <w:sz w:val="19"/>
          <w:szCs w:val="19"/>
          <w:i w:val="1"/>
          <w:iCs w:val="1"/>
          <w:color w:val="auto"/>
        </w:rPr>
        <w:t>Notwithstanding the foregoing, if Participant is a party to a Change in Control Severance Agreement with the Company at the time of Participant’s Termination of Service due to Retirement, death or Disability prior to the Payment Date, and such termination occurs prior to the occurrence of a Change in Control, in lieu of the treatment in the foregoing paragraph, Participant will remain eligible to vest in and receive on the Payment Date (or, if earlier, the date of a Change in Control) that number of PSUs as is determined by multiplying (a) the number of PSUs that Participant would vested in as provided in Section 1 of this Exhibit B had he/she not incurred a Termination of Service prior to the Payment Date (or, in the event of a Change in Control prior to the Payment Date, the Target PSUs), by (b) (i) the number of months that have elapsed since January 1, 2021, divided by (ii) 36. Partial months shall be rounded up to the next whole calendar month for purposes of the numerator in this calculation. In the event the calculation results in a fractional PSU, any fractional PSU will be rounded up to the nearest whole PSU.</w:t>
      </w:r>
    </w:p>
    <w:p>
      <w:pPr>
        <w:spacing w:after="0" w:line="108" w:lineRule="exact"/>
        <w:rPr>
          <w:sz w:val="20"/>
          <w:szCs w:val="20"/>
          <w:color w:val="auto"/>
        </w:rPr>
      </w:pPr>
    </w:p>
    <w:p>
      <w:pPr>
        <w:jc w:val="both"/>
        <w:ind w:right="420" w:firstLine="865"/>
        <w:spacing w:after="0" w:line="253" w:lineRule="auto"/>
        <w:rPr>
          <w:sz w:val="20"/>
          <w:szCs w:val="20"/>
          <w:color w:val="auto"/>
        </w:rPr>
      </w:pPr>
      <w:r>
        <w:rPr>
          <w:rFonts w:ascii="Arial" w:cs="Arial" w:eastAsia="Arial" w:hAnsi="Arial"/>
          <w:sz w:val="20"/>
          <w:szCs w:val="20"/>
          <w:i w:val="1"/>
          <w:iCs w:val="1"/>
          <w:color w:val="auto"/>
        </w:rPr>
        <w:t>The Award shall also be eligible for accelerated vesting as provided in Section 12.2 of the Plan; provided that, in the event Section 12.2(d) of the Plan applies, in the event of Participant's Termination of Service without "cause" (and other than as a result of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303530</wp:posOffset>
            </wp:positionV>
            <wp:extent cx="7182485" cy="4127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0">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13" w:name="page314"/>
    <w:bookmarkEnd w:id="313"/>
    <w:p>
      <w:pPr>
        <w:ind w:left="10240"/>
        <w:spacing w:after="0"/>
        <w:rPr>
          <w:sz w:val="20"/>
          <w:szCs w:val="20"/>
          <w:color w:val="auto"/>
        </w:rPr>
      </w:pPr>
      <w:r>
        <w:rPr>
          <w:rFonts w:ascii="Arial" w:cs="Arial" w:eastAsia="Arial" w:hAnsi="Arial"/>
          <w:sz w:val="17"/>
          <w:szCs w:val="17"/>
          <w:color w:val="auto"/>
        </w:rPr>
        <w:t>Exhibit 10.45</w:t>
      </w:r>
    </w:p>
    <w:p>
      <w:pPr>
        <w:spacing w:after="0" w:line="167"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i w:val="1"/>
          <w:iCs w:val="1"/>
          <w:color w:val="auto"/>
        </w:rPr>
        <w:t>Retirement, death or Disability, in which case the first paragraph of this Section 2 shall apply) upon or within twelve (12) months following the Change in Control (as described therein), provided such termination occurs prior to the Payment Date, Participant will vest in the Target PSUs on the date of such termination. Notwithstanding the foregoing, and notwithstanding anything to the contrary contained in the Plan, in the event of a Change in Control prior to the Payment Date, if Participant is a party to a Change in Control Severance Agreement with the Company at the time of such Change in Control, and a Qualifying Termination Event has occurred, as defined in the Participant’s Change in Control Severance Agreement, the Target PSUs shall accelerate, vest and be settled in full immediately prior to such Change in Control.</w:t>
      </w:r>
    </w:p>
    <w:p>
      <w:pPr>
        <w:spacing w:after="0" w:line="120" w:lineRule="exact"/>
        <w:rPr>
          <w:sz w:val="20"/>
          <w:szCs w:val="20"/>
          <w:color w:val="auto"/>
        </w:rPr>
      </w:pPr>
    </w:p>
    <w:p>
      <w:pPr>
        <w:ind w:right="160" w:firstLine="865"/>
        <w:spacing w:after="0" w:line="244" w:lineRule="auto"/>
        <w:rPr>
          <w:sz w:val="20"/>
          <w:szCs w:val="20"/>
          <w:color w:val="auto"/>
        </w:rPr>
      </w:pPr>
      <w:r>
        <w:rPr>
          <w:rFonts w:ascii="Arial" w:cs="Arial" w:eastAsia="Arial" w:hAnsi="Arial"/>
          <w:sz w:val="20"/>
          <w:szCs w:val="20"/>
          <w:i w:val="1"/>
          <w:iCs w:val="1"/>
          <w:color w:val="auto"/>
        </w:rPr>
        <w:t>For purposes of this Award, “Disability” means Participant (a) is unable to engage in any substantial gainful activity by reason of any medically determinable physical or mental impairment which can be expected to result in death or can be expected to last for a continuous period of not less than 12 months, or (b)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Company or its Subsidiaries.</w:t>
      </w:r>
    </w:p>
    <w:p>
      <w:pPr>
        <w:spacing w:after="0" w:line="118" w:lineRule="exact"/>
        <w:rPr>
          <w:sz w:val="20"/>
          <w:szCs w:val="20"/>
          <w:color w:val="auto"/>
        </w:rPr>
      </w:pPr>
    </w:p>
    <w:p>
      <w:pPr>
        <w:ind w:right="220" w:firstLine="865"/>
        <w:spacing w:after="0" w:line="268" w:lineRule="auto"/>
        <w:rPr>
          <w:sz w:val="20"/>
          <w:szCs w:val="20"/>
          <w:color w:val="auto"/>
        </w:rPr>
      </w:pPr>
      <w:r>
        <w:rPr>
          <w:rFonts w:ascii="Arial" w:cs="Arial" w:eastAsia="Arial" w:hAnsi="Arial"/>
          <w:sz w:val="20"/>
          <w:szCs w:val="20"/>
          <w:i w:val="1"/>
          <w:iCs w:val="1"/>
          <w:color w:val="auto"/>
        </w:rPr>
        <w:t>For purposes of this Award, "Retirement" means Participant’s voluntary Termination of Service after having attained age 62, with 10 years of completed service.</w:t>
      </w:r>
    </w:p>
    <w:p>
      <w:pPr>
        <w:spacing w:after="0" w:line="95" w:lineRule="exact"/>
        <w:rPr>
          <w:sz w:val="20"/>
          <w:szCs w:val="20"/>
          <w:color w:val="auto"/>
        </w:rPr>
      </w:pPr>
    </w:p>
    <w:p>
      <w:pPr>
        <w:ind w:firstLine="866"/>
        <w:spacing w:after="0" w:line="265" w:lineRule="auto"/>
        <w:tabs>
          <w:tab w:leader="none" w:pos="1068" w:val="left"/>
        </w:tabs>
        <w:numPr>
          <w:ilvl w:val="0"/>
          <w:numId w:val="191"/>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The Agreement, as amended by this Amendment, shall remain in full force and effect in accordance with the terms and conditions thereof. This Amendment may be executed simultaneously in any number of counterparts, each of which shall be deemed an original but all of which together shall constitute one and the same instrument. In the event of any conflict between the original terms of the Agreement and this Amendment, the terms of this Amendment shall prevail.</w:t>
      </w:r>
    </w:p>
    <w:p>
      <w:pPr>
        <w:spacing w:after="0" w:line="100" w:lineRule="exact"/>
        <w:rPr>
          <w:sz w:val="20"/>
          <w:szCs w:val="20"/>
          <w:color w:val="auto"/>
        </w:rPr>
      </w:pPr>
    </w:p>
    <w:p>
      <w:pPr>
        <w:jc w:val="both"/>
        <w:ind w:right="340"/>
        <w:spacing w:after="0" w:line="253" w:lineRule="auto"/>
        <w:rPr>
          <w:sz w:val="20"/>
          <w:szCs w:val="20"/>
          <w:color w:val="auto"/>
        </w:rPr>
      </w:pPr>
      <w:r>
        <w:rPr>
          <w:rFonts w:ascii="Arial" w:cs="Arial" w:eastAsia="Arial" w:hAnsi="Arial"/>
          <w:sz w:val="20"/>
          <w:szCs w:val="20"/>
          <w:color w:val="auto"/>
        </w:rPr>
        <w:t>THE PARTIES TO THIS AMENDMENT HAVE READ THE FOREGOING AMENDMENT AND FULLY UNDERSTAND EACH AND EVERY PROVISION CONTAINED HEREIN. WHEREFORE, THE PARTIES HAVE EXECUTED THIS AMENDMENT ON THE DATES SHOWN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980" w:type="dxa"/>
            <w:vAlign w:val="bottom"/>
          </w:tcPr>
          <w:p>
            <w:pPr>
              <w:spacing w:after="0"/>
              <w:rPr>
                <w:sz w:val="22"/>
                <w:szCs w:val="22"/>
                <w:color w:val="auto"/>
              </w:rPr>
            </w:pPr>
          </w:p>
        </w:tc>
        <w:tc>
          <w:tcPr>
            <w:tcW w:w="5300" w:type="dxa"/>
            <w:vAlign w:val="bottom"/>
          </w:tcPr>
          <w:p>
            <w:pPr>
              <w:ind w:left="1040"/>
              <w:spacing w:after="0"/>
              <w:rPr>
                <w:sz w:val="20"/>
                <w:szCs w:val="20"/>
                <w:color w:val="auto"/>
              </w:rPr>
            </w:pPr>
            <w:r>
              <w:rPr>
                <w:rFonts w:ascii="Arial" w:cs="Arial" w:eastAsia="Arial" w:hAnsi="Arial"/>
                <w:sz w:val="20"/>
                <w:szCs w:val="20"/>
                <w:color w:val="auto"/>
              </w:rPr>
              <w:t>EMPLOYEE</w:t>
            </w:r>
          </w:p>
        </w:tc>
        <w:tc>
          <w:tcPr>
            <w:tcW w:w="0" w:type="dxa"/>
            <w:vAlign w:val="bottom"/>
          </w:tcPr>
          <w:p>
            <w:pPr>
              <w:spacing w:after="0"/>
              <w:rPr>
                <w:sz w:val="1"/>
                <w:szCs w:val="1"/>
                <w:color w:val="auto"/>
              </w:rPr>
            </w:pPr>
          </w:p>
        </w:tc>
      </w:tr>
      <w:tr>
        <w:trPr>
          <w:trHeight w:val="654"/>
        </w:trPr>
        <w:tc>
          <w:tcPr>
            <w:tcW w:w="3980" w:type="dxa"/>
            <w:vAlign w:val="bottom"/>
          </w:tcPr>
          <w:p>
            <w:pPr>
              <w:spacing w:after="0"/>
              <w:rPr>
                <w:sz w:val="20"/>
                <w:szCs w:val="20"/>
                <w:color w:val="auto"/>
              </w:rPr>
            </w:pPr>
            <w:r>
              <w:rPr>
                <w:rFonts w:ascii="Arial" w:cs="Arial" w:eastAsia="Arial" w:hAnsi="Arial"/>
                <w:sz w:val="20"/>
                <w:szCs w:val="20"/>
                <w:color w:val="auto"/>
              </w:rPr>
              <w:t>Dated: _______________________</w:t>
            </w:r>
          </w:p>
        </w:tc>
        <w:tc>
          <w:tcPr>
            <w:tcW w:w="5300" w:type="dxa"/>
            <w:vAlign w:val="bottom"/>
          </w:tcPr>
          <w:p>
            <w:pPr>
              <w:ind w:left="1040"/>
              <w:spacing w:after="0"/>
              <w:rPr>
                <w:sz w:val="20"/>
                <w:szCs w:val="20"/>
                <w:color w:val="auto"/>
              </w:rPr>
            </w:pPr>
            <w:r>
              <w:rPr>
                <w:rFonts w:ascii="Arial" w:cs="Arial" w:eastAsia="Arial" w:hAnsi="Arial"/>
                <w:sz w:val="20"/>
                <w:szCs w:val="20"/>
                <w:color w:val="auto"/>
                <w:w w:val="91"/>
              </w:rPr>
              <w:t>By:_______________________________________</w:t>
            </w:r>
          </w:p>
        </w:tc>
        <w:tc>
          <w:tcPr>
            <w:tcW w:w="0" w:type="dxa"/>
            <w:vAlign w:val="bottom"/>
          </w:tcPr>
          <w:p>
            <w:pPr>
              <w:spacing w:after="0"/>
              <w:rPr>
                <w:sz w:val="1"/>
                <w:szCs w:val="1"/>
                <w:color w:val="auto"/>
              </w:rPr>
            </w:pPr>
          </w:p>
        </w:tc>
      </w:tr>
      <w:tr>
        <w:trPr>
          <w:trHeight w:val="259"/>
        </w:trPr>
        <w:tc>
          <w:tcPr>
            <w:tcW w:w="3980" w:type="dxa"/>
            <w:vAlign w:val="bottom"/>
          </w:tcPr>
          <w:p>
            <w:pPr>
              <w:spacing w:after="0"/>
              <w:rPr>
                <w:sz w:val="22"/>
                <w:szCs w:val="22"/>
                <w:color w:val="auto"/>
              </w:rPr>
            </w:pPr>
          </w:p>
        </w:tc>
        <w:tc>
          <w:tcPr>
            <w:tcW w:w="5300" w:type="dxa"/>
            <w:vAlign w:val="bottom"/>
          </w:tcPr>
          <w:p>
            <w:pPr>
              <w:ind w:left="1040"/>
              <w:spacing w:after="0"/>
              <w:rPr>
                <w:sz w:val="20"/>
                <w:szCs w:val="20"/>
                <w:color w:val="auto"/>
              </w:rPr>
            </w:pPr>
            <w:r>
              <w:rPr>
                <w:rFonts w:ascii="Arial" w:cs="Arial" w:eastAsia="Arial" w:hAnsi="Arial"/>
                <w:sz w:val="20"/>
                <w:szCs w:val="20"/>
                <w:color w:val="auto"/>
              </w:rPr>
              <w:t>Michael Kolloway</w:t>
            </w:r>
          </w:p>
        </w:tc>
        <w:tc>
          <w:tcPr>
            <w:tcW w:w="0" w:type="dxa"/>
            <w:vAlign w:val="bottom"/>
          </w:tcPr>
          <w:p>
            <w:pPr>
              <w:spacing w:after="0"/>
              <w:rPr>
                <w:sz w:val="1"/>
                <w:szCs w:val="1"/>
                <w:color w:val="auto"/>
              </w:rPr>
            </w:pPr>
          </w:p>
        </w:tc>
      </w:tr>
      <w:tr>
        <w:trPr>
          <w:trHeight w:val="456"/>
        </w:trPr>
        <w:tc>
          <w:tcPr>
            <w:tcW w:w="3980" w:type="dxa"/>
            <w:vAlign w:val="bottom"/>
          </w:tcPr>
          <w:p>
            <w:pPr>
              <w:spacing w:after="0"/>
              <w:rPr>
                <w:sz w:val="24"/>
                <w:szCs w:val="24"/>
                <w:color w:val="auto"/>
              </w:rPr>
            </w:pPr>
          </w:p>
        </w:tc>
        <w:tc>
          <w:tcPr>
            <w:tcW w:w="5300" w:type="dxa"/>
            <w:vAlign w:val="bottom"/>
          </w:tcPr>
          <w:p>
            <w:pPr>
              <w:ind w:left="1040"/>
              <w:spacing w:after="0"/>
              <w:rPr>
                <w:sz w:val="20"/>
                <w:szCs w:val="20"/>
                <w:color w:val="auto"/>
              </w:rPr>
            </w:pPr>
            <w:r>
              <w:rPr>
                <w:rFonts w:ascii="Arial" w:cs="Arial" w:eastAsia="Arial" w:hAnsi="Arial"/>
                <w:sz w:val="20"/>
                <w:szCs w:val="20"/>
                <w:color w:val="auto"/>
              </w:rPr>
              <w:t>PARSONS CORPORATION</w:t>
            </w:r>
          </w:p>
        </w:tc>
        <w:tc>
          <w:tcPr>
            <w:tcW w:w="0" w:type="dxa"/>
            <w:vAlign w:val="bottom"/>
          </w:tcPr>
          <w:p>
            <w:pPr>
              <w:spacing w:after="0"/>
              <w:rPr>
                <w:sz w:val="1"/>
                <w:szCs w:val="1"/>
                <w:color w:val="auto"/>
              </w:rPr>
            </w:pPr>
          </w:p>
        </w:tc>
      </w:tr>
      <w:tr>
        <w:trPr>
          <w:trHeight w:val="781"/>
        </w:trPr>
        <w:tc>
          <w:tcPr>
            <w:tcW w:w="3980" w:type="dxa"/>
            <w:vAlign w:val="bottom"/>
            <w:vMerge w:val="restart"/>
          </w:tcPr>
          <w:p>
            <w:pPr>
              <w:spacing w:after="0"/>
              <w:rPr>
                <w:sz w:val="20"/>
                <w:szCs w:val="20"/>
                <w:color w:val="auto"/>
              </w:rPr>
            </w:pPr>
            <w:r>
              <w:rPr>
                <w:rFonts w:ascii="Arial" w:cs="Arial" w:eastAsia="Arial" w:hAnsi="Arial"/>
                <w:sz w:val="20"/>
                <w:szCs w:val="20"/>
                <w:color w:val="auto"/>
              </w:rPr>
              <w:t>Dated: January 26, 2022</w:t>
            </w:r>
          </w:p>
        </w:tc>
        <w:tc>
          <w:tcPr>
            <w:tcW w:w="5300" w:type="dxa"/>
            <w:vAlign w:val="bottom"/>
          </w:tcPr>
          <w:p>
            <w:pPr>
              <w:ind w:left="1040"/>
              <w:spacing w:after="0"/>
              <w:rPr>
                <w:sz w:val="20"/>
                <w:szCs w:val="20"/>
                <w:color w:val="auto"/>
              </w:rPr>
            </w:pPr>
            <w:r>
              <w:rPr>
                <w:rFonts w:ascii="Arial" w:cs="Arial" w:eastAsia="Arial" w:hAnsi="Arial"/>
                <w:sz w:val="20"/>
                <w:szCs w:val="20"/>
                <w:color w:val="auto"/>
              </w:rPr>
              <w:t>Susan Balaguer</w:t>
            </w:r>
          </w:p>
        </w:tc>
        <w:tc>
          <w:tcPr>
            <w:tcW w:w="0" w:type="dxa"/>
            <w:vAlign w:val="bottom"/>
          </w:tcPr>
          <w:p>
            <w:pPr>
              <w:spacing w:after="0"/>
              <w:rPr>
                <w:sz w:val="1"/>
                <w:szCs w:val="1"/>
                <w:color w:val="auto"/>
              </w:rPr>
            </w:pPr>
          </w:p>
        </w:tc>
      </w:tr>
      <w:tr>
        <w:trPr>
          <w:trHeight w:val="132"/>
        </w:trPr>
        <w:tc>
          <w:tcPr>
            <w:tcW w:w="3980" w:type="dxa"/>
            <w:vAlign w:val="bottom"/>
            <w:vMerge w:val="continue"/>
          </w:tcPr>
          <w:p>
            <w:pPr>
              <w:spacing w:after="0"/>
              <w:rPr>
                <w:sz w:val="11"/>
                <w:szCs w:val="11"/>
                <w:color w:val="auto"/>
              </w:rPr>
            </w:pPr>
          </w:p>
        </w:tc>
        <w:tc>
          <w:tcPr>
            <w:tcW w:w="5300" w:type="dxa"/>
            <w:vAlign w:val="bottom"/>
            <w:vMerge w:val="restart"/>
          </w:tcPr>
          <w:p>
            <w:pPr>
              <w:ind w:left="1040"/>
              <w:spacing w:after="0"/>
              <w:rPr>
                <w:sz w:val="20"/>
                <w:szCs w:val="20"/>
                <w:color w:val="auto"/>
              </w:rPr>
            </w:pPr>
            <w:r>
              <w:rPr>
                <w:rFonts w:ascii="Arial" w:cs="Arial" w:eastAsia="Arial" w:hAnsi="Arial"/>
                <w:sz w:val="20"/>
                <w:szCs w:val="20"/>
                <w:color w:val="auto"/>
              </w:rPr>
              <w:t>Chief Human Resources Officer</w:t>
            </w:r>
          </w:p>
        </w:tc>
        <w:tc>
          <w:tcPr>
            <w:tcW w:w="0" w:type="dxa"/>
            <w:vAlign w:val="bottom"/>
          </w:tcPr>
          <w:p>
            <w:pPr>
              <w:spacing w:after="0"/>
              <w:rPr>
                <w:sz w:val="1"/>
                <w:szCs w:val="1"/>
                <w:color w:val="auto"/>
              </w:rPr>
            </w:pPr>
          </w:p>
        </w:tc>
      </w:tr>
      <w:tr>
        <w:trPr>
          <w:trHeight w:val="127"/>
        </w:trPr>
        <w:tc>
          <w:tcPr>
            <w:tcW w:w="3980" w:type="dxa"/>
            <w:vAlign w:val="bottom"/>
          </w:tcPr>
          <w:p>
            <w:pPr>
              <w:spacing w:after="0"/>
              <w:rPr>
                <w:sz w:val="11"/>
                <w:szCs w:val="11"/>
                <w:color w:val="auto"/>
              </w:rPr>
            </w:pPr>
          </w:p>
        </w:tc>
        <w:tc>
          <w:tcPr>
            <w:tcW w:w="5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3188970</wp:posOffset>
            </wp:positionH>
            <wp:positionV relativeFrom="paragraph">
              <wp:posOffset>-665480</wp:posOffset>
            </wp:positionV>
            <wp:extent cx="1891665" cy="3702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1">
                      <a:extLst>
                        <a:ext uri="{28A0092B-C50C-407E-A947-70E740481C1C}"/>
                      </a:extLst>
                    </a:blip>
                    <a:srcRect/>
                    <a:stretch>
                      <a:fillRect/>
                    </a:stretch>
                  </pic:blipFill>
                  <pic:spPr bwMode="auto">
                    <a:xfrm>
                      <a:off x="0" y="0"/>
                      <a:ext cx="1891665" cy="3702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14" w:name="page315"/>
    <w:bookmarkEnd w:id="314"/>
    <w:p>
      <w:pPr>
        <w:jc w:val="right"/>
        <w:spacing w:after="0"/>
        <w:rPr>
          <w:sz w:val="20"/>
          <w:szCs w:val="20"/>
          <w:color w:val="auto"/>
        </w:rPr>
      </w:pPr>
      <w:r>
        <w:rPr>
          <w:rFonts w:ascii="Arial" w:cs="Arial" w:eastAsia="Arial" w:hAnsi="Arial"/>
          <w:sz w:val="19"/>
          <w:szCs w:val="19"/>
          <w:color w:val="auto"/>
        </w:rPr>
        <w:t>Exhibit 10.46</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AMENDMENT TO PARSONS CORPORATION INCENTIVE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RESTRICTED STOCK UNIT AWARD</w:t>
      </w:r>
    </w:p>
    <w:p>
      <w:pPr>
        <w:spacing w:after="0" w:line="145" w:lineRule="exact"/>
        <w:rPr>
          <w:sz w:val="20"/>
          <w:szCs w:val="20"/>
          <w:color w:val="auto"/>
        </w:rPr>
      </w:pPr>
    </w:p>
    <w:p>
      <w:pPr>
        <w:ind w:right="120" w:firstLine="589"/>
        <w:spacing w:after="0" w:line="268" w:lineRule="auto"/>
        <w:rPr>
          <w:sz w:val="20"/>
          <w:szCs w:val="20"/>
          <w:color w:val="auto"/>
        </w:rPr>
      </w:pPr>
      <w:r>
        <w:rPr>
          <w:rFonts w:ascii="Arial" w:cs="Arial" w:eastAsia="Arial" w:hAnsi="Arial"/>
          <w:sz w:val="20"/>
          <w:szCs w:val="20"/>
          <w:color w:val="auto"/>
        </w:rPr>
        <w:t>This Amendment to Parsons Corporation Incentive Award Plan Restricted Stock Unit Award (“Amendment”) is made effective as of July 19, 2021, by and between Parsons Corporation (“Company”), and Michael Kolloway (“Employee”).</w:t>
      </w:r>
    </w:p>
    <w:p>
      <w:pPr>
        <w:spacing w:after="0" w:line="95" w:lineRule="exact"/>
        <w:rPr>
          <w:sz w:val="20"/>
          <w:szCs w:val="20"/>
          <w:color w:val="auto"/>
        </w:rPr>
      </w:pPr>
    </w:p>
    <w:p>
      <w:pPr>
        <w:ind w:right="3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Incentive Award Plan Restricted Stock Unit Award dated as of March 5, 2020 (the “Award”);</w:t>
      </w:r>
    </w:p>
    <w:p>
      <w:pPr>
        <w:spacing w:after="0" w:line="95" w:lineRule="exact"/>
        <w:rPr>
          <w:sz w:val="20"/>
          <w:szCs w:val="20"/>
          <w:color w:val="auto"/>
        </w:rPr>
      </w:pPr>
    </w:p>
    <w:p>
      <w:pPr>
        <w:ind w:right="1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Change in Control Severance Agreement (“CIC Agreement”), which was amended as of July 19, 2021;</w:t>
      </w:r>
    </w:p>
    <w:p>
      <w:pPr>
        <w:spacing w:after="0" w:line="95" w:lineRule="exact"/>
        <w:rPr>
          <w:sz w:val="20"/>
          <w:szCs w:val="20"/>
          <w:color w:val="auto"/>
        </w:rPr>
      </w:pPr>
    </w:p>
    <w:p>
      <w:pPr>
        <w:ind w:right="640" w:firstLine="589"/>
        <w:spacing w:after="0" w:line="268" w:lineRule="auto"/>
        <w:rPr>
          <w:sz w:val="20"/>
          <w:szCs w:val="20"/>
          <w:color w:val="auto"/>
        </w:rPr>
      </w:pPr>
      <w:r>
        <w:rPr>
          <w:rFonts w:ascii="Arial" w:cs="Arial" w:eastAsia="Arial" w:hAnsi="Arial"/>
          <w:sz w:val="20"/>
          <w:szCs w:val="20"/>
          <w:color w:val="auto"/>
        </w:rPr>
        <w:t>WHEREAS, the Company and Employee desire to amend the Award to incorporate and reflect any amendments to the CIC Agreement;</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parties agree as follows:</w:t>
      </w:r>
    </w:p>
    <w:p>
      <w:pPr>
        <w:spacing w:after="0" w:line="150" w:lineRule="exact"/>
        <w:rPr>
          <w:sz w:val="20"/>
          <w:szCs w:val="20"/>
          <w:color w:val="auto"/>
        </w:rPr>
      </w:pPr>
    </w:p>
    <w:p>
      <w:pPr>
        <w:ind w:left="1400" w:hanging="809"/>
        <w:spacing w:after="0"/>
        <w:tabs>
          <w:tab w:leader="none" w:pos="140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Paragraph 2 of Exhibit B is hereby restated as follows:</w:t>
      </w:r>
    </w:p>
    <w:p>
      <w:pPr>
        <w:spacing w:after="0" w:line="200" w:lineRule="exact"/>
        <w:rPr>
          <w:sz w:val="20"/>
          <w:szCs w:val="20"/>
          <w:color w:val="auto"/>
        </w:rPr>
      </w:pPr>
    </w:p>
    <w:p>
      <w:pPr>
        <w:spacing w:after="0" w:line="234" w:lineRule="exact"/>
        <w:rPr>
          <w:sz w:val="20"/>
          <w:szCs w:val="20"/>
          <w:color w:val="auto"/>
        </w:rPr>
      </w:pPr>
    </w:p>
    <w:p>
      <w:pPr>
        <w:jc w:val="both"/>
        <w:ind w:left="860"/>
        <w:spacing w:after="0" w:line="277" w:lineRule="auto"/>
        <w:rPr>
          <w:sz w:val="20"/>
          <w:szCs w:val="20"/>
          <w:color w:val="auto"/>
        </w:rPr>
      </w:pPr>
      <w:r>
        <w:rPr>
          <w:rFonts w:ascii="Arial" w:cs="Arial" w:eastAsia="Arial" w:hAnsi="Arial"/>
          <w:sz w:val="17"/>
          <w:szCs w:val="17"/>
          <w:i w:val="1"/>
          <w:iCs w:val="1"/>
          <w:u w:val="single" w:color="auto"/>
          <w:color w:val="auto"/>
        </w:rPr>
        <w:t>ACCELERATED VESTING</w:t>
      </w:r>
      <w:r>
        <w:rPr>
          <w:rFonts w:ascii="Arial" w:cs="Arial" w:eastAsia="Arial" w:hAnsi="Arial"/>
          <w:sz w:val="17"/>
          <w:szCs w:val="17"/>
          <w:i w:val="1"/>
          <w:iCs w:val="1"/>
          <w:color w:val="auto"/>
        </w:rPr>
        <w:t>. In the event of Participant’s death or Disability, Participant will vest in such number of RSUs as is determined by multiplying (a) the number of RSUs scheduled to vest on the next occurring annual vesting date, by (b) (i) the number of months that have elapsed since the previous annual vesting date (or if no annual vesting date has yet occurred, since the Grant Date), divided by (ii) 12. Partial months shall be rounded up to the next whole calendar month for purposes of the numerator in this calculation. In the event the calculation results in a fractional RSU, any fractional RSU will be rounded up to the nearest whole RSU.</w:t>
      </w:r>
    </w:p>
    <w:p>
      <w:pPr>
        <w:spacing w:after="0" w:line="152" w:lineRule="exact"/>
        <w:rPr>
          <w:sz w:val="20"/>
          <w:szCs w:val="20"/>
          <w:color w:val="auto"/>
        </w:rPr>
      </w:pPr>
    </w:p>
    <w:p>
      <w:pPr>
        <w:jc w:val="both"/>
        <w:ind w:left="860"/>
        <w:spacing w:after="0" w:line="241" w:lineRule="auto"/>
        <w:rPr>
          <w:sz w:val="20"/>
          <w:szCs w:val="20"/>
          <w:color w:val="auto"/>
        </w:rPr>
      </w:pPr>
      <w:r>
        <w:rPr>
          <w:rFonts w:ascii="Arial" w:cs="Arial" w:eastAsia="Arial" w:hAnsi="Arial"/>
          <w:sz w:val="19"/>
          <w:szCs w:val="19"/>
          <w:i w:val="1"/>
          <w:iCs w:val="1"/>
          <w:color w:val="auto"/>
        </w:rPr>
        <w:t>The Award shall also be eligible for accelerated vesting as provided in Section 12.2 of the Plan. Notwithstanding the foregoing, and notwithstanding anything to the contrary contained in the Plan, in the event of a Change in Control, if Participant is a party to a Change in Control Severance Agreement with the Company at the time of such Change in Control, and a Qualifying Termination Event has occurred, as defined in the Participant’s Change in Control Severance Agreement, the RSUs shall accelerate, vest and be settled in full immediately prior to such Change in Control.”</w:t>
      </w:r>
    </w:p>
    <w:p>
      <w:pPr>
        <w:spacing w:after="0" w:line="183" w:lineRule="exact"/>
        <w:rPr>
          <w:sz w:val="20"/>
          <w:szCs w:val="20"/>
          <w:color w:val="auto"/>
        </w:rPr>
      </w:pPr>
    </w:p>
    <w:p>
      <w:pPr>
        <w:jc w:val="both"/>
        <w:ind w:left="860"/>
        <w:spacing w:after="0" w:line="277" w:lineRule="auto"/>
        <w:rPr>
          <w:sz w:val="20"/>
          <w:szCs w:val="20"/>
          <w:color w:val="auto"/>
        </w:rPr>
      </w:pPr>
      <w:r>
        <w:rPr>
          <w:rFonts w:ascii="Arial" w:cs="Arial" w:eastAsia="Arial" w:hAnsi="Arial"/>
          <w:sz w:val="17"/>
          <w:szCs w:val="17"/>
          <w:i w:val="1"/>
          <w:iCs w:val="1"/>
          <w:color w:val="auto"/>
        </w:rPr>
        <w:t>For purposes of this Award, “</w:t>
      </w:r>
      <w:r>
        <w:rPr>
          <w:rFonts w:ascii="Arial" w:cs="Arial" w:eastAsia="Arial" w:hAnsi="Arial"/>
          <w:sz w:val="17"/>
          <w:szCs w:val="17"/>
          <w:i w:val="1"/>
          <w:iCs w:val="1"/>
          <w:u w:val="single" w:color="auto"/>
          <w:color w:val="auto"/>
        </w:rPr>
        <w:t>Disability</w:t>
      </w:r>
      <w:r>
        <w:rPr>
          <w:rFonts w:ascii="Arial" w:cs="Arial" w:eastAsia="Arial" w:hAnsi="Arial"/>
          <w:sz w:val="17"/>
          <w:szCs w:val="17"/>
          <w:i w:val="1"/>
          <w:iCs w:val="1"/>
          <w:color w:val="auto"/>
        </w:rPr>
        <w:t>” means Participant (a) is unable to engage in any substantial gainful activity by reason of any medically determinable physical or mental impairment which can be expected to result in death or can be expected to last for a continuous period of not less than 12 months, or (b)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Company or its Subsidiaries.</w:t>
      </w:r>
    </w:p>
    <w:p>
      <w:pPr>
        <w:spacing w:after="0" w:line="152" w:lineRule="exact"/>
        <w:rPr>
          <w:sz w:val="20"/>
          <w:szCs w:val="20"/>
          <w:color w:val="auto"/>
        </w:rPr>
      </w:pPr>
    </w:p>
    <w:p>
      <w:pPr>
        <w:jc w:val="both"/>
        <w:ind w:left="860"/>
        <w:spacing w:after="0" w:line="247" w:lineRule="auto"/>
        <w:rPr>
          <w:sz w:val="20"/>
          <w:szCs w:val="20"/>
          <w:color w:val="auto"/>
        </w:rPr>
      </w:pPr>
      <w:r>
        <w:rPr>
          <w:rFonts w:ascii="Arial" w:cs="Arial" w:eastAsia="Arial" w:hAnsi="Arial"/>
          <w:sz w:val="19"/>
          <w:szCs w:val="19"/>
          <w:i w:val="1"/>
          <w:iCs w:val="1"/>
          <w:color w:val="auto"/>
        </w:rPr>
        <w:t>Notwithstanding anything to the contrary contained herein, in the event of Participant’s Termination of Service due to Retirement, Participant will remain eligible to vest in and receive on the Payment Date the total number of RSUs set forth in the Grant Notice. For purposes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310515</wp:posOffset>
            </wp:positionV>
            <wp:extent cx="7182485" cy="4127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15" w:name="page316"/>
    <w:bookmarkEnd w:id="315"/>
    <w:p>
      <w:pPr>
        <w:ind w:left="10240"/>
        <w:spacing w:after="0"/>
        <w:rPr>
          <w:sz w:val="20"/>
          <w:szCs w:val="20"/>
          <w:color w:val="auto"/>
        </w:rPr>
      </w:pPr>
      <w:r>
        <w:rPr>
          <w:rFonts w:ascii="Arial" w:cs="Arial" w:eastAsia="Arial" w:hAnsi="Arial"/>
          <w:sz w:val="17"/>
          <w:szCs w:val="17"/>
          <w:color w:val="auto"/>
        </w:rPr>
        <w:t>Exhibit 10.46</w:t>
      </w:r>
    </w:p>
    <w:p>
      <w:pPr>
        <w:spacing w:after="0" w:line="35"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this Award, "Retirement" means Participant’s voluntary Termination of Service after having attained age 62, with 10 years of completed</w:t>
      </w:r>
    </w:p>
    <w:p>
      <w:pPr>
        <w:spacing w:after="0" w:line="20" w:lineRule="exact"/>
        <w:rPr>
          <w:sz w:val="20"/>
          <w:szCs w:val="20"/>
          <w:color w:val="auto"/>
        </w:rPr>
      </w:pPr>
    </w:p>
    <w:p>
      <w:pPr>
        <w:ind w:left="860"/>
        <w:spacing w:after="0"/>
        <w:rPr>
          <w:sz w:val="20"/>
          <w:szCs w:val="20"/>
          <w:color w:val="auto"/>
        </w:rPr>
      </w:pPr>
      <w:r>
        <w:rPr>
          <w:rFonts w:ascii="Arial" w:cs="Arial" w:eastAsia="Arial" w:hAnsi="Arial"/>
          <w:sz w:val="19"/>
          <w:szCs w:val="19"/>
          <w:i w:val="1"/>
          <w:iCs w:val="1"/>
          <w:color w:val="auto"/>
        </w:rPr>
        <w:t>service.</w:t>
      </w:r>
    </w:p>
    <w:p>
      <w:pPr>
        <w:spacing w:after="0" w:line="129" w:lineRule="exact"/>
        <w:rPr>
          <w:sz w:val="20"/>
          <w:szCs w:val="20"/>
          <w:color w:val="auto"/>
        </w:rPr>
      </w:pPr>
    </w:p>
    <w:p>
      <w:pPr>
        <w:ind w:right="40" w:firstLine="866"/>
        <w:spacing w:after="0" w:line="265" w:lineRule="auto"/>
        <w:tabs>
          <w:tab w:leader="none" w:pos="1068" w:val="left"/>
        </w:tabs>
        <w:numPr>
          <w:ilvl w:val="0"/>
          <w:numId w:val="193"/>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The Agreement, as amended by this Amendment, shall remain in full force and effect in accordance with the terms and conditions thereof. This Amendment may be executed simultaneously in any number of counterparts, each of which shall be deemed an original but all of which together shall constitute one and the same instrument. In the event of any conflict between the original terms of the Agreement and this Amendment, the terms of this Amendment shall prevail.</w:t>
      </w:r>
    </w:p>
    <w:p>
      <w:pPr>
        <w:spacing w:after="0" w:line="100" w:lineRule="exact"/>
        <w:rPr>
          <w:sz w:val="20"/>
          <w:szCs w:val="20"/>
          <w:color w:val="auto"/>
        </w:rPr>
      </w:pPr>
    </w:p>
    <w:p>
      <w:pPr>
        <w:jc w:val="both"/>
        <w:ind w:right="380"/>
        <w:spacing w:after="0" w:line="253" w:lineRule="auto"/>
        <w:rPr>
          <w:sz w:val="20"/>
          <w:szCs w:val="20"/>
          <w:color w:val="auto"/>
        </w:rPr>
      </w:pPr>
      <w:r>
        <w:rPr>
          <w:rFonts w:ascii="Arial" w:cs="Arial" w:eastAsia="Arial" w:hAnsi="Arial"/>
          <w:sz w:val="20"/>
          <w:szCs w:val="20"/>
          <w:color w:val="auto"/>
        </w:rPr>
        <w:t>THE PARTIES TO THIS AMENDMENT HAVE READ THE FOREGOING AMENDMENT AND FULLY UNDERSTAND EACH AND EVERY PROVISION CONTAINED HEREIN. WHEREFORE, THE PARTIES HAVE EXECUTED THIS AMENDMENT ON THE DATES SHOWN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820" w:type="dxa"/>
            <w:vAlign w:val="bottom"/>
          </w:tcPr>
          <w:p>
            <w:pPr>
              <w:spacing w:after="0"/>
              <w:rPr>
                <w:sz w:val="22"/>
                <w:szCs w:val="22"/>
                <w:color w:val="auto"/>
              </w:rPr>
            </w:pPr>
          </w:p>
        </w:tc>
        <w:tc>
          <w:tcPr>
            <w:tcW w:w="7460" w:type="dxa"/>
            <w:vAlign w:val="bottom"/>
          </w:tcPr>
          <w:p>
            <w:pPr>
              <w:ind w:left="1200"/>
              <w:spacing w:after="0"/>
              <w:rPr>
                <w:sz w:val="20"/>
                <w:szCs w:val="20"/>
                <w:color w:val="auto"/>
              </w:rPr>
            </w:pPr>
            <w:r>
              <w:rPr>
                <w:rFonts w:ascii="Arial" w:cs="Arial" w:eastAsia="Arial" w:hAnsi="Arial"/>
                <w:sz w:val="20"/>
                <w:szCs w:val="20"/>
                <w:color w:val="auto"/>
              </w:rPr>
              <w:t>EMPLOYEE</w:t>
            </w:r>
          </w:p>
        </w:tc>
        <w:tc>
          <w:tcPr>
            <w:tcW w:w="0" w:type="dxa"/>
            <w:vAlign w:val="bottom"/>
          </w:tcPr>
          <w:p>
            <w:pPr>
              <w:spacing w:after="0"/>
              <w:rPr>
                <w:sz w:val="1"/>
                <w:szCs w:val="1"/>
                <w:color w:val="auto"/>
              </w:rPr>
            </w:pPr>
          </w:p>
        </w:tc>
      </w:tr>
      <w:tr>
        <w:trPr>
          <w:trHeight w:val="654"/>
        </w:trPr>
        <w:tc>
          <w:tcPr>
            <w:tcW w:w="3820" w:type="dxa"/>
            <w:vAlign w:val="bottom"/>
          </w:tcPr>
          <w:p>
            <w:pPr>
              <w:spacing w:after="0"/>
              <w:rPr>
                <w:sz w:val="20"/>
                <w:szCs w:val="20"/>
                <w:color w:val="auto"/>
              </w:rPr>
            </w:pPr>
            <w:r>
              <w:rPr>
                <w:rFonts w:ascii="Arial" w:cs="Arial" w:eastAsia="Arial" w:hAnsi="Arial"/>
                <w:sz w:val="20"/>
                <w:szCs w:val="20"/>
                <w:color w:val="auto"/>
              </w:rPr>
              <w:t>Dated: ____________________</w:t>
            </w:r>
          </w:p>
        </w:tc>
        <w:tc>
          <w:tcPr>
            <w:tcW w:w="7460" w:type="dxa"/>
            <w:vAlign w:val="bottom"/>
          </w:tcPr>
          <w:p>
            <w:pPr>
              <w:ind w:left="1200"/>
              <w:spacing w:after="0"/>
              <w:rPr>
                <w:sz w:val="20"/>
                <w:szCs w:val="20"/>
                <w:color w:val="auto"/>
              </w:rPr>
            </w:pPr>
            <w:r>
              <w:rPr>
                <w:rFonts w:ascii="Arial" w:cs="Arial" w:eastAsia="Arial" w:hAnsi="Arial"/>
                <w:sz w:val="20"/>
                <w:szCs w:val="20"/>
                <w:color w:val="auto"/>
              </w:rPr>
              <w:t>By:_______________________________________</w:t>
            </w:r>
          </w:p>
        </w:tc>
        <w:tc>
          <w:tcPr>
            <w:tcW w:w="0" w:type="dxa"/>
            <w:vAlign w:val="bottom"/>
          </w:tcPr>
          <w:p>
            <w:pPr>
              <w:spacing w:after="0"/>
              <w:rPr>
                <w:sz w:val="1"/>
                <w:szCs w:val="1"/>
                <w:color w:val="auto"/>
              </w:rPr>
            </w:pPr>
          </w:p>
        </w:tc>
      </w:tr>
      <w:tr>
        <w:trPr>
          <w:trHeight w:val="259"/>
        </w:trPr>
        <w:tc>
          <w:tcPr>
            <w:tcW w:w="3820" w:type="dxa"/>
            <w:vAlign w:val="bottom"/>
          </w:tcPr>
          <w:p>
            <w:pPr>
              <w:spacing w:after="0"/>
              <w:rPr>
                <w:sz w:val="22"/>
                <w:szCs w:val="22"/>
                <w:color w:val="auto"/>
              </w:rPr>
            </w:pPr>
          </w:p>
        </w:tc>
        <w:tc>
          <w:tcPr>
            <w:tcW w:w="7460" w:type="dxa"/>
            <w:vAlign w:val="bottom"/>
          </w:tcPr>
          <w:p>
            <w:pPr>
              <w:ind w:left="1200"/>
              <w:spacing w:after="0"/>
              <w:rPr>
                <w:sz w:val="20"/>
                <w:szCs w:val="20"/>
                <w:color w:val="auto"/>
              </w:rPr>
            </w:pPr>
            <w:r>
              <w:rPr>
                <w:rFonts w:ascii="Arial" w:cs="Arial" w:eastAsia="Arial" w:hAnsi="Arial"/>
                <w:sz w:val="20"/>
                <w:szCs w:val="20"/>
                <w:color w:val="auto"/>
              </w:rPr>
              <w:t>Michael Kolloway</w:t>
            </w:r>
          </w:p>
        </w:tc>
        <w:tc>
          <w:tcPr>
            <w:tcW w:w="0" w:type="dxa"/>
            <w:vAlign w:val="bottom"/>
          </w:tcPr>
          <w:p>
            <w:pPr>
              <w:spacing w:after="0"/>
              <w:rPr>
                <w:sz w:val="1"/>
                <w:szCs w:val="1"/>
                <w:color w:val="auto"/>
              </w:rPr>
            </w:pPr>
          </w:p>
        </w:tc>
      </w:tr>
      <w:tr>
        <w:trPr>
          <w:trHeight w:val="456"/>
        </w:trPr>
        <w:tc>
          <w:tcPr>
            <w:tcW w:w="3820" w:type="dxa"/>
            <w:vAlign w:val="bottom"/>
          </w:tcPr>
          <w:p>
            <w:pPr>
              <w:spacing w:after="0"/>
              <w:rPr>
                <w:sz w:val="24"/>
                <w:szCs w:val="24"/>
                <w:color w:val="auto"/>
              </w:rPr>
            </w:pPr>
          </w:p>
        </w:tc>
        <w:tc>
          <w:tcPr>
            <w:tcW w:w="7460" w:type="dxa"/>
            <w:vAlign w:val="bottom"/>
          </w:tcPr>
          <w:p>
            <w:pPr>
              <w:ind w:left="1200"/>
              <w:spacing w:after="0"/>
              <w:rPr>
                <w:sz w:val="20"/>
                <w:szCs w:val="20"/>
                <w:color w:val="auto"/>
              </w:rPr>
            </w:pPr>
            <w:r>
              <w:rPr>
                <w:rFonts w:ascii="Arial" w:cs="Arial" w:eastAsia="Arial" w:hAnsi="Arial"/>
                <w:sz w:val="20"/>
                <w:szCs w:val="20"/>
                <w:color w:val="auto"/>
              </w:rPr>
              <w:t>PARSONS CORPORATION</w:t>
            </w:r>
          </w:p>
        </w:tc>
        <w:tc>
          <w:tcPr>
            <w:tcW w:w="0" w:type="dxa"/>
            <w:vAlign w:val="bottom"/>
          </w:tcPr>
          <w:p>
            <w:pPr>
              <w:spacing w:after="0"/>
              <w:rPr>
                <w:sz w:val="1"/>
                <w:szCs w:val="1"/>
                <w:color w:val="auto"/>
              </w:rPr>
            </w:pPr>
          </w:p>
        </w:tc>
      </w:tr>
      <w:tr>
        <w:trPr>
          <w:trHeight w:val="781"/>
        </w:trPr>
        <w:tc>
          <w:tcPr>
            <w:tcW w:w="3820" w:type="dxa"/>
            <w:vAlign w:val="bottom"/>
            <w:vMerge w:val="restart"/>
          </w:tcPr>
          <w:p>
            <w:pPr>
              <w:spacing w:after="0"/>
              <w:rPr>
                <w:sz w:val="20"/>
                <w:szCs w:val="20"/>
                <w:color w:val="auto"/>
              </w:rPr>
            </w:pPr>
            <w:r>
              <w:rPr>
                <w:rFonts w:ascii="Arial" w:cs="Arial" w:eastAsia="Arial" w:hAnsi="Arial"/>
                <w:sz w:val="20"/>
                <w:szCs w:val="20"/>
                <w:color w:val="auto"/>
              </w:rPr>
              <w:t>Dated: January 31, 2022</w:t>
            </w:r>
          </w:p>
        </w:tc>
        <w:tc>
          <w:tcPr>
            <w:tcW w:w="7460" w:type="dxa"/>
            <w:vAlign w:val="bottom"/>
          </w:tcPr>
          <w:p>
            <w:pPr>
              <w:ind w:left="1200"/>
              <w:spacing w:after="0"/>
              <w:rPr>
                <w:sz w:val="20"/>
                <w:szCs w:val="20"/>
                <w:color w:val="auto"/>
              </w:rPr>
            </w:pPr>
            <w:r>
              <w:rPr>
                <w:rFonts w:ascii="Arial" w:cs="Arial" w:eastAsia="Arial" w:hAnsi="Arial"/>
                <w:sz w:val="20"/>
                <w:szCs w:val="20"/>
                <w:color w:val="auto"/>
              </w:rPr>
              <w:t>Susan Balaguer</w:t>
            </w:r>
          </w:p>
        </w:tc>
        <w:tc>
          <w:tcPr>
            <w:tcW w:w="0" w:type="dxa"/>
            <w:vAlign w:val="bottom"/>
          </w:tcPr>
          <w:p>
            <w:pPr>
              <w:spacing w:after="0"/>
              <w:rPr>
                <w:sz w:val="1"/>
                <w:szCs w:val="1"/>
                <w:color w:val="auto"/>
              </w:rPr>
            </w:pPr>
          </w:p>
        </w:tc>
      </w:tr>
      <w:tr>
        <w:trPr>
          <w:trHeight w:val="132"/>
        </w:trPr>
        <w:tc>
          <w:tcPr>
            <w:tcW w:w="3820" w:type="dxa"/>
            <w:vAlign w:val="bottom"/>
            <w:vMerge w:val="continue"/>
          </w:tcPr>
          <w:p>
            <w:pPr>
              <w:spacing w:after="0"/>
              <w:rPr>
                <w:sz w:val="11"/>
                <w:szCs w:val="11"/>
                <w:color w:val="auto"/>
              </w:rPr>
            </w:pPr>
          </w:p>
        </w:tc>
        <w:tc>
          <w:tcPr>
            <w:tcW w:w="7460" w:type="dxa"/>
            <w:vAlign w:val="bottom"/>
            <w:vMerge w:val="restart"/>
          </w:tcPr>
          <w:p>
            <w:pPr>
              <w:ind w:left="1200"/>
              <w:spacing w:after="0"/>
              <w:rPr>
                <w:sz w:val="20"/>
                <w:szCs w:val="20"/>
                <w:color w:val="auto"/>
              </w:rPr>
            </w:pPr>
            <w:r>
              <w:rPr>
                <w:rFonts w:ascii="Arial" w:cs="Arial" w:eastAsia="Arial" w:hAnsi="Arial"/>
                <w:sz w:val="20"/>
                <w:szCs w:val="20"/>
                <w:color w:val="auto"/>
              </w:rPr>
              <w:t>Chief Human Resources Officer</w:t>
            </w:r>
          </w:p>
        </w:tc>
        <w:tc>
          <w:tcPr>
            <w:tcW w:w="0" w:type="dxa"/>
            <w:vAlign w:val="bottom"/>
          </w:tcPr>
          <w:p>
            <w:pPr>
              <w:spacing w:after="0"/>
              <w:rPr>
                <w:sz w:val="1"/>
                <w:szCs w:val="1"/>
                <w:color w:val="auto"/>
              </w:rPr>
            </w:pPr>
          </w:p>
        </w:tc>
      </w:tr>
      <w:tr>
        <w:trPr>
          <w:trHeight w:val="127"/>
        </w:trPr>
        <w:tc>
          <w:tcPr>
            <w:tcW w:w="3820" w:type="dxa"/>
            <w:vAlign w:val="bottom"/>
          </w:tcPr>
          <w:p>
            <w:pPr>
              <w:spacing w:after="0"/>
              <w:rPr>
                <w:sz w:val="11"/>
                <w:szCs w:val="11"/>
                <w:color w:val="auto"/>
              </w:rPr>
            </w:pPr>
          </w:p>
        </w:tc>
        <w:tc>
          <w:tcPr>
            <w:tcW w:w="7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18"/>
        </w:trPr>
        <w:tc>
          <w:tcPr>
            <w:tcW w:w="382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-27940</wp:posOffset>
            </wp:positionV>
            <wp:extent cx="33655" cy="4127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3188970</wp:posOffset>
            </wp:positionH>
            <wp:positionV relativeFrom="paragraph">
              <wp:posOffset>-2784475</wp:posOffset>
            </wp:positionV>
            <wp:extent cx="1891665" cy="37020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5">
                      <a:extLst>
                        <a:ext uri="{28A0092B-C50C-407E-A947-70E740481C1C}"/>
                      </a:extLst>
                    </a:blip>
                    <a:srcRect/>
                    <a:stretch>
                      <a:fillRect/>
                    </a:stretch>
                  </pic:blipFill>
                  <pic:spPr bwMode="auto">
                    <a:xfrm>
                      <a:off x="0" y="0"/>
                      <a:ext cx="1891665" cy="370205"/>
                    </a:xfrm>
                    <a:prstGeom prst="rect">
                      <a:avLst/>
                    </a:prstGeom>
                    <a:noFill/>
                  </pic:spPr>
                </pic:pic>
              </a:graphicData>
            </a:graphic>
          </wp:anchor>
        </w:drawing>
      </w:r>
    </w:p>
    <w:p>
      <w:pPr>
        <w:sectPr>
          <w:pgSz w:w="11900" w:h="16838" w:orient="portrait"/>
          <w:cols w:equalWidth="0" w:num="1">
            <w:col w:w="11280"/>
          </w:cols>
          <w:pgMar w:left="320" w:top="124" w:right="299" w:bottom="1440" w:gutter="0" w:footer="0" w:header="0"/>
        </w:sectPr>
      </w:pPr>
    </w:p>
    <w:bookmarkStart w:id="316" w:name="page317"/>
    <w:bookmarkEnd w:id="316"/>
    <w:p>
      <w:pPr>
        <w:jc w:val="right"/>
        <w:spacing w:after="0"/>
        <w:rPr>
          <w:sz w:val="20"/>
          <w:szCs w:val="20"/>
          <w:color w:val="auto"/>
        </w:rPr>
      </w:pPr>
      <w:r>
        <w:rPr>
          <w:rFonts w:ascii="Arial" w:cs="Arial" w:eastAsia="Arial" w:hAnsi="Arial"/>
          <w:sz w:val="19"/>
          <w:szCs w:val="19"/>
          <w:color w:val="auto"/>
        </w:rPr>
        <w:t>Exhibit 10.46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AMENDMENT TO PARSONS CORPORATION INCENTIVE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RESTRICTED STOCK UNIT AWARD</w:t>
      </w:r>
    </w:p>
    <w:p>
      <w:pPr>
        <w:spacing w:after="0" w:line="145" w:lineRule="exact"/>
        <w:rPr>
          <w:sz w:val="20"/>
          <w:szCs w:val="20"/>
          <w:color w:val="auto"/>
        </w:rPr>
      </w:pPr>
    </w:p>
    <w:p>
      <w:pPr>
        <w:ind w:right="120" w:firstLine="589"/>
        <w:spacing w:after="0" w:line="268" w:lineRule="auto"/>
        <w:rPr>
          <w:sz w:val="20"/>
          <w:szCs w:val="20"/>
          <w:color w:val="auto"/>
        </w:rPr>
      </w:pPr>
      <w:r>
        <w:rPr>
          <w:rFonts w:ascii="Arial" w:cs="Arial" w:eastAsia="Arial" w:hAnsi="Arial"/>
          <w:sz w:val="20"/>
          <w:szCs w:val="20"/>
          <w:color w:val="auto"/>
        </w:rPr>
        <w:t>This Amendment to Parsons Corporation Incentive Award Plan Restricted Stock Unit Award (“Amendment”) is made effective as of July 19, 2021, by and between Parsons Corporation (“Company”), and Michael Kolloway (“Employee”).</w:t>
      </w:r>
    </w:p>
    <w:p>
      <w:pPr>
        <w:spacing w:after="0" w:line="95" w:lineRule="exact"/>
        <w:rPr>
          <w:sz w:val="20"/>
          <w:szCs w:val="20"/>
          <w:color w:val="auto"/>
        </w:rPr>
      </w:pPr>
    </w:p>
    <w:p>
      <w:pPr>
        <w:ind w:right="3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Incentive Award Plan Restricted Stock Unit Award dated as of March 1, 2021 (the “Award”);</w:t>
      </w:r>
    </w:p>
    <w:p>
      <w:pPr>
        <w:spacing w:after="0" w:line="95" w:lineRule="exact"/>
        <w:rPr>
          <w:sz w:val="20"/>
          <w:szCs w:val="20"/>
          <w:color w:val="auto"/>
        </w:rPr>
      </w:pPr>
    </w:p>
    <w:p>
      <w:pPr>
        <w:ind w:right="1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Change in Control Severance Agreement (“CIC Agreement”), which was amended as of July 19, 2021;</w:t>
      </w:r>
    </w:p>
    <w:p>
      <w:pPr>
        <w:spacing w:after="0" w:line="95" w:lineRule="exact"/>
        <w:rPr>
          <w:sz w:val="20"/>
          <w:szCs w:val="20"/>
          <w:color w:val="auto"/>
        </w:rPr>
      </w:pPr>
    </w:p>
    <w:p>
      <w:pPr>
        <w:ind w:right="640" w:firstLine="589"/>
        <w:spacing w:after="0" w:line="268" w:lineRule="auto"/>
        <w:rPr>
          <w:sz w:val="20"/>
          <w:szCs w:val="20"/>
          <w:color w:val="auto"/>
        </w:rPr>
      </w:pPr>
      <w:r>
        <w:rPr>
          <w:rFonts w:ascii="Arial" w:cs="Arial" w:eastAsia="Arial" w:hAnsi="Arial"/>
          <w:sz w:val="20"/>
          <w:szCs w:val="20"/>
          <w:color w:val="auto"/>
        </w:rPr>
        <w:t>WHEREAS, the Company and Employee desire to amend the Award to incorporate and reflect any amendments to the CIC Agreement;</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parties agree as follows:</w:t>
      </w:r>
    </w:p>
    <w:p>
      <w:pPr>
        <w:spacing w:after="0" w:line="150" w:lineRule="exact"/>
        <w:rPr>
          <w:sz w:val="20"/>
          <w:szCs w:val="20"/>
          <w:color w:val="auto"/>
        </w:rPr>
      </w:pPr>
    </w:p>
    <w:p>
      <w:pPr>
        <w:ind w:left="1400" w:hanging="809"/>
        <w:spacing w:after="0"/>
        <w:tabs>
          <w:tab w:leader="none" w:pos="1400" w:val="left"/>
        </w:tabs>
        <w:numPr>
          <w:ilvl w:val="0"/>
          <w:numId w:val="194"/>
        </w:numPr>
        <w:rPr>
          <w:rFonts w:ascii="Arial" w:cs="Arial" w:eastAsia="Arial" w:hAnsi="Arial"/>
          <w:sz w:val="20"/>
          <w:szCs w:val="20"/>
          <w:color w:val="auto"/>
        </w:rPr>
      </w:pPr>
      <w:r>
        <w:rPr>
          <w:rFonts w:ascii="Arial" w:cs="Arial" w:eastAsia="Arial" w:hAnsi="Arial"/>
          <w:sz w:val="20"/>
          <w:szCs w:val="20"/>
          <w:color w:val="auto"/>
        </w:rPr>
        <w:t>Paragraph 2 of Exhibit B is hereby restated as follows:</w:t>
      </w:r>
    </w:p>
    <w:p>
      <w:pPr>
        <w:spacing w:after="0" w:line="200" w:lineRule="exact"/>
        <w:rPr>
          <w:sz w:val="20"/>
          <w:szCs w:val="20"/>
          <w:color w:val="auto"/>
        </w:rPr>
      </w:pPr>
    </w:p>
    <w:p>
      <w:pPr>
        <w:spacing w:after="0" w:line="234" w:lineRule="exact"/>
        <w:rPr>
          <w:sz w:val="20"/>
          <w:szCs w:val="20"/>
          <w:color w:val="auto"/>
        </w:rPr>
      </w:pPr>
    </w:p>
    <w:p>
      <w:pPr>
        <w:jc w:val="both"/>
        <w:ind w:left="860"/>
        <w:spacing w:after="0" w:line="277" w:lineRule="auto"/>
        <w:rPr>
          <w:sz w:val="20"/>
          <w:szCs w:val="20"/>
          <w:color w:val="auto"/>
        </w:rPr>
      </w:pPr>
      <w:r>
        <w:rPr>
          <w:rFonts w:ascii="Arial" w:cs="Arial" w:eastAsia="Arial" w:hAnsi="Arial"/>
          <w:sz w:val="17"/>
          <w:szCs w:val="17"/>
          <w:i w:val="1"/>
          <w:iCs w:val="1"/>
          <w:u w:val="single" w:color="auto"/>
          <w:color w:val="auto"/>
        </w:rPr>
        <w:t>ACCELERATED VESTING</w:t>
      </w:r>
      <w:r>
        <w:rPr>
          <w:rFonts w:ascii="Arial" w:cs="Arial" w:eastAsia="Arial" w:hAnsi="Arial"/>
          <w:sz w:val="17"/>
          <w:szCs w:val="17"/>
          <w:i w:val="1"/>
          <w:iCs w:val="1"/>
          <w:color w:val="auto"/>
        </w:rPr>
        <w:t>. In the event of Participant’s death or Disability, Participant will vest in such number of RSUs as is determined by multiplying (a) the number of RSUs scheduled to vest on the next occurring annual vesting date, by (b) (i) the number of months that have elapsed since the previous annual vesting date (or if no annual vesting date has yet occurred, since the Grant Date), divided by (ii) 12. Partial months shall be rounded up to the next whole calendar month for purposes of the numerator in this calculation. In the event the calculation results in a fractional RSU, any fractional RSU will be rounded up to the nearest whole RSU.</w:t>
      </w:r>
    </w:p>
    <w:p>
      <w:pPr>
        <w:spacing w:after="0" w:line="152" w:lineRule="exact"/>
        <w:rPr>
          <w:sz w:val="20"/>
          <w:szCs w:val="20"/>
          <w:color w:val="auto"/>
        </w:rPr>
      </w:pPr>
    </w:p>
    <w:p>
      <w:pPr>
        <w:jc w:val="both"/>
        <w:ind w:left="860"/>
        <w:spacing w:after="0" w:line="241" w:lineRule="auto"/>
        <w:rPr>
          <w:sz w:val="20"/>
          <w:szCs w:val="20"/>
          <w:color w:val="auto"/>
        </w:rPr>
      </w:pPr>
      <w:r>
        <w:rPr>
          <w:rFonts w:ascii="Arial" w:cs="Arial" w:eastAsia="Arial" w:hAnsi="Arial"/>
          <w:sz w:val="19"/>
          <w:szCs w:val="19"/>
          <w:i w:val="1"/>
          <w:iCs w:val="1"/>
          <w:color w:val="auto"/>
        </w:rPr>
        <w:t>The Award shall also be eligible for accelerated vesting as provided in Section 12.2 of the Plan. Notwithstanding the foregoing, and notwithstanding anything to the contrary contained in the Plan, in the event of a Change in Control, if Participant is a party to a Change in Control Severance Agreement with the Company at the time of such Change in Control, and a Qualifying Termination Event has occurred, as defined in the Participant’s Change in Control Severance Agreement, the RSUs shall accelerate, vest and be settled in full immediately prior to such Change in Control.”</w:t>
      </w:r>
    </w:p>
    <w:p>
      <w:pPr>
        <w:spacing w:after="0" w:line="183" w:lineRule="exact"/>
        <w:rPr>
          <w:sz w:val="20"/>
          <w:szCs w:val="20"/>
          <w:color w:val="auto"/>
        </w:rPr>
      </w:pPr>
    </w:p>
    <w:p>
      <w:pPr>
        <w:jc w:val="both"/>
        <w:ind w:left="860"/>
        <w:spacing w:after="0" w:line="277" w:lineRule="auto"/>
        <w:rPr>
          <w:sz w:val="20"/>
          <w:szCs w:val="20"/>
          <w:color w:val="auto"/>
        </w:rPr>
      </w:pPr>
      <w:r>
        <w:rPr>
          <w:rFonts w:ascii="Arial" w:cs="Arial" w:eastAsia="Arial" w:hAnsi="Arial"/>
          <w:sz w:val="17"/>
          <w:szCs w:val="17"/>
          <w:i w:val="1"/>
          <w:iCs w:val="1"/>
          <w:color w:val="auto"/>
        </w:rPr>
        <w:t>For purposes of this Award, “</w:t>
      </w:r>
      <w:r>
        <w:rPr>
          <w:rFonts w:ascii="Arial" w:cs="Arial" w:eastAsia="Arial" w:hAnsi="Arial"/>
          <w:sz w:val="17"/>
          <w:szCs w:val="17"/>
          <w:i w:val="1"/>
          <w:iCs w:val="1"/>
          <w:u w:val="single" w:color="auto"/>
          <w:color w:val="auto"/>
        </w:rPr>
        <w:t>Disability</w:t>
      </w:r>
      <w:r>
        <w:rPr>
          <w:rFonts w:ascii="Arial" w:cs="Arial" w:eastAsia="Arial" w:hAnsi="Arial"/>
          <w:sz w:val="17"/>
          <w:szCs w:val="17"/>
          <w:i w:val="1"/>
          <w:iCs w:val="1"/>
          <w:color w:val="auto"/>
        </w:rPr>
        <w:t>” means Participant (a) is unable to engage in any substantial gainful activity by reason of any medically determinable physical or mental impairment which can be expected to result in death or can be expected to last for a continuous period of not less than 12 months, or (b)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Company or its Subsidiaries.</w:t>
      </w:r>
    </w:p>
    <w:p>
      <w:pPr>
        <w:spacing w:after="0" w:line="152" w:lineRule="exact"/>
        <w:rPr>
          <w:sz w:val="20"/>
          <w:szCs w:val="20"/>
          <w:color w:val="auto"/>
        </w:rPr>
      </w:pPr>
    </w:p>
    <w:p>
      <w:pPr>
        <w:jc w:val="both"/>
        <w:ind w:left="860"/>
        <w:spacing w:after="0" w:line="247" w:lineRule="auto"/>
        <w:rPr>
          <w:sz w:val="20"/>
          <w:szCs w:val="20"/>
          <w:color w:val="auto"/>
        </w:rPr>
      </w:pPr>
      <w:r>
        <w:rPr>
          <w:rFonts w:ascii="Arial" w:cs="Arial" w:eastAsia="Arial" w:hAnsi="Arial"/>
          <w:sz w:val="19"/>
          <w:szCs w:val="19"/>
          <w:i w:val="1"/>
          <w:iCs w:val="1"/>
          <w:color w:val="auto"/>
        </w:rPr>
        <w:t>Notwithstanding anything to the contrary contained herein, in the event of Participant’s Termination of Service due to Retirement, Participant will remain eligible to vest in and receive on the Payment Date the total number of RSUs set forth in the Grant Notice. For purposes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310515</wp:posOffset>
            </wp:positionV>
            <wp:extent cx="7182485" cy="4127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6">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7" w:name="page318"/>
    <w:bookmarkEnd w:id="317"/>
    <w:p>
      <w:pPr>
        <w:ind w:left="10240"/>
        <w:spacing w:after="0"/>
        <w:rPr>
          <w:sz w:val="20"/>
          <w:szCs w:val="20"/>
          <w:color w:val="auto"/>
        </w:rPr>
      </w:pPr>
      <w:r>
        <w:rPr>
          <w:rFonts w:ascii="Arial" w:cs="Arial" w:eastAsia="Arial" w:hAnsi="Arial"/>
          <w:sz w:val="17"/>
          <w:szCs w:val="17"/>
          <w:color w:val="auto"/>
        </w:rPr>
        <w:t>Exhibit 10.46</w:t>
      </w:r>
    </w:p>
    <w:p>
      <w:pPr>
        <w:spacing w:after="0" w:line="35"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this Award, "Retirement" means Participant’s voluntary Termination of Service after having attained age 62, with 10 years of completed</w:t>
      </w:r>
    </w:p>
    <w:p>
      <w:pPr>
        <w:spacing w:after="0" w:line="20" w:lineRule="exact"/>
        <w:rPr>
          <w:sz w:val="20"/>
          <w:szCs w:val="20"/>
          <w:color w:val="auto"/>
        </w:rPr>
      </w:pPr>
    </w:p>
    <w:p>
      <w:pPr>
        <w:ind w:left="860"/>
        <w:spacing w:after="0"/>
        <w:rPr>
          <w:sz w:val="20"/>
          <w:szCs w:val="20"/>
          <w:color w:val="auto"/>
        </w:rPr>
      </w:pPr>
      <w:r>
        <w:rPr>
          <w:rFonts w:ascii="Arial" w:cs="Arial" w:eastAsia="Arial" w:hAnsi="Arial"/>
          <w:sz w:val="19"/>
          <w:szCs w:val="19"/>
          <w:i w:val="1"/>
          <w:iCs w:val="1"/>
          <w:color w:val="auto"/>
        </w:rPr>
        <w:t>service.</w:t>
      </w:r>
    </w:p>
    <w:p>
      <w:pPr>
        <w:spacing w:after="0" w:line="129" w:lineRule="exact"/>
        <w:rPr>
          <w:sz w:val="20"/>
          <w:szCs w:val="20"/>
          <w:color w:val="auto"/>
        </w:rPr>
      </w:pPr>
    </w:p>
    <w:p>
      <w:pPr>
        <w:ind w:firstLine="866"/>
        <w:spacing w:after="0" w:line="265" w:lineRule="auto"/>
        <w:tabs>
          <w:tab w:leader="none" w:pos="1068" w:val="left"/>
        </w:tabs>
        <w:numPr>
          <w:ilvl w:val="0"/>
          <w:numId w:val="195"/>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The Agreement, as amended by this Amendment, shall remain in full force and effect in accordance with the terms and conditions thereof. This Amendment may be executed simultaneously in any number of counterparts, each of which shall be deemed an original but all of which together shall constitute one and the same instrument. In the event of any conflict between the original terms of the Agreement and this Amendment, the terms of this Amendment shall prevail.</w:t>
      </w:r>
    </w:p>
    <w:p>
      <w:pPr>
        <w:spacing w:after="0" w:line="100" w:lineRule="exact"/>
        <w:rPr>
          <w:sz w:val="20"/>
          <w:szCs w:val="20"/>
          <w:color w:val="auto"/>
        </w:rPr>
      </w:pPr>
    </w:p>
    <w:p>
      <w:pPr>
        <w:jc w:val="both"/>
        <w:ind w:right="340"/>
        <w:spacing w:after="0" w:line="253" w:lineRule="auto"/>
        <w:rPr>
          <w:sz w:val="20"/>
          <w:szCs w:val="20"/>
          <w:color w:val="auto"/>
        </w:rPr>
      </w:pPr>
      <w:r>
        <w:rPr>
          <w:rFonts w:ascii="Arial" w:cs="Arial" w:eastAsia="Arial" w:hAnsi="Arial"/>
          <w:sz w:val="20"/>
          <w:szCs w:val="20"/>
          <w:color w:val="auto"/>
        </w:rPr>
        <w:t>THE PARTIES TO THIS AMENDMENT HAVE READ THE FOREGOING AMENDMENT AND FULLY UNDERSTAND EACH AND EVERY PROVISION CONTAINED HEREIN. WHEREFORE, THE PARTIES HAVE EXECUTED THIS AMENDMENT ON THE DATES SHOWN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920" w:type="dxa"/>
            <w:vAlign w:val="bottom"/>
          </w:tcPr>
          <w:p>
            <w:pPr>
              <w:spacing w:after="0"/>
              <w:rPr>
                <w:sz w:val="22"/>
                <w:szCs w:val="22"/>
                <w:color w:val="auto"/>
              </w:rPr>
            </w:pPr>
          </w:p>
        </w:tc>
        <w:tc>
          <w:tcPr>
            <w:tcW w:w="5360" w:type="dxa"/>
            <w:vAlign w:val="bottom"/>
          </w:tcPr>
          <w:p>
            <w:pPr>
              <w:ind w:left="1100"/>
              <w:spacing w:after="0"/>
              <w:rPr>
                <w:sz w:val="20"/>
                <w:szCs w:val="20"/>
                <w:color w:val="auto"/>
              </w:rPr>
            </w:pPr>
            <w:r>
              <w:rPr>
                <w:rFonts w:ascii="Arial" w:cs="Arial" w:eastAsia="Arial" w:hAnsi="Arial"/>
                <w:sz w:val="20"/>
                <w:szCs w:val="20"/>
                <w:color w:val="auto"/>
              </w:rPr>
              <w:t>EMPLOYEE</w:t>
            </w:r>
          </w:p>
        </w:tc>
        <w:tc>
          <w:tcPr>
            <w:tcW w:w="0" w:type="dxa"/>
            <w:vAlign w:val="bottom"/>
          </w:tcPr>
          <w:p>
            <w:pPr>
              <w:spacing w:after="0"/>
              <w:rPr>
                <w:sz w:val="1"/>
                <w:szCs w:val="1"/>
                <w:color w:val="auto"/>
              </w:rPr>
            </w:pPr>
          </w:p>
        </w:tc>
      </w:tr>
      <w:tr>
        <w:trPr>
          <w:trHeight w:val="654"/>
        </w:trPr>
        <w:tc>
          <w:tcPr>
            <w:tcW w:w="3920" w:type="dxa"/>
            <w:vAlign w:val="bottom"/>
          </w:tcPr>
          <w:p>
            <w:pPr>
              <w:spacing w:after="0"/>
              <w:rPr>
                <w:sz w:val="20"/>
                <w:szCs w:val="20"/>
                <w:color w:val="auto"/>
              </w:rPr>
            </w:pPr>
            <w:r>
              <w:rPr>
                <w:rFonts w:ascii="Arial" w:cs="Arial" w:eastAsia="Arial" w:hAnsi="Arial"/>
                <w:sz w:val="20"/>
                <w:szCs w:val="20"/>
                <w:color w:val="auto"/>
              </w:rPr>
              <w:t>Dated: ______________________</w:t>
            </w:r>
          </w:p>
        </w:tc>
        <w:tc>
          <w:tcPr>
            <w:tcW w:w="5360" w:type="dxa"/>
            <w:vAlign w:val="bottom"/>
          </w:tcPr>
          <w:p>
            <w:pPr>
              <w:ind w:left="1100"/>
              <w:spacing w:after="0"/>
              <w:rPr>
                <w:sz w:val="20"/>
                <w:szCs w:val="20"/>
                <w:color w:val="auto"/>
              </w:rPr>
            </w:pPr>
            <w:r>
              <w:rPr>
                <w:rFonts w:ascii="Arial" w:cs="Arial" w:eastAsia="Arial" w:hAnsi="Arial"/>
                <w:sz w:val="20"/>
                <w:szCs w:val="20"/>
                <w:color w:val="auto"/>
                <w:w w:val="91"/>
              </w:rPr>
              <w:t>By:_______________________________________</w:t>
            </w:r>
          </w:p>
        </w:tc>
        <w:tc>
          <w:tcPr>
            <w:tcW w:w="0" w:type="dxa"/>
            <w:vAlign w:val="bottom"/>
          </w:tcPr>
          <w:p>
            <w:pPr>
              <w:spacing w:after="0"/>
              <w:rPr>
                <w:sz w:val="1"/>
                <w:szCs w:val="1"/>
                <w:color w:val="auto"/>
              </w:rPr>
            </w:pPr>
          </w:p>
        </w:tc>
      </w:tr>
      <w:tr>
        <w:trPr>
          <w:trHeight w:val="259"/>
        </w:trPr>
        <w:tc>
          <w:tcPr>
            <w:tcW w:w="3920" w:type="dxa"/>
            <w:vAlign w:val="bottom"/>
          </w:tcPr>
          <w:p>
            <w:pPr>
              <w:spacing w:after="0"/>
              <w:rPr>
                <w:sz w:val="22"/>
                <w:szCs w:val="22"/>
                <w:color w:val="auto"/>
              </w:rPr>
            </w:pPr>
          </w:p>
        </w:tc>
        <w:tc>
          <w:tcPr>
            <w:tcW w:w="5360" w:type="dxa"/>
            <w:vAlign w:val="bottom"/>
          </w:tcPr>
          <w:p>
            <w:pPr>
              <w:ind w:left="1100"/>
              <w:spacing w:after="0"/>
              <w:rPr>
                <w:sz w:val="20"/>
                <w:szCs w:val="20"/>
                <w:color w:val="auto"/>
              </w:rPr>
            </w:pPr>
            <w:r>
              <w:rPr>
                <w:rFonts w:ascii="Arial" w:cs="Arial" w:eastAsia="Arial" w:hAnsi="Arial"/>
                <w:sz w:val="20"/>
                <w:szCs w:val="20"/>
                <w:color w:val="auto"/>
              </w:rPr>
              <w:t>Michael Kolloway</w:t>
            </w:r>
          </w:p>
        </w:tc>
        <w:tc>
          <w:tcPr>
            <w:tcW w:w="0" w:type="dxa"/>
            <w:vAlign w:val="bottom"/>
          </w:tcPr>
          <w:p>
            <w:pPr>
              <w:spacing w:after="0"/>
              <w:rPr>
                <w:sz w:val="1"/>
                <w:szCs w:val="1"/>
                <w:color w:val="auto"/>
              </w:rPr>
            </w:pPr>
          </w:p>
        </w:tc>
      </w:tr>
      <w:tr>
        <w:trPr>
          <w:trHeight w:val="456"/>
        </w:trPr>
        <w:tc>
          <w:tcPr>
            <w:tcW w:w="3920" w:type="dxa"/>
            <w:vAlign w:val="bottom"/>
          </w:tcPr>
          <w:p>
            <w:pPr>
              <w:spacing w:after="0"/>
              <w:rPr>
                <w:sz w:val="24"/>
                <w:szCs w:val="24"/>
                <w:color w:val="auto"/>
              </w:rPr>
            </w:pPr>
          </w:p>
        </w:tc>
        <w:tc>
          <w:tcPr>
            <w:tcW w:w="5360" w:type="dxa"/>
            <w:vAlign w:val="bottom"/>
          </w:tcPr>
          <w:p>
            <w:pPr>
              <w:ind w:left="1100"/>
              <w:spacing w:after="0"/>
              <w:rPr>
                <w:sz w:val="20"/>
                <w:szCs w:val="20"/>
                <w:color w:val="auto"/>
              </w:rPr>
            </w:pPr>
            <w:r>
              <w:rPr>
                <w:rFonts w:ascii="Arial" w:cs="Arial" w:eastAsia="Arial" w:hAnsi="Arial"/>
                <w:sz w:val="20"/>
                <w:szCs w:val="20"/>
                <w:color w:val="auto"/>
              </w:rPr>
              <w:t>PARSONS CORPORATION</w:t>
            </w:r>
          </w:p>
        </w:tc>
        <w:tc>
          <w:tcPr>
            <w:tcW w:w="0" w:type="dxa"/>
            <w:vAlign w:val="bottom"/>
          </w:tcPr>
          <w:p>
            <w:pPr>
              <w:spacing w:after="0"/>
              <w:rPr>
                <w:sz w:val="1"/>
                <w:szCs w:val="1"/>
                <w:color w:val="auto"/>
              </w:rPr>
            </w:pPr>
          </w:p>
        </w:tc>
      </w:tr>
      <w:tr>
        <w:trPr>
          <w:trHeight w:val="913"/>
        </w:trPr>
        <w:tc>
          <w:tcPr>
            <w:tcW w:w="3920" w:type="dxa"/>
            <w:vAlign w:val="bottom"/>
          </w:tcPr>
          <w:p>
            <w:pPr>
              <w:spacing w:after="0"/>
              <w:rPr>
                <w:sz w:val="20"/>
                <w:szCs w:val="20"/>
                <w:color w:val="auto"/>
              </w:rPr>
            </w:pPr>
            <w:r>
              <w:rPr>
                <w:rFonts w:ascii="Arial" w:cs="Arial" w:eastAsia="Arial" w:hAnsi="Arial"/>
                <w:sz w:val="20"/>
                <w:szCs w:val="20"/>
                <w:color w:val="auto"/>
              </w:rPr>
              <w:t>Dated: January 26, 2022</w:t>
            </w:r>
          </w:p>
        </w:tc>
        <w:tc>
          <w:tcPr>
            <w:tcW w:w="5360" w:type="dxa"/>
            <w:vAlign w:val="bottom"/>
            <w:vMerge w:val="restart"/>
          </w:tcPr>
          <w:p>
            <w:pPr>
              <w:ind w:left="1100"/>
              <w:spacing w:after="0"/>
              <w:rPr>
                <w:sz w:val="20"/>
                <w:szCs w:val="20"/>
                <w:color w:val="auto"/>
              </w:rPr>
            </w:pPr>
            <w:r>
              <w:rPr>
                <w:rFonts w:ascii="Arial" w:cs="Arial" w:eastAsia="Arial" w:hAnsi="Arial"/>
                <w:sz w:val="20"/>
                <w:szCs w:val="20"/>
                <w:color w:val="auto"/>
              </w:rPr>
              <w:t>Susan Balaguer</w:t>
            </w:r>
          </w:p>
        </w:tc>
        <w:tc>
          <w:tcPr>
            <w:tcW w:w="0" w:type="dxa"/>
            <w:vAlign w:val="bottom"/>
          </w:tcPr>
          <w:p>
            <w:pPr>
              <w:spacing w:after="0"/>
              <w:rPr>
                <w:sz w:val="1"/>
                <w:szCs w:val="1"/>
                <w:color w:val="auto"/>
              </w:rPr>
            </w:pPr>
          </w:p>
        </w:tc>
      </w:tr>
      <w:tr>
        <w:trPr>
          <w:trHeight w:val="96"/>
        </w:trPr>
        <w:tc>
          <w:tcPr>
            <w:tcW w:w="3920" w:type="dxa"/>
            <w:vAlign w:val="bottom"/>
          </w:tcPr>
          <w:p>
            <w:pPr>
              <w:spacing w:after="0"/>
              <w:rPr>
                <w:sz w:val="8"/>
                <w:szCs w:val="8"/>
                <w:color w:val="auto"/>
              </w:rPr>
            </w:pPr>
          </w:p>
        </w:tc>
        <w:tc>
          <w:tcPr>
            <w:tcW w:w="5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3920" w:type="dxa"/>
            <w:vAlign w:val="bottom"/>
          </w:tcPr>
          <w:p>
            <w:pPr>
              <w:spacing w:after="0"/>
              <w:rPr>
                <w:sz w:val="22"/>
                <w:szCs w:val="22"/>
                <w:color w:val="auto"/>
              </w:rPr>
            </w:pPr>
          </w:p>
        </w:tc>
        <w:tc>
          <w:tcPr>
            <w:tcW w:w="5360" w:type="dxa"/>
            <w:vAlign w:val="bottom"/>
          </w:tcPr>
          <w:p>
            <w:pPr>
              <w:ind w:left="1100"/>
              <w:spacing w:after="0"/>
              <w:rPr>
                <w:sz w:val="20"/>
                <w:szCs w:val="20"/>
                <w:color w:val="auto"/>
              </w:rPr>
            </w:pPr>
            <w:r>
              <w:rPr>
                <w:rFonts w:ascii="Arial" w:cs="Arial" w:eastAsia="Arial" w:hAnsi="Arial"/>
                <w:sz w:val="20"/>
                <w:szCs w:val="20"/>
                <w:color w:val="auto"/>
              </w:rPr>
              <w:t>Chief Human Resources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3188970</wp:posOffset>
            </wp:positionH>
            <wp:positionV relativeFrom="paragraph">
              <wp:posOffset>-665480</wp:posOffset>
            </wp:positionV>
            <wp:extent cx="1891665" cy="37020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7">
                      <a:extLst>
                        <a:ext uri="{28A0092B-C50C-407E-A947-70E740481C1C}"/>
                      </a:extLst>
                    </a:blip>
                    <a:srcRect/>
                    <a:stretch>
                      <a:fillRect/>
                    </a:stretch>
                  </pic:blipFill>
                  <pic:spPr bwMode="auto">
                    <a:xfrm>
                      <a:off x="0" y="0"/>
                      <a:ext cx="1891665" cy="3702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18" w:name="page319"/>
    <w:bookmarkEnd w:id="318"/>
    <w:p>
      <w:pPr>
        <w:jc w:val="right"/>
        <w:spacing w:after="0"/>
        <w:rPr>
          <w:sz w:val="20"/>
          <w:szCs w:val="20"/>
          <w:color w:val="auto"/>
        </w:rPr>
      </w:pPr>
      <w:r>
        <w:rPr>
          <w:rFonts w:ascii="Arial" w:cs="Arial" w:eastAsia="Arial" w:hAnsi="Arial"/>
          <w:sz w:val="19"/>
          <w:szCs w:val="19"/>
          <w:color w:val="auto"/>
        </w:rPr>
        <w:t>Exhibit 10.47</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AMENDMENT TO PARSONS CORPORATION INCENTIVE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PERFORMANCE STOCK UNIT AWARD</w:t>
      </w:r>
    </w:p>
    <w:p>
      <w:pPr>
        <w:spacing w:after="0" w:line="145" w:lineRule="exact"/>
        <w:rPr>
          <w:sz w:val="20"/>
          <w:szCs w:val="20"/>
          <w:color w:val="auto"/>
        </w:rPr>
      </w:pPr>
    </w:p>
    <w:p>
      <w:pPr>
        <w:ind w:right="120" w:firstLine="589"/>
        <w:spacing w:after="0" w:line="268" w:lineRule="auto"/>
        <w:rPr>
          <w:sz w:val="20"/>
          <w:szCs w:val="20"/>
          <w:color w:val="auto"/>
        </w:rPr>
      </w:pPr>
      <w:r>
        <w:rPr>
          <w:rFonts w:ascii="Arial" w:cs="Arial" w:eastAsia="Arial" w:hAnsi="Arial"/>
          <w:sz w:val="20"/>
          <w:szCs w:val="20"/>
          <w:color w:val="auto"/>
        </w:rPr>
        <w:t>This Amendment to Parsons Corporation Incentive Award Plan Performance Stock Unit Award (“Amendment”) is made effective as of July 19, 2021, by and between Parsons Corporation (“Company”), and David Spille (“Employee”).</w:t>
      </w:r>
    </w:p>
    <w:p>
      <w:pPr>
        <w:spacing w:after="0" w:line="95" w:lineRule="exact"/>
        <w:rPr>
          <w:sz w:val="20"/>
          <w:szCs w:val="20"/>
          <w:color w:val="auto"/>
        </w:rPr>
      </w:pPr>
    </w:p>
    <w:p>
      <w:pPr>
        <w:ind w:right="1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Incentive Award Plan Performance Stock Unit Award dated as of March 5, 2020 (the “Award”);</w:t>
      </w:r>
    </w:p>
    <w:p>
      <w:pPr>
        <w:spacing w:after="0" w:line="95" w:lineRule="exact"/>
        <w:rPr>
          <w:sz w:val="20"/>
          <w:szCs w:val="20"/>
          <w:color w:val="auto"/>
        </w:rPr>
      </w:pPr>
    </w:p>
    <w:p>
      <w:pPr>
        <w:ind w:right="1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Change in Control Severance Agreement (“CIC Agreement”), which was amended as of July 19, 2021;</w:t>
      </w:r>
    </w:p>
    <w:p>
      <w:pPr>
        <w:spacing w:after="0" w:line="95" w:lineRule="exact"/>
        <w:rPr>
          <w:sz w:val="20"/>
          <w:szCs w:val="20"/>
          <w:color w:val="auto"/>
        </w:rPr>
      </w:pPr>
    </w:p>
    <w:p>
      <w:pPr>
        <w:ind w:right="640" w:firstLine="589"/>
        <w:spacing w:after="0" w:line="268" w:lineRule="auto"/>
        <w:rPr>
          <w:sz w:val="20"/>
          <w:szCs w:val="20"/>
          <w:color w:val="auto"/>
        </w:rPr>
      </w:pPr>
      <w:r>
        <w:rPr>
          <w:rFonts w:ascii="Arial" w:cs="Arial" w:eastAsia="Arial" w:hAnsi="Arial"/>
          <w:sz w:val="20"/>
          <w:szCs w:val="20"/>
          <w:color w:val="auto"/>
        </w:rPr>
        <w:t>WHEREAS, the Company and Employee desire to amend the Award to incorporate and reflect any amendments to the CIC Agreement;</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parties agree as follows:</w:t>
      </w:r>
    </w:p>
    <w:p>
      <w:pPr>
        <w:spacing w:after="0" w:line="150" w:lineRule="exact"/>
        <w:rPr>
          <w:sz w:val="20"/>
          <w:szCs w:val="20"/>
          <w:color w:val="auto"/>
        </w:rPr>
      </w:pPr>
    </w:p>
    <w:p>
      <w:pPr>
        <w:ind w:left="1400" w:hanging="809"/>
        <w:spacing w:after="0"/>
        <w:tabs>
          <w:tab w:leader="none" w:pos="140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Paragraph 2 of Exhibit B is hereby restated as follows:</w:t>
      </w:r>
    </w:p>
    <w:p>
      <w:pPr>
        <w:spacing w:after="0" w:line="150" w:lineRule="exact"/>
        <w:rPr>
          <w:sz w:val="20"/>
          <w:szCs w:val="20"/>
          <w:color w:val="auto"/>
        </w:rPr>
      </w:pPr>
    </w:p>
    <w:p>
      <w:pPr>
        <w:ind w:right="20" w:firstLine="865"/>
        <w:spacing w:after="0" w:line="269" w:lineRule="auto"/>
        <w:rPr>
          <w:sz w:val="20"/>
          <w:szCs w:val="20"/>
          <w:color w:val="auto"/>
        </w:rPr>
      </w:pPr>
      <w:r>
        <w:rPr>
          <w:rFonts w:ascii="Arial" w:cs="Arial" w:eastAsia="Arial" w:hAnsi="Arial"/>
          <w:sz w:val="18"/>
          <w:szCs w:val="18"/>
          <w:i w:val="1"/>
          <w:iCs w:val="1"/>
          <w:color w:val="auto"/>
        </w:rPr>
        <w:t>ACCELERATED VESTING. In the event of Participant’s Termination of Service due to Retirement, death or Disability prior to the Payment Date, Participant will remain eligible to vest in and receive on the Payment Date that number of PSUs as is determined by multiplying (a) the number of PSUs that Participant would vest in as provided in Section 1 of this Exhibit B had he/she not incurred a Termination of Service prior to the Payment Date, by (b) (i) the number of months that have elapsed since January 1, 2020, divided by (ii)</w:t>
      </w:r>
    </w:p>
    <w:p>
      <w:pPr>
        <w:spacing w:after="0" w:line="3" w:lineRule="exact"/>
        <w:rPr>
          <w:sz w:val="20"/>
          <w:szCs w:val="20"/>
          <w:color w:val="auto"/>
        </w:rPr>
      </w:pPr>
    </w:p>
    <w:p>
      <w:pPr>
        <w:ind w:right="200" w:firstLine="1"/>
        <w:spacing w:after="0" w:line="249" w:lineRule="auto"/>
        <w:tabs>
          <w:tab w:leader="none" w:pos="304" w:val="left"/>
        </w:tabs>
        <w:numPr>
          <w:ilvl w:val="0"/>
          <w:numId w:val="197"/>
        </w:numPr>
        <w:rPr>
          <w:rFonts w:ascii="Arial" w:cs="Arial" w:eastAsia="Arial" w:hAnsi="Arial"/>
          <w:sz w:val="20"/>
          <w:szCs w:val="20"/>
          <w:i w:val="1"/>
          <w:iCs w:val="1"/>
          <w:color w:val="auto"/>
        </w:rPr>
      </w:pPr>
      <w:r>
        <w:rPr>
          <w:rFonts w:ascii="Arial" w:cs="Arial" w:eastAsia="Arial" w:hAnsi="Arial"/>
          <w:sz w:val="20"/>
          <w:szCs w:val="20"/>
          <w:i w:val="1"/>
          <w:iCs w:val="1"/>
          <w:color w:val="auto"/>
        </w:rPr>
        <w:t>Partial months shall be rounded up to the next whole calendar month for purposes of the numerator in this calculation. In the event the calculation results in a fractional PSU, any fractional PSU will be rounded up to the nearest whole PSU.</w:t>
      </w:r>
    </w:p>
    <w:p>
      <w:pPr>
        <w:spacing w:after="0" w:line="113" w:lineRule="exact"/>
        <w:rPr>
          <w:sz w:val="20"/>
          <w:szCs w:val="20"/>
          <w:color w:val="auto"/>
        </w:rPr>
      </w:pPr>
    </w:p>
    <w:p>
      <w:pPr>
        <w:ind w:right="20" w:firstLine="865"/>
        <w:spacing w:after="0" w:line="256" w:lineRule="auto"/>
        <w:rPr>
          <w:sz w:val="20"/>
          <w:szCs w:val="20"/>
          <w:color w:val="auto"/>
        </w:rPr>
      </w:pPr>
      <w:r>
        <w:rPr>
          <w:rFonts w:ascii="Arial" w:cs="Arial" w:eastAsia="Arial" w:hAnsi="Arial"/>
          <w:sz w:val="19"/>
          <w:szCs w:val="19"/>
          <w:i w:val="1"/>
          <w:iCs w:val="1"/>
          <w:color w:val="auto"/>
        </w:rPr>
        <w:t>Notwithstanding the foregoing, if Participant is a party to a Change in Control Severance Agreement with the Company at the time of Participant’s Termination of Service due to Retirement, death or Disability prior to the Payment Date, and such termination occurs prior to the occurrence of a Change in Control, in lieu of the treatment in the foregoing paragraph, Participant will remain eligible to vest in and receive on the Payment Date (or, if earlier, the date of a Change in Control) that number of PSUs as is determined by multiplying (a) the number of PSUs that Participant would vested in as provided in Section 1 of this Exhibit B had he/she not incurred a Termination of Service prior to the Payment Date (or, in the event of a Change in Control prior to the Payment Date, the Target PSUs), by (b) (i) the number of months that have elapsed since January 1, 2020, divided by (ii) 36. Partial months shall be rounded up to the next whole calendar month for purposes of the numerator in this calculation. In the event the calculation results in a fractional PSU, any fractional PSU will be rounded up to the nearest whole PSU.</w:t>
      </w:r>
    </w:p>
    <w:p>
      <w:pPr>
        <w:spacing w:after="0" w:line="108" w:lineRule="exact"/>
        <w:rPr>
          <w:sz w:val="20"/>
          <w:szCs w:val="20"/>
          <w:color w:val="auto"/>
        </w:rPr>
      </w:pPr>
    </w:p>
    <w:p>
      <w:pPr>
        <w:jc w:val="both"/>
        <w:ind w:right="420" w:firstLine="865"/>
        <w:spacing w:after="0" w:line="253" w:lineRule="auto"/>
        <w:rPr>
          <w:sz w:val="20"/>
          <w:szCs w:val="20"/>
          <w:color w:val="auto"/>
        </w:rPr>
      </w:pPr>
      <w:r>
        <w:rPr>
          <w:rFonts w:ascii="Arial" w:cs="Arial" w:eastAsia="Arial" w:hAnsi="Arial"/>
          <w:sz w:val="20"/>
          <w:szCs w:val="20"/>
          <w:i w:val="1"/>
          <w:iCs w:val="1"/>
          <w:color w:val="auto"/>
        </w:rPr>
        <w:t>The Award shall also be eligible for accelerated vesting as provided in Section 12.2 of the Plan; provided that, in the event Section 12.2(d) of the Plan applies, in the event of Participant's Termination of Service without "cause" (and other than as a result of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303530</wp:posOffset>
            </wp:positionV>
            <wp:extent cx="7182485" cy="4127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19" w:name="page320"/>
    <w:bookmarkEnd w:id="319"/>
    <w:p>
      <w:pPr>
        <w:ind w:left="10240"/>
        <w:spacing w:after="0"/>
        <w:rPr>
          <w:sz w:val="20"/>
          <w:szCs w:val="20"/>
          <w:color w:val="auto"/>
        </w:rPr>
      </w:pPr>
      <w:r>
        <w:rPr>
          <w:rFonts w:ascii="Arial" w:cs="Arial" w:eastAsia="Arial" w:hAnsi="Arial"/>
          <w:sz w:val="17"/>
          <w:szCs w:val="17"/>
          <w:color w:val="auto"/>
        </w:rPr>
        <w:t>Exhibit 10.47</w:t>
      </w:r>
    </w:p>
    <w:p>
      <w:pPr>
        <w:spacing w:after="0" w:line="168"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i w:val="1"/>
          <w:iCs w:val="1"/>
          <w:color w:val="auto"/>
        </w:rPr>
        <w:t>Retirement, death or Disability, in which case the first paragraph of this Section 2 shall apply) upon or within twelve (12) months following the Change in Control (as described therein), provided such termination occurs prior to the Payment Date, Participant will vest in the Target PSUs on the date of such termination. Notwithstanding the foregoing, and notwithstanding anything to the contrary contained in the Plan, in the event of a Change in Control prior to the Payment Date, if Participant is a party to a Change in Control Severance Agreement with the Company at the time of such Change in Control, and a Qualifying Termination Event has occurred, as defined in the Participant’s Change in Control Severance Agreement, the Target PSUs shall accelerate, vest and be settled in full immediately prior to such Change in Control.</w:t>
      </w:r>
    </w:p>
    <w:p>
      <w:pPr>
        <w:spacing w:after="0" w:line="120" w:lineRule="exact"/>
        <w:rPr>
          <w:sz w:val="20"/>
          <w:szCs w:val="20"/>
          <w:color w:val="auto"/>
        </w:rPr>
      </w:pPr>
    </w:p>
    <w:p>
      <w:pPr>
        <w:ind w:right="200" w:firstLine="865"/>
        <w:spacing w:after="0" w:line="244" w:lineRule="auto"/>
        <w:rPr>
          <w:sz w:val="20"/>
          <w:szCs w:val="20"/>
          <w:color w:val="auto"/>
        </w:rPr>
      </w:pPr>
      <w:r>
        <w:rPr>
          <w:rFonts w:ascii="Arial" w:cs="Arial" w:eastAsia="Arial" w:hAnsi="Arial"/>
          <w:sz w:val="20"/>
          <w:szCs w:val="20"/>
          <w:i w:val="1"/>
          <w:iCs w:val="1"/>
          <w:color w:val="auto"/>
        </w:rPr>
        <w:t>For purposes of this Award, “Disability” means Participant (a) is unable to engage in any substantial gainful activity by reason of any medically determinable physical or mental impairment which can be expected to result in death or can be expected to last for a continuous period of not less than 12 months, or (b)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Company or its Subsidiaries.</w:t>
      </w:r>
    </w:p>
    <w:p>
      <w:pPr>
        <w:spacing w:after="0" w:line="118" w:lineRule="exact"/>
        <w:rPr>
          <w:sz w:val="20"/>
          <w:szCs w:val="20"/>
          <w:color w:val="auto"/>
        </w:rPr>
      </w:pPr>
    </w:p>
    <w:p>
      <w:pPr>
        <w:ind w:right="260" w:firstLine="865"/>
        <w:spacing w:after="0" w:line="268" w:lineRule="auto"/>
        <w:rPr>
          <w:sz w:val="20"/>
          <w:szCs w:val="20"/>
          <w:color w:val="auto"/>
        </w:rPr>
      </w:pPr>
      <w:r>
        <w:rPr>
          <w:rFonts w:ascii="Arial" w:cs="Arial" w:eastAsia="Arial" w:hAnsi="Arial"/>
          <w:sz w:val="20"/>
          <w:szCs w:val="20"/>
          <w:i w:val="1"/>
          <w:iCs w:val="1"/>
          <w:color w:val="auto"/>
        </w:rPr>
        <w:t>For purposes of this Award, "Retirement" means Participant’s voluntary Termination of Service after having attained age 62, with 10 years of completed service.</w:t>
      </w:r>
    </w:p>
    <w:p>
      <w:pPr>
        <w:spacing w:after="0" w:line="95" w:lineRule="exact"/>
        <w:rPr>
          <w:sz w:val="20"/>
          <w:szCs w:val="20"/>
          <w:color w:val="auto"/>
        </w:rPr>
      </w:pPr>
    </w:p>
    <w:p>
      <w:pPr>
        <w:ind w:right="40" w:firstLine="866"/>
        <w:spacing w:after="0" w:line="265" w:lineRule="auto"/>
        <w:tabs>
          <w:tab w:leader="none" w:pos="1068" w:val="left"/>
        </w:tabs>
        <w:numPr>
          <w:ilvl w:val="0"/>
          <w:numId w:val="198"/>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The Agreement, as amended by this Amendment, shall remain in full force and effect in accordance with the terms and conditions thereof. This Amendment may be executed simultaneously in any number of counterparts, each of which shall be deemed an original but all of which together shall constitute one and the same instrument. In the event of any conflict between the original terms of the Agreement and this Amendment, the terms of this Amendment shall prevail.</w:t>
      </w:r>
    </w:p>
    <w:p>
      <w:pPr>
        <w:spacing w:after="0" w:line="100" w:lineRule="exact"/>
        <w:rPr>
          <w:sz w:val="20"/>
          <w:szCs w:val="20"/>
          <w:color w:val="auto"/>
        </w:rPr>
      </w:pPr>
    </w:p>
    <w:p>
      <w:pPr>
        <w:jc w:val="both"/>
        <w:ind w:right="380"/>
        <w:spacing w:after="0" w:line="253" w:lineRule="auto"/>
        <w:rPr>
          <w:sz w:val="20"/>
          <w:szCs w:val="20"/>
          <w:color w:val="auto"/>
        </w:rPr>
      </w:pPr>
      <w:r>
        <w:rPr>
          <w:rFonts w:ascii="Arial" w:cs="Arial" w:eastAsia="Arial" w:hAnsi="Arial"/>
          <w:sz w:val="20"/>
          <w:szCs w:val="20"/>
          <w:color w:val="auto"/>
        </w:rPr>
        <w:t>THE PARTIES TO THIS AMENDMENT HAVE READ THE FOREGOING AMENDMENT AND FULLY UNDERSTAND EACH AND EVERY PROVISION CONTAINED HEREIN. WHEREFORE, THE PARTIES HAVE EXECUTED THIS AMENDMENT ON THE DATES SHOWN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820" w:type="dxa"/>
            <w:vAlign w:val="bottom"/>
          </w:tcPr>
          <w:p>
            <w:pPr>
              <w:spacing w:after="0"/>
              <w:rPr>
                <w:sz w:val="22"/>
                <w:szCs w:val="22"/>
                <w:color w:val="auto"/>
              </w:rPr>
            </w:pPr>
          </w:p>
        </w:tc>
        <w:tc>
          <w:tcPr>
            <w:tcW w:w="7460" w:type="dxa"/>
            <w:vAlign w:val="bottom"/>
          </w:tcPr>
          <w:p>
            <w:pPr>
              <w:ind w:left="1200"/>
              <w:spacing w:after="0"/>
              <w:rPr>
                <w:sz w:val="20"/>
                <w:szCs w:val="20"/>
                <w:color w:val="auto"/>
              </w:rPr>
            </w:pPr>
            <w:r>
              <w:rPr>
                <w:rFonts w:ascii="Arial" w:cs="Arial" w:eastAsia="Arial" w:hAnsi="Arial"/>
                <w:sz w:val="20"/>
                <w:szCs w:val="20"/>
                <w:color w:val="auto"/>
              </w:rPr>
              <w:t>EMPLOYEE</w:t>
            </w:r>
          </w:p>
        </w:tc>
        <w:tc>
          <w:tcPr>
            <w:tcW w:w="0" w:type="dxa"/>
            <w:vAlign w:val="bottom"/>
          </w:tcPr>
          <w:p>
            <w:pPr>
              <w:spacing w:after="0"/>
              <w:rPr>
                <w:sz w:val="1"/>
                <w:szCs w:val="1"/>
                <w:color w:val="auto"/>
              </w:rPr>
            </w:pPr>
          </w:p>
        </w:tc>
      </w:tr>
      <w:tr>
        <w:trPr>
          <w:trHeight w:val="654"/>
        </w:trPr>
        <w:tc>
          <w:tcPr>
            <w:tcW w:w="3820" w:type="dxa"/>
            <w:vAlign w:val="bottom"/>
          </w:tcPr>
          <w:p>
            <w:pPr>
              <w:spacing w:after="0"/>
              <w:rPr>
                <w:sz w:val="20"/>
                <w:szCs w:val="20"/>
                <w:color w:val="auto"/>
              </w:rPr>
            </w:pPr>
            <w:r>
              <w:rPr>
                <w:rFonts w:ascii="Arial" w:cs="Arial" w:eastAsia="Arial" w:hAnsi="Arial"/>
                <w:sz w:val="20"/>
                <w:szCs w:val="20"/>
                <w:color w:val="auto"/>
              </w:rPr>
              <w:t>Dated: ____________________</w:t>
            </w:r>
          </w:p>
        </w:tc>
        <w:tc>
          <w:tcPr>
            <w:tcW w:w="7460" w:type="dxa"/>
            <w:vAlign w:val="bottom"/>
          </w:tcPr>
          <w:p>
            <w:pPr>
              <w:ind w:left="1200"/>
              <w:spacing w:after="0"/>
              <w:rPr>
                <w:sz w:val="20"/>
                <w:szCs w:val="20"/>
                <w:color w:val="auto"/>
              </w:rPr>
            </w:pPr>
            <w:r>
              <w:rPr>
                <w:rFonts w:ascii="Arial" w:cs="Arial" w:eastAsia="Arial" w:hAnsi="Arial"/>
                <w:sz w:val="20"/>
                <w:szCs w:val="20"/>
                <w:color w:val="auto"/>
              </w:rPr>
              <w:t>By:_______________________________________</w:t>
            </w:r>
          </w:p>
        </w:tc>
        <w:tc>
          <w:tcPr>
            <w:tcW w:w="0" w:type="dxa"/>
            <w:vAlign w:val="bottom"/>
          </w:tcPr>
          <w:p>
            <w:pPr>
              <w:spacing w:after="0"/>
              <w:rPr>
                <w:sz w:val="1"/>
                <w:szCs w:val="1"/>
                <w:color w:val="auto"/>
              </w:rPr>
            </w:pPr>
          </w:p>
        </w:tc>
      </w:tr>
      <w:tr>
        <w:trPr>
          <w:trHeight w:val="259"/>
        </w:trPr>
        <w:tc>
          <w:tcPr>
            <w:tcW w:w="3820" w:type="dxa"/>
            <w:vAlign w:val="bottom"/>
          </w:tcPr>
          <w:p>
            <w:pPr>
              <w:spacing w:after="0"/>
              <w:rPr>
                <w:sz w:val="22"/>
                <w:szCs w:val="22"/>
                <w:color w:val="auto"/>
              </w:rPr>
            </w:pPr>
          </w:p>
        </w:tc>
        <w:tc>
          <w:tcPr>
            <w:tcW w:w="7460" w:type="dxa"/>
            <w:vAlign w:val="bottom"/>
          </w:tcPr>
          <w:p>
            <w:pPr>
              <w:ind w:left="1200"/>
              <w:spacing w:after="0"/>
              <w:rPr>
                <w:sz w:val="20"/>
                <w:szCs w:val="20"/>
                <w:color w:val="auto"/>
              </w:rPr>
            </w:pPr>
            <w:r>
              <w:rPr>
                <w:rFonts w:ascii="Arial" w:cs="Arial" w:eastAsia="Arial" w:hAnsi="Arial"/>
                <w:sz w:val="20"/>
                <w:szCs w:val="20"/>
                <w:color w:val="auto"/>
              </w:rPr>
              <w:t>David Spille</w:t>
            </w:r>
          </w:p>
        </w:tc>
        <w:tc>
          <w:tcPr>
            <w:tcW w:w="0" w:type="dxa"/>
            <w:vAlign w:val="bottom"/>
          </w:tcPr>
          <w:p>
            <w:pPr>
              <w:spacing w:after="0"/>
              <w:rPr>
                <w:sz w:val="1"/>
                <w:szCs w:val="1"/>
                <w:color w:val="auto"/>
              </w:rPr>
            </w:pPr>
          </w:p>
        </w:tc>
      </w:tr>
      <w:tr>
        <w:trPr>
          <w:trHeight w:val="456"/>
        </w:trPr>
        <w:tc>
          <w:tcPr>
            <w:tcW w:w="3820" w:type="dxa"/>
            <w:vAlign w:val="bottom"/>
          </w:tcPr>
          <w:p>
            <w:pPr>
              <w:spacing w:after="0"/>
              <w:rPr>
                <w:sz w:val="24"/>
                <w:szCs w:val="24"/>
                <w:color w:val="auto"/>
              </w:rPr>
            </w:pPr>
          </w:p>
        </w:tc>
        <w:tc>
          <w:tcPr>
            <w:tcW w:w="7460" w:type="dxa"/>
            <w:vAlign w:val="bottom"/>
          </w:tcPr>
          <w:p>
            <w:pPr>
              <w:ind w:left="1200"/>
              <w:spacing w:after="0"/>
              <w:rPr>
                <w:sz w:val="20"/>
                <w:szCs w:val="20"/>
                <w:color w:val="auto"/>
              </w:rPr>
            </w:pPr>
            <w:r>
              <w:rPr>
                <w:rFonts w:ascii="Arial" w:cs="Arial" w:eastAsia="Arial" w:hAnsi="Arial"/>
                <w:sz w:val="20"/>
                <w:szCs w:val="20"/>
                <w:color w:val="auto"/>
              </w:rPr>
              <w:t>PARSONS CORPORATION</w:t>
            </w:r>
          </w:p>
        </w:tc>
        <w:tc>
          <w:tcPr>
            <w:tcW w:w="0" w:type="dxa"/>
            <w:vAlign w:val="bottom"/>
          </w:tcPr>
          <w:p>
            <w:pPr>
              <w:spacing w:after="0"/>
              <w:rPr>
                <w:sz w:val="1"/>
                <w:szCs w:val="1"/>
                <w:color w:val="auto"/>
              </w:rPr>
            </w:pPr>
          </w:p>
        </w:tc>
      </w:tr>
      <w:tr>
        <w:trPr>
          <w:trHeight w:val="781"/>
        </w:trPr>
        <w:tc>
          <w:tcPr>
            <w:tcW w:w="3820" w:type="dxa"/>
            <w:vAlign w:val="bottom"/>
            <w:vMerge w:val="restart"/>
          </w:tcPr>
          <w:p>
            <w:pPr>
              <w:spacing w:after="0"/>
              <w:rPr>
                <w:sz w:val="20"/>
                <w:szCs w:val="20"/>
                <w:color w:val="auto"/>
              </w:rPr>
            </w:pPr>
            <w:r>
              <w:rPr>
                <w:rFonts w:ascii="Arial" w:cs="Arial" w:eastAsia="Arial" w:hAnsi="Arial"/>
                <w:sz w:val="20"/>
                <w:szCs w:val="20"/>
                <w:color w:val="auto"/>
              </w:rPr>
              <w:t>Dated: January 31, 2022</w:t>
            </w:r>
          </w:p>
        </w:tc>
        <w:tc>
          <w:tcPr>
            <w:tcW w:w="7460" w:type="dxa"/>
            <w:vAlign w:val="bottom"/>
          </w:tcPr>
          <w:p>
            <w:pPr>
              <w:ind w:left="1200"/>
              <w:spacing w:after="0"/>
              <w:rPr>
                <w:sz w:val="20"/>
                <w:szCs w:val="20"/>
                <w:color w:val="auto"/>
              </w:rPr>
            </w:pPr>
            <w:r>
              <w:rPr>
                <w:rFonts w:ascii="Arial" w:cs="Arial" w:eastAsia="Arial" w:hAnsi="Arial"/>
                <w:sz w:val="20"/>
                <w:szCs w:val="20"/>
                <w:color w:val="auto"/>
              </w:rPr>
              <w:t>Susan Balaguer</w:t>
            </w:r>
          </w:p>
        </w:tc>
        <w:tc>
          <w:tcPr>
            <w:tcW w:w="0" w:type="dxa"/>
            <w:vAlign w:val="bottom"/>
          </w:tcPr>
          <w:p>
            <w:pPr>
              <w:spacing w:after="0"/>
              <w:rPr>
                <w:sz w:val="1"/>
                <w:szCs w:val="1"/>
                <w:color w:val="auto"/>
              </w:rPr>
            </w:pPr>
          </w:p>
        </w:tc>
      </w:tr>
      <w:tr>
        <w:trPr>
          <w:trHeight w:val="132"/>
        </w:trPr>
        <w:tc>
          <w:tcPr>
            <w:tcW w:w="3820" w:type="dxa"/>
            <w:vAlign w:val="bottom"/>
            <w:vMerge w:val="continue"/>
          </w:tcPr>
          <w:p>
            <w:pPr>
              <w:spacing w:after="0"/>
              <w:rPr>
                <w:sz w:val="11"/>
                <w:szCs w:val="11"/>
                <w:color w:val="auto"/>
              </w:rPr>
            </w:pPr>
          </w:p>
        </w:tc>
        <w:tc>
          <w:tcPr>
            <w:tcW w:w="7460" w:type="dxa"/>
            <w:vAlign w:val="bottom"/>
            <w:vMerge w:val="restart"/>
          </w:tcPr>
          <w:p>
            <w:pPr>
              <w:ind w:left="1200"/>
              <w:spacing w:after="0"/>
              <w:rPr>
                <w:sz w:val="20"/>
                <w:szCs w:val="20"/>
                <w:color w:val="auto"/>
              </w:rPr>
            </w:pPr>
            <w:r>
              <w:rPr>
                <w:rFonts w:ascii="Arial" w:cs="Arial" w:eastAsia="Arial" w:hAnsi="Arial"/>
                <w:sz w:val="20"/>
                <w:szCs w:val="20"/>
                <w:color w:val="auto"/>
              </w:rPr>
              <w:t>Chief Human Resources Officer</w:t>
            </w:r>
          </w:p>
        </w:tc>
        <w:tc>
          <w:tcPr>
            <w:tcW w:w="0" w:type="dxa"/>
            <w:vAlign w:val="bottom"/>
          </w:tcPr>
          <w:p>
            <w:pPr>
              <w:spacing w:after="0"/>
              <w:rPr>
                <w:sz w:val="1"/>
                <w:szCs w:val="1"/>
                <w:color w:val="auto"/>
              </w:rPr>
            </w:pPr>
          </w:p>
        </w:tc>
      </w:tr>
      <w:tr>
        <w:trPr>
          <w:trHeight w:val="127"/>
        </w:trPr>
        <w:tc>
          <w:tcPr>
            <w:tcW w:w="3820" w:type="dxa"/>
            <w:vAlign w:val="bottom"/>
          </w:tcPr>
          <w:p>
            <w:pPr>
              <w:spacing w:after="0"/>
              <w:rPr>
                <w:sz w:val="11"/>
                <w:szCs w:val="11"/>
                <w:color w:val="auto"/>
              </w:rPr>
            </w:pPr>
          </w:p>
        </w:tc>
        <w:tc>
          <w:tcPr>
            <w:tcW w:w="7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1"/>
        </w:trPr>
        <w:tc>
          <w:tcPr>
            <w:tcW w:w="382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-27940</wp:posOffset>
            </wp:positionV>
            <wp:extent cx="33655" cy="4127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3188970</wp:posOffset>
            </wp:positionH>
            <wp:positionV relativeFrom="paragraph">
              <wp:posOffset>-1142365</wp:posOffset>
            </wp:positionV>
            <wp:extent cx="1786890" cy="37020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1">
                      <a:extLst>
                        <a:ext uri="{28A0092B-C50C-407E-A947-70E740481C1C}"/>
                      </a:extLst>
                    </a:blip>
                    <a:srcRect/>
                    <a:stretch>
                      <a:fillRect/>
                    </a:stretch>
                  </pic:blipFill>
                  <pic:spPr bwMode="auto">
                    <a:xfrm>
                      <a:off x="0" y="0"/>
                      <a:ext cx="1786890" cy="370205"/>
                    </a:xfrm>
                    <a:prstGeom prst="rect">
                      <a:avLst/>
                    </a:prstGeom>
                    <a:noFill/>
                  </pic:spPr>
                </pic:pic>
              </a:graphicData>
            </a:graphic>
          </wp:anchor>
        </w:drawing>
      </w:r>
    </w:p>
    <w:p>
      <w:pPr>
        <w:sectPr>
          <w:pgSz w:w="11900" w:h="16838" w:orient="portrait"/>
          <w:cols w:equalWidth="0" w:num="1">
            <w:col w:w="11280"/>
          </w:cols>
          <w:pgMar w:left="320" w:top="121" w:right="299" w:bottom="1440" w:gutter="0" w:footer="0" w:header="0"/>
        </w:sectPr>
      </w:pPr>
    </w:p>
    <w:bookmarkStart w:id="320" w:name="page321"/>
    <w:bookmarkEnd w:id="320"/>
    <w:p>
      <w:pPr>
        <w:jc w:val="right"/>
        <w:spacing w:after="0"/>
        <w:rPr>
          <w:sz w:val="20"/>
          <w:szCs w:val="20"/>
          <w:color w:val="auto"/>
        </w:rPr>
      </w:pPr>
      <w:r>
        <w:rPr>
          <w:rFonts w:ascii="Arial" w:cs="Arial" w:eastAsia="Arial" w:hAnsi="Arial"/>
          <w:sz w:val="19"/>
          <w:szCs w:val="19"/>
          <w:color w:val="auto"/>
        </w:rPr>
        <w:t>Exhibit 10.47</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AMENDMENT TO PARSONS CORPORATION INCENTIVE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PERFORMANCE STOCK UNIT AWARD</w:t>
      </w:r>
    </w:p>
    <w:p>
      <w:pPr>
        <w:spacing w:after="0" w:line="145" w:lineRule="exact"/>
        <w:rPr>
          <w:sz w:val="20"/>
          <w:szCs w:val="20"/>
          <w:color w:val="auto"/>
        </w:rPr>
      </w:pPr>
    </w:p>
    <w:p>
      <w:pPr>
        <w:ind w:right="120" w:firstLine="589"/>
        <w:spacing w:after="0" w:line="268" w:lineRule="auto"/>
        <w:rPr>
          <w:sz w:val="20"/>
          <w:szCs w:val="20"/>
          <w:color w:val="auto"/>
        </w:rPr>
      </w:pPr>
      <w:r>
        <w:rPr>
          <w:rFonts w:ascii="Arial" w:cs="Arial" w:eastAsia="Arial" w:hAnsi="Arial"/>
          <w:sz w:val="20"/>
          <w:szCs w:val="20"/>
          <w:color w:val="auto"/>
        </w:rPr>
        <w:t>This Amendment to Parsons Corporation Incentive Award Plan Performance Stock Unit Award (“Amendment”) is made effective as of July 19, 2021, by and between Parsons Corporation (“Company”), and David Spille (“Employee”).</w:t>
      </w:r>
    </w:p>
    <w:p>
      <w:pPr>
        <w:spacing w:after="0" w:line="95" w:lineRule="exact"/>
        <w:rPr>
          <w:sz w:val="20"/>
          <w:szCs w:val="20"/>
          <w:color w:val="auto"/>
        </w:rPr>
      </w:pPr>
    </w:p>
    <w:p>
      <w:pPr>
        <w:ind w:right="1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Incentive Award Plan Performance Stock Unit Award dated as of March 1, 2021 (the “Award”);</w:t>
      </w:r>
    </w:p>
    <w:p>
      <w:pPr>
        <w:spacing w:after="0" w:line="95" w:lineRule="exact"/>
        <w:rPr>
          <w:sz w:val="20"/>
          <w:szCs w:val="20"/>
          <w:color w:val="auto"/>
        </w:rPr>
      </w:pPr>
    </w:p>
    <w:p>
      <w:pPr>
        <w:ind w:right="1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Change in Control Severance Agreement (“CIC Agreement”), which was amended as of July 19, 2021;</w:t>
      </w:r>
    </w:p>
    <w:p>
      <w:pPr>
        <w:spacing w:after="0" w:line="95" w:lineRule="exact"/>
        <w:rPr>
          <w:sz w:val="20"/>
          <w:szCs w:val="20"/>
          <w:color w:val="auto"/>
        </w:rPr>
      </w:pPr>
    </w:p>
    <w:p>
      <w:pPr>
        <w:ind w:right="640" w:firstLine="589"/>
        <w:spacing w:after="0" w:line="268" w:lineRule="auto"/>
        <w:rPr>
          <w:sz w:val="20"/>
          <w:szCs w:val="20"/>
          <w:color w:val="auto"/>
        </w:rPr>
      </w:pPr>
      <w:r>
        <w:rPr>
          <w:rFonts w:ascii="Arial" w:cs="Arial" w:eastAsia="Arial" w:hAnsi="Arial"/>
          <w:sz w:val="20"/>
          <w:szCs w:val="20"/>
          <w:color w:val="auto"/>
        </w:rPr>
        <w:t>WHEREAS, the Company and Employee desire to amend the Award to incorporate and reflect any amendments to the CIC Agreement;</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parties agree as follows:</w:t>
      </w:r>
    </w:p>
    <w:p>
      <w:pPr>
        <w:spacing w:after="0" w:line="150" w:lineRule="exact"/>
        <w:rPr>
          <w:sz w:val="20"/>
          <w:szCs w:val="20"/>
          <w:color w:val="auto"/>
        </w:rPr>
      </w:pPr>
    </w:p>
    <w:p>
      <w:pPr>
        <w:ind w:left="1400" w:hanging="809"/>
        <w:spacing w:after="0"/>
        <w:tabs>
          <w:tab w:leader="none" w:pos="140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Paragraph 2 of Exhibit B is hereby restated as follows:</w:t>
      </w:r>
    </w:p>
    <w:p>
      <w:pPr>
        <w:spacing w:after="0" w:line="150" w:lineRule="exact"/>
        <w:rPr>
          <w:sz w:val="20"/>
          <w:szCs w:val="20"/>
          <w:color w:val="auto"/>
        </w:rPr>
      </w:pPr>
    </w:p>
    <w:p>
      <w:pPr>
        <w:ind w:right="20" w:firstLine="865"/>
        <w:spacing w:after="0" w:line="269" w:lineRule="auto"/>
        <w:rPr>
          <w:sz w:val="20"/>
          <w:szCs w:val="20"/>
          <w:color w:val="auto"/>
        </w:rPr>
      </w:pPr>
      <w:r>
        <w:rPr>
          <w:rFonts w:ascii="Arial" w:cs="Arial" w:eastAsia="Arial" w:hAnsi="Arial"/>
          <w:sz w:val="18"/>
          <w:szCs w:val="18"/>
          <w:i w:val="1"/>
          <w:iCs w:val="1"/>
          <w:color w:val="auto"/>
        </w:rPr>
        <w:t>ACCELERATED VESTING. In the event of Participant’s Termination of Service due to Retirement, death or Disability prior to the Payment Date, Participant will remain eligible to vest in and receive on the Payment Date that number of PSUs as is determined by multiplying (a) the number of PSUs that Participant would vest in as provided in Section 1 of this Exhibit B had he/she not incurred a Termination of Service prior to the Payment Date, by (b) (i) the number of months that have elapsed since January 1, 2021, divided by (ii)</w:t>
      </w:r>
    </w:p>
    <w:p>
      <w:pPr>
        <w:spacing w:after="0" w:line="3" w:lineRule="exact"/>
        <w:rPr>
          <w:sz w:val="20"/>
          <w:szCs w:val="20"/>
          <w:color w:val="auto"/>
        </w:rPr>
      </w:pPr>
    </w:p>
    <w:p>
      <w:pPr>
        <w:ind w:right="200" w:firstLine="1"/>
        <w:spacing w:after="0" w:line="249" w:lineRule="auto"/>
        <w:tabs>
          <w:tab w:leader="none" w:pos="304" w:val="left"/>
        </w:tabs>
        <w:numPr>
          <w:ilvl w:val="0"/>
          <w:numId w:val="200"/>
        </w:numPr>
        <w:rPr>
          <w:rFonts w:ascii="Arial" w:cs="Arial" w:eastAsia="Arial" w:hAnsi="Arial"/>
          <w:sz w:val="20"/>
          <w:szCs w:val="20"/>
          <w:i w:val="1"/>
          <w:iCs w:val="1"/>
          <w:color w:val="auto"/>
        </w:rPr>
      </w:pPr>
      <w:r>
        <w:rPr>
          <w:rFonts w:ascii="Arial" w:cs="Arial" w:eastAsia="Arial" w:hAnsi="Arial"/>
          <w:sz w:val="20"/>
          <w:szCs w:val="20"/>
          <w:i w:val="1"/>
          <w:iCs w:val="1"/>
          <w:color w:val="auto"/>
        </w:rPr>
        <w:t>Partial months shall be rounded up to the next whole calendar month for purposes of the numerator in this calculation. In the event the calculation results in a fractional PSU, any fractional PSU will be rounded up to the nearest whole PSU.</w:t>
      </w:r>
    </w:p>
    <w:p>
      <w:pPr>
        <w:spacing w:after="0" w:line="113" w:lineRule="exact"/>
        <w:rPr>
          <w:sz w:val="20"/>
          <w:szCs w:val="20"/>
          <w:color w:val="auto"/>
        </w:rPr>
      </w:pPr>
    </w:p>
    <w:p>
      <w:pPr>
        <w:ind w:right="20" w:firstLine="865"/>
        <w:spacing w:after="0" w:line="256" w:lineRule="auto"/>
        <w:rPr>
          <w:sz w:val="20"/>
          <w:szCs w:val="20"/>
          <w:color w:val="auto"/>
        </w:rPr>
      </w:pPr>
      <w:r>
        <w:rPr>
          <w:rFonts w:ascii="Arial" w:cs="Arial" w:eastAsia="Arial" w:hAnsi="Arial"/>
          <w:sz w:val="19"/>
          <w:szCs w:val="19"/>
          <w:i w:val="1"/>
          <w:iCs w:val="1"/>
          <w:color w:val="auto"/>
        </w:rPr>
        <w:t>Notwithstanding the foregoing, if Participant is a party to a Change in Control Severance Agreement with the Company at the time of Participant’s Termination of Service due to Retirement, death or Disability prior to the Payment Date, and such termination occurs prior to the occurrence of a Change in Control, in lieu of the treatment in the foregoing paragraph, Participant will remain eligible to vest in and receive on the Payment Date (or, if earlier, the date of a Change in Control) that number of PSUs as is determined by multiplying (a) the number of PSUs that Participant would vested in as provided in Section 1 of this Exhibit B had he/she not incurred a Termination of Service prior to the Payment Date (or, in the event of a Change in Control prior to the Payment Date, the Target PSUs), by (b) (i) the number of months that have elapsed since January 1, 2021, divided by (ii) 36. Partial months shall be rounded up to the next whole calendar month for purposes of the numerator in this calculation. In the event the calculation results in a fractional PSU, any fractional PSU will be rounded up to the nearest whole PSU.</w:t>
      </w:r>
    </w:p>
    <w:p>
      <w:pPr>
        <w:spacing w:after="0" w:line="108" w:lineRule="exact"/>
        <w:rPr>
          <w:sz w:val="20"/>
          <w:szCs w:val="20"/>
          <w:color w:val="auto"/>
        </w:rPr>
      </w:pPr>
    </w:p>
    <w:p>
      <w:pPr>
        <w:jc w:val="both"/>
        <w:ind w:right="420" w:firstLine="865"/>
        <w:spacing w:after="0" w:line="253" w:lineRule="auto"/>
        <w:rPr>
          <w:sz w:val="20"/>
          <w:szCs w:val="20"/>
          <w:color w:val="auto"/>
        </w:rPr>
      </w:pPr>
      <w:r>
        <w:rPr>
          <w:rFonts w:ascii="Arial" w:cs="Arial" w:eastAsia="Arial" w:hAnsi="Arial"/>
          <w:sz w:val="20"/>
          <w:szCs w:val="20"/>
          <w:i w:val="1"/>
          <w:iCs w:val="1"/>
          <w:color w:val="auto"/>
        </w:rPr>
        <w:t>The Award shall also be eligible for accelerated vesting as provided in Section 12.2 of the Plan; provided that, in the event Section 12.2(d) of the Plan applies, in the event of Participant's Termination of Service without "cause" (and other than as a result of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303530</wp:posOffset>
            </wp:positionV>
            <wp:extent cx="7182485" cy="4127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21" w:name="page322"/>
    <w:bookmarkEnd w:id="321"/>
    <w:p>
      <w:pPr>
        <w:ind w:left="10240"/>
        <w:spacing w:after="0"/>
        <w:rPr>
          <w:sz w:val="20"/>
          <w:szCs w:val="20"/>
          <w:color w:val="auto"/>
        </w:rPr>
      </w:pPr>
      <w:r>
        <w:rPr>
          <w:rFonts w:ascii="Arial" w:cs="Arial" w:eastAsia="Arial" w:hAnsi="Arial"/>
          <w:sz w:val="17"/>
          <w:szCs w:val="17"/>
          <w:color w:val="auto"/>
        </w:rPr>
        <w:t>Exhibit 10.47</w:t>
      </w:r>
    </w:p>
    <w:p>
      <w:pPr>
        <w:spacing w:after="0" w:line="168"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i w:val="1"/>
          <w:iCs w:val="1"/>
          <w:color w:val="auto"/>
        </w:rPr>
        <w:t>Retirement, death or Disability, in which case the first paragraph of this Section 2 shall apply) upon or within twelve (12) months following the Change in Control (as described therein), provided such termination occurs prior to the Payment Date, Participant will vest in the Target PSUs on the date of such termination. Notwithstanding the foregoing, and notwithstanding anything to the contrary contained in the Plan, in the event of a Change in Control prior to the Payment Date, if Participant is a party to a Change in Control Severance Agreement with the Company at the time of such Change in Control, and a Qualifying Termination Event has occurred, as defined in the Participant’s Change in Control Severance Agreement, the Target PSUs shall accelerate, vest and be settled in full immediately prior to such Change in Control.</w:t>
      </w:r>
    </w:p>
    <w:p>
      <w:pPr>
        <w:spacing w:after="0" w:line="120" w:lineRule="exact"/>
        <w:rPr>
          <w:sz w:val="20"/>
          <w:szCs w:val="20"/>
          <w:color w:val="auto"/>
        </w:rPr>
      </w:pPr>
    </w:p>
    <w:p>
      <w:pPr>
        <w:ind w:right="160" w:firstLine="865"/>
        <w:spacing w:after="0" w:line="244" w:lineRule="auto"/>
        <w:rPr>
          <w:sz w:val="20"/>
          <w:szCs w:val="20"/>
          <w:color w:val="auto"/>
        </w:rPr>
      </w:pPr>
      <w:r>
        <w:rPr>
          <w:rFonts w:ascii="Arial" w:cs="Arial" w:eastAsia="Arial" w:hAnsi="Arial"/>
          <w:sz w:val="20"/>
          <w:szCs w:val="20"/>
          <w:i w:val="1"/>
          <w:iCs w:val="1"/>
          <w:color w:val="auto"/>
        </w:rPr>
        <w:t>For purposes of this Award, “Disability” means Participant (a) is unable to engage in any substantial gainful activity by reason of any medically determinable physical or mental impairment which can be expected to result in death or can be expected to last for a continuous period of not less than 12 months, or (b)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Company or its Subsidiaries.</w:t>
      </w:r>
    </w:p>
    <w:p>
      <w:pPr>
        <w:spacing w:after="0" w:line="118" w:lineRule="exact"/>
        <w:rPr>
          <w:sz w:val="20"/>
          <w:szCs w:val="20"/>
          <w:color w:val="auto"/>
        </w:rPr>
      </w:pPr>
    </w:p>
    <w:p>
      <w:pPr>
        <w:ind w:right="220" w:firstLine="865"/>
        <w:spacing w:after="0" w:line="268" w:lineRule="auto"/>
        <w:rPr>
          <w:sz w:val="20"/>
          <w:szCs w:val="20"/>
          <w:color w:val="auto"/>
        </w:rPr>
      </w:pPr>
      <w:r>
        <w:rPr>
          <w:rFonts w:ascii="Arial" w:cs="Arial" w:eastAsia="Arial" w:hAnsi="Arial"/>
          <w:sz w:val="20"/>
          <w:szCs w:val="20"/>
          <w:i w:val="1"/>
          <w:iCs w:val="1"/>
          <w:color w:val="auto"/>
        </w:rPr>
        <w:t>For purposes of this Award, "Retirement" means Participant’s voluntary Termination of Service after having attained age 62, with 10 years of completed service.</w:t>
      </w:r>
    </w:p>
    <w:p>
      <w:pPr>
        <w:spacing w:after="0" w:line="95" w:lineRule="exact"/>
        <w:rPr>
          <w:sz w:val="20"/>
          <w:szCs w:val="20"/>
          <w:color w:val="auto"/>
        </w:rPr>
      </w:pPr>
    </w:p>
    <w:p>
      <w:pPr>
        <w:ind w:firstLine="866"/>
        <w:spacing w:after="0" w:line="265" w:lineRule="auto"/>
        <w:tabs>
          <w:tab w:leader="none" w:pos="1068" w:val="left"/>
        </w:tabs>
        <w:numPr>
          <w:ilvl w:val="0"/>
          <w:numId w:val="201"/>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The Agreement, as amended by this Amendment, shall remain in full force and effect in accordance with the terms and conditions thereof. This Amendment may be executed simultaneously in any number of counterparts, each of which shall be deemed an original but all of which together shall constitute one and the same instrument. In the event of any conflict between the original terms of the Agreement and this Amendment, the terms of this Amendment shall prevail.</w:t>
      </w:r>
    </w:p>
    <w:p>
      <w:pPr>
        <w:spacing w:after="0" w:line="100" w:lineRule="exact"/>
        <w:rPr>
          <w:sz w:val="20"/>
          <w:szCs w:val="20"/>
          <w:color w:val="auto"/>
        </w:rPr>
      </w:pPr>
    </w:p>
    <w:p>
      <w:pPr>
        <w:jc w:val="both"/>
        <w:ind w:right="340"/>
        <w:spacing w:after="0" w:line="253" w:lineRule="auto"/>
        <w:rPr>
          <w:sz w:val="20"/>
          <w:szCs w:val="20"/>
          <w:color w:val="auto"/>
        </w:rPr>
      </w:pPr>
      <w:r>
        <w:rPr>
          <w:rFonts w:ascii="Arial" w:cs="Arial" w:eastAsia="Arial" w:hAnsi="Arial"/>
          <w:sz w:val="20"/>
          <w:szCs w:val="20"/>
          <w:color w:val="auto"/>
        </w:rPr>
        <w:t>THE PARTIES TO THIS AMENDMENT HAVE READ THE FOREGOING AMENDMENT AND FULLY UNDERSTAND EACH AND EVERY PROVISION CONTAINED HEREIN. WHEREFORE, THE PARTIES HAVE EXECUTED THIS AMENDMENT ON THE DATES SHOWN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620" w:type="dxa"/>
            <w:vAlign w:val="bottom"/>
          </w:tcPr>
          <w:p>
            <w:pPr>
              <w:spacing w:after="0"/>
              <w:rPr>
                <w:sz w:val="22"/>
                <w:szCs w:val="22"/>
                <w:color w:val="auto"/>
              </w:rPr>
            </w:pPr>
          </w:p>
        </w:tc>
        <w:tc>
          <w:tcPr>
            <w:tcW w:w="5660" w:type="dxa"/>
            <w:vAlign w:val="bottom"/>
          </w:tcPr>
          <w:p>
            <w:pPr>
              <w:ind w:left="1400"/>
              <w:spacing w:after="0"/>
              <w:rPr>
                <w:sz w:val="20"/>
                <w:szCs w:val="20"/>
                <w:color w:val="auto"/>
              </w:rPr>
            </w:pPr>
            <w:r>
              <w:rPr>
                <w:rFonts w:ascii="Arial" w:cs="Arial" w:eastAsia="Arial" w:hAnsi="Arial"/>
                <w:sz w:val="20"/>
                <w:szCs w:val="20"/>
                <w:color w:val="auto"/>
              </w:rPr>
              <w:t>EMPLOYEE</w:t>
            </w:r>
          </w:p>
        </w:tc>
        <w:tc>
          <w:tcPr>
            <w:tcW w:w="0" w:type="dxa"/>
            <w:vAlign w:val="bottom"/>
          </w:tcPr>
          <w:p>
            <w:pPr>
              <w:spacing w:after="0"/>
              <w:rPr>
                <w:sz w:val="1"/>
                <w:szCs w:val="1"/>
                <w:color w:val="auto"/>
              </w:rPr>
            </w:pPr>
          </w:p>
        </w:tc>
      </w:tr>
      <w:tr>
        <w:trPr>
          <w:trHeight w:val="654"/>
        </w:trPr>
        <w:tc>
          <w:tcPr>
            <w:tcW w:w="3620" w:type="dxa"/>
            <w:vAlign w:val="bottom"/>
          </w:tcPr>
          <w:p>
            <w:pPr>
              <w:spacing w:after="0"/>
              <w:rPr>
                <w:sz w:val="20"/>
                <w:szCs w:val="20"/>
                <w:color w:val="auto"/>
              </w:rPr>
            </w:pPr>
            <w:r>
              <w:rPr>
                <w:rFonts w:ascii="Arial" w:cs="Arial" w:eastAsia="Arial" w:hAnsi="Arial"/>
                <w:sz w:val="20"/>
                <w:szCs w:val="20"/>
                <w:color w:val="auto"/>
              </w:rPr>
              <w:t>Dated: ________________</w:t>
            </w:r>
          </w:p>
        </w:tc>
        <w:tc>
          <w:tcPr>
            <w:tcW w:w="5660" w:type="dxa"/>
            <w:vAlign w:val="bottom"/>
          </w:tcPr>
          <w:p>
            <w:pPr>
              <w:ind w:left="1400"/>
              <w:spacing w:after="0"/>
              <w:rPr>
                <w:sz w:val="20"/>
                <w:szCs w:val="20"/>
                <w:color w:val="auto"/>
              </w:rPr>
            </w:pPr>
            <w:r>
              <w:rPr>
                <w:rFonts w:ascii="Arial" w:cs="Arial" w:eastAsia="Arial" w:hAnsi="Arial"/>
                <w:sz w:val="20"/>
                <w:szCs w:val="20"/>
                <w:color w:val="auto"/>
                <w:w w:val="91"/>
              </w:rPr>
              <w:t>By:_______________________________________</w:t>
            </w:r>
          </w:p>
        </w:tc>
        <w:tc>
          <w:tcPr>
            <w:tcW w:w="0" w:type="dxa"/>
            <w:vAlign w:val="bottom"/>
          </w:tcPr>
          <w:p>
            <w:pPr>
              <w:spacing w:after="0"/>
              <w:rPr>
                <w:sz w:val="1"/>
                <w:szCs w:val="1"/>
                <w:color w:val="auto"/>
              </w:rPr>
            </w:pPr>
          </w:p>
        </w:tc>
      </w:tr>
      <w:tr>
        <w:trPr>
          <w:trHeight w:val="259"/>
        </w:trPr>
        <w:tc>
          <w:tcPr>
            <w:tcW w:w="3620" w:type="dxa"/>
            <w:vAlign w:val="bottom"/>
          </w:tcPr>
          <w:p>
            <w:pPr>
              <w:spacing w:after="0"/>
              <w:rPr>
                <w:sz w:val="22"/>
                <w:szCs w:val="22"/>
                <w:color w:val="auto"/>
              </w:rPr>
            </w:pPr>
          </w:p>
        </w:tc>
        <w:tc>
          <w:tcPr>
            <w:tcW w:w="5660" w:type="dxa"/>
            <w:vAlign w:val="bottom"/>
          </w:tcPr>
          <w:p>
            <w:pPr>
              <w:ind w:left="1400"/>
              <w:spacing w:after="0"/>
              <w:rPr>
                <w:sz w:val="20"/>
                <w:szCs w:val="20"/>
                <w:color w:val="auto"/>
              </w:rPr>
            </w:pPr>
            <w:r>
              <w:rPr>
                <w:rFonts w:ascii="Arial" w:cs="Arial" w:eastAsia="Arial" w:hAnsi="Arial"/>
                <w:sz w:val="20"/>
                <w:szCs w:val="20"/>
                <w:color w:val="auto"/>
              </w:rPr>
              <w:t>David Spille</w:t>
            </w:r>
          </w:p>
        </w:tc>
        <w:tc>
          <w:tcPr>
            <w:tcW w:w="0" w:type="dxa"/>
            <w:vAlign w:val="bottom"/>
          </w:tcPr>
          <w:p>
            <w:pPr>
              <w:spacing w:after="0"/>
              <w:rPr>
                <w:sz w:val="1"/>
                <w:szCs w:val="1"/>
                <w:color w:val="auto"/>
              </w:rPr>
            </w:pPr>
          </w:p>
        </w:tc>
      </w:tr>
      <w:tr>
        <w:trPr>
          <w:trHeight w:val="456"/>
        </w:trPr>
        <w:tc>
          <w:tcPr>
            <w:tcW w:w="3620" w:type="dxa"/>
            <w:vAlign w:val="bottom"/>
          </w:tcPr>
          <w:p>
            <w:pPr>
              <w:spacing w:after="0"/>
              <w:rPr>
                <w:sz w:val="24"/>
                <w:szCs w:val="24"/>
                <w:color w:val="auto"/>
              </w:rPr>
            </w:pPr>
          </w:p>
        </w:tc>
        <w:tc>
          <w:tcPr>
            <w:tcW w:w="5660" w:type="dxa"/>
            <w:vAlign w:val="bottom"/>
          </w:tcPr>
          <w:p>
            <w:pPr>
              <w:ind w:left="1400"/>
              <w:spacing w:after="0"/>
              <w:rPr>
                <w:sz w:val="20"/>
                <w:szCs w:val="20"/>
                <w:color w:val="auto"/>
              </w:rPr>
            </w:pPr>
            <w:r>
              <w:rPr>
                <w:rFonts w:ascii="Arial" w:cs="Arial" w:eastAsia="Arial" w:hAnsi="Arial"/>
                <w:sz w:val="20"/>
                <w:szCs w:val="20"/>
                <w:color w:val="auto"/>
              </w:rPr>
              <w:t>PARSONS CORPORATION</w:t>
            </w:r>
          </w:p>
        </w:tc>
        <w:tc>
          <w:tcPr>
            <w:tcW w:w="0" w:type="dxa"/>
            <w:vAlign w:val="bottom"/>
          </w:tcPr>
          <w:p>
            <w:pPr>
              <w:spacing w:after="0"/>
              <w:rPr>
                <w:sz w:val="1"/>
                <w:szCs w:val="1"/>
                <w:color w:val="auto"/>
              </w:rPr>
            </w:pPr>
          </w:p>
        </w:tc>
      </w:tr>
      <w:tr>
        <w:trPr>
          <w:trHeight w:val="913"/>
        </w:trPr>
        <w:tc>
          <w:tcPr>
            <w:tcW w:w="3620" w:type="dxa"/>
            <w:vAlign w:val="bottom"/>
          </w:tcPr>
          <w:p>
            <w:pPr>
              <w:spacing w:after="0"/>
              <w:rPr>
                <w:sz w:val="20"/>
                <w:szCs w:val="20"/>
                <w:color w:val="auto"/>
              </w:rPr>
            </w:pPr>
            <w:r>
              <w:rPr>
                <w:rFonts w:ascii="Arial" w:cs="Arial" w:eastAsia="Arial" w:hAnsi="Arial"/>
                <w:sz w:val="20"/>
                <w:szCs w:val="20"/>
                <w:color w:val="auto"/>
              </w:rPr>
              <w:t>Dated: January 26, 2022</w:t>
            </w:r>
          </w:p>
        </w:tc>
        <w:tc>
          <w:tcPr>
            <w:tcW w:w="5660" w:type="dxa"/>
            <w:vAlign w:val="bottom"/>
            <w:vMerge w:val="restart"/>
          </w:tcPr>
          <w:p>
            <w:pPr>
              <w:ind w:left="1400"/>
              <w:spacing w:after="0"/>
              <w:rPr>
                <w:sz w:val="20"/>
                <w:szCs w:val="20"/>
                <w:color w:val="auto"/>
              </w:rPr>
            </w:pPr>
            <w:r>
              <w:rPr>
                <w:rFonts w:ascii="Arial" w:cs="Arial" w:eastAsia="Arial" w:hAnsi="Arial"/>
                <w:sz w:val="20"/>
                <w:szCs w:val="20"/>
                <w:color w:val="auto"/>
              </w:rPr>
              <w:t>Susan Balaguer</w:t>
            </w:r>
          </w:p>
        </w:tc>
        <w:tc>
          <w:tcPr>
            <w:tcW w:w="0" w:type="dxa"/>
            <w:vAlign w:val="bottom"/>
          </w:tcPr>
          <w:p>
            <w:pPr>
              <w:spacing w:after="0"/>
              <w:rPr>
                <w:sz w:val="1"/>
                <w:szCs w:val="1"/>
                <w:color w:val="auto"/>
              </w:rPr>
            </w:pPr>
          </w:p>
        </w:tc>
      </w:tr>
      <w:tr>
        <w:trPr>
          <w:trHeight w:val="96"/>
        </w:trPr>
        <w:tc>
          <w:tcPr>
            <w:tcW w:w="3620" w:type="dxa"/>
            <w:vAlign w:val="bottom"/>
          </w:tcPr>
          <w:p>
            <w:pPr>
              <w:spacing w:after="0"/>
              <w:rPr>
                <w:sz w:val="8"/>
                <w:szCs w:val="8"/>
                <w:color w:val="auto"/>
              </w:rPr>
            </w:pPr>
          </w:p>
        </w:tc>
        <w:tc>
          <w:tcPr>
            <w:tcW w:w="5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3620" w:type="dxa"/>
            <w:vAlign w:val="bottom"/>
          </w:tcPr>
          <w:p>
            <w:pPr>
              <w:spacing w:after="0"/>
              <w:rPr>
                <w:sz w:val="22"/>
                <w:szCs w:val="22"/>
                <w:color w:val="auto"/>
              </w:rPr>
            </w:pPr>
          </w:p>
        </w:tc>
        <w:tc>
          <w:tcPr>
            <w:tcW w:w="5660" w:type="dxa"/>
            <w:vAlign w:val="bottom"/>
          </w:tcPr>
          <w:p>
            <w:pPr>
              <w:ind w:left="1400"/>
              <w:spacing w:after="0"/>
              <w:rPr>
                <w:sz w:val="20"/>
                <w:szCs w:val="20"/>
                <w:color w:val="auto"/>
              </w:rPr>
            </w:pPr>
            <w:r>
              <w:rPr>
                <w:rFonts w:ascii="Arial" w:cs="Arial" w:eastAsia="Arial" w:hAnsi="Arial"/>
                <w:sz w:val="20"/>
                <w:szCs w:val="20"/>
                <w:color w:val="auto"/>
              </w:rPr>
              <w:t>Chief Human Resources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3188970</wp:posOffset>
            </wp:positionH>
            <wp:positionV relativeFrom="paragraph">
              <wp:posOffset>-665480</wp:posOffset>
            </wp:positionV>
            <wp:extent cx="1891665" cy="37020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3">
                      <a:extLst>
                        <a:ext uri="{28A0092B-C50C-407E-A947-70E740481C1C}"/>
                      </a:extLst>
                    </a:blip>
                    <a:srcRect/>
                    <a:stretch>
                      <a:fillRect/>
                    </a:stretch>
                  </pic:blipFill>
                  <pic:spPr bwMode="auto">
                    <a:xfrm>
                      <a:off x="0" y="0"/>
                      <a:ext cx="1891665" cy="3702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2" w:name="page323"/>
    <w:bookmarkEnd w:id="322"/>
    <w:p>
      <w:pPr>
        <w:jc w:val="right"/>
        <w:spacing w:after="0"/>
        <w:rPr>
          <w:sz w:val="20"/>
          <w:szCs w:val="20"/>
          <w:color w:val="auto"/>
        </w:rPr>
      </w:pPr>
      <w:r>
        <w:rPr>
          <w:rFonts w:ascii="Arial" w:cs="Arial" w:eastAsia="Arial" w:hAnsi="Arial"/>
          <w:sz w:val="19"/>
          <w:szCs w:val="19"/>
          <w:color w:val="auto"/>
        </w:rPr>
        <w:t>Exhibit 10.48</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AMENDMENT TO PARSONS CORPORATION INCENTIVE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RESTRICTED STOCK UNIT AWARD</w:t>
      </w:r>
    </w:p>
    <w:p>
      <w:pPr>
        <w:spacing w:after="0" w:line="145" w:lineRule="exact"/>
        <w:rPr>
          <w:sz w:val="20"/>
          <w:szCs w:val="20"/>
          <w:color w:val="auto"/>
        </w:rPr>
      </w:pPr>
    </w:p>
    <w:p>
      <w:pPr>
        <w:ind w:right="120" w:firstLine="589"/>
        <w:spacing w:after="0" w:line="268" w:lineRule="auto"/>
        <w:rPr>
          <w:sz w:val="20"/>
          <w:szCs w:val="20"/>
          <w:color w:val="auto"/>
        </w:rPr>
      </w:pPr>
      <w:r>
        <w:rPr>
          <w:rFonts w:ascii="Arial" w:cs="Arial" w:eastAsia="Arial" w:hAnsi="Arial"/>
          <w:sz w:val="20"/>
          <w:szCs w:val="20"/>
          <w:color w:val="auto"/>
        </w:rPr>
        <w:t>This Amendment to Parsons Corporation Incentive Award Plan Restricted Stock Unit Award (“Amendment”) is made effective as of July 19, 2021, by and between Parsons Corporation (“Company”), and David Spille (“Employee”).</w:t>
      </w:r>
    </w:p>
    <w:p>
      <w:pPr>
        <w:spacing w:after="0" w:line="95" w:lineRule="exact"/>
        <w:rPr>
          <w:sz w:val="20"/>
          <w:szCs w:val="20"/>
          <w:color w:val="auto"/>
        </w:rPr>
      </w:pPr>
    </w:p>
    <w:p>
      <w:pPr>
        <w:ind w:right="3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Incentive Award Plan Restricted Stock Unit Award dated as of March 5, 2020 (the “Award”);</w:t>
      </w:r>
    </w:p>
    <w:p>
      <w:pPr>
        <w:spacing w:after="0" w:line="95" w:lineRule="exact"/>
        <w:rPr>
          <w:sz w:val="20"/>
          <w:szCs w:val="20"/>
          <w:color w:val="auto"/>
        </w:rPr>
      </w:pPr>
    </w:p>
    <w:p>
      <w:pPr>
        <w:ind w:right="1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Change in Control Severance Agreement (“CIC Agreement”), which was amended as of July 19, 2021;</w:t>
      </w:r>
    </w:p>
    <w:p>
      <w:pPr>
        <w:spacing w:after="0" w:line="95" w:lineRule="exact"/>
        <w:rPr>
          <w:sz w:val="20"/>
          <w:szCs w:val="20"/>
          <w:color w:val="auto"/>
        </w:rPr>
      </w:pPr>
    </w:p>
    <w:p>
      <w:pPr>
        <w:ind w:right="640" w:firstLine="589"/>
        <w:spacing w:after="0" w:line="268" w:lineRule="auto"/>
        <w:rPr>
          <w:sz w:val="20"/>
          <w:szCs w:val="20"/>
          <w:color w:val="auto"/>
        </w:rPr>
      </w:pPr>
      <w:r>
        <w:rPr>
          <w:rFonts w:ascii="Arial" w:cs="Arial" w:eastAsia="Arial" w:hAnsi="Arial"/>
          <w:sz w:val="20"/>
          <w:szCs w:val="20"/>
          <w:color w:val="auto"/>
        </w:rPr>
        <w:t>WHEREAS, the Company and Employee desire to amend the Award to incorporate and reflect any amendments to the CIC Agreement;</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parties agree as follows:</w:t>
      </w:r>
    </w:p>
    <w:p>
      <w:pPr>
        <w:spacing w:after="0" w:line="150" w:lineRule="exact"/>
        <w:rPr>
          <w:sz w:val="20"/>
          <w:szCs w:val="20"/>
          <w:color w:val="auto"/>
        </w:rPr>
      </w:pPr>
    </w:p>
    <w:p>
      <w:pPr>
        <w:ind w:left="1400" w:hanging="809"/>
        <w:spacing w:after="0"/>
        <w:tabs>
          <w:tab w:leader="none" w:pos="140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Paragraph 2 of Exhibit B is hereby restated as follows:</w:t>
      </w:r>
    </w:p>
    <w:p>
      <w:pPr>
        <w:spacing w:after="0" w:line="200" w:lineRule="exact"/>
        <w:rPr>
          <w:sz w:val="20"/>
          <w:szCs w:val="20"/>
          <w:color w:val="auto"/>
        </w:rPr>
      </w:pPr>
    </w:p>
    <w:p>
      <w:pPr>
        <w:spacing w:after="0" w:line="234" w:lineRule="exact"/>
        <w:rPr>
          <w:sz w:val="20"/>
          <w:szCs w:val="20"/>
          <w:color w:val="auto"/>
        </w:rPr>
      </w:pPr>
    </w:p>
    <w:p>
      <w:pPr>
        <w:jc w:val="both"/>
        <w:ind w:left="860"/>
        <w:spacing w:after="0" w:line="277" w:lineRule="auto"/>
        <w:rPr>
          <w:sz w:val="20"/>
          <w:szCs w:val="20"/>
          <w:color w:val="auto"/>
        </w:rPr>
      </w:pPr>
      <w:r>
        <w:rPr>
          <w:rFonts w:ascii="Arial" w:cs="Arial" w:eastAsia="Arial" w:hAnsi="Arial"/>
          <w:sz w:val="17"/>
          <w:szCs w:val="17"/>
          <w:i w:val="1"/>
          <w:iCs w:val="1"/>
          <w:u w:val="single" w:color="auto"/>
          <w:color w:val="auto"/>
        </w:rPr>
        <w:t>ACCELERATED VESTING</w:t>
      </w:r>
      <w:r>
        <w:rPr>
          <w:rFonts w:ascii="Arial" w:cs="Arial" w:eastAsia="Arial" w:hAnsi="Arial"/>
          <w:sz w:val="17"/>
          <w:szCs w:val="17"/>
          <w:i w:val="1"/>
          <w:iCs w:val="1"/>
          <w:color w:val="auto"/>
        </w:rPr>
        <w:t>. In the event of Participant’s death or Disability, Participant will vest in such number of RSUs as is determined by multiplying (a) the number of RSUs scheduled to vest on the next occurring annual vesting date, by (b) (i) the number of months that have elapsed since the previous annual vesting date (or if no annual vesting date has yet occurred, since the Grant Date), divided by (ii) 12. Partial months shall be rounded up to the next whole calendar month for purposes of the numerator in this calculation. In the event the calculation results in a fractional RSU, any fractional RSU will be rounded up to the nearest whole RSU.</w:t>
      </w:r>
    </w:p>
    <w:p>
      <w:pPr>
        <w:spacing w:after="0" w:line="152" w:lineRule="exact"/>
        <w:rPr>
          <w:sz w:val="20"/>
          <w:szCs w:val="20"/>
          <w:color w:val="auto"/>
        </w:rPr>
      </w:pPr>
    </w:p>
    <w:p>
      <w:pPr>
        <w:jc w:val="both"/>
        <w:ind w:left="860"/>
        <w:spacing w:after="0" w:line="241" w:lineRule="auto"/>
        <w:rPr>
          <w:sz w:val="20"/>
          <w:szCs w:val="20"/>
          <w:color w:val="auto"/>
        </w:rPr>
      </w:pPr>
      <w:r>
        <w:rPr>
          <w:rFonts w:ascii="Arial" w:cs="Arial" w:eastAsia="Arial" w:hAnsi="Arial"/>
          <w:sz w:val="19"/>
          <w:szCs w:val="19"/>
          <w:i w:val="1"/>
          <w:iCs w:val="1"/>
          <w:color w:val="auto"/>
        </w:rPr>
        <w:t>The Award shall also be eligible for accelerated vesting as provided in Section 12.2 of the Plan. Notwithstanding the foregoing, and notwithstanding anything to the contrary contained in the Plan, in the event of a Change in Control, if Participant is a party to a Change in Control Severance Agreement with the Company at the time of such Change in Control, and a Qualifying Termination Event has occurred, as defined in the Participant’s Change in Control Severance Agreement, the RSUs shall accelerate, vest and be settled in full immediately prior to such Change in Control.”</w:t>
      </w:r>
    </w:p>
    <w:p>
      <w:pPr>
        <w:spacing w:after="0" w:line="183" w:lineRule="exact"/>
        <w:rPr>
          <w:sz w:val="20"/>
          <w:szCs w:val="20"/>
          <w:color w:val="auto"/>
        </w:rPr>
      </w:pPr>
    </w:p>
    <w:p>
      <w:pPr>
        <w:jc w:val="both"/>
        <w:ind w:left="860"/>
        <w:spacing w:after="0" w:line="277" w:lineRule="auto"/>
        <w:rPr>
          <w:sz w:val="20"/>
          <w:szCs w:val="20"/>
          <w:color w:val="auto"/>
        </w:rPr>
      </w:pPr>
      <w:r>
        <w:rPr>
          <w:rFonts w:ascii="Arial" w:cs="Arial" w:eastAsia="Arial" w:hAnsi="Arial"/>
          <w:sz w:val="17"/>
          <w:szCs w:val="17"/>
          <w:i w:val="1"/>
          <w:iCs w:val="1"/>
          <w:color w:val="auto"/>
        </w:rPr>
        <w:t>For purposes of this Award, “</w:t>
      </w:r>
      <w:r>
        <w:rPr>
          <w:rFonts w:ascii="Arial" w:cs="Arial" w:eastAsia="Arial" w:hAnsi="Arial"/>
          <w:sz w:val="17"/>
          <w:szCs w:val="17"/>
          <w:i w:val="1"/>
          <w:iCs w:val="1"/>
          <w:u w:val="single" w:color="auto"/>
          <w:color w:val="auto"/>
        </w:rPr>
        <w:t>Disability</w:t>
      </w:r>
      <w:r>
        <w:rPr>
          <w:rFonts w:ascii="Arial" w:cs="Arial" w:eastAsia="Arial" w:hAnsi="Arial"/>
          <w:sz w:val="17"/>
          <w:szCs w:val="17"/>
          <w:i w:val="1"/>
          <w:iCs w:val="1"/>
          <w:color w:val="auto"/>
        </w:rPr>
        <w:t>” means Participant (a) is unable to engage in any substantial gainful activity by reason of any medically determinable physical or mental impairment which can be expected to result in death or can be expected to last for a continuous period of not less than 12 months, or (b)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Company or its Subsidiaries.</w:t>
      </w:r>
    </w:p>
    <w:p>
      <w:pPr>
        <w:spacing w:after="0" w:line="152" w:lineRule="exact"/>
        <w:rPr>
          <w:sz w:val="20"/>
          <w:szCs w:val="20"/>
          <w:color w:val="auto"/>
        </w:rPr>
      </w:pPr>
    </w:p>
    <w:p>
      <w:pPr>
        <w:jc w:val="both"/>
        <w:ind w:left="860"/>
        <w:spacing w:after="0" w:line="247" w:lineRule="auto"/>
        <w:rPr>
          <w:sz w:val="20"/>
          <w:szCs w:val="20"/>
          <w:color w:val="auto"/>
        </w:rPr>
      </w:pPr>
      <w:r>
        <w:rPr>
          <w:rFonts w:ascii="Arial" w:cs="Arial" w:eastAsia="Arial" w:hAnsi="Arial"/>
          <w:sz w:val="19"/>
          <w:szCs w:val="19"/>
          <w:i w:val="1"/>
          <w:iCs w:val="1"/>
          <w:color w:val="auto"/>
        </w:rPr>
        <w:t>Notwithstanding anything to the contrary contained herein, in the event of Participant’s Termination of Service due to Retirement, Participant will remain eligible to vest in and receive on the Payment Date the total number of RSUs set forth in the Grant Notice. For purposes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310515</wp:posOffset>
            </wp:positionV>
            <wp:extent cx="7182485" cy="4127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4">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23" w:name="page324"/>
    <w:bookmarkEnd w:id="323"/>
    <w:p>
      <w:pPr>
        <w:ind w:left="10240"/>
        <w:spacing w:after="0"/>
        <w:rPr>
          <w:sz w:val="20"/>
          <w:szCs w:val="20"/>
          <w:color w:val="auto"/>
        </w:rPr>
      </w:pPr>
      <w:r>
        <w:rPr>
          <w:rFonts w:ascii="Arial" w:cs="Arial" w:eastAsia="Arial" w:hAnsi="Arial"/>
          <w:sz w:val="17"/>
          <w:szCs w:val="17"/>
          <w:color w:val="auto"/>
        </w:rPr>
        <w:t>Exhibit 10.48</w:t>
      </w:r>
    </w:p>
    <w:p>
      <w:pPr>
        <w:spacing w:after="0" w:line="35"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this Award, "Retirement" means Participant’s voluntary Termination of Service after having attained age 62, with 10 years of completed</w:t>
      </w:r>
    </w:p>
    <w:p>
      <w:pPr>
        <w:spacing w:after="0" w:line="20" w:lineRule="exact"/>
        <w:rPr>
          <w:sz w:val="20"/>
          <w:szCs w:val="20"/>
          <w:color w:val="auto"/>
        </w:rPr>
      </w:pPr>
    </w:p>
    <w:p>
      <w:pPr>
        <w:ind w:left="860"/>
        <w:spacing w:after="0"/>
        <w:rPr>
          <w:sz w:val="20"/>
          <w:szCs w:val="20"/>
          <w:color w:val="auto"/>
        </w:rPr>
      </w:pPr>
      <w:r>
        <w:rPr>
          <w:rFonts w:ascii="Arial" w:cs="Arial" w:eastAsia="Arial" w:hAnsi="Arial"/>
          <w:sz w:val="19"/>
          <w:szCs w:val="19"/>
          <w:i w:val="1"/>
          <w:iCs w:val="1"/>
          <w:color w:val="auto"/>
        </w:rPr>
        <w:t>service.</w:t>
      </w:r>
    </w:p>
    <w:p>
      <w:pPr>
        <w:spacing w:after="0" w:line="129" w:lineRule="exact"/>
        <w:rPr>
          <w:sz w:val="20"/>
          <w:szCs w:val="20"/>
          <w:color w:val="auto"/>
        </w:rPr>
      </w:pPr>
    </w:p>
    <w:p>
      <w:pPr>
        <w:ind w:right="40" w:firstLine="866"/>
        <w:spacing w:after="0" w:line="265" w:lineRule="auto"/>
        <w:tabs>
          <w:tab w:leader="none" w:pos="1068" w:val="left"/>
        </w:tabs>
        <w:numPr>
          <w:ilvl w:val="0"/>
          <w:numId w:val="203"/>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The Agreement, as amended by this Amendment, shall remain in full force and effect in accordance with the terms and conditions thereof. This Amendment may be executed simultaneously in any number of counterparts, each of which shall be deemed an original but all of which together shall constitute one and the same instrument. In the event of any conflict between the original terms of the Agreement and this Amendment, the terms of this Amendment shall prevail.</w:t>
      </w:r>
    </w:p>
    <w:p>
      <w:pPr>
        <w:spacing w:after="0" w:line="100" w:lineRule="exact"/>
        <w:rPr>
          <w:sz w:val="20"/>
          <w:szCs w:val="20"/>
          <w:color w:val="auto"/>
        </w:rPr>
      </w:pPr>
    </w:p>
    <w:p>
      <w:pPr>
        <w:jc w:val="both"/>
        <w:ind w:right="380"/>
        <w:spacing w:after="0" w:line="253" w:lineRule="auto"/>
        <w:rPr>
          <w:sz w:val="20"/>
          <w:szCs w:val="20"/>
          <w:color w:val="auto"/>
        </w:rPr>
      </w:pPr>
      <w:r>
        <w:rPr>
          <w:rFonts w:ascii="Arial" w:cs="Arial" w:eastAsia="Arial" w:hAnsi="Arial"/>
          <w:sz w:val="20"/>
          <w:szCs w:val="20"/>
          <w:color w:val="auto"/>
        </w:rPr>
        <w:t>THE PARTIES TO THIS AMENDMENT HAVE READ THE FOREGOING AMENDMENT AND FULLY UNDERSTAND EACH AND EVERY PROVISION CONTAINED HEREIN. WHEREFORE, THE PARTIES HAVE EXECUTED THIS AMENDMENT ON THE DATES SHOWN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820" w:type="dxa"/>
            <w:vAlign w:val="bottom"/>
          </w:tcPr>
          <w:p>
            <w:pPr>
              <w:spacing w:after="0"/>
              <w:rPr>
                <w:sz w:val="22"/>
                <w:szCs w:val="22"/>
                <w:color w:val="auto"/>
              </w:rPr>
            </w:pPr>
          </w:p>
        </w:tc>
        <w:tc>
          <w:tcPr>
            <w:tcW w:w="7460" w:type="dxa"/>
            <w:vAlign w:val="bottom"/>
          </w:tcPr>
          <w:p>
            <w:pPr>
              <w:ind w:left="1200"/>
              <w:spacing w:after="0"/>
              <w:rPr>
                <w:sz w:val="20"/>
                <w:szCs w:val="20"/>
                <w:color w:val="auto"/>
              </w:rPr>
            </w:pPr>
            <w:r>
              <w:rPr>
                <w:rFonts w:ascii="Arial" w:cs="Arial" w:eastAsia="Arial" w:hAnsi="Arial"/>
                <w:sz w:val="20"/>
                <w:szCs w:val="20"/>
                <w:color w:val="auto"/>
              </w:rPr>
              <w:t>EMPLOYEE</w:t>
            </w:r>
          </w:p>
        </w:tc>
        <w:tc>
          <w:tcPr>
            <w:tcW w:w="0" w:type="dxa"/>
            <w:vAlign w:val="bottom"/>
          </w:tcPr>
          <w:p>
            <w:pPr>
              <w:spacing w:after="0"/>
              <w:rPr>
                <w:sz w:val="1"/>
                <w:szCs w:val="1"/>
                <w:color w:val="auto"/>
              </w:rPr>
            </w:pPr>
          </w:p>
        </w:tc>
      </w:tr>
      <w:tr>
        <w:trPr>
          <w:trHeight w:val="654"/>
        </w:trPr>
        <w:tc>
          <w:tcPr>
            <w:tcW w:w="3820" w:type="dxa"/>
            <w:vAlign w:val="bottom"/>
          </w:tcPr>
          <w:p>
            <w:pPr>
              <w:spacing w:after="0"/>
              <w:rPr>
                <w:sz w:val="20"/>
                <w:szCs w:val="20"/>
                <w:color w:val="auto"/>
              </w:rPr>
            </w:pPr>
            <w:r>
              <w:rPr>
                <w:rFonts w:ascii="Arial" w:cs="Arial" w:eastAsia="Arial" w:hAnsi="Arial"/>
                <w:sz w:val="20"/>
                <w:szCs w:val="20"/>
                <w:color w:val="auto"/>
              </w:rPr>
              <w:t>Dated: ____________________</w:t>
            </w:r>
          </w:p>
        </w:tc>
        <w:tc>
          <w:tcPr>
            <w:tcW w:w="7460" w:type="dxa"/>
            <w:vAlign w:val="bottom"/>
          </w:tcPr>
          <w:p>
            <w:pPr>
              <w:ind w:left="1200"/>
              <w:spacing w:after="0"/>
              <w:rPr>
                <w:sz w:val="20"/>
                <w:szCs w:val="20"/>
                <w:color w:val="auto"/>
              </w:rPr>
            </w:pPr>
            <w:r>
              <w:rPr>
                <w:rFonts w:ascii="Arial" w:cs="Arial" w:eastAsia="Arial" w:hAnsi="Arial"/>
                <w:sz w:val="20"/>
                <w:szCs w:val="20"/>
                <w:color w:val="auto"/>
              </w:rPr>
              <w:t>By:_______________________________________</w:t>
            </w:r>
          </w:p>
        </w:tc>
        <w:tc>
          <w:tcPr>
            <w:tcW w:w="0" w:type="dxa"/>
            <w:vAlign w:val="bottom"/>
          </w:tcPr>
          <w:p>
            <w:pPr>
              <w:spacing w:after="0"/>
              <w:rPr>
                <w:sz w:val="1"/>
                <w:szCs w:val="1"/>
                <w:color w:val="auto"/>
              </w:rPr>
            </w:pPr>
          </w:p>
        </w:tc>
      </w:tr>
      <w:tr>
        <w:trPr>
          <w:trHeight w:val="259"/>
        </w:trPr>
        <w:tc>
          <w:tcPr>
            <w:tcW w:w="3820" w:type="dxa"/>
            <w:vAlign w:val="bottom"/>
          </w:tcPr>
          <w:p>
            <w:pPr>
              <w:spacing w:after="0"/>
              <w:rPr>
                <w:sz w:val="22"/>
                <w:szCs w:val="22"/>
                <w:color w:val="auto"/>
              </w:rPr>
            </w:pPr>
          </w:p>
        </w:tc>
        <w:tc>
          <w:tcPr>
            <w:tcW w:w="7460" w:type="dxa"/>
            <w:vAlign w:val="bottom"/>
          </w:tcPr>
          <w:p>
            <w:pPr>
              <w:ind w:left="1200"/>
              <w:spacing w:after="0"/>
              <w:rPr>
                <w:sz w:val="20"/>
                <w:szCs w:val="20"/>
                <w:color w:val="auto"/>
              </w:rPr>
            </w:pPr>
            <w:r>
              <w:rPr>
                <w:rFonts w:ascii="Arial" w:cs="Arial" w:eastAsia="Arial" w:hAnsi="Arial"/>
                <w:sz w:val="20"/>
                <w:szCs w:val="20"/>
                <w:color w:val="auto"/>
              </w:rPr>
              <w:t>David Spille</w:t>
            </w:r>
          </w:p>
        </w:tc>
        <w:tc>
          <w:tcPr>
            <w:tcW w:w="0" w:type="dxa"/>
            <w:vAlign w:val="bottom"/>
          </w:tcPr>
          <w:p>
            <w:pPr>
              <w:spacing w:after="0"/>
              <w:rPr>
                <w:sz w:val="1"/>
                <w:szCs w:val="1"/>
                <w:color w:val="auto"/>
              </w:rPr>
            </w:pPr>
          </w:p>
        </w:tc>
      </w:tr>
      <w:tr>
        <w:trPr>
          <w:trHeight w:val="456"/>
        </w:trPr>
        <w:tc>
          <w:tcPr>
            <w:tcW w:w="3820" w:type="dxa"/>
            <w:vAlign w:val="bottom"/>
          </w:tcPr>
          <w:p>
            <w:pPr>
              <w:spacing w:after="0"/>
              <w:rPr>
                <w:sz w:val="24"/>
                <w:szCs w:val="24"/>
                <w:color w:val="auto"/>
              </w:rPr>
            </w:pPr>
          </w:p>
        </w:tc>
        <w:tc>
          <w:tcPr>
            <w:tcW w:w="7460" w:type="dxa"/>
            <w:vAlign w:val="bottom"/>
          </w:tcPr>
          <w:p>
            <w:pPr>
              <w:ind w:left="1200"/>
              <w:spacing w:after="0"/>
              <w:rPr>
                <w:sz w:val="20"/>
                <w:szCs w:val="20"/>
                <w:color w:val="auto"/>
              </w:rPr>
            </w:pPr>
            <w:r>
              <w:rPr>
                <w:rFonts w:ascii="Arial" w:cs="Arial" w:eastAsia="Arial" w:hAnsi="Arial"/>
                <w:sz w:val="20"/>
                <w:szCs w:val="20"/>
                <w:color w:val="auto"/>
              </w:rPr>
              <w:t>PARSONS CORPORATION</w:t>
            </w:r>
          </w:p>
        </w:tc>
        <w:tc>
          <w:tcPr>
            <w:tcW w:w="0" w:type="dxa"/>
            <w:vAlign w:val="bottom"/>
          </w:tcPr>
          <w:p>
            <w:pPr>
              <w:spacing w:after="0"/>
              <w:rPr>
                <w:sz w:val="1"/>
                <w:szCs w:val="1"/>
                <w:color w:val="auto"/>
              </w:rPr>
            </w:pPr>
          </w:p>
        </w:tc>
      </w:tr>
      <w:tr>
        <w:trPr>
          <w:trHeight w:val="781"/>
        </w:trPr>
        <w:tc>
          <w:tcPr>
            <w:tcW w:w="3820" w:type="dxa"/>
            <w:vAlign w:val="bottom"/>
            <w:vMerge w:val="restart"/>
          </w:tcPr>
          <w:p>
            <w:pPr>
              <w:spacing w:after="0"/>
              <w:rPr>
                <w:sz w:val="20"/>
                <w:szCs w:val="20"/>
                <w:color w:val="auto"/>
              </w:rPr>
            </w:pPr>
            <w:r>
              <w:rPr>
                <w:rFonts w:ascii="Arial" w:cs="Arial" w:eastAsia="Arial" w:hAnsi="Arial"/>
                <w:sz w:val="20"/>
                <w:szCs w:val="20"/>
                <w:color w:val="auto"/>
              </w:rPr>
              <w:t>Dated: January 26, 2022</w:t>
            </w:r>
          </w:p>
        </w:tc>
        <w:tc>
          <w:tcPr>
            <w:tcW w:w="7460" w:type="dxa"/>
            <w:vAlign w:val="bottom"/>
          </w:tcPr>
          <w:p>
            <w:pPr>
              <w:ind w:left="1200"/>
              <w:spacing w:after="0"/>
              <w:rPr>
                <w:sz w:val="20"/>
                <w:szCs w:val="20"/>
                <w:color w:val="auto"/>
              </w:rPr>
            </w:pPr>
            <w:r>
              <w:rPr>
                <w:rFonts w:ascii="Arial" w:cs="Arial" w:eastAsia="Arial" w:hAnsi="Arial"/>
                <w:sz w:val="20"/>
                <w:szCs w:val="20"/>
                <w:color w:val="auto"/>
              </w:rPr>
              <w:t>Susan Balaguer</w:t>
            </w:r>
          </w:p>
        </w:tc>
        <w:tc>
          <w:tcPr>
            <w:tcW w:w="0" w:type="dxa"/>
            <w:vAlign w:val="bottom"/>
          </w:tcPr>
          <w:p>
            <w:pPr>
              <w:spacing w:after="0"/>
              <w:rPr>
                <w:sz w:val="1"/>
                <w:szCs w:val="1"/>
                <w:color w:val="auto"/>
              </w:rPr>
            </w:pPr>
          </w:p>
        </w:tc>
      </w:tr>
      <w:tr>
        <w:trPr>
          <w:trHeight w:val="132"/>
        </w:trPr>
        <w:tc>
          <w:tcPr>
            <w:tcW w:w="3820" w:type="dxa"/>
            <w:vAlign w:val="bottom"/>
            <w:vMerge w:val="continue"/>
          </w:tcPr>
          <w:p>
            <w:pPr>
              <w:spacing w:after="0"/>
              <w:rPr>
                <w:sz w:val="11"/>
                <w:szCs w:val="11"/>
                <w:color w:val="auto"/>
              </w:rPr>
            </w:pPr>
          </w:p>
        </w:tc>
        <w:tc>
          <w:tcPr>
            <w:tcW w:w="7460" w:type="dxa"/>
            <w:vAlign w:val="bottom"/>
            <w:vMerge w:val="restart"/>
          </w:tcPr>
          <w:p>
            <w:pPr>
              <w:ind w:left="1200"/>
              <w:spacing w:after="0"/>
              <w:rPr>
                <w:sz w:val="20"/>
                <w:szCs w:val="20"/>
                <w:color w:val="auto"/>
              </w:rPr>
            </w:pPr>
            <w:r>
              <w:rPr>
                <w:rFonts w:ascii="Arial" w:cs="Arial" w:eastAsia="Arial" w:hAnsi="Arial"/>
                <w:sz w:val="20"/>
                <w:szCs w:val="20"/>
                <w:color w:val="auto"/>
              </w:rPr>
              <w:t>Chief Human Resources Officer</w:t>
            </w:r>
          </w:p>
        </w:tc>
        <w:tc>
          <w:tcPr>
            <w:tcW w:w="0" w:type="dxa"/>
            <w:vAlign w:val="bottom"/>
          </w:tcPr>
          <w:p>
            <w:pPr>
              <w:spacing w:after="0"/>
              <w:rPr>
                <w:sz w:val="1"/>
                <w:szCs w:val="1"/>
                <w:color w:val="auto"/>
              </w:rPr>
            </w:pPr>
          </w:p>
        </w:tc>
      </w:tr>
      <w:tr>
        <w:trPr>
          <w:trHeight w:val="127"/>
        </w:trPr>
        <w:tc>
          <w:tcPr>
            <w:tcW w:w="3820" w:type="dxa"/>
            <w:vAlign w:val="bottom"/>
          </w:tcPr>
          <w:p>
            <w:pPr>
              <w:spacing w:after="0"/>
              <w:rPr>
                <w:sz w:val="11"/>
                <w:szCs w:val="11"/>
                <w:color w:val="auto"/>
              </w:rPr>
            </w:pPr>
          </w:p>
        </w:tc>
        <w:tc>
          <w:tcPr>
            <w:tcW w:w="7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18"/>
        </w:trPr>
        <w:tc>
          <w:tcPr>
            <w:tcW w:w="382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-27940</wp:posOffset>
            </wp:positionV>
            <wp:extent cx="33655" cy="4127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3188970</wp:posOffset>
            </wp:positionH>
            <wp:positionV relativeFrom="paragraph">
              <wp:posOffset>-2785110</wp:posOffset>
            </wp:positionV>
            <wp:extent cx="1891665" cy="37020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7">
                      <a:extLst>
                        <a:ext uri="{28A0092B-C50C-407E-A947-70E740481C1C}"/>
                      </a:extLst>
                    </a:blip>
                    <a:srcRect/>
                    <a:stretch>
                      <a:fillRect/>
                    </a:stretch>
                  </pic:blipFill>
                  <pic:spPr bwMode="auto">
                    <a:xfrm>
                      <a:off x="0" y="0"/>
                      <a:ext cx="1891665" cy="370205"/>
                    </a:xfrm>
                    <a:prstGeom prst="rect">
                      <a:avLst/>
                    </a:prstGeom>
                    <a:noFill/>
                  </pic:spPr>
                </pic:pic>
              </a:graphicData>
            </a:graphic>
          </wp:anchor>
        </w:drawing>
      </w:r>
    </w:p>
    <w:p>
      <w:pPr>
        <w:sectPr>
          <w:pgSz w:w="11900" w:h="16838" w:orient="portrait"/>
          <w:cols w:equalWidth="0" w:num="1">
            <w:col w:w="11280"/>
          </w:cols>
          <w:pgMar w:left="320" w:top="124" w:right="299" w:bottom="1440" w:gutter="0" w:footer="0" w:header="0"/>
        </w:sectPr>
      </w:pPr>
    </w:p>
    <w:bookmarkStart w:id="324" w:name="page325"/>
    <w:bookmarkEnd w:id="324"/>
    <w:p>
      <w:pPr>
        <w:jc w:val="right"/>
        <w:spacing w:after="0"/>
        <w:rPr>
          <w:sz w:val="20"/>
          <w:szCs w:val="20"/>
          <w:color w:val="auto"/>
        </w:rPr>
      </w:pPr>
      <w:r>
        <w:rPr>
          <w:rFonts w:ascii="Arial" w:cs="Arial" w:eastAsia="Arial" w:hAnsi="Arial"/>
          <w:sz w:val="19"/>
          <w:szCs w:val="19"/>
          <w:color w:val="auto"/>
        </w:rPr>
        <w:t>Exhibit 10.48</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AMENDMENT TO PARSONS CORPORATION INCENTIVE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RESTRICTED STOCK UNIT AWARD</w:t>
      </w:r>
    </w:p>
    <w:p>
      <w:pPr>
        <w:spacing w:after="0" w:line="145" w:lineRule="exact"/>
        <w:rPr>
          <w:sz w:val="20"/>
          <w:szCs w:val="20"/>
          <w:color w:val="auto"/>
        </w:rPr>
      </w:pPr>
    </w:p>
    <w:p>
      <w:pPr>
        <w:ind w:right="120" w:firstLine="589"/>
        <w:spacing w:after="0" w:line="268" w:lineRule="auto"/>
        <w:rPr>
          <w:sz w:val="20"/>
          <w:szCs w:val="20"/>
          <w:color w:val="auto"/>
        </w:rPr>
      </w:pPr>
      <w:r>
        <w:rPr>
          <w:rFonts w:ascii="Arial" w:cs="Arial" w:eastAsia="Arial" w:hAnsi="Arial"/>
          <w:sz w:val="20"/>
          <w:szCs w:val="20"/>
          <w:color w:val="auto"/>
        </w:rPr>
        <w:t>This Amendment to Parsons Corporation Incentive Award Plan Restricted Stock Unit Award (“Amendment”) is made effective as of July 19, 2021, by and between Parsons Corporation (“Company”), and David Spille (“Employee”).</w:t>
      </w:r>
    </w:p>
    <w:p>
      <w:pPr>
        <w:spacing w:after="0" w:line="95" w:lineRule="exact"/>
        <w:rPr>
          <w:sz w:val="20"/>
          <w:szCs w:val="20"/>
          <w:color w:val="auto"/>
        </w:rPr>
      </w:pPr>
    </w:p>
    <w:p>
      <w:pPr>
        <w:ind w:right="3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Incentive Award Plan Restricted Stock Unit Award dated as of March 1, 2021 (the “Award”);</w:t>
      </w:r>
    </w:p>
    <w:p>
      <w:pPr>
        <w:spacing w:after="0" w:line="95" w:lineRule="exact"/>
        <w:rPr>
          <w:sz w:val="20"/>
          <w:szCs w:val="20"/>
          <w:color w:val="auto"/>
        </w:rPr>
      </w:pPr>
    </w:p>
    <w:p>
      <w:pPr>
        <w:ind w:right="100" w:firstLine="589"/>
        <w:spacing w:after="0" w:line="268" w:lineRule="auto"/>
        <w:rPr>
          <w:sz w:val="20"/>
          <w:szCs w:val="20"/>
          <w:color w:val="auto"/>
        </w:rPr>
      </w:pPr>
      <w:r>
        <w:rPr>
          <w:rFonts w:ascii="Arial" w:cs="Arial" w:eastAsia="Arial" w:hAnsi="Arial"/>
          <w:sz w:val="20"/>
          <w:szCs w:val="20"/>
          <w:color w:val="auto"/>
        </w:rPr>
        <w:t>WHEREAS, the Company and Employee are parties to that certain Parsons Corporation Change in Control Severance Agreement (“CIC Agreement”), which was amended as of July 19, 2021;</w:t>
      </w:r>
    </w:p>
    <w:p>
      <w:pPr>
        <w:spacing w:after="0" w:line="95" w:lineRule="exact"/>
        <w:rPr>
          <w:sz w:val="20"/>
          <w:szCs w:val="20"/>
          <w:color w:val="auto"/>
        </w:rPr>
      </w:pPr>
    </w:p>
    <w:p>
      <w:pPr>
        <w:ind w:right="640" w:firstLine="589"/>
        <w:spacing w:after="0" w:line="268" w:lineRule="auto"/>
        <w:rPr>
          <w:sz w:val="20"/>
          <w:szCs w:val="20"/>
          <w:color w:val="auto"/>
        </w:rPr>
      </w:pPr>
      <w:r>
        <w:rPr>
          <w:rFonts w:ascii="Arial" w:cs="Arial" w:eastAsia="Arial" w:hAnsi="Arial"/>
          <w:sz w:val="20"/>
          <w:szCs w:val="20"/>
          <w:color w:val="auto"/>
        </w:rPr>
        <w:t>WHEREAS, the Company and Employee desire to amend the Award to incorporate and reflect any amendments to the CIC Agreement;</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parties agree as follows:</w:t>
      </w:r>
    </w:p>
    <w:p>
      <w:pPr>
        <w:spacing w:after="0" w:line="150" w:lineRule="exact"/>
        <w:rPr>
          <w:sz w:val="20"/>
          <w:szCs w:val="20"/>
          <w:color w:val="auto"/>
        </w:rPr>
      </w:pPr>
    </w:p>
    <w:p>
      <w:pPr>
        <w:ind w:left="1400" w:hanging="809"/>
        <w:spacing w:after="0"/>
        <w:tabs>
          <w:tab w:leader="none" w:pos="1400" w:val="left"/>
        </w:tabs>
        <w:numPr>
          <w:ilvl w:val="0"/>
          <w:numId w:val="204"/>
        </w:numPr>
        <w:rPr>
          <w:rFonts w:ascii="Arial" w:cs="Arial" w:eastAsia="Arial" w:hAnsi="Arial"/>
          <w:sz w:val="20"/>
          <w:szCs w:val="20"/>
          <w:color w:val="auto"/>
        </w:rPr>
      </w:pPr>
      <w:r>
        <w:rPr>
          <w:rFonts w:ascii="Arial" w:cs="Arial" w:eastAsia="Arial" w:hAnsi="Arial"/>
          <w:sz w:val="20"/>
          <w:szCs w:val="20"/>
          <w:color w:val="auto"/>
        </w:rPr>
        <w:t>Paragraph 2 of Exhibit B is hereby restated as follows:</w:t>
      </w:r>
    </w:p>
    <w:p>
      <w:pPr>
        <w:spacing w:after="0" w:line="200" w:lineRule="exact"/>
        <w:rPr>
          <w:sz w:val="20"/>
          <w:szCs w:val="20"/>
          <w:color w:val="auto"/>
        </w:rPr>
      </w:pPr>
    </w:p>
    <w:p>
      <w:pPr>
        <w:spacing w:after="0" w:line="234" w:lineRule="exact"/>
        <w:rPr>
          <w:sz w:val="20"/>
          <w:szCs w:val="20"/>
          <w:color w:val="auto"/>
        </w:rPr>
      </w:pPr>
    </w:p>
    <w:p>
      <w:pPr>
        <w:jc w:val="both"/>
        <w:ind w:left="860"/>
        <w:spacing w:after="0" w:line="277" w:lineRule="auto"/>
        <w:rPr>
          <w:sz w:val="20"/>
          <w:szCs w:val="20"/>
          <w:color w:val="auto"/>
        </w:rPr>
      </w:pPr>
      <w:r>
        <w:rPr>
          <w:rFonts w:ascii="Arial" w:cs="Arial" w:eastAsia="Arial" w:hAnsi="Arial"/>
          <w:sz w:val="17"/>
          <w:szCs w:val="17"/>
          <w:i w:val="1"/>
          <w:iCs w:val="1"/>
          <w:u w:val="single" w:color="auto"/>
          <w:color w:val="auto"/>
        </w:rPr>
        <w:t>ACCELERATED VESTING</w:t>
      </w:r>
      <w:r>
        <w:rPr>
          <w:rFonts w:ascii="Arial" w:cs="Arial" w:eastAsia="Arial" w:hAnsi="Arial"/>
          <w:sz w:val="17"/>
          <w:szCs w:val="17"/>
          <w:i w:val="1"/>
          <w:iCs w:val="1"/>
          <w:color w:val="auto"/>
        </w:rPr>
        <w:t>. In the event of Participant’s death or Disability, Participant will vest in such number of RSUs as is determined by multiplying (a) the number of RSUs scheduled to vest on the next occurring annual vesting date, by (b) (i) the number of months that have elapsed since the previous annual vesting date (or if no annual vesting date has yet occurred, since the Grant Date), divided by (ii) 12. Partial months shall be rounded up to the next whole calendar month for purposes of the numerator in this calculation. In the event the calculation results in a fractional RSU, any fractional RSU will be rounded up to the nearest whole RSU.</w:t>
      </w:r>
    </w:p>
    <w:p>
      <w:pPr>
        <w:spacing w:after="0" w:line="152" w:lineRule="exact"/>
        <w:rPr>
          <w:sz w:val="20"/>
          <w:szCs w:val="20"/>
          <w:color w:val="auto"/>
        </w:rPr>
      </w:pPr>
    </w:p>
    <w:p>
      <w:pPr>
        <w:jc w:val="both"/>
        <w:ind w:left="860"/>
        <w:spacing w:after="0" w:line="241" w:lineRule="auto"/>
        <w:rPr>
          <w:sz w:val="20"/>
          <w:szCs w:val="20"/>
          <w:color w:val="auto"/>
        </w:rPr>
      </w:pPr>
      <w:r>
        <w:rPr>
          <w:rFonts w:ascii="Arial" w:cs="Arial" w:eastAsia="Arial" w:hAnsi="Arial"/>
          <w:sz w:val="19"/>
          <w:szCs w:val="19"/>
          <w:i w:val="1"/>
          <w:iCs w:val="1"/>
          <w:color w:val="auto"/>
        </w:rPr>
        <w:t>The Award shall also be eligible for accelerated vesting as provided in Section 12.2 of the Plan. Notwithstanding the foregoing, and notwithstanding anything to the contrary contained in the Plan, in the event of a Change in Control, if Participant is a party to a Change in Control Severance Agreement with the Company at the time of such Change in Control, and a Qualifying Termination Event has occurred, as defined in the Participant’s Change in Control Severance Agreement, the RSUs shall accelerate, vest and be settled in full immediately prior to such Change in Control.”</w:t>
      </w:r>
    </w:p>
    <w:p>
      <w:pPr>
        <w:spacing w:after="0" w:line="183" w:lineRule="exact"/>
        <w:rPr>
          <w:sz w:val="20"/>
          <w:szCs w:val="20"/>
          <w:color w:val="auto"/>
        </w:rPr>
      </w:pPr>
    </w:p>
    <w:p>
      <w:pPr>
        <w:jc w:val="both"/>
        <w:ind w:left="860"/>
        <w:spacing w:after="0" w:line="277" w:lineRule="auto"/>
        <w:rPr>
          <w:sz w:val="20"/>
          <w:szCs w:val="20"/>
          <w:color w:val="auto"/>
        </w:rPr>
      </w:pPr>
      <w:r>
        <w:rPr>
          <w:rFonts w:ascii="Arial" w:cs="Arial" w:eastAsia="Arial" w:hAnsi="Arial"/>
          <w:sz w:val="17"/>
          <w:szCs w:val="17"/>
          <w:i w:val="1"/>
          <w:iCs w:val="1"/>
          <w:color w:val="auto"/>
        </w:rPr>
        <w:t>For purposes of this Award, “</w:t>
      </w:r>
      <w:r>
        <w:rPr>
          <w:rFonts w:ascii="Arial" w:cs="Arial" w:eastAsia="Arial" w:hAnsi="Arial"/>
          <w:sz w:val="17"/>
          <w:szCs w:val="17"/>
          <w:i w:val="1"/>
          <w:iCs w:val="1"/>
          <w:u w:val="single" w:color="auto"/>
          <w:color w:val="auto"/>
        </w:rPr>
        <w:t>Disability</w:t>
      </w:r>
      <w:r>
        <w:rPr>
          <w:rFonts w:ascii="Arial" w:cs="Arial" w:eastAsia="Arial" w:hAnsi="Arial"/>
          <w:sz w:val="17"/>
          <w:szCs w:val="17"/>
          <w:i w:val="1"/>
          <w:iCs w:val="1"/>
          <w:color w:val="auto"/>
        </w:rPr>
        <w:t>” means Participant (a) is unable to engage in any substantial gainful activity by reason of any medically determinable physical or mental impairment which can be expected to result in death or can be expected to last for a continuous period of not less than 12 months, or (b)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Company or its Subsidiaries.</w:t>
      </w:r>
    </w:p>
    <w:p>
      <w:pPr>
        <w:spacing w:after="0" w:line="152" w:lineRule="exact"/>
        <w:rPr>
          <w:sz w:val="20"/>
          <w:szCs w:val="20"/>
          <w:color w:val="auto"/>
        </w:rPr>
      </w:pPr>
    </w:p>
    <w:p>
      <w:pPr>
        <w:jc w:val="both"/>
        <w:ind w:left="860"/>
        <w:spacing w:after="0" w:line="247" w:lineRule="auto"/>
        <w:rPr>
          <w:sz w:val="20"/>
          <w:szCs w:val="20"/>
          <w:color w:val="auto"/>
        </w:rPr>
      </w:pPr>
      <w:r>
        <w:rPr>
          <w:rFonts w:ascii="Arial" w:cs="Arial" w:eastAsia="Arial" w:hAnsi="Arial"/>
          <w:sz w:val="19"/>
          <w:szCs w:val="19"/>
          <w:i w:val="1"/>
          <w:iCs w:val="1"/>
          <w:color w:val="auto"/>
        </w:rPr>
        <w:t>Notwithstanding anything to the contrary contained herein, in the event of Participant’s Termination of Service due to Retirement, Participant will remain eligible to vest in and receive on the Payment Date the total number of RSUs set forth in the Grant Notice. For purposes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310515</wp:posOffset>
            </wp:positionV>
            <wp:extent cx="7182485" cy="4127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25" w:name="page326"/>
    <w:bookmarkEnd w:id="325"/>
    <w:p>
      <w:pPr>
        <w:ind w:left="10240"/>
        <w:spacing w:after="0"/>
        <w:rPr>
          <w:sz w:val="20"/>
          <w:szCs w:val="20"/>
          <w:color w:val="auto"/>
        </w:rPr>
      </w:pPr>
      <w:r>
        <w:rPr>
          <w:rFonts w:ascii="Arial" w:cs="Arial" w:eastAsia="Arial" w:hAnsi="Arial"/>
          <w:sz w:val="17"/>
          <w:szCs w:val="17"/>
          <w:color w:val="auto"/>
        </w:rPr>
        <w:t>Exhibit 10.48</w:t>
      </w:r>
    </w:p>
    <w:p>
      <w:pPr>
        <w:spacing w:after="0" w:line="35"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this Award, "Retirement" means Participant’s voluntary Termination of Service after having attained age 62, with 10 years of completed</w:t>
      </w:r>
    </w:p>
    <w:p>
      <w:pPr>
        <w:spacing w:after="0" w:line="20" w:lineRule="exact"/>
        <w:rPr>
          <w:sz w:val="20"/>
          <w:szCs w:val="20"/>
          <w:color w:val="auto"/>
        </w:rPr>
      </w:pPr>
    </w:p>
    <w:p>
      <w:pPr>
        <w:ind w:left="860"/>
        <w:spacing w:after="0"/>
        <w:rPr>
          <w:sz w:val="20"/>
          <w:szCs w:val="20"/>
          <w:color w:val="auto"/>
        </w:rPr>
      </w:pPr>
      <w:r>
        <w:rPr>
          <w:rFonts w:ascii="Arial" w:cs="Arial" w:eastAsia="Arial" w:hAnsi="Arial"/>
          <w:sz w:val="19"/>
          <w:szCs w:val="19"/>
          <w:i w:val="1"/>
          <w:iCs w:val="1"/>
          <w:color w:val="auto"/>
        </w:rPr>
        <w:t>service.</w:t>
      </w:r>
    </w:p>
    <w:p>
      <w:pPr>
        <w:spacing w:after="0" w:line="129" w:lineRule="exact"/>
        <w:rPr>
          <w:sz w:val="20"/>
          <w:szCs w:val="20"/>
          <w:color w:val="auto"/>
        </w:rPr>
      </w:pPr>
    </w:p>
    <w:p>
      <w:pPr>
        <w:ind w:firstLine="866"/>
        <w:spacing w:after="0" w:line="265" w:lineRule="auto"/>
        <w:tabs>
          <w:tab w:leader="none" w:pos="1068"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The Agreement, as amended by this Amendment, shall remain in full force and effect in accordance with the terms and conditions thereof. This Amendment may be executed simultaneously in any number of counterparts, each of which shall be deemed an original but all of which together shall constitute one and the same instrument. In the event of any conflict between the original terms of the Agreement and this Amendment, the terms of this Amendment shall prevail.</w:t>
      </w:r>
    </w:p>
    <w:p>
      <w:pPr>
        <w:spacing w:after="0" w:line="100" w:lineRule="exact"/>
        <w:rPr>
          <w:sz w:val="20"/>
          <w:szCs w:val="20"/>
          <w:color w:val="auto"/>
        </w:rPr>
      </w:pPr>
    </w:p>
    <w:p>
      <w:pPr>
        <w:jc w:val="both"/>
        <w:ind w:right="340"/>
        <w:spacing w:after="0" w:line="253" w:lineRule="auto"/>
        <w:rPr>
          <w:sz w:val="20"/>
          <w:szCs w:val="20"/>
          <w:color w:val="auto"/>
        </w:rPr>
      </w:pPr>
      <w:r>
        <w:rPr>
          <w:rFonts w:ascii="Arial" w:cs="Arial" w:eastAsia="Arial" w:hAnsi="Arial"/>
          <w:sz w:val="20"/>
          <w:szCs w:val="20"/>
          <w:color w:val="auto"/>
        </w:rPr>
        <w:t>THE PARTIES TO THIS AMENDMENT HAVE READ THE FOREGOING AMENDMENT AND FULLY UNDERSTAND EACH AND EVERY PROVISION CONTAINED HEREIN. WHEREFORE, THE PARTIES HAVE EXECUTED THIS AMENDMENT ON THE DATES SHOWN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880" w:type="dxa"/>
            <w:vAlign w:val="bottom"/>
          </w:tcPr>
          <w:p>
            <w:pPr>
              <w:spacing w:after="0"/>
              <w:rPr>
                <w:sz w:val="22"/>
                <w:szCs w:val="22"/>
                <w:color w:val="auto"/>
              </w:rPr>
            </w:pPr>
          </w:p>
        </w:tc>
        <w:tc>
          <w:tcPr>
            <w:tcW w:w="5400" w:type="dxa"/>
            <w:vAlign w:val="bottom"/>
          </w:tcPr>
          <w:p>
            <w:pPr>
              <w:ind w:left="1140"/>
              <w:spacing w:after="0"/>
              <w:rPr>
                <w:sz w:val="20"/>
                <w:szCs w:val="20"/>
                <w:color w:val="auto"/>
              </w:rPr>
            </w:pPr>
            <w:r>
              <w:rPr>
                <w:rFonts w:ascii="Arial" w:cs="Arial" w:eastAsia="Arial" w:hAnsi="Arial"/>
                <w:sz w:val="20"/>
                <w:szCs w:val="20"/>
                <w:color w:val="auto"/>
              </w:rPr>
              <w:t>EMPLOYEE</w:t>
            </w:r>
          </w:p>
        </w:tc>
        <w:tc>
          <w:tcPr>
            <w:tcW w:w="0" w:type="dxa"/>
            <w:vAlign w:val="bottom"/>
          </w:tcPr>
          <w:p>
            <w:pPr>
              <w:spacing w:after="0"/>
              <w:rPr>
                <w:sz w:val="1"/>
                <w:szCs w:val="1"/>
                <w:color w:val="auto"/>
              </w:rPr>
            </w:pPr>
          </w:p>
        </w:tc>
      </w:tr>
      <w:tr>
        <w:trPr>
          <w:trHeight w:val="654"/>
        </w:trPr>
        <w:tc>
          <w:tcPr>
            <w:tcW w:w="3880" w:type="dxa"/>
            <w:vAlign w:val="bottom"/>
          </w:tcPr>
          <w:p>
            <w:pPr>
              <w:spacing w:after="0"/>
              <w:rPr>
                <w:sz w:val="20"/>
                <w:szCs w:val="20"/>
                <w:color w:val="auto"/>
              </w:rPr>
            </w:pPr>
            <w:r>
              <w:rPr>
                <w:rFonts w:ascii="Arial" w:cs="Arial" w:eastAsia="Arial" w:hAnsi="Arial"/>
                <w:sz w:val="20"/>
                <w:szCs w:val="20"/>
                <w:color w:val="auto"/>
              </w:rPr>
              <w:t>Dated: _____________________</w:t>
            </w:r>
          </w:p>
        </w:tc>
        <w:tc>
          <w:tcPr>
            <w:tcW w:w="5400" w:type="dxa"/>
            <w:vAlign w:val="bottom"/>
          </w:tcPr>
          <w:p>
            <w:pPr>
              <w:ind w:left="1140"/>
              <w:spacing w:after="0"/>
              <w:rPr>
                <w:sz w:val="20"/>
                <w:szCs w:val="20"/>
                <w:color w:val="auto"/>
              </w:rPr>
            </w:pPr>
            <w:r>
              <w:rPr>
                <w:rFonts w:ascii="Arial" w:cs="Arial" w:eastAsia="Arial" w:hAnsi="Arial"/>
                <w:sz w:val="20"/>
                <w:szCs w:val="20"/>
                <w:color w:val="auto"/>
                <w:w w:val="91"/>
              </w:rPr>
              <w:t>By:_______________________________________</w:t>
            </w:r>
          </w:p>
        </w:tc>
        <w:tc>
          <w:tcPr>
            <w:tcW w:w="0" w:type="dxa"/>
            <w:vAlign w:val="bottom"/>
          </w:tcPr>
          <w:p>
            <w:pPr>
              <w:spacing w:after="0"/>
              <w:rPr>
                <w:sz w:val="1"/>
                <w:szCs w:val="1"/>
                <w:color w:val="auto"/>
              </w:rPr>
            </w:pPr>
          </w:p>
        </w:tc>
      </w:tr>
      <w:tr>
        <w:trPr>
          <w:trHeight w:val="259"/>
        </w:trPr>
        <w:tc>
          <w:tcPr>
            <w:tcW w:w="3880" w:type="dxa"/>
            <w:vAlign w:val="bottom"/>
          </w:tcPr>
          <w:p>
            <w:pPr>
              <w:spacing w:after="0"/>
              <w:rPr>
                <w:sz w:val="22"/>
                <w:szCs w:val="22"/>
                <w:color w:val="auto"/>
              </w:rPr>
            </w:pPr>
          </w:p>
        </w:tc>
        <w:tc>
          <w:tcPr>
            <w:tcW w:w="5400" w:type="dxa"/>
            <w:vAlign w:val="bottom"/>
          </w:tcPr>
          <w:p>
            <w:pPr>
              <w:ind w:left="1140"/>
              <w:spacing w:after="0"/>
              <w:rPr>
                <w:sz w:val="20"/>
                <w:szCs w:val="20"/>
                <w:color w:val="auto"/>
              </w:rPr>
            </w:pPr>
            <w:r>
              <w:rPr>
                <w:rFonts w:ascii="Arial" w:cs="Arial" w:eastAsia="Arial" w:hAnsi="Arial"/>
                <w:sz w:val="20"/>
                <w:szCs w:val="20"/>
                <w:color w:val="auto"/>
              </w:rPr>
              <w:t>David Spille</w:t>
            </w:r>
          </w:p>
        </w:tc>
        <w:tc>
          <w:tcPr>
            <w:tcW w:w="0" w:type="dxa"/>
            <w:vAlign w:val="bottom"/>
          </w:tcPr>
          <w:p>
            <w:pPr>
              <w:spacing w:after="0"/>
              <w:rPr>
                <w:sz w:val="1"/>
                <w:szCs w:val="1"/>
                <w:color w:val="auto"/>
              </w:rPr>
            </w:pPr>
          </w:p>
        </w:tc>
      </w:tr>
      <w:tr>
        <w:trPr>
          <w:trHeight w:val="456"/>
        </w:trPr>
        <w:tc>
          <w:tcPr>
            <w:tcW w:w="3880" w:type="dxa"/>
            <w:vAlign w:val="bottom"/>
          </w:tcPr>
          <w:p>
            <w:pPr>
              <w:spacing w:after="0"/>
              <w:rPr>
                <w:sz w:val="24"/>
                <w:szCs w:val="24"/>
                <w:color w:val="auto"/>
              </w:rPr>
            </w:pPr>
          </w:p>
        </w:tc>
        <w:tc>
          <w:tcPr>
            <w:tcW w:w="5400" w:type="dxa"/>
            <w:vAlign w:val="bottom"/>
          </w:tcPr>
          <w:p>
            <w:pPr>
              <w:ind w:left="1140"/>
              <w:spacing w:after="0"/>
              <w:rPr>
                <w:sz w:val="20"/>
                <w:szCs w:val="20"/>
                <w:color w:val="auto"/>
              </w:rPr>
            </w:pPr>
            <w:r>
              <w:rPr>
                <w:rFonts w:ascii="Arial" w:cs="Arial" w:eastAsia="Arial" w:hAnsi="Arial"/>
                <w:sz w:val="20"/>
                <w:szCs w:val="20"/>
                <w:color w:val="auto"/>
              </w:rPr>
              <w:t>PARSONS CORPORATION</w:t>
            </w:r>
          </w:p>
        </w:tc>
        <w:tc>
          <w:tcPr>
            <w:tcW w:w="0" w:type="dxa"/>
            <w:vAlign w:val="bottom"/>
          </w:tcPr>
          <w:p>
            <w:pPr>
              <w:spacing w:after="0"/>
              <w:rPr>
                <w:sz w:val="1"/>
                <w:szCs w:val="1"/>
                <w:color w:val="auto"/>
              </w:rPr>
            </w:pPr>
          </w:p>
        </w:tc>
      </w:tr>
      <w:tr>
        <w:trPr>
          <w:trHeight w:val="781"/>
        </w:trPr>
        <w:tc>
          <w:tcPr>
            <w:tcW w:w="3880" w:type="dxa"/>
            <w:vAlign w:val="bottom"/>
            <w:vMerge w:val="restart"/>
          </w:tcPr>
          <w:p>
            <w:pPr>
              <w:spacing w:after="0"/>
              <w:rPr>
                <w:sz w:val="20"/>
                <w:szCs w:val="20"/>
                <w:color w:val="auto"/>
              </w:rPr>
            </w:pPr>
            <w:r>
              <w:rPr>
                <w:rFonts w:ascii="Arial" w:cs="Arial" w:eastAsia="Arial" w:hAnsi="Arial"/>
                <w:sz w:val="20"/>
                <w:szCs w:val="20"/>
                <w:color w:val="auto"/>
              </w:rPr>
              <w:t>Dated: January 26, 2022</w:t>
            </w:r>
          </w:p>
        </w:tc>
        <w:tc>
          <w:tcPr>
            <w:tcW w:w="5400" w:type="dxa"/>
            <w:vAlign w:val="bottom"/>
          </w:tcPr>
          <w:p>
            <w:pPr>
              <w:ind w:left="1140"/>
              <w:spacing w:after="0"/>
              <w:rPr>
                <w:sz w:val="20"/>
                <w:szCs w:val="20"/>
                <w:color w:val="auto"/>
              </w:rPr>
            </w:pPr>
            <w:r>
              <w:rPr>
                <w:rFonts w:ascii="Arial" w:cs="Arial" w:eastAsia="Arial" w:hAnsi="Arial"/>
                <w:sz w:val="20"/>
                <w:szCs w:val="20"/>
                <w:color w:val="auto"/>
              </w:rPr>
              <w:t>Susan Balaguer</w:t>
            </w:r>
          </w:p>
        </w:tc>
        <w:tc>
          <w:tcPr>
            <w:tcW w:w="0" w:type="dxa"/>
            <w:vAlign w:val="bottom"/>
          </w:tcPr>
          <w:p>
            <w:pPr>
              <w:spacing w:after="0"/>
              <w:rPr>
                <w:sz w:val="1"/>
                <w:szCs w:val="1"/>
                <w:color w:val="auto"/>
              </w:rPr>
            </w:pPr>
          </w:p>
        </w:tc>
      </w:tr>
      <w:tr>
        <w:trPr>
          <w:trHeight w:val="132"/>
        </w:trPr>
        <w:tc>
          <w:tcPr>
            <w:tcW w:w="3880" w:type="dxa"/>
            <w:vAlign w:val="bottom"/>
            <w:vMerge w:val="continue"/>
          </w:tcPr>
          <w:p>
            <w:pPr>
              <w:spacing w:after="0"/>
              <w:rPr>
                <w:sz w:val="11"/>
                <w:szCs w:val="11"/>
                <w:color w:val="auto"/>
              </w:rPr>
            </w:pPr>
          </w:p>
        </w:tc>
        <w:tc>
          <w:tcPr>
            <w:tcW w:w="5400" w:type="dxa"/>
            <w:vAlign w:val="bottom"/>
            <w:vMerge w:val="restart"/>
          </w:tcPr>
          <w:p>
            <w:pPr>
              <w:ind w:left="1140"/>
              <w:spacing w:after="0"/>
              <w:rPr>
                <w:sz w:val="20"/>
                <w:szCs w:val="20"/>
                <w:color w:val="auto"/>
              </w:rPr>
            </w:pPr>
            <w:r>
              <w:rPr>
                <w:rFonts w:ascii="Arial" w:cs="Arial" w:eastAsia="Arial" w:hAnsi="Arial"/>
                <w:sz w:val="20"/>
                <w:szCs w:val="20"/>
                <w:color w:val="auto"/>
              </w:rPr>
              <w:t>Chief Human Resources Officer</w:t>
            </w:r>
          </w:p>
        </w:tc>
        <w:tc>
          <w:tcPr>
            <w:tcW w:w="0" w:type="dxa"/>
            <w:vAlign w:val="bottom"/>
          </w:tcPr>
          <w:p>
            <w:pPr>
              <w:spacing w:after="0"/>
              <w:rPr>
                <w:sz w:val="1"/>
                <w:szCs w:val="1"/>
                <w:color w:val="auto"/>
              </w:rPr>
            </w:pPr>
          </w:p>
        </w:tc>
      </w:tr>
      <w:tr>
        <w:trPr>
          <w:trHeight w:val="127"/>
        </w:trPr>
        <w:tc>
          <w:tcPr>
            <w:tcW w:w="3880" w:type="dxa"/>
            <w:vAlign w:val="bottom"/>
          </w:tcPr>
          <w:p>
            <w:pPr>
              <w:spacing w:after="0"/>
              <w:rPr>
                <w:sz w:val="11"/>
                <w:szCs w:val="11"/>
                <w:color w:val="auto"/>
              </w:rPr>
            </w:pPr>
          </w:p>
        </w:tc>
        <w:tc>
          <w:tcPr>
            <w:tcW w:w="5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3188970</wp:posOffset>
            </wp:positionH>
            <wp:positionV relativeFrom="paragraph">
              <wp:posOffset>-665480</wp:posOffset>
            </wp:positionV>
            <wp:extent cx="1891665" cy="37020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9">
                      <a:extLst>
                        <a:ext uri="{28A0092B-C50C-407E-A947-70E740481C1C}"/>
                      </a:extLst>
                    </a:blip>
                    <a:srcRect/>
                    <a:stretch>
                      <a:fillRect/>
                    </a:stretch>
                  </pic:blipFill>
                  <pic:spPr bwMode="auto">
                    <a:xfrm>
                      <a:off x="0" y="0"/>
                      <a:ext cx="1891665" cy="3702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26" w:name="page327"/>
    <w:bookmarkEnd w:id="326"/>
    <w:p>
      <w:pPr>
        <w:jc w:val="right"/>
        <w:spacing w:after="0"/>
        <w:rPr>
          <w:sz w:val="20"/>
          <w:szCs w:val="20"/>
          <w:color w:val="auto"/>
        </w:rPr>
      </w:pPr>
      <w:r>
        <w:rPr>
          <w:rFonts w:ascii="Arial" w:cs="Arial" w:eastAsia="Arial" w:hAnsi="Arial"/>
          <w:sz w:val="20"/>
          <w:szCs w:val="20"/>
          <w:color w:val="auto"/>
        </w:rPr>
        <w:t>Exhibit 10.60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FOURTH AMENDMENT TO THE</w:t>
      </w:r>
    </w:p>
    <w:p>
      <w:pPr>
        <w:jc w:val="center"/>
        <w:spacing w:after="0"/>
        <w:rPr>
          <w:sz w:val="20"/>
          <w:szCs w:val="20"/>
          <w:color w:val="auto"/>
        </w:rPr>
      </w:pPr>
      <w:r>
        <w:rPr>
          <w:rFonts w:ascii="Arial" w:cs="Arial" w:eastAsia="Arial" w:hAnsi="Arial"/>
          <w:sz w:val="20"/>
          <w:szCs w:val="20"/>
          <w:b w:val="1"/>
          <w:bCs w:val="1"/>
          <w:color w:val="auto"/>
        </w:rPr>
        <w:t>PARSONS EMPLOYEE STOCK OWNERSHIP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2019 AMENDMENT AND RESTATEMENT</w:t>
      </w:r>
    </w:p>
    <w:p>
      <w:pPr>
        <w:spacing w:after="0" w:line="179" w:lineRule="exact"/>
        <w:rPr>
          <w:sz w:val="20"/>
          <w:szCs w:val="20"/>
          <w:color w:val="auto"/>
        </w:rPr>
      </w:pPr>
    </w:p>
    <w:p>
      <w:pPr>
        <w:ind w:firstLine="865"/>
        <w:spacing w:after="0" w:line="268" w:lineRule="auto"/>
        <w:rPr>
          <w:sz w:val="20"/>
          <w:szCs w:val="20"/>
          <w:color w:val="auto"/>
        </w:rPr>
      </w:pPr>
      <w:r>
        <w:rPr>
          <w:rFonts w:ascii="Arial" w:cs="Arial" w:eastAsia="Arial" w:hAnsi="Arial"/>
          <w:sz w:val="20"/>
          <w:szCs w:val="20"/>
          <w:color w:val="auto"/>
        </w:rPr>
        <w:t>The Parsons Employee Stock Ownership Plan 2019 Amendment and Restatement (as amended, the “</w:t>
      </w:r>
      <w:r>
        <w:rPr>
          <w:rFonts w:ascii="Arial" w:cs="Arial" w:eastAsia="Arial" w:hAnsi="Arial"/>
          <w:sz w:val="20"/>
          <w:szCs w:val="20"/>
          <w:u w:val="single" w:color="auto"/>
          <w:color w:val="auto"/>
        </w:rPr>
        <w:t>Plan</w:t>
      </w:r>
      <w:r>
        <w:rPr>
          <w:rFonts w:ascii="Arial" w:cs="Arial" w:eastAsia="Arial" w:hAnsi="Arial"/>
          <w:sz w:val="20"/>
          <w:szCs w:val="20"/>
          <w:color w:val="auto"/>
        </w:rPr>
        <w:t>”) is hereby amended as follows, in each case, effective as of the dates indicated below:</w:t>
      </w:r>
    </w:p>
    <w:p>
      <w:pPr>
        <w:spacing w:after="0" w:line="146" w:lineRule="exact"/>
        <w:rPr>
          <w:sz w:val="20"/>
          <w:szCs w:val="20"/>
          <w:color w:val="auto"/>
        </w:rPr>
      </w:pPr>
    </w:p>
    <w:p>
      <w:pPr>
        <w:ind w:left="860" w:hanging="859"/>
        <w:spacing w:after="0" w:line="268" w:lineRule="auto"/>
        <w:tabs>
          <w:tab w:leader="none" w:pos="860" w:val="left"/>
        </w:tabs>
        <w:numPr>
          <w:ilvl w:val="0"/>
          <w:numId w:val="206"/>
        </w:numPr>
        <w:rPr>
          <w:rFonts w:ascii="Arial" w:cs="Arial" w:eastAsia="Arial" w:hAnsi="Arial"/>
          <w:sz w:val="20"/>
          <w:szCs w:val="20"/>
          <w:color w:val="auto"/>
        </w:rPr>
      </w:pPr>
      <w:r>
        <w:rPr>
          <w:rFonts w:ascii="Arial" w:cs="Arial" w:eastAsia="Arial" w:hAnsi="Arial"/>
          <w:sz w:val="20"/>
          <w:szCs w:val="20"/>
          <w:color w:val="auto"/>
        </w:rPr>
        <w:t>With respect to initial distribution requests, effective March 1, 2021, Section 8.2 of the Plan is hereby amended to replace, in each instance, “$20,001” with “$500,001”.</w:t>
      </w:r>
    </w:p>
    <w:p>
      <w:pPr>
        <w:spacing w:after="0" w:line="145" w:lineRule="exact"/>
        <w:rPr>
          <w:rFonts w:ascii="Arial" w:cs="Arial" w:eastAsia="Arial" w:hAnsi="Arial"/>
          <w:sz w:val="20"/>
          <w:szCs w:val="20"/>
          <w:color w:val="auto"/>
        </w:rPr>
      </w:pPr>
    </w:p>
    <w:p>
      <w:pPr>
        <w:ind w:left="860" w:hanging="859"/>
        <w:spacing w:after="0" w:line="268" w:lineRule="auto"/>
        <w:tabs>
          <w:tab w:leader="none" w:pos="860" w:val="left"/>
        </w:tabs>
        <w:numPr>
          <w:ilvl w:val="0"/>
          <w:numId w:val="206"/>
        </w:numPr>
        <w:rPr>
          <w:rFonts w:ascii="Arial" w:cs="Arial" w:eastAsia="Arial" w:hAnsi="Arial"/>
          <w:sz w:val="20"/>
          <w:szCs w:val="20"/>
          <w:color w:val="auto"/>
        </w:rPr>
      </w:pPr>
      <w:r>
        <w:rPr>
          <w:rFonts w:ascii="Arial" w:cs="Arial" w:eastAsia="Arial" w:hAnsi="Arial"/>
          <w:sz w:val="20"/>
          <w:szCs w:val="20"/>
          <w:color w:val="auto"/>
        </w:rPr>
        <w:t>With respect to initial distribution requests, effective March 1, 2021, Section 8.2 of the Plan is hereby amended to replace, in each instance, “$40,000” with “$750,000”.</w:t>
      </w:r>
    </w:p>
    <w:p>
      <w:pPr>
        <w:spacing w:after="0" w:line="145" w:lineRule="exact"/>
        <w:rPr>
          <w:rFonts w:ascii="Arial" w:cs="Arial" w:eastAsia="Arial" w:hAnsi="Arial"/>
          <w:sz w:val="20"/>
          <w:szCs w:val="20"/>
          <w:color w:val="auto"/>
        </w:rPr>
      </w:pPr>
    </w:p>
    <w:p>
      <w:pPr>
        <w:jc w:val="both"/>
        <w:ind w:left="860" w:hanging="859"/>
        <w:spacing w:after="0" w:line="254" w:lineRule="auto"/>
        <w:tabs>
          <w:tab w:leader="none" w:pos="860" w:val="left"/>
        </w:tabs>
        <w:numPr>
          <w:ilvl w:val="0"/>
          <w:numId w:val="206"/>
        </w:numPr>
        <w:rPr>
          <w:rFonts w:ascii="Arial" w:cs="Arial" w:eastAsia="Arial" w:hAnsi="Arial"/>
          <w:sz w:val="19"/>
          <w:szCs w:val="19"/>
          <w:color w:val="auto"/>
        </w:rPr>
      </w:pPr>
      <w:r>
        <w:rPr>
          <w:rFonts w:ascii="Arial" w:cs="Arial" w:eastAsia="Arial" w:hAnsi="Arial"/>
          <w:sz w:val="19"/>
          <w:szCs w:val="19"/>
          <w:color w:val="auto"/>
        </w:rPr>
        <w:t>Effective July 1, 2021, the amendments to the thresholds for installment distributions described above shall be implemented with respect to all Participants who previously elected to receive installment distributions. Each Participant who previously elected installment distributions and has, prior to July 1, 2021, received payment of at least one installment, but who has not received full payment of their Account balance shall have the opportunity to elect, prior to May 31, 2021, to continue to receive installment payments in accordance with the Participant’s existing payment election. Any such Participant who does affirmatively elect to continue to receive payments in accordance with their existing installment payment election prior to May 31, 2021 shall continue receiving subsequent installments in the anniversary month of their initial distribution. Any such Participant who does not affirmatively elect to continue to receive payments in accordance with their existing installment payment election prior to May 31, 2021 shall, to the extent applicable, (i) receive an additional distribution on or about July 15, 2021 equal to the amounts that would have been distributed prior to that date if the amended thresholds for installment distributions described above had been in effect at the time of the Participant’s initial distribution request and (ii) have the number of remaining installment payments reduced to match the number of installments the Participant could have elected if the amended thresholds for installment distributions described above had been in effect at the time of the Participant’s initial distribution request.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128270</wp:posOffset>
            </wp:positionV>
            <wp:extent cx="7182485" cy="4127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0">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27" w:name="page328"/>
    <w:bookmarkEnd w:id="327"/>
    <w:p>
      <w:pPr>
        <w:spacing w:after="0"/>
        <w:rPr>
          <w:sz w:val="20"/>
          <w:szCs w:val="20"/>
          <w:color w:val="auto"/>
        </w:rPr>
      </w:pPr>
      <w:r>
        <w:rPr>
          <w:rFonts w:ascii="Arial" w:cs="Arial" w:eastAsia="Arial" w:hAnsi="Arial"/>
          <w:sz w:val="19"/>
          <w:szCs w:val="19"/>
          <w:color w:val="auto"/>
        </w:rPr>
        <w:t>IN WITNESS WHEREOF, this instrument of amendment is executed this ______ day of February, 2021.</w:t>
      </w:r>
    </w:p>
    <w:p>
      <w:pPr>
        <w:spacing w:after="0" w:line="17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PARSONS CORPORATION</w:t>
      </w:r>
    </w:p>
    <w:p>
      <w:pPr>
        <w:spacing w:after="0" w:line="17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w:t>
      </w:r>
    </w:p>
    <w:p>
      <w:pPr>
        <w:spacing w:after="0" w:line="163"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Name:</w:t>
      </w:r>
    </w:p>
    <w:p>
      <w:pPr>
        <w:spacing w:after="0" w:line="20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Signature Page to the Fourth Amendment</w:t>
      </w:r>
    </w:p>
    <w:p>
      <w:pPr>
        <w:spacing w:after="0" w:line="19"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to the Parsons Employee Stock Ownership Plan</w:t>
      </w:r>
    </w:p>
    <w:p>
      <w:pPr>
        <w:spacing w:after="0" w:line="7"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2019 Amendment and Restatement</w:t>
      </w:r>
    </w:p>
    <w:p>
      <w:pPr>
        <w:sectPr>
          <w:pgSz w:w="11900" w:h="16838" w:orient="portrait"/>
          <w:cols w:equalWidth="0" w:num="1">
            <w:col w:w="10139"/>
          </w:cols>
          <w:pgMar w:left="320" w:top="511" w:right="1440" w:bottom="1440" w:gutter="0" w:footer="0" w:header="0"/>
        </w:sectPr>
      </w:pPr>
    </w:p>
    <w:bookmarkStart w:id="328" w:name="page329"/>
    <w:bookmarkEnd w:id="328"/>
    <w:p>
      <w:pPr>
        <w:jc w:val="right"/>
        <w:spacing w:after="0"/>
        <w:rPr>
          <w:sz w:val="20"/>
          <w:szCs w:val="20"/>
          <w:color w:val="auto"/>
        </w:rPr>
      </w:pPr>
      <w:r>
        <w:rPr>
          <w:rFonts w:ascii="Arial" w:cs="Arial" w:eastAsia="Arial" w:hAnsi="Arial"/>
          <w:sz w:val="20"/>
          <w:szCs w:val="20"/>
          <w:color w:val="auto"/>
        </w:rPr>
        <w:t>Exhibit 10.62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CONFIDENTIAL TRANSITION AGREEMENT</w:t>
      </w:r>
    </w:p>
    <w:p>
      <w:pPr>
        <w:spacing w:after="0" w:line="382" w:lineRule="exact"/>
        <w:rPr>
          <w:sz w:val="20"/>
          <w:szCs w:val="20"/>
          <w:color w:val="auto"/>
        </w:rPr>
      </w:pPr>
    </w:p>
    <w:p>
      <w:pPr>
        <w:ind w:right="480" w:firstLine="865"/>
        <w:spacing w:after="0" w:line="272" w:lineRule="auto"/>
        <w:rPr>
          <w:sz w:val="20"/>
          <w:szCs w:val="20"/>
          <w:color w:val="auto"/>
        </w:rPr>
      </w:pPr>
      <w:r>
        <w:rPr>
          <w:rFonts w:ascii="Arial" w:cs="Arial" w:eastAsia="Arial" w:hAnsi="Arial"/>
          <w:sz w:val="20"/>
          <w:szCs w:val="20"/>
          <w:color w:val="auto"/>
        </w:rPr>
        <w:t>This Confidential Transition Agreement (the “</w:t>
      </w:r>
      <w:r>
        <w:rPr>
          <w:rFonts w:ascii="Arial" w:cs="Arial" w:eastAsia="Arial" w:hAnsi="Arial"/>
          <w:sz w:val="20"/>
          <w:szCs w:val="20"/>
          <w:b w:val="1"/>
          <w:bCs w:val="1"/>
          <w:color w:val="auto"/>
        </w:rPr>
        <w:t>Agreement</w:t>
      </w:r>
      <w:r>
        <w:rPr>
          <w:rFonts w:ascii="Arial" w:cs="Arial" w:eastAsia="Arial" w:hAnsi="Arial"/>
          <w:sz w:val="20"/>
          <w:szCs w:val="20"/>
          <w:color w:val="auto"/>
        </w:rPr>
        <w:t>”) is entered into this ___ day of February 2022 by and between Parsons Corporation (the “</w:t>
      </w:r>
      <w:r>
        <w:rPr>
          <w:rFonts w:ascii="Arial" w:cs="Arial" w:eastAsia="Arial" w:hAnsi="Arial"/>
          <w:sz w:val="20"/>
          <w:szCs w:val="20"/>
          <w:b w:val="1"/>
          <w:bCs w:val="1"/>
          <w:color w:val="auto"/>
        </w:rPr>
        <w:t>Company</w:t>
      </w:r>
      <w:r>
        <w:rPr>
          <w:rFonts w:ascii="Arial" w:cs="Arial" w:eastAsia="Arial" w:hAnsi="Arial"/>
          <w:sz w:val="20"/>
          <w:szCs w:val="20"/>
          <w:color w:val="auto"/>
        </w:rPr>
        <w:t>”) and Charles L. Harrington (the “</w:t>
      </w:r>
      <w:r>
        <w:rPr>
          <w:rFonts w:ascii="Arial" w:cs="Arial" w:eastAsia="Arial" w:hAnsi="Arial"/>
          <w:sz w:val="20"/>
          <w:szCs w:val="20"/>
          <w:b w:val="1"/>
          <w:bCs w:val="1"/>
          <w:color w:val="auto"/>
        </w:rPr>
        <w:t>Executive</w:t>
      </w:r>
      <w:r>
        <w:rPr>
          <w:rFonts w:ascii="Arial" w:cs="Arial" w:eastAsia="Arial" w:hAnsi="Arial"/>
          <w:sz w:val="20"/>
          <w:szCs w:val="20"/>
          <w:color w:val="auto"/>
        </w:rPr>
        <w: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r>
        <w:rPr>
          <w:rFonts w:ascii="Arial" w:cs="Arial" w:eastAsia="Arial" w:hAnsi="Arial"/>
          <w:sz w:val="20"/>
          <w:szCs w:val="20"/>
          <w:color w:val="auto"/>
        </w:rPr>
        <w:t>:</w:t>
      </w:r>
    </w:p>
    <w:p>
      <w:pPr>
        <w:spacing w:after="0" w:line="205" w:lineRule="exact"/>
        <w:rPr>
          <w:sz w:val="20"/>
          <w:szCs w:val="20"/>
          <w:color w:val="auto"/>
        </w:rPr>
      </w:pPr>
    </w:p>
    <w:p>
      <w:pPr>
        <w:ind w:right="760" w:firstLine="865"/>
        <w:spacing w:after="0" w:line="268" w:lineRule="auto"/>
        <w:rPr>
          <w:sz w:val="20"/>
          <w:szCs w:val="20"/>
          <w:color w:val="auto"/>
        </w:rPr>
      </w:pPr>
      <w:r>
        <w:rPr>
          <w:rFonts w:ascii="Arial" w:cs="Arial" w:eastAsia="Arial" w:hAnsi="Arial"/>
          <w:sz w:val="20"/>
          <w:szCs w:val="20"/>
          <w:color w:val="auto"/>
        </w:rPr>
        <w:t>WHEREAS, the Company desires to offer the Executive the benefits set forth in this Agreement and to provide for the transition of Executive on the terms and conditions set forth in this Agreement.</w:t>
      </w:r>
    </w:p>
    <w:p>
      <w:pPr>
        <w:spacing w:after="0" w:line="146" w:lineRule="exact"/>
        <w:rPr>
          <w:sz w:val="20"/>
          <w:szCs w:val="20"/>
          <w:color w:val="auto"/>
        </w:rPr>
      </w:pPr>
    </w:p>
    <w:p>
      <w:pPr>
        <w:ind w:right="440" w:firstLine="865"/>
        <w:spacing w:after="0" w:line="294" w:lineRule="auto"/>
        <w:rPr>
          <w:sz w:val="20"/>
          <w:szCs w:val="20"/>
          <w:color w:val="auto"/>
        </w:rPr>
      </w:pPr>
      <w:r>
        <w:rPr>
          <w:rFonts w:ascii="Arial" w:cs="Arial" w:eastAsia="Arial" w:hAnsi="Arial"/>
          <w:sz w:val="19"/>
          <w:szCs w:val="19"/>
          <w:color w:val="auto"/>
        </w:rPr>
        <w:t>NOW, THEREFORE, in consideration of the covenants set forth herein and for other good and valuable consideration, the receipt and adequacy of which are hereby acknowledged, the parties, intending to be legally bound, agree as follows:</w:t>
      </w:r>
    </w:p>
    <w:p>
      <w:pPr>
        <w:spacing w:after="0" w:line="120" w:lineRule="exact"/>
        <w:rPr>
          <w:sz w:val="20"/>
          <w:szCs w:val="20"/>
          <w:color w:val="auto"/>
        </w:rPr>
      </w:pPr>
    </w:p>
    <w:p>
      <w:pPr>
        <w:ind w:right="100" w:firstLine="866"/>
        <w:spacing w:after="0" w:line="258" w:lineRule="auto"/>
        <w:tabs>
          <w:tab w:leader="none" w:pos="1625" w:val="left"/>
        </w:tabs>
        <w:numPr>
          <w:ilvl w:val="0"/>
          <w:numId w:val="207"/>
        </w:numPr>
        <w:rPr>
          <w:rFonts w:ascii="Arial" w:cs="Arial" w:eastAsia="Arial" w:hAnsi="Arial"/>
          <w:sz w:val="19"/>
          <w:szCs w:val="19"/>
          <w:color w:val="auto"/>
        </w:rPr>
      </w:pPr>
      <w:r>
        <w:rPr>
          <w:rFonts w:ascii="Arial" w:cs="Arial" w:eastAsia="Arial" w:hAnsi="Arial"/>
          <w:sz w:val="19"/>
          <w:szCs w:val="19"/>
          <w:u w:val="single" w:color="auto"/>
          <w:color w:val="auto"/>
        </w:rPr>
        <w:t>Period of Employment</w:t>
      </w:r>
      <w:r>
        <w:rPr>
          <w:rFonts w:ascii="Arial" w:cs="Arial" w:eastAsia="Arial" w:hAnsi="Arial"/>
          <w:sz w:val="19"/>
          <w:szCs w:val="19"/>
          <w:color w:val="auto"/>
        </w:rPr>
        <w:t>. The “</w:t>
      </w:r>
      <w:r>
        <w:rPr>
          <w:rFonts w:ascii="Arial" w:cs="Arial" w:eastAsia="Arial" w:hAnsi="Arial"/>
          <w:sz w:val="19"/>
          <w:szCs w:val="19"/>
          <w:b w:val="1"/>
          <w:bCs w:val="1"/>
          <w:color w:val="auto"/>
        </w:rPr>
        <w:t>Period of Employment</w:t>
      </w:r>
      <w:r>
        <w:rPr>
          <w:rFonts w:ascii="Arial" w:cs="Arial" w:eastAsia="Arial" w:hAnsi="Arial"/>
          <w:sz w:val="19"/>
          <w:szCs w:val="19"/>
          <w:color w:val="auto"/>
        </w:rPr>
        <w:t>” shall end on April 14, 2022 (the “</w:t>
      </w:r>
      <w:r>
        <w:rPr>
          <w:rFonts w:ascii="Arial" w:cs="Arial" w:eastAsia="Arial" w:hAnsi="Arial"/>
          <w:sz w:val="19"/>
          <w:szCs w:val="19"/>
          <w:b w:val="1"/>
          <w:bCs w:val="1"/>
          <w:color w:val="auto"/>
        </w:rPr>
        <w:t>Termination Date</w:t>
      </w:r>
      <w:r>
        <w:rPr>
          <w:rFonts w:ascii="Arial" w:cs="Arial" w:eastAsia="Arial" w:hAnsi="Arial"/>
          <w:sz w:val="19"/>
          <w:szCs w:val="19"/>
          <w:color w:val="auto"/>
        </w:rPr>
        <w:t>”) with the Executive’s retirement from the Company and from all positions, offices, and/or directorships in the Company and its affiliates. Unless earlier terminated pursuant to Section 4, the Executive and the Company agree that the Executive’s employment by the Company shall terminate effective as of the Termination Date. Effective as of the date of the execution of this Agreement, the Change in Control Severance Agreement the Executive entered into with the Company on August 9, 2021 (the “</w:t>
      </w:r>
      <w:r>
        <w:rPr>
          <w:rFonts w:ascii="Arial" w:cs="Arial" w:eastAsia="Arial" w:hAnsi="Arial"/>
          <w:sz w:val="19"/>
          <w:szCs w:val="19"/>
          <w:b w:val="1"/>
          <w:bCs w:val="1"/>
          <w:color w:val="auto"/>
        </w:rPr>
        <w:t>CIC Agreement</w:t>
      </w:r>
      <w:r>
        <w:rPr>
          <w:rFonts w:ascii="Arial" w:cs="Arial" w:eastAsia="Arial" w:hAnsi="Arial"/>
          <w:sz w:val="19"/>
          <w:szCs w:val="19"/>
          <w:color w:val="auto"/>
        </w:rPr>
        <w:t>”) and any other employment agreement(s), change in control agreements, severance or similar agreements between the Executive and the Company or its affiliates be, and they hereby are, terminated effective as of the date hereof.</w:t>
      </w:r>
    </w:p>
    <w:p>
      <w:pPr>
        <w:spacing w:after="0" w:line="58" w:lineRule="exact"/>
        <w:rPr>
          <w:rFonts w:ascii="Arial" w:cs="Arial" w:eastAsia="Arial" w:hAnsi="Arial"/>
          <w:sz w:val="19"/>
          <w:szCs w:val="19"/>
          <w:color w:val="auto"/>
        </w:rPr>
      </w:pPr>
    </w:p>
    <w:p>
      <w:pPr>
        <w:ind w:left="1620" w:hanging="754"/>
        <w:spacing w:after="0"/>
        <w:tabs>
          <w:tab w:leader="none" w:pos="1620" w:val="left"/>
        </w:tabs>
        <w:numPr>
          <w:ilvl w:val="0"/>
          <w:numId w:val="207"/>
        </w:numPr>
        <w:rPr>
          <w:rFonts w:ascii="Arial" w:cs="Arial" w:eastAsia="Arial" w:hAnsi="Arial"/>
          <w:sz w:val="19"/>
          <w:szCs w:val="19"/>
          <w:color w:val="auto"/>
        </w:rPr>
      </w:pPr>
      <w:r>
        <w:rPr>
          <w:rFonts w:ascii="Arial" w:cs="Arial" w:eastAsia="Arial" w:hAnsi="Arial"/>
          <w:sz w:val="19"/>
          <w:szCs w:val="19"/>
          <w:u w:val="single" w:color="auto"/>
          <w:color w:val="auto"/>
        </w:rPr>
        <w:t>Consideration</w:t>
      </w:r>
      <w:r>
        <w:rPr>
          <w:rFonts w:ascii="Arial" w:cs="Arial" w:eastAsia="Arial" w:hAnsi="Arial"/>
          <w:sz w:val="19"/>
          <w:szCs w:val="19"/>
          <w:color w:val="auto"/>
        </w:rPr>
        <w:t>.  In consideration of the covenants and agreements set forth herein, the Executive shall receive the</w:t>
      </w:r>
    </w:p>
    <w:p>
      <w:pPr>
        <w:spacing w:after="0" w:line="27" w:lineRule="exact"/>
        <w:rPr>
          <w:rFonts w:ascii="Arial" w:cs="Arial" w:eastAsia="Arial" w:hAnsi="Arial"/>
          <w:sz w:val="19"/>
          <w:szCs w:val="19"/>
          <w:color w:val="auto"/>
        </w:rPr>
      </w:pPr>
    </w:p>
    <w:p>
      <w:pPr>
        <w:jc w:val="both"/>
        <w:spacing w:after="0" w:line="258" w:lineRule="auto"/>
        <w:rPr>
          <w:rFonts w:ascii="Arial" w:cs="Arial" w:eastAsia="Arial" w:hAnsi="Arial"/>
          <w:sz w:val="19"/>
          <w:szCs w:val="19"/>
          <w:color w:val="auto"/>
        </w:rPr>
      </w:pPr>
      <w:r>
        <w:rPr>
          <w:rFonts w:ascii="Arial" w:cs="Arial" w:eastAsia="Arial" w:hAnsi="Arial"/>
          <w:sz w:val="19"/>
          <w:szCs w:val="19"/>
          <w:color w:val="auto"/>
        </w:rPr>
        <w:t>following vesting: (a) accelerate 17,398 of the Executive’s unvested FY20 Restricted Stock Unit (RSU) Grant effective as of April 14, 2022; and (b) for the Executive to be eligible to receive 60,889 shares at target of his unvested FY20-22 Performance Stock Unit (PSU) Grant, the receipt of, and the actual shares released of which, is to be determined in March 2023 based upon the actual performance metrics achieved by the Company and approved by the Compensation and Management Development Committee.</w:t>
      </w:r>
    </w:p>
    <w:p>
      <w:pPr>
        <w:spacing w:after="0" w:line="107" w:lineRule="exact"/>
        <w:rPr>
          <w:rFonts w:ascii="Arial" w:cs="Arial" w:eastAsia="Arial" w:hAnsi="Arial"/>
          <w:sz w:val="19"/>
          <w:szCs w:val="19"/>
          <w:color w:val="auto"/>
        </w:rPr>
      </w:pPr>
    </w:p>
    <w:p>
      <w:pPr>
        <w:ind w:right="60" w:firstLine="866"/>
        <w:spacing w:after="0" w:line="256" w:lineRule="auto"/>
        <w:tabs>
          <w:tab w:leader="none" w:pos="1625" w:val="left"/>
        </w:tabs>
        <w:numPr>
          <w:ilvl w:val="0"/>
          <w:numId w:val="207"/>
        </w:numPr>
        <w:rPr>
          <w:rFonts w:ascii="Arial" w:cs="Arial" w:eastAsia="Arial" w:hAnsi="Arial"/>
          <w:sz w:val="19"/>
          <w:szCs w:val="19"/>
          <w:color w:val="auto"/>
        </w:rPr>
      </w:pPr>
      <w:r>
        <w:rPr>
          <w:rFonts w:ascii="Arial" w:cs="Arial" w:eastAsia="Arial" w:hAnsi="Arial"/>
          <w:sz w:val="19"/>
          <w:szCs w:val="19"/>
          <w:u w:val="single" w:color="auto"/>
          <w:color w:val="auto"/>
        </w:rPr>
        <w:t>Restrictive Covenants</w:t>
      </w:r>
      <w:r>
        <w:rPr>
          <w:rFonts w:ascii="Arial" w:cs="Arial" w:eastAsia="Arial" w:hAnsi="Arial"/>
          <w:sz w:val="19"/>
          <w:szCs w:val="19"/>
          <w:color w:val="auto"/>
        </w:rPr>
        <w:t>. The parties hereto recognize that in the course of Executive’s employment with the Company, and because of the nature of Executive’s responsibilities, Executive acquired valuable and confidential information with regard to the Company’s business operations. As a consequence, Executive occupies a position of trust and confidence with respect to the Company’s affairs and its services. In view of the foregoing, and in view of the Consideration further described in this Agreement, Executive agrees that it is reasonable and necessary for the protection of the goodwill and business of the Company that Executive makes the restrictive covenants contained in this Agreement regarding Executive’s conduct during and after Executive’s employment relationship with the Company, and that the Company will suffer irreparable injury if Executive engages in conduct prohibited thereby. In consideration of the Payment, and other good and valuable consideration, the receipt of which is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168910</wp:posOffset>
            </wp:positionV>
            <wp:extent cx="7182485" cy="4127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1">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29" w:name="page330"/>
    <w:bookmarkEnd w:id="329"/>
    <w:p>
      <w:pPr>
        <w:jc w:val="right"/>
        <w:spacing w:after="0"/>
        <w:rPr>
          <w:sz w:val="20"/>
          <w:szCs w:val="20"/>
          <w:color w:val="auto"/>
        </w:rPr>
      </w:pPr>
      <w:r>
        <w:rPr>
          <w:rFonts w:ascii="Arial" w:cs="Arial" w:eastAsia="Arial" w:hAnsi="Arial"/>
          <w:sz w:val="20"/>
          <w:szCs w:val="20"/>
          <w:color w:val="auto"/>
        </w:rPr>
        <w:t>Exhibit 10.62</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hereby acknowledged, Executive agrees as follows:</w:t>
      </w:r>
    </w:p>
    <w:p>
      <w:pPr>
        <w:ind w:right="60" w:firstLine="866"/>
        <w:spacing w:after="0" w:line="238" w:lineRule="auto"/>
        <w:tabs>
          <w:tab w:leader="none" w:pos="1698" w:val="left"/>
        </w:tabs>
        <w:numPr>
          <w:ilvl w:val="0"/>
          <w:numId w:val="208"/>
        </w:numPr>
        <w:rPr>
          <w:rFonts w:ascii="Arial" w:cs="Arial" w:eastAsia="Arial" w:hAnsi="Arial"/>
          <w:sz w:val="20"/>
          <w:szCs w:val="20"/>
          <w:color w:val="auto"/>
        </w:rPr>
      </w:pPr>
      <w:r>
        <w:rPr>
          <w:rFonts w:ascii="Arial" w:cs="Arial" w:eastAsia="Arial" w:hAnsi="Arial"/>
          <w:sz w:val="20"/>
          <w:szCs w:val="20"/>
          <w:u w:val="single" w:color="auto"/>
          <w:color w:val="auto"/>
        </w:rPr>
        <w:t>Non-Competition</w:t>
      </w:r>
      <w:r>
        <w:rPr>
          <w:rFonts w:ascii="Arial" w:cs="Arial" w:eastAsia="Arial" w:hAnsi="Arial"/>
          <w:sz w:val="20"/>
          <w:szCs w:val="20"/>
          <w:color w:val="auto"/>
        </w:rPr>
        <w:t>. During Executive’s Period of Employment with the Company and the eighteen-month period immediately following the termination of Executive’s employment (the “Restricted Period”), Executive will not, in the markets where the Company or a Covered Party (as defined below) provide, or have active plans to provide, services or products (the “Territory”), own, manage, operate, finance, control, represent, or advise (whether as an officer, director, shareholder, owner, co-owner, affiliate, partner, agent, representative, consultant, independent contractor, advisor, or in any other role) a business that sells or provides products or services that are competitive with the products or services sold or provided by the Company or a Covered Party or that Executive has actual knowledge are planned to be sold or provided by the Company or a Covered Party at any time during the Restricted Period (a “Competitor”).</w:t>
      </w:r>
    </w:p>
    <w:p>
      <w:pPr>
        <w:spacing w:after="0" w:line="1" w:lineRule="exact"/>
        <w:rPr>
          <w:rFonts w:ascii="Arial" w:cs="Arial" w:eastAsia="Arial" w:hAnsi="Arial"/>
          <w:sz w:val="20"/>
          <w:szCs w:val="20"/>
          <w:color w:val="auto"/>
        </w:rPr>
      </w:pPr>
    </w:p>
    <w:p>
      <w:pPr>
        <w:ind w:firstLine="865"/>
        <w:spacing w:after="0" w:line="238" w:lineRule="auto"/>
        <w:rPr>
          <w:rFonts w:ascii="Arial" w:cs="Arial" w:eastAsia="Arial" w:hAnsi="Arial"/>
          <w:sz w:val="20"/>
          <w:szCs w:val="20"/>
          <w:color w:val="auto"/>
        </w:rPr>
      </w:pPr>
      <w:r>
        <w:rPr>
          <w:rFonts w:ascii="Arial" w:cs="Arial" w:eastAsia="Arial" w:hAnsi="Arial"/>
          <w:sz w:val="20"/>
          <w:szCs w:val="20"/>
          <w:color w:val="auto"/>
        </w:rPr>
        <w:t>The foregoing shall not prevent Executive from owning, as a passive investment, shares of capital stock of any Competitor if (i) such shares are listed on a national securities exchange or traded on a national market system in the United States, (ii) Executive, together with any of his affiliates and immediate family members owns beneficially (directly or indirectly) less than five percent (5%) of the total number of shares of such entity’s issued and outstanding capital stock, and (iii) neither Executive nor any of his affiliates is otherwise associated directly or indirectly with such Competitor or any of its affiliates.</w:t>
      </w:r>
    </w:p>
    <w:p>
      <w:pPr>
        <w:ind w:left="1720" w:hanging="854"/>
        <w:spacing w:after="0"/>
        <w:tabs>
          <w:tab w:leader="none" w:pos="1720" w:val="left"/>
        </w:tabs>
        <w:numPr>
          <w:ilvl w:val="0"/>
          <w:numId w:val="208"/>
        </w:numPr>
        <w:rPr>
          <w:rFonts w:ascii="Arial" w:cs="Arial" w:eastAsia="Arial" w:hAnsi="Arial"/>
          <w:sz w:val="19"/>
          <w:szCs w:val="19"/>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 During Executive’s period of employment with the Company and the eighteen (18) month period</w:t>
      </w:r>
    </w:p>
    <w:p>
      <w:pPr>
        <w:spacing w:after="0" w:line="10" w:lineRule="exact"/>
        <w:rPr>
          <w:sz w:val="20"/>
          <w:szCs w:val="20"/>
          <w:color w:val="auto"/>
        </w:rPr>
      </w:pPr>
    </w:p>
    <w:p>
      <w:pPr>
        <w:ind w:right="240"/>
        <w:spacing w:after="0" w:line="238" w:lineRule="auto"/>
        <w:rPr>
          <w:sz w:val="20"/>
          <w:szCs w:val="20"/>
          <w:color w:val="auto"/>
        </w:rPr>
      </w:pPr>
      <w:r>
        <w:rPr>
          <w:rFonts w:ascii="Arial" w:cs="Arial" w:eastAsia="Arial" w:hAnsi="Arial"/>
          <w:sz w:val="20"/>
          <w:szCs w:val="20"/>
          <w:color w:val="auto"/>
        </w:rPr>
        <w:t>immediately following the termination of his employment (the “Restricted Period”), Executive will not, either on his own behalf or on behalf of any third party (except the Company), directly or indirectly:</w:t>
      </w:r>
    </w:p>
    <w:p>
      <w:pPr>
        <w:ind w:left="1660" w:hanging="794"/>
        <w:spacing w:after="0"/>
        <w:tabs>
          <w:tab w:leader="none" w:pos="1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solicit for business, which business is competitive with that of a Covered Party, any Covered Customer (as defined</w:t>
      </w:r>
    </w:p>
    <w:p>
      <w:pPr>
        <w:spacing w:after="0" w:line="21" w:lineRule="exact"/>
        <w:rPr>
          <w:rFonts w:ascii="Arial" w:cs="Arial" w:eastAsia="Arial" w:hAnsi="Arial"/>
          <w:sz w:val="18"/>
          <w:szCs w:val="18"/>
          <w:color w:val="auto"/>
        </w:rPr>
      </w:pPr>
    </w:p>
    <w:p>
      <w:pPr>
        <w:ind w:left="860"/>
        <w:spacing w:after="0" w:line="238" w:lineRule="auto"/>
        <w:rPr>
          <w:rFonts w:ascii="Arial" w:cs="Arial" w:eastAsia="Arial" w:hAnsi="Arial"/>
          <w:sz w:val="18"/>
          <w:szCs w:val="18"/>
          <w:color w:val="auto"/>
        </w:rPr>
      </w:pPr>
      <w:r>
        <w:rPr>
          <w:rFonts w:ascii="Arial" w:cs="Arial" w:eastAsia="Arial" w:hAnsi="Arial"/>
          <w:sz w:val="20"/>
          <w:szCs w:val="20"/>
          <w:color w:val="auto"/>
        </w:rPr>
        <w:t>below);</w:t>
      </w:r>
    </w:p>
    <w:p>
      <w:pPr>
        <w:ind w:left="860" w:right="40" w:firstLine="6"/>
        <w:spacing w:after="0" w:line="274" w:lineRule="auto"/>
        <w:tabs>
          <w:tab w:leader="none" w:pos="171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participate in competition for the award of or perform services in connection with: (A) any contract, task order, or program for which the Company is competing, or (B) any contract, task order or program that would replace, succeed, supersede, reduce or diminish the Company’s work under a contract, task order or program, in either case solely with respect to those contracts, task order and programs on which Executive worked or was otherwise involved, or which was under his supervision, as an employee of the Company, within the one year period immediately preceding the Termination Date;</w:t>
      </w:r>
    </w:p>
    <w:p>
      <w:pPr>
        <w:spacing w:after="0" w:line="169" w:lineRule="exact"/>
        <w:rPr>
          <w:rFonts w:ascii="Arial" w:cs="Arial" w:eastAsia="Arial" w:hAnsi="Arial"/>
          <w:sz w:val="18"/>
          <w:szCs w:val="18"/>
          <w:color w:val="auto"/>
        </w:rPr>
      </w:pPr>
    </w:p>
    <w:p>
      <w:pPr>
        <w:jc w:val="both"/>
        <w:ind w:left="860" w:right="60" w:firstLine="6"/>
        <w:spacing w:after="0" w:line="294" w:lineRule="auto"/>
        <w:tabs>
          <w:tab w:leader="none" w:pos="121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solicit for business, which business is competitive with that of the Company, any vendor, consultant, collaborator, agent or contractor of the Company as of the Termination Date and during the one year period immediately preceding the Closing Date, the effect of which is to cause such person or entity to end or materially reduce its business relationship with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168910</wp:posOffset>
            </wp:positionV>
            <wp:extent cx="7182485" cy="4127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30" w:name="page331"/>
    <w:bookmarkEnd w:id="330"/>
    <w:p>
      <w:pPr>
        <w:jc w:val="right"/>
        <w:spacing w:after="0"/>
        <w:rPr>
          <w:sz w:val="20"/>
          <w:szCs w:val="20"/>
          <w:color w:val="auto"/>
        </w:rPr>
      </w:pPr>
      <w:r>
        <w:rPr>
          <w:rFonts w:ascii="Arial" w:cs="Arial" w:eastAsia="Arial" w:hAnsi="Arial"/>
          <w:sz w:val="20"/>
          <w:szCs w:val="20"/>
          <w:color w:val="auto"/>
        </w:rPr>
        <w:t>Exhibit 10.62</w:t>
      </w:r>
    </w:p>
    <w:p>
      <w:pPr>
        <w:spacing w:after="0" w:line="16" w:lineRule="exact"/>
        <w:rPr>
          <w:sz w:val="20"/>
          <w:szCs w:val="20"/>
          <w:color w:val="auto"/>
        </w:rPr>
      </w:pPr>
    </w:p>
    <w:p>
      <w:pPr>
        <w:ind w:left="860" w:right="40" w:firstLine="6"/>
        <w:spacing w:after="0" w:line="238" w:lineRule="auto"/>
        <w:tabs>
          <w:tab w:leader="none" w:pos="1761" w:val="left"/>
        </w:tabs>
        <w:numPr>
          <w:ilvl w:val="0"/>
          <w:numId w:val="210"/>
        </w:numPr>
        <w:rPr>
          <w:rFonts w:ascii="Arial" w:cs="Arial" w:eastAsia="Arial" w:hAnsi="Arial"/>
          <w:sz w:val="20"/>
          <w:szCs w:val="20"/>
          <w:color w:val="auto"/>
        </w:rPr>
      </w:pPr>
      <w:r>
        <w:rPr>
          <w:rFonts w:ascii="Arial" w:cs="Arial" w:eastAsia="Arial" w:hAnsi="Arial"/>
          <w:sz w:val="20"/>
          <w:szCs w:val="20"/>
          <w:color w:val="auto"/>
        </w:rPr>
        <w:t>solicit, recruit, induce or attempt to solicit, recruit or induce any Company employee to leave his or her employment with the Company; or</w:t>
      </w:r>
    </w:p>
    <w:p>
      <w:pPr>
        <w:ind w:left="1720" w:hanging="854"/>
        <w:spacing w:after="0" w:line="238" w:lineRule="auto"/>
        <w:tabs>
          <w:tab w:leader="none" w:pos="1720" w:val="left"/>
        </w:tabs>
        <w:numPr>
          <w:ilvl w:val="0"/>
          <w:numId w:val="210"/>
        </w:numPr>
        <w:rPr>
          <w:rFonts w:ascii="Arial" w:cs="Arial" w:eastAsia="Arial" w:hAnsi="Arial"/>
          <w:sz w:val="20"/>
          <w:szCs w:val="20"/>
          <w:color w:val="auto"/>
        </w:rPr>
      </w:pPr>
      <w:r>
        <w:rPr>
          <w:rFonts w:ascii="Arial" w:cs="Arial" w:eastAsia="Arial" w:hAnsi="Arial"/>
          <w:sz w:val="20"/>
          <w:szCs w:val="20"/>
          <w:color w:val="auto"/>
        </w:rPr>
        <w:t>hire or attempt to hire any former Company employee during the eighteen-month period after such person’s</w:t>
      </w:r>
    </w:p>
    <w:p>
      <w:pPr>
        <w:ind w:left="860" w:right="120"/>
        <w:spacing w:after="0" w:line="238" w:lineRule="auto"/>
        <w:rPr>
          <w:sz w:val="20"/>
          <w:szCs w:val="20"/>
          <w:color w:val="auto"/>
        </w:rPr>
      </w:pPr>
      <w:r>
        <w:rPr>
          <w:rFonts w:ascii="Arial" w:cs="Arial" w:eastAsia="Arial" w:hAnsi="Arial"/>
          <w:sz w:val="20"/>
          <w:szCs w:val="20"/>
          <w:color w:val="auto"/>
        </w:rPr>
        <w:t>employment with the Company has ended as result of voluntary resignation; provided, however, that the foregoing restrictions in this clause (v) and clause (iv) immediately above shall not apply to any general advertisement not specifically directed to such Company employees.</w:t>
      </w:r>
    </w:p>
    <w:p>
      <w:pPr>
        <w:ind w:right="40" w:firstLine="866"/>
        <w:spacing w:after="0" w:line="264" w:lineRule="auto"/>
        <w:tabs>
          <w:tab w:leader="none" w:pos="1698"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 Executive agrees that the restrictions placed upon him are reasonable and necessary to protect the Company’s legitimate interests. Executive acknowledges that, based upon the advice of legal counsel and his own education, experience and training, (i) these provisions will not prevent him from earning a livelihood and supporting himself and his family during the Restricted Period, (ii) the restrictions contained in this Agreement are reasonable and necessary for the protection of the business and goodwill of the Company, (iii) the foregoing restrictions are fair and reasonable in type of prohibited activity, geographic area covered, scope and duration, (iv) the consideration provided by the Company under this Agreement is not illusory, and (v) such provisions do not impose a greater restraint than is necessary to protect the goodwill or other business interests of the Company. In consideration of the foregoing, and in light of Executive’s education, skills, and abilities, he agrees that he will not assert that, and it should not be considered that, any provision of this Section 7 is otherwise void, voidable or unenforceable, or should be voided or held unenforceable.</w:t>
      </w:r>
    </w:p>
    <w:p>
      <w:pPr>
        <w:spacing w:after="0" w:line="4" w:lineRule="exact"/>
        <w:rPr>
          <w:rFonts w:ascii="Arial" w:cs="Arial" w:eastAsia="Arial" w:hAnsi="Arial"/>
          <w:sz w:val="18"/>
          <w:szCs w:val="18"/>
          <w:color w:val="auto"/>
        </w:rPr>
      </w:pPr>
    </w:p>
    <w:p>
      <w:pPr>
        <w:jc w:val="both"/>
        <w:ind w:right="80" w:firstLine="866"/>
        <w:spacing w:after="0" w:line="238" w:lineRule="auto"/>
        <w:tabs>
          <w:tab w:leader="none" w:pos="1710" w:val="left"/>
        </w:tabs>
        <w:numPr>
          <w:ilvl w:val="0"/>
          <w:numId w:val="211"/>
        </w:numPr>
        <w:rPr>
          <w:rFonts w:ascii="Arial" w:cs="Arial" w:eastAsia="Arial" w:hAnsi="Arial"/>
          <w:sz w:val="20"/>
          <w:szCs w:val="20"/>
          <w:color w:val="auto"/>
        </w:rPr>
      </w:pPr>
      <w:r>
        <w:rPr>
          <w:rFonts w:ascii="Arial" w:cs="Arial" w:eastAsia="Arial" w:hAnsi="Arial"/>
          <w:sz w:val="20"/>
          <w:szCs w:val="20"/>
          <w:u w:val="single" w:color="auto"/>
          <w:color w:val="auto"/>
        </w:rPr>
        <w:t>Additional Time</w:t>
      </w:r>
      <w:r>
        <w:rPr>
          <w:rFonts w:ascii="Arial" w:cs="Arial" w:eastAsia="Arial" w:hAnsi="Arial"/>
          <w:sz w:val="20"/>
          <w:szCs w:val="20"/>
          <w:color w:val="auto"/>
        </w:rPr>
        <w:t>. Executive agrees that the period during which the covenants contained herein will be effective will be computed by excluding from such computation any time during which he is found by a court of competent jurisdiction to have been in violation of any provision of this Agreement.</w:t>
      </w:r>
    </w:p>
    <w:p>
      <w:pPr>
        <w:ind w:right="80" w:firstLine="866"/>
        <w:spacing w:after="0" w:line="238" w:lineRule="auto"/>
        <w:tabs>
          <w:tab w:leader="none" w:pos="1698" w:val="left"/>
        </w:tabs>
        <w:numPr>
          <w:ilvl w:val="0"/>
          <w:numId w:val="211"/>
        </w:numPr>
        <w:rPr>
          <w:rFonts w:ascii="Arial" w:cs="Arial" w:eastAsia="Arial" w:hAnsi="Arial"/>
          <w:sz w:val="20"/>
          <w:szCs w:val="20"/>
          <w:color w:val="auto"/>
        </w:rPr>
      </w:pPr>
      <w:r>
        <w:rPr>
          <w:rFonts w:ascii="Arial" w:cs="Arial" w:eastAsia="Arial" w:hAnsi="Arial"/>
          <w:sz w:val="20"/>
          <w:szCs w:val="20"/>
          <w:u w:val="single" w:color="auto"/>
          <w:color w:val="auto"/>
        </w:rPr>
        <w:t>Independent Agreement</w:t>
      </w:r>
      <w:r>
        <w:rPr>
          <w:rFonts w:ascii="Arial" w:cs="Arial" w:eastAsia="Arial" w:hAnsi="Arial"/>
          <w:sz w:val="20"/>
          <w:szCs w:val="20"/>
          <w:color w:val="auto"/>
        </w:rPr>
        <w:t>. The covenants on the part of Executive in this Agreement will be construed as an agreement independent of any other agreement and independent of any other provision of this Agreement, and the existence of any claim or cause of action by him against the Company, whether predicated upon this Agreement or otherwise, will not constitute a defense to the enforcement by the Company of such covenants. Each of the covenants of this Agreement are given by Executive as part of the consideration for this Agreement.</w:t>
      </w:r>
    </w:p>
    <w:p>
      <w:pPr>
        <w:ind w:right="420" w:firstLine="866"/>
        <w:spacing w:after="0" w:line="250" w:lineRule="auto"/>
        <w:tabs>
          <w:tab w:leader="none" w:pos="1676" w:val="left"/>
        </w:tabs>
        <w:numPr>
          <w:ilvl w:val="0"/>
          <w:numId w:val="211"/>
        </w:numPr>
        <w:rPr>
          <w:rFonts w:ascii="Arial" w:cs="Arial" w:eastAsia="Arial" w:hAnsi="Arial"/>
          <w:sz w:val="19"/>
          <w:szCs w:val="19"/>
          <w:color w:val="auto"/>
        </w:rPr>
      </w:pPr>
      <w:r>
        <w:rPr>
          <w:rFonts w:ascii="Arial" w:cs="Arial" w:eastAsia="Arial" w:hAnsi="Arial"/>
          <w:sz w:val="19"/>
          <w:szCs w:val="19"/>
          <w:u w:val="single" w:color="auto"/>
          <w:color w:val="auto"/>
        </w:rPr>
        <w:t>Subsequent Employment</w:t>
      </w:r>
      <w:r>
        <w:rPr>
          <w:rFonts w:ascii="Arial" w:cs="Arial" w:eastAsia="Arial" w:hAnsi="Arial"/>
          <w:sz w:val="19"/>
          <w:szCs w:val="19"/>
          <w:color w:val="auto"/>
        </w:rPr>
        <w:t>. Executive hereby covenants and agrees to, promptly following his acceptance of any subsequent employment or consulting arrangement that he undertakes on behalf of persons or entities other than the Company and its affiliates during the Restricted Period, notify the Company in writing of any such arrangement.</w:t>
      </w:r>
    </w:p>
    <w:p>
      <w:pPr>
        <w:spacing w:after="0" w:line="1" w:lineRule="exact"/>
        <w:rPr>
          <w:rFonts w:ascii="Arial" w:cs="Arial" w:eastAsia="Arial" w:hAnsi="Arial"/>
          <w:sz w:val="19"/>
          <w:szCs w:val="19"/>
          <w:color w:val="auto"/>
        </w:rPr>
      </w:pPr>
    </w:p>
    <w:p>
      <w:pPr>
        <w:ind w:right="40" w:firstLine="866"/>
        <w:spacing w:after="0" w:line="241" w:lineRule="auto"/>
        <w:tabs>
          <w:tab w:leader="none" w:pos="1710" w:val="left"/>
        </w:tabs>
        <w:numPr>
          <w:ilvl w:val="0"/>
          <w:numId w:val="211"/>
        </w:numPr>
        <w:rPr>
          <w:rFonts w:ascii="Arial" w:cs="Arial" w:eastAsia="Arial" w:hAnsi="Arial"/>
          <w:sz w:val="20"/>
          <w:szCs w:val="20"/>
          <w:color w:val="auto"/>
        </w:rPr>
      </w:pPr>
      <w:r>
        <w:rPr>
          <w:rFonts w:ascii="Arial" w:cs="Arial" w:eastAsia="Arial" w:hAnsi="Arial"/>
          <w:sz w:val="20"/>
          <w:szCs w:val="20"/>
          <w:u w:val="single" w:color="auto"/>
          <w:color w:val="auto"/>
        </w:rPr>
        <w:t>Reformation</w:t>
      </w:r>
      <w:r>
        <w:rPr>
          <w:rFonts w:ascii="Arial" w:cs="Arial" w:eastAsia="Arial" w:hAnsi="Arial"/>
          <w:sz w:val="20"/>
          <w:szCs w:val="20"/>
          <w:color w:val="auto"/>
        </w:rPr>
        <w:t>. In furtherance and not in limitation of the foregoing, should any duration, scope or geographical restriction on business activities covered under any provision of this Agreement be found by any court of competent jurisdiction to be less than fully enforceable due to its breadth of restrictiveness or otherwise, Executive and the Company intend that such court will enforce this Agreement to the full extent the court may find permissible by construing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168910</wp:posOffset>
            </wp:positionV>
            <wp:extent cx="7182485" cy="4127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1" w:name="page332"/>
    <w:bookmarkEnd w:id="331"/>
    <w:p>
      <w:pPr>
        <w:ind w:left="10140"/>
        <w:spacing w:after="0"/>
        <w:rPr>
          <w:sz w:val="20"/>
          <w:szCs w:val="20"/>
          <w:color w:val="auto"/>
        </w:rPr>
      </w:pPr>
      <w:r>
        <w:rPr>
          <w:rFonts w:ascii="Arial" w:cs="Arial" w:eastAsia="Arial" w:hAnsi="Arial"/>
          <w:sz w:val="19"/>
          <w:szCs w:val="19"/>
          <w:color w:val="auto"/>
        </w:rPr>
        <w:t>Exhibit 10.62</w:t>
      </w:r>
    </w:p>
    <w:p>
      <w:pPr>
        <w:spacing w:after="0" w:line="26" w:lineRule="exact"/>
        <w:rPr>
          <w:sz w:val="20"/>
          <w:szCs w:val="20"/>
          <w:color w:val="auto"/>
        </w:rPr>
      </w:pPr>
    </w:p>
    <w:p>
      <w:pPr>
        <w:ind w:right="40"/>
        <w:spacing w:after="0" w:line="238" w:lineRule="auto"/>
        <w:rPr>
          <w:sz w:val="20"/>
          <w:szCs w:val="20"/>
          <w:color w:val="auto"/>
        </w:rPr>
      </w:pPr>
      <w:r>
        <w:rPr>
          <w:rFonts w:ascii="Arial" w:cs="Arial" w:eastAsia="Arial" w:hAnsi="Arial"/>
          <w:sz w:val="20"/>
          <w:szCs w:val="20"/>
          <w:color w:val="auto"/>
        </w:rPr>
        <w:t>such provisions to cover only that duration, extent or activity which may be enforceable. Executive agrees to and will, at the Company’s request, join the Company in requesting that such court take such action. Executive and the Company acknowledge the uncertainty of the law in this respect and intend that this Agreement will be given the construction that renders its provisions valid and enforceable to the maximum extent permitted by law.</w:t>
      </w:r>
    </w:p>
    <w:p>
      <w:pPr>
        <w:ind w:left="1720" w:hanging="854"/>
        <w:spacing w:after="0" w:line="238" w:lineRule="auto"/>
        <w:tabs>
          <w:tab w:leader="none" w:pos="1720" w:val="left"/>
        </w:tabs>
        <w:numPr>
          <w:ilvl w:val="0"/>
          <w:numId w:val="212"/>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ind w:left="860" w:right="320" w:firstLine="804"/>
        <w:spacing w:after="0" w:line="243" w:lineRule="auto"/>
        <w:tabs>
          <w:tab w:leader="none" w:pos="2458" w:val="left"/>
        </w:tabs>
        <w:numPr>
          <w:ilvl w:val="1"/>
          <w:numId w:val="212"/>
        </w:numPr>
        <w:rPr>
          <w:rFonts w:ascii="Arial" w:cs="Arial" w:eastAsia="Arial" w:hAnsi="Arial"/>
          <w:sz w:val="20"/>
          <w:szCs w:val="20"/>
          <w:color w:val="auto"/>
        </w:rPr>
      </w:pPr>
      <w:r>
        <w:rPr>
          <w:rFonts w:ascii="Arial" w:cs="Arial" w:eastAsia="Arial" w:hAnsi="Arial"/>
          <w:sz w:val="20"/>
          <w:szCs w:val="20"/>
          <w:color w:val="auto"/>
        </w:rPr>
        <w:t>“Covered Party” shall mean the Company and its subsidiaries or other affiliates. For purposes of this Agreement, Parsons Corporation and its subsidiaries are referred to collectively as the “Company”, and any reference to the “Company” shall be interpreted to include any applicable subsidiary of Parsons Corporation.</w:t>
      </w:r>
    </w:p>
    <w:p>
      <w:pPr>
        <w:spacing w:after="0" w:line="196" w:lineRule="exact"/>
        <w:rPr>
          <w:rFonts w:ascii="Arial" w:cs="Arial" w:eastAsia="Arial" w:hAnsi="Arial"/>
          <w:sz w:val="20"/>
          <w:szCs w:val="20"/>
          <w:color w:val="auto"/>
        </w:rPr>
      </w:pPr>
    </w:p>
    <w:p>
      <w:pPr>
        <w:ind w:left="860" w:firstLine="804"/>
        <w:spacing w:after="0" w:line="261" w:lineRule="auto"/>
        <w:tabs>
          <w:tab w:leader="none" w:pos="2515" w:val="left"/>
        </w:tabs>
        <w:numPr>
          <w:ilvl w:val="1"/>
          <w:numId w:val="212"/>
        </w:numPr>
        <w:rPr>
          <w:rFonts w:ascii="Arial" w:cs="Arial" w:eastAsia="Arial" w:hAnsi="Arial"/>
          <w:sz w:val="19"/>
          <w:szCs w:val="19"/>
          <w:color w:val="auto"/>
        </w:rPr>
      </w:pPr>
      <w:r>
        <w:rPr>
          <w:rFonts w:ascii="Arial" w:cs="Arial" w:eastAsia="Arial" w:hAnsi="Arial"/>
          <w:sz w:val="19"/>
          <w:szCs w:val="19"/>
          <w:color w:val="auto"/>
        </w:rPr>
        <w:t>“Covered Customer” means any client or customer of a Covered Party during the then-preceding one (1) year period, and any prospective client or customer to which any Covered Party has made or has taken specific action to make a proposal within the then-preceding two (2) year period. In the case of a United States federal government agency, “client or customer” includes the source selection officials or program office for any applicable contract or program and all offices and personnel that report to or support such source selection officials or program office.</w:t>
      </w:r>
    </w:p>
    <w:p>
      <w:pPr>
        <w:spacing w:after="0" w:line="54" w:lineRule="exact"/>
        <w:rPr>
          <w:sz w:val="20"/>
          <w:szCs w:val="20"/>
          <w:color w:val="auto"/>
        </w:rPr>
      </w:pPr>
    </w:p>
    <w:p>
      <w:pPr>
        <w:ind w:left="1620" w:hanging="754"/>
        <w:spacing w:after="0"/>
        <w:tabs>
          <w:tab w:leader="none" w:pos="1620" w:val="left"/>
        </w:tabs>
        <w:numPr>
          <w:ilvl w:val="1"/>
          <w:numId w:val="213"/>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w:t>
      </w:r>
    </w:p>
    <w:p>
      <w:pPr>
        <w:spacing w:after="0" w:line="150" w:lineRule="exact"/>
        <w:rPr>
          <w:rFonts w:ascii="Arial" w:cs="Arial" w:eastAsia="Arial" w:hAnsi="Arial"/>
          <w:sz w:val="20"/>
          <w:szCs w:val="20"/>
          <w:color w:val="auto"/>
        </w:rPr>
      </w:pPr>
    </w:p>
    <w:p>
      <w:pPr>
        <w:ind w:right="60" w:firstLine="1475"/>
        <w:spacing w:after="0" w:line="271" w:lineRule="auto"/>
        <w:tabs>
          <w:tab w:leader="none" w:pos="1712" w:val="left"/>
        </w:tabs>
        <w:numPr>
          <w:ilvl w:val="2"/>
          <w:numId w:val="213"/>
        </w:numPr>
        <w:rPr>
          <w:rFonts w:ascii="Arial" w:cs="Arial" w:eastAsia="Arial" w:hAnsi="Arial"/>
          <w:sz w:val="18"/>
          <w:szCs w:val="18"/>
          <w:color w:val="auto"/>
        </w:rPr>
      </w:pPr>
      <w:r>
        <w:rPr>
          <w:rFonts w:ascii="Arial" w:cs="Arial" w:eastAsia="Arial" w:hAnsi="Arial"/>
          <w:sz w:val="18"/>
          <w:szCs w:val="18"/>
          <w:color w:val="auto"/>
        </w:rPr>
        <w:t>The Executive’s employment by the Company and the Period of Employment shall automatically terminate effective as of the Termination Date. The Executive’s employment and the Period of Employment will terminate prior to the Termination Date upon either (1) the Executive’s death, (2) the Executive’s Disability, or (3) the Executive’s voluntary resignation with no less than thirty</w:t>
      </w:r>
    </w:p>
    <w:p>
      <w:pPr>
        <w:spacing w:after="0" w:line="1" w:lineRule="exact"/>
        <w:rPr>
          <w:rFonts w:ascii="Arial" w:cs="Arial" w:eastAsia="Arial" w:hAnsi="Arial"/>
          <w:sz w:val="18"/>
          <w:szCs w:val="18"/>
          <w:color w:val="auto"/>
        </w:rPr>
      </w:pPr>
    </w:p>
    <w:p>
      <w:pPr>
        <w:ind w:right="180" w:firstLine="1"/>
        <w:spacing w:after="0" w:line="249" w:lineRule="auto"/>
        <w:tabs>
          <w:tab w:leader="none" w:pos="389" w:val="left"/>
        </w:tabs>
        <w:numPr>
          <w:ilvl w:val="0"/>
          <w:numId w:val="214"/>
        </w:numPr>
        <w:rPr>
          <w:rFonts w:ascii="Arial" w:cs="Arial" w:eastAsia="Arial" w:hAnsi="Arial"/>
          <w:sz w:val="20"/>
          <w:szCs w:val="20"/>
          <w:color w:val="auto"/>
        </w:rPr>
      </w:pPr>
      <w:r>
        <w:rPr>
          <w:rFonts w:ascii="Arial" w:cs="Arial" w:eastAsia="Arial" w:hAnsi="Arial"/>
          <w:sz w:val="20"/>
          <w:szCs w:val="20"/>
          <w:color w:val="auto"/>
        </w:rPr>
        <w:t>days advance written notice to the Company. The Executive’s employment and the Period of Employment will also terminate prior to the Termination Date upon a termination by the Company with Cause.</w:t>
      </w:r>
    </w:p>
    <w:p>
      <w:pPr>
        <w:spacing w:after="0" w:line="164" w:lineRule="exact"/>
        <w:rPr>
          <w:rFonts w:ascii="Arial" w:cs="Arial" w:eastAsia="Arial" w:hAnsi="Arial"/>
          <w:sz w:val="20"/>
          <w:szCs w:val="20"/>
          <w:color w:val="auto"/>
        </w:rPr>
      </w:pPr>
    </w:p>
    <w:p>
      <w:pPr>
        <w:ind w:right="200" w:firstLine="1475"/>
        <w:spacing w:after="0" w:line="294" w:lineRule="auto"/>
        <w:tabs>
          <w:tab w:leader="none" w:pos="1727" w:val="left"/>
        </w:tabs>
        <w:numPr>
          <w:ilvl w:val="2"/>
          <w:numId w:val="214"/>
        </w:numPr>
        <w:rPr>
          <w:rFonts w:ascii="Arial" w:cs="Arial" w:eastAsia="Arial" w:hAnsi="Arial"/>
          <w:sz w:val="18"/>
          <w:szCs w:val="18"/>
          <w:color w:val="auto"/>
        </w:rPr>
      </w:pPr>
      <w:r>
        <w:rPr>
          <w:rFonts w:ascii="Arial" w:cs="Arial" w:eastAsia="Arial" w:hAnsi="Arial"/>
          <w:sz w:val="18"/>
          <w:szCs w:val="18"/>
          <w:color w:val="auto"/>
        </w:rPr>
        <w:t>Upon any termination of the Executive’s employment pursuant to Section 4a above (whether on the Termination Date or prior thereto), the Company and its affiliates shall have no further obligation to make or provide to the Executive, and the Executive shall have no further right to receive or obtain from the Company or its affiliates, any payments or benefits except as follows:</w:t>
      </w:r>
    </w:p>
    <w:p>
      <w:pPr>
        <w:spacing w:after="0" w:line="127" w:lineRule="exact"/>
        <w:rPr>
          <w:sz w:val="20"/>
          <w:szCs w:val="20"/>
          <w:color w:val="auto"/>
        </w:rPr>
      </w:pPr>
    </w:p>
    <w:p>
      <w:pPr>
        <w:ind w:right="620" w:firstLine="1475"/>
        <w:spacing w:after="0" w:line="268" w:lineRule="auto"/>
        <w:tabs>
          <w:tab w:leader="none" w:pos="2369" w:val="left"/>
        </w:tabs>
        <w:numPr>
          <w:ilvl w:val="0"/>
          <w:numId w:val="215"/>
        </w:numPr>
        <w:rPr>
          <w:rFonts w:ascii="Arial" w:cs="Arial" w:eastAsia="Arial" w:hAnsi="Arial"/>
          <w:sz w:val="20"/>
          <w:szCs w:val="20"/>
          <w:color w:val="auto"/>
        </w:rPr>
      </w:pPr>
      <w:r>
        <w:rPr>
          <w:rFonts w:ascii="Arial" w:cs="Arial" w:eastAsia="Arial" w:hAnsi="Arial"/>
          <w:sz w:val="20"/>
          <w:szCs w:val="20"/>
          <w:color w:val="auto"/>
        </w:rPr>
        <w:t>Unless the Executive’s employment is terminated by the Company with Cause, the Executive shall be entitled to consideration set forth herein; and</w:t>
      </w:r>
    </w:p>
    <w:p>
      <w:pPr>
        <w:spacing w:after="0" w:line="145" w:lineRule="exact"/>
        <w:rPr>
          <w:rFonts w:ascii="Arial" w:cs="Arial" w:eastAsia="Arial" w:hAnsi="Arial"/>
          <w:sz w:val="20"/>
          <w:szCs w:val="20"/>
          <w:color w:val="auto"/>
        </w:rPr>
      </w:pPr>
    </w:p>
    <w:p>
      <w:pPr>
        <w:ind w:left="860" w:right="100" w:firstLine="804"/>
        <w:spacing w:after="0" w:line="324" w:lineRule="auto"/>
        <w:tabs>
          <w:tab w:leader="none" w:pos="2503"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Executive shall be entitled to receive any benefits that are vested as of the Termination Date under the Company’s tax qualified and non-qualified employee benefit plans, subject to and in accordance with the terms of such plans.</w:t>
      </w:r>
    </w:p>
    <w:p>
      <w:pPr>
        <w:spacing w:after="0" w:line="100" w:lineRule="exact"/>
        <w:rPr>
          <w:sz w:val="20"/>
          <w:szCs w:val="20"/>
          <w:color w:val="auto"/>
        </w:rPr>
      </w:pPr>
    </w:p>
    <w:p>
      <w:pPr>
        <w:ind w:right="360"/>
        <w:spacing w:after="0" w:line="268" w:lineRule="auto"/>
        <w:rPr>
          <w:sz w:val="20"/>
          <w:szCs w:val="20"/>
          <w:color w:val="auto"/>
        </w:rPr>
      </w:pPr>
      <w:r>
        <w:rPr>
          <w:rFonts w:ascii="Arial" w:cs="Arial" w:eastAsia="Arial" w:hAnsi="Arial"/>
          <w:sz w:val="20"/>
          <w:szCs w:val="20"/>
          <w:color w:val="auto"/>
        </w:rPr>
        <w:t>The Executive agrees that the payments and benefits contemplated by Section 4 shall constitute the exclusive and sole remedy for any termination of the Executive’s employment and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168910</wp:posOffset>
            </wp:positionV>
            <wp:extent cx="7182485" cy="4127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4">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32" w:name="page333"/>
    <w:bookmarkEnd w:id="332"/>
    <w:p>
      <w:pPr>
        <w:ind w:left="10140"/>
        <w:spacing w:after="0"/>
        <w:rPr>
          <w:sz w:val="20"/>
          <w:szCs w:val="20"/>
          <w:color w:val="auto"/>
        </w:rPr>
      </w:pPr>
      <w:r>
        <w:rPr>
          <w:rFonts w:ascii="Arial" w:cs="Arial" w:eastAsia="Arial" w:hAnsi="Arial"/>
          <w:sz w:val="19"/>
          <w:szCs w:val="19"/>
          <w:color w:val="auto"/>
        </w:rPr>
        <w:t>Exhibit 10.62</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Executive covenants not to assert or pursue any other remedies, at law or in equity, with respect to any termination of employment.</w:t>
      </w:r>
    </w:p>
    <w:p>
      <w:pPr>
        <w:spacing w:after="0" w:line="195" w:lineRule="exact"/>
        <w:rPr>
          <w:sz w:val="20"/>
          <w:szCs w:val="20"/>
          <w:color w:val="auto"/>
        </w:rPr>
      </w:pPr>
    </w:p>
    <w:p>
      <w:pPr>
        <w:ind w:right="60" w:firstLine="866"/>
        <w:spacing w:after="0" w:line="294" w:lineRule="auto"/>
        <w:tabs>
          <w:tab w:leader="none" w:pos="1625"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Notwithstanding anything else herein to the contrary, the Company may withhold (or cause there to be withheld, as the case may be) from any amounts otherwise due or payable under or pursuant to this Agreement such federal, state and local income, employment, or other taxes as may be required to be withheld pursuant to any applicable law or regulation.</w:t>
      </w:r>
    </w:p>
    <w:p>
      <w:pPr>
        <w:spacing w:after="0" w:line="25" w:lineRule="exact"/>
        <w:rPr>
          <w:rFonts w:ascii="Arial" w:cs="Arial" w:eastAsia="Arial" w:hAnsi="Arial"/>
          <w:sz w:val="18"/>
          <w:szCs w:val="18"/>
          <w:color w:val="auto"/>
        </w:rPr>
      </w:pPr>
    </w:p>
    <w:p>
      <w:pPr>
        <w:jc w:val="both"/>
        <w:ind w:firstLine="866"/>
        <w:spacing w:after="0" w:line="255" w:lineRule="auto"/>
        <w:tabs>
          <w:tab w:leader="none" w:pos="1625" w:val="left"/>
        </w:tabs>
        <w:numPr>
          <w:ilvl w:val="0"/>
          <w:numId w:val="216"/>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parties hereby agree that the Executive will not have a “separation from service” (within the meaning of Section 409A of the Internal Revenue Code of 1986, as amended (“</w:t>
      </w:r>
      <w:r>
        <w:rPr>
          <w:rFonts w:ascii="Arial" w:cs="Arial" w:eastAsia="Arial" w:hAnsi="Arial"/>
          <w:sz w:val="19"/>
          <w:szCs w:val="19"/>
          <w:b w:val="1"/>
          <w:bCs w:val="1"/>
          <w:color w:val="auto"/>
        </w:rPr>
        <w:t>Section 409A</w:t>
      </w:r>
      <w:r>
        <w:rPr>
          <w:rFonts w:ascii="Arial" w:cs="Arial" w:eastAsia="Arial" w:hAnsi="Arial"/>
          <w:sz w:val="19"/>
          <w:szCs w:val="19"/>
          <w:color w:val="auto"/>
        </w:rPr>
        <w:t>”)) from the Company and its affiliates until the date of the Executive’s termination of employment, and that payment of the Executive’s accrued benefits as of such date shall be made under the Company’s non-qualified deferred compensation plans in accordance with the terms of each such plan and the Executive’s elections thereunder. To the extent that any reimbursements payable under this Agreement are taxable to the Executive, any reimbursement payment due to the Executive pursuant to this Agreement shall be paid to the Executive on or before the last day of the Executive’s taxable year following the taxable year in which the related expense was incurred. The reimbursements pursuant to this Agreement are not subject to liquidation or exchange for another benefit and the amount of such reimbursements that the Executive receives in one taxable year shall not affect the amount of such reimbursements that the Executive receives in any other taxable year. This Agreement is intended to be exempt or comply with the requirements of Section 409A and shall be interpreted consistent with this intent so as to avoid the imputation of any tax, penalty or interest pursuant to Section 409A.</w:t>
      </w:r>
    </w:p>
    <w:p>
      <w:pPr>
        <w:spacing w:after="0" w:line="108" w:lineRule="exact"/>
        <w:rPr>
          <w:rFonts w:ascii="Arial" w:cs="Arial" w:eastAsia="Arial" w:hAnsi="Arial"/>
          <w:sz w:val="19"/>
          <w:szCs w:val="19"/>
          <w:color w:val="auto"/>
        </w:rPr>
      </w:pPr>
    </w:p>
    <w:p>
      <w:pPr>
        <w:jc w:val="both"/>
        <w:ind w:firstLine="866"/>
        <w:spacing w:after="0" w:line="272" w:lineRule="auto"/>
        <w:tabs>
          <w:tab w:leader="none" w:pos="1625" w:val="left"/>
        </w:tabs>
        <w:numPr>
          <w:ilvl w:val="0"/>
          <w:numId w:val="216"/>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constitutes the full and complete understanding and agreement of the parties hereto respecting the matters within its scope. This Agreement may not be changed or amended orally, but only by an agreement in writing signed by the party against whom enforcement of any waiver, change, modification or discharge is sought.</w:t>
      </w:r>
    </w:p>
    <w:p>
      <w:pPr>
        <w:spacing w:after="0" w:line="93" w:lineRule="exact"/>
        <w:rPr>
          <w:rFonts w:ascii="Arial" w:cs="Arial" w:eastAsia="Arial" w:hAnsi="Arial"/>
          <w:sz w:val="19"/>
          <w:szCs w:val="19"/>
          <w:color w:val="auto"/>
        </w:rPr>
      </w:pPr>
    </w:p>
    <w:p>
      <w:pPr>
        <w:jc w:val="both"/>
        <w:ind w:firstLine="866"/>
        <w:spacing w:after="0" w:line="253" w:lineRule="auto"/>
        <w:tabs>
          <w:tab w:leader="none" w:pos="1625" w:val="left"/>
        </w:tabs>
        <w:numPr>
          <w:ilvl w:val="0"/>
          <w:numId w:val="216"/>
        </w:numPr>
        <w:rPr>
          <w:rFonts w:ascii="Arial" w:cs="Arial" w:eastAsia="Arial" w:hAnsi="Arial"/>
          <w:sz w:val="20"/>
          <w:szCs w:val="20"/>
          <w:color w:val="auto"/>
        </w:rPr>
      </w:pPr>
      <w:r>
        <w:rPr>
          <w:rFonts w:ascii="Arial" w:cs="Arial" w:eastAsia="Arial" w:hAnsi="Arial"/>
          <w:sz w:val="20"/>
          <w:szCs w:val="20"/>
          <w:u w:val="single" w:color="auto"/>
          <w:color w:val="auto"/>
        </w:rPr>
        <w:t>Divisibility</w:t>
      </w:r>
      <w:r>
        <w:rPr>
          <w:rFonts w:ascii="Arial" w:cs="Arial" w:eastAsia="Arial" w:hAnsi="Arial"/>
          <w:sz w:val="20"/>
          <w:szCs w:val="20"/>
          <w:color w:val="auto"/>
        </w:rPr>
        <w:t>. If any one or more of the provisions of this Agreement or any application thereof shall be invalid, illegal or unenforceable in any respect, the validity, legality or enforceability of the remaining provisions and other application thereof shall not in any way be affected or impaired.</w:t>
      </w:r>
    </w:p>
    <w:p>
      <w:pPr>
        <w:spacing w:after="0" w:line="109" w:lineRule="exact"/>
        <w:rPr>
          <w:rFonts w:ascii="Arial" w:cs="Arial" w:eastAsia="Arial" w:hAnsi="Arial"/>
          <w:sz w:val="20"/>
          <w:szCs w:val="20"/>
          <w:color w:val="auto"/>
        </w:rPr>
      </w:pPr>
    </w:p>
    <w:p>
      <w:pPr>
        <w:jc w:val="both"/>
        <w:ind w:firstLine="866"/>
        <w:spacing w:after="0" w:line="253" w:lineRule="auto"/>
        <w:tabs>
          <w:tab w:leader="none" w:pos="1625" w:val="left"/>
        </w:tabs>
        <w:numPr>
          <w:ilvl w:val="0"/>
          <w:numId w:val="216"/>
        </w:numPr>
        <w:rPr>
          <w:rFonts w:ascii="Arial" w:cs="Arial" w:eastAsia="Arial" w:hAnsi="Arial"/>
          <w:sz w:val="20"/>
          <w:szCs w:val="20"/>
          <w:color w:val="auto"/>
        </w:rPr>
      </w:pPr>
      <w:r>
        <w:rPr>
          <w:rFonts w:ascii="Arial" w:cs="Arial" w:eastAsia="Arial" w:hAnsi="Arial"/>
          <w:sz w:val="20"/>
          <w:szCs w:val="20"/>
          <w:u w:val="single" w:color="auto"/>
          <w:color w:val="auto"/>
        </w:rPr>
        <w:t>Applicable Law</w:t>
      </w:r>
      <w:r>
        <w:rPr>
          <w:rFonts w:ascii="Arial" w:cs="Arial" w:eastAsia="Arial" w:hAnsi="Arial"/>
          <w:sz w:val="20"/>
          <w:szCs w:val="20"/>
          <w:color w:val="auto"/>
        </w:rPr>
        <w:t>. This Agreement shall be governed by, and the rights and obligations of the parties determined in accordance with, the laws of the State of North Carolina as in effect for contracts made and to be performed in the State of North Carolina.</w:t>
      </w:r>
    </w:p>
    <w:p>
      <w:pPr>
        <w:spacing w:after="0" w:line="109" w:lineRule="exact"/>
        <w:rPr>
          <w:rFonts w:ascii="Arial" w:cs="Arial" w:eastAsia="Arial" w:hAnsi="Arial"/>
          <w:sz w:val="20"/>
          <w:szCs w:val="20"/>
          <w:color w:val="auto"/>
        </w:rPr>
      </w:pPr>
    </w:p>
    <w:p>
      <w:pPr>
        <w:jc w:val="both"/>
        <w:ind w:firstLine="866"/>
        <w:spacing w:after="0" w:line="248" w:lineRule="auto"/>
        <w:tabs>
          <w:tab w:leader="none" w:pos="1727" w:val="left"/>
        </w:tabs>
        <w:numPr>
          <w:ilvl w:val="0"/>
          <w:numId w:val="216"/>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each of which shall be deemed an original, and all of which shall together constitute one and the same Agreement. One or more counterparts of this Agreement may be delivered by facsimile, PDF or other photographic copy of the signed counterpart, with the intention that delivery by such means shall have the same effect as delivery of an original counterpart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168910</wp:posOffset>
            </wp:positionV>
            <wp:extent cx="7182485" cy="4127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3" w:name="page334"/>
    <w:bookmarkEnd w:id="333"/>
    <w:p>
      <w:pPr>
        <w:jc w:val="right"/>
        <w:spacing w:after="0"/>
        <w:rPr>
          <w:sz w:val="20"/>
          <w:szCs w:val="20"/>
          <w:color w:val="auto"/>
        </w:rPr>
      </w:pPr>
      <w:r>
        <w:rPr>
          <w:rFonts w:ascii="Arial" w:cs="Arial" w:eastAsia="Arial" w:hAnsi="Arial"/>
          <w:sz w:val="20"/>
          <w:szCs w:val="20"/>
          <w:color w:val="auto"/>
        </w:rPr>
        <w:t>Exhibit 10.62</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undersigned have duly executed this Agreement as of the day and year first above written.</w:t>
      </w:r>
    </w:p>
    <w:p>
      <w:pPr>
        <w:spacing w:after="0" w:line="200" w:lineRule="exact"/>
        <w:rPr>
          <w:sz w:val="20"/>
          <w:szCs w:val="20"/>
          <w:color w:val="auto"/>
        </w:rPr>
      </w:pPr>
    </w:p>
    <w:p>
      <w:pPr>
        <w:spacing w:after="0" w:line="389"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CHARLES L. HARRINGTON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PARSONS CORPORATION</w:t>
      </w:r>
    </w:p>
    <w:p>
      <w:pPr>
        <w:spacing w:after="0" w:line="200" w:lineRule="exact"/>
        <w:rPr>
          <w:sz w:val="20"/>
          <w:szCs w:val="20"/>
          <w:color w:val="auto"/>
        </w:rPr>
      </w:pPr>
    </w:p>
    <w:p>
      <w:pPr>
        <w:spacing w:after="0" w:line="204" w:lineRule="exact"/>
        <w:rPr>
          <w:sz w:val="20"/>
          <w:szCs w:val="20"/>
          <w:color w:val="auto"/>
        </w:rPr>
      </w:pPr>
    </w:p>
    <w:p>
      <w:pPr>
        <w:jc w:val="center"/>
        <w:ind w:right="560"/>
        <w:spacing w:after="0"/>
        <w:rPr>
          <w:sz w:val="20"/>
          <w:szCs w:val="20"/>
          <w:color w:val="auto"/>
        </w:rPr>
      </w:pPr>
      <w:r>
        <w:rPr>
          <w:rFonts w:ascii="Arial" w:cs="Arial" w:eastAsia="Arial" w:hAnsi="Arial"/>
          <w:sz w:val="20"/>
          <w:szCs w:val="20"/>
          <w:color w:val="auto"/>
        </w:rPr>
        <w:t>By:</w:t>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18" w:right="339" w:bottom="1440" w:gutter="0" w:footer="0" w:header="0"/>
        </w:sectPr>
      </w:pPr>
    </w:p>
    <w:bookmarkStart w:id="334" w:name="page335"/>
    <w:bookmarkEnd w:id="334"/>
    <w:p>
      <w:pPr>
        <w:spacing w:after="0"/>
        <w:rPr>
          <w:sz w:val="20"/>
          <w:szCs w:val="20"/>
          <w:color w:val="auto"/>
        </w:rPr>
      </w:pPr>
      <w:r>
        <w:rPr>
          <w:rFonts w:ascii="Arial" w:cs="Arial" w:eastAsia="Arial" w:hAnsi="Arial"/>
          <w:sz w:val="20"/>
          <w:szCs w:val="20"/>
          <w:color w:val="auto"/>
        </w:rPr>
        <w:t>Exhibit 21.1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7780" w:type="dxa"/>
            <w:vAlign w:val="bottom"/>
            <w:gridSpan w:val="3"/>
          </w:tcPr>
          <w:p>
            <w:pPr>
              <w:ind w:left="80"/>
              <w:spacing w:after="0"/>
              <w:rPr>
                <w:sz w:val="20"/>
                <w:szCs w:val="20"/>
                <w:color w:val="auto"/>
              </w:rPr>
            </w:pPr>
            <w:r>
              <w:rPr>
                <w:rFonts w:ascii="Arial" w:cs="Arial" w:eastAsia="Arial" w:hAnsi="Arial"/>
                <w:sz w:val="19"/>
                <w:szCs w:val="19"/>
                <w:b w:val="1"/>
                <w:bCs w:val="1"/>
                <w:color w:val="auto"/>
              </w:rPr>
              <w:t>LIST OF SUBSIDIARIES OF THE REGISTRANT</w:t>
            </w:r>
          </w:p>
        </w:tc>
      </w:tr>
      <w:tr>
        <w:trPr>
          <w:trHeight w:val="527"/>
        </w:trPr>
        <w:tc>
          <w:tcPr>
            <w:tcW w:w="860" w:type="dxa"/>
            <w:vAlign w:val="bottom"/>
          </w:tcPr>
          <w:p>
            <w:pPr>
              <w:spacing w:after="0"/>
              <w:rPr>
                <w:sz w:val="20"/>
                <w:szCs w:val="20"/>
                <w:color w:val="auto"/>
              </w:rPr>
            </w:pPr>
            <w:r>
              <w:rPr>
                <w:rFonts w:ascii="Arial" w:cs="Arial" w:eastAsia="Arial" w:hAnsi="Arial"/>
                <w:sz w:val="19"/>
                <w:szCs w:val="19"/>
                <w:b w:val="1"/>
                <w:bCs w:val="1"/>
                <w:color w:val="auto"/>
                <w:w w:val="86"/>
              </w:rPr>
              <w:t>Subsidiary</w:t>
            </w:r>
          </w:p>
        </w:tc>
        <w:tc>
          <w:tcPr>
            <w:tcW w:w="26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Arial" w:cs="Arial" w:eastAsia="Arial" w:hAnsi="Arial"/>
                <w:sz w:val="19"/>
                <w:szCs w:val="19"/>
                <w:b w:val="1"/>
                <w:bCs w:val="1"/>
                <w:color w:val="auto"/>
              </w:rPr>
              <w:t>Registered Jurisdiction</w:t>
            </w:r>
          </w:p>
        </w:tc>
      </w:tr>
      <w:tr>
        <w:trPr>
          <w:trHeight w:val="20"/>
        </w:trPr>
        <w:tc>
          <w:tcPr>
            <w:tcW w:w="86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7"/>
        </w:trPr>
        <w:tc>
          <w:tcPr>
            <w:tcW w:w="3500" w:type="dxa"/>
            <w:vAlign w:val="bottom"/>
            <w:gridSpan w:val="2"/>
          </w:tcPr>
          <w:p>
            <w:pPr>
              <w:spacing w:after="0" w:line="217" w:lineRule="exact"/>
              <w:rPr>
                <w:sz w:val="20"/>
                <w:szCs w:val="20"/>
                <w:color w:val="auto"/>
              </w:rPr>
            </w:pPr>
            <w:r>
              <w:rPr>
                <w:rFonts w:ascii="Arial" w:cs="Arial" w:eastAsia="Arial" w:hAnsi="Arial"/>
                <w:sz w:val="19"/>
                <w:szCs w:val="19"/>
                <w:color w:val="auto"/>
              </w:rPr>
              <w:t>3D/International, Inc.</w:t>
            </w:r>
          </w:p>
        </w:tc>
        <w:tc>
          <w:tcPr>
            <w:tcW w:w="4740" w:type="dxa"/>
            <w:vAlign w:val="bottom"/>
          </w:tcPr>
          <w:p>
            <w:pPr>
              <w:spacing w:after="0"/>
              <w:rPr>
                <w:sz w:val="18"/>
                <w:szCs w:val="18"/>
                <w:color w:val="auto"/>
              </w:rPr>
            </w:pPr>
          </w:p>
        </w:tc>
        <w:tc>
          <w:tcPr>
            <w:tcW w:w="3040" w:type="dxa"/>
            <w:vAlign w:val="bottom"/>
            <w:gridSpan w:val="2"/>
          </w:tcPr>
          <w:p>
            <w:pPr>
              <w:spacing w:after="0" w:line="217" w:lineRule="exact"/>
              <w:rPr>
                <w:sz w:val="20"/>
                <w:szCs w:val="20"/>
                <w:color w:val="auto"/>
              </w:rPr>
            </w:pPr>
            <w:r>
              <w:rPr>
                <w:rFonts w:ascii="Arial" w:cs="Arial" w:eastAsia="Arial" w:hAnsi="Arial"/>
                <w:sz w:val="19"/>
                <w:szCs w:val="19"/>
                <w:color w:val="auto"/>
              </w:rPr>
              <w:t>Texas</w:t>
            </w:r>
          </w:p>
        </w:tc>
      </w:tr>
      <w:tr>
        <w:trPr>
          <w:trHeight w:val="216"/>
        </w:trPr>
        <w:tc>
          <w:tcPr>
            <w:tcW w:w="3500" w:type="dxa"/>
            <w:vAlign w:val="bottom"/>
            <w:gridSpan w:val="2"/>
          </w:tcPr>
          <w:p>
            <w:pPr>
              <w:spacing w:after="0" w:line="215" w:lineRule="exact"/>
              <w:rPr>
                <w:sz w:val="20"/>
                <w:szCs w:val="20"/>
                <w:color w:val="auto"/>
              </w:rPr>
            </w:pPr>
            <w:r>
              <w:rPr>
                <w:rFonts w:ascii="Arial" w:cs="Arial" w:eastAsia="Arial" w:hAnsi="Arial"/>
                <w:sz w:val="19"/>
                <w:szCs w:val="19"/>
                <w:color w:val="auto"/>
              </w:rPr>
              <w:t>Amplus Corporation</w:t>
            </w:r>
          </w:p>
        </w:tc>
        <w:tc>
          <w:tcPr>
            <w:tcW w:w="4740" w:type="dxa"/>
            <w:vAlign w:val="bottom"/>
          </w:tcPr>
          <w:p>
            <w:pPr>
              <w:spacing w:after="0"/>
              <w:rPr>
                <w:sz w:val="18"/>
                <w:szCs w:val="18"/>
                <w:color w:val="auto"/>
              </w:rPr>
            </w:pPr>
          </w:p>
        </w:tc>
        <w:tc>
          <w:tcPr>
            <w:tcW w:w="3040" w:type="dxa"/>
            <w:vAlign w:val="bottom"/>
            <w:gridSpan w:val="2"/>
          </w:tcPr>
          <w:p>
            <w:pPr>
              <w:spacing w:after="0" w:line="215" w:lineRule="exact"/>
              <w:rPr>
                <w:sz w:val="20"/>
                <w:szCs w:val="20"/>
                <w:color w:val="auto"/>
              </w:rPr>
            </w:pPr>
            <w:r>
              <w:rPr>
                <w:rFonts w:ascii="Arial" w:cs="Arial" w:eastAsia="Arial" w:hAnsi="Arial"/>
                <w:sz w:val="19"/>
                <w:szCs w:val="19"/>
                <w:color w:val="auto"/>
              </w:rPr>
              <w:t>Virginia</w:t>
            </w:r>
          </w:p>
        </w:tc>
      </w:tr>
      <w:tr>
        <w:trPr>
          <w:trHeight w:val="216"/>
        </w:trPr>
        <w:tc>
          <w:tcPr>
            <w:tcW w:w="3500" w:type="dxa"/>
            <w:vAlign w:val="bottom"/>
            <w:gridSpan w:val="2"/>
          </w:tcPr>
          <w:p>
            <w:pPr>
              <w:spacing w:after="0" w:line="215" w:lineRule="exact"/>
              <w:rPr>
                <w:sz w:val="20"/>
                <w:szCs w:val="20"/>
                <w:color w:val="auto"/>
              </w:rPr>
            </w:pPr>
            <w:r>
              <w:rPr>
                <w:rFonts w:ascii="Arial" w:cs="Arial" w:eastAsia="Arial" w:hAnsi="Arial"/>
                <w:sz w:val="19"/>
                <w:szCs w:val="19"/>
                <w:color w:val="auto"/>
              </w:rPr>
              <w:t>Argotek, Inc.</w:t>
            </w:r>
          </w:p>
        </w:tc>
        <w:tc>
          <w:tcPr>
            <w:tcW w:w="4740" w:type="dxa"/>
            <w:vAlign w:val="bottom"/>
          </w:tcPr>
          <w:p>
            <w:pPr>
              <w:spacing w:after="0"/>
              <w:rPr>
                <w:sz w:val="18"/>
                <w:szCs w:val="18"/>
                <w:color w:val="auto"/>
              </w:rPr>
            </w:pPr>
          </w:p>
        </w:tc>
        <w:tc>
          <w:tcPr>
            <w:tcW w:w="3040" w:type="dxa"/>
            <w:vAlign w:val="bottom"/>
            <w:gridSpan w:val="2"/>
          </w:tcPr>
          <w:p>
            <w:pPr>
              <w:spacing w:after="0" w:line="215" w:lineRule="exact"/>
              <w:rPr>
                <w:sz w:val="20"/>
                <w:szCs w:val="20"/>
                <w:color w:val="auto"/>
              </w:rPr>
            </w:pPr>
            <w:r>
              <w:rPr>
                <w:rFonts w:ascii="Arial" w:cs="Arial" w:eastAsia="Arial" w:hAnsi="Arial"/>
                <w:sz w:val="19"/>
                <w:szCs w:val="19"/>
                <w:color w:val="auto"/>
              </w:rPr>
              <w:t>Virginia</w:t>
            </w:r>
          </w:p>
        </w:tc>
      </w:tr>
      <w:tr>
        <w:trPr>
          <w:trHeight w:val="238"/>
        </w:trPr>
        <w:tc>
          <w:tcPr>
            <w:tcW w:w="3500" w:type="dxa"/>
            <w:vAlign w:val="bottom"/>
            <w:gridSpan w:val="2"/>
          </w:tcPr>
          <w:p>
            <w:pPr>
              <w:spacing w:after="0"/>
              <w:rPr>
                <w:sz w:val="20"/>
                <w:szCs w:val="20"/>
                <w:color w:val="auto"/>
              </w:rPr>
            </w:pPr>
            <w:r>
              <w:rPr>
                <w:rFonts w:ascii="Arial" w:cs="Arial" w:eastAsia="Arial" w:hAnsi="Arial"/>
                <w:sz w:val="19"/>
                <w:szCs w:val="19"/>
                <w:color w:val="auto"/>
              </w:rPr>
              <w:t>Blackhorse Solutions, Inc.</w:t>
            </w:r>
          </w:p>
        </w:tc>
        <w:tc>
          <w:tcPr>
            <w:tcW w:w="474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Arial" w:cs="Arial" w:eastAsia="Arial" w:hAnsi="Arial"/>
                <w:sz w:val="19"/>
                <w:szCs w:val="19"/>
                <w:color w:val="auto"/>
              </w:rPr>
              <w:t>Delaware</w:t>
            </w:r>
          </w:p>
        </w:tc>
      </w:tr>
      <w:tr>
        <w:trPr>
          <w:trHeight w:val="358"/>
        </w:trPr>
        <w:tc>
          <w:tcPr>
            <w:tcW w:w="3500" w:type="dxa"/>
            <w:vAlign w:val="bottom"/>
            <w:gridSpan w:val="2"/>
          </w:tcPr>
          <w:p>
            <w:pPr>
              <w:spacing w:after="0"/>
              <w:rPr>
                <w:sz w:val="20"/>
                <w:szCs w:val="20"/>
                <w:color w:val="auto"/>
              </w:rPr>
            </w:pPr>
            <w:r>
              <w:rPr>
                <w:rFonts w:ascii="Arial" w:cs="Arial" w:eastAsia="Arial" w:hAnsi="Arial"/>
                <w:sz w:val="19"/>
                <w:szCs w:val="19"/>
                <w:color w:val="auto"/>
              </w:rPr>
              <w:t>Bonifica S.P.A.</w:t>
            </w:r>
          </w:p>
        </w:tc>
        <w:tc>
          <w:tcPr>
            <w:tcW w:w="474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Arial" w:cs="Arial" w:eastAsia="Arial" w:hAnsi="Arial"/>
                <w:sz w:val="19"/>
                <w:szCs w:val="19"/>
                <w:color w:val="auto"/>
              </w:rPr>
              <w:t>Italy</w:t>
            </w:r>
          </w:p>
        </w:tc>
      </w:tr>
      <w:tr>
        <w:trPr>
          <w:trHeight w:val="238"/>
        </w:trPr>
        <w:tc>
          <w:tcPr>
            <w:tcW w:w="3500" w:type="dxa"/>
            <w:vAlign w:val="bottom"/>
            <w:gridSpan w:val="2"/>
          </w:tcPr>
          <w:p>
            <w:pPr>
              <w:spacing w:after="0"/>
              <w:rPr>
                <w:sz w:val="20"/>
                <w:szCs w:val="20"/>
                <w:color w:val="auto"/>
              </w:rPr>
            </w:pPr>
            <w:r>
              <w:rPr>
                <w:rFonts w:ascii="Arial" w:cs="Arial" w:eastAsia="Arial" w:hAnsi="Arial"/>
                <w:sz w:val="19"/>
                <w:szCs w:val="19"/>
                <w:color w:val="auto"/>
                <w:w w:val="95"/>
              </w:rPr>
              <w:t>Braxton Science &amp; Technology Group, LLC</w:t>
            </w:r>
          </w:p>
        </w:tc>
        <w:tc>
          <w:tcPr>
            <w:tcW w:w="474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Arial" w:cs="Arial" w:eastAsia="Arial" w:hAnsi="Arial"/>
                <w:sz w:val="19"/>
                <w:szCs w:val="19"/>
                <w:color w:val="auto"/>
              </w:rPr>
              <w:t>Colorado</w:t>
            </w:r>
          </w:p>
        </w:tc>
      </w:tr>
      <w:tr>
        <w:trPr>
          <w:trHeight w:val="570"/>
        </w:trPr>
        <w:tc>
          <w:tcPr>
            <w:tcW w:w="3500" w:type="dxa"/>
            <w:vAlign w:val="bottom"/>
            <w:gridSpan w:val="2"/>
          </w:tcPr>
          <w:p>
            <w:pPr>
              <w:spacing w:after="0"/>
              <w:rPr>
                <w:sz w:val="20"/>
                <w:szCs w:val="20"/>
                <w:color w:val="auto"/>
              </w:rPr>
            </w:pPr>
            <w:r>
              <w:rPr>
                <w:rFonts w:ascii="Arial" w:cs="Arial" w:eastAsia="Arial" w:hAnsi="Arial"/>
                <w:sz w:val="19"/>
                <w:szCs w:val="19"/>
                <w:color w:val="auto"/>
              </w:rPr>
              <w:t>Braxton Technologies, LLC</w:t>
            </w:r>
          </w:p>
        </w:tc>
        <w:tc>
          <w:tcPr>
            <w:tcW w:w="474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Arial" w:cs="Arial" w:eastAsia="Arial" w:hAnsi="Arial"/>
                <w:sz w:val="19"/>
                <w:szCs w:val="19"/>
                <w:color w:val="auto"/>
              </w:rPr>
              <w:t>Colorado</w:t>
            </w:r>
          </w:p>
        </w:tc>
      </w:tr>
      <w:tr>
        <w:trPr>
          <w:trHeight w:val="380"/>
        </w:trPr>
        <w:tc>
          <w:tcPr>
            <w:tcW w:w="3500" w:type="dxa"/>
            <w:vAlign w:val="bottom"/>
            <w:gridSpan w:val="2"/>
          </w:tcPr>
          <w:p>
            <w:pPr>
              <w:spacing w:after="0"/>
              <w:rPr>
                <w:sz w:val="20"/>
                <w:szCs w:val="20"/>
                <w:color w:val="auto"/>
              </w:rPr>
            </w:pPr>
            <w:r>
              <w:rPr>
                <w:rFonts w:ascii="Arial" w:cs="Arial" w:eastAsia="Arial" w:hAnsi="Arial"/>
                <w:sz w:val="19"/>
                <w:szCs w:val="19"/>
                <w:color w:val="auto"/>
                <w:w w:val="99"/>
              </w:rPr>
              <w:t>Bright Star For Engineering Services LLC</w:t>
            </w:r>
          </w:p>
        </w:tc>
        <w:tc>
          <w:tcPr>
            <w:tcW w:w="474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Arial" w:cs="Arial" w:eastAsia="Arial" w:hAnsi="Arial"/>
                <w:sz w:val="19"/>
                <w:szCs w:val="19"/>
                <w:color w:val="auto"/>
              </w:rPr>
              <w:t>Iraq, Republic of</w:t>
            </w:r>
          </w:p>
        </w:tc>
      </w:tr>
      <w:tr>
        <w:trPr>
          <w:trHeight w:val="570"/>
        </w:trPr>
        <w:tc>
          <w:tcPr>
            <w:tcW w:w="3500" w:type="dxa"/>
            <w:vAlign w:val="bottom"/>
            <w:gridSpan w:val="2"/>
          </w:tcPr>
          <w:p>
            <w:pPr>
              <w:spacing w:after="0"/>
              <w:rPr>
                <w:sz w:val="20"/>
                <w:szCs w:val="20"/>
                <w:color w:val="auto"/>
              </w:rPr>
            </w:pPr>
            <w:r>
              <w:rPr>
                <w:rFonts w:ascii="Arial" w:cs="Arial" w:eastAsia="Arial" w:hAnsi="Arial"/>
                <w:sz w:val="19"/>
                <w:szCs w:val="19"/>
                <w:color w:val="auto"/>
              </w:rPr>
              <w:t>Centerra-Parsons Pacific, LLC</w:t>
            </w:r>
          </w:p>
        </w:tc>
        <w:tc>
          <w:tcPr>
            <w:tcW w:w="474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Arial" w:cs="Arial" w:eastAsia="Arial" w:hAnsi="Arial"/>
                <w:sz w:val="19"/>
                <w:szCs w:val="19"/>
                <w:color w:val="auto"/>
              </w:rPr>
              <w:t>Florida</w:t>
            </w:r>
          </w:p>
        </w:tc>
      </w:tr>
      <w:tr>
        <w:trPr>
          <w:trHeight w:val="358"/>
        </w:trPr>
        <w:tc>
          <w:tcPr>
            <w:tcW w:w="3500" w:type="dxa"/>
            <w:vAlign w:val="bottom"/>
            <w:gridSpan w:val="2"/>
          </w:tcPr>
          <w:p>
            <w:pPr>
              <w:spacing w:after="0"/>
              <w:rPr>
                <w:sz w:val="20"/>
                <w:szCs w:val="20"/>
                <w:color w:val="auto"/>
              </w:rPr>
            </w:pPr>
            <w:r>
              <w:rPr>
                <w:rFonts w:ascii="Arial" w:cs="Arial" w:eastAsia="Arial" w:hAnsi="Arial"/>
                <w:sz w:val="19"/>
                <w:szCs w:val="19"/>
                <w:color w:val="auto"/>
              </w:rPr>
              <w:t>Chas. T. Main, Inc.</w:t>
            </w:r>
          </w:p>
        </w:tc>
        <w:tc>
          <w:tcPr>
            <w:tcW w:w="474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Arial" w:cs="Arial" w:eastAsia="Arial" w:hAnsi="Arial"/>
                <w:sz w:val="19"/>
                <w:szCs w:val="19"/>
                <w:color w:val="auto"/>
              </w:rPr>
              <w:t>Massachusetts</w:t>
            </w:r>
          </w:p>
        </w:tc>
      </w:tr>
      <w:tr>
        <w:trPr>
          <w:trHeight w:val="238"/>
        </w:trPr>
        <w:tc>
          <w:tcPr>
            <w:tcW w:w="3500" w:type="dxa"/>
            <w:vAlign w:val="bottom"/>
            <w:gridSpan w:val="2"/>
          </w:tcPr>
          <w:p>
            <w:pPr>
              <w:spacing w:after="0"/>
              <w:rPr>
                <w:sz w:val="20"/>
                <w:szCs w:val="20"/>
                <w:color w:val="auto"/>
              </w:rPr>
            </w:pPr>
            <w:r>
              <w:rPr>
                <w:rFonts w:ascii="Arial" w:cs="Arial" w:eastAsia="Arial" w:hAnsi="Arial"/>
                <w:sz w:val="19"/>
                <w:szCs w:val="19"/>
                <w:color w:val="auto"/>
              </w:rPr>
              <w:t>Checkmark Vehicle Safety Services, Inc.</w:t>
            </w:r>
          </w:p>
        </w:tc>
        <w:tc>
          <w:tcPr>
            <w:tcW w:w="474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Arial" w:cs="Arial" w:eastAsia="Arial" w:hAnsi="Arial"/>
                <w:sz w:val="19"/>
                <w:szCs w:val="19"/>
                <w:color w:val="auto"/>
              </w:rPr>
              <w:t>Delaware</w:t>
            </w:r>
          </w:p>
        </w:tc>
      </w:tr>
      <w:tr>
        <w:trPr>
          <w:trHeight w:val="380"/>
        </w:trPr>
        <w:tc>
          <w:tcPr>
            <w:tcW w:w="3500" w:type="dxa"/>
            <w:vAlign w:val="bottom"/>
            <w:gridSpan w:val="2"/>
          </w:tcPr>
          <w:p>
            <w:pPr>
              <w:spacing w:after="0"/>
              <w:rPr>
                <w:sz w:val="20"/>
                <w:szCs w:val="20"/>
                <w:color w:val="auto"/>
              </w:rPr>
            </w:pPr>
            <w:r>
              <w:rPr>
                <w:rFonts w:ascii="Arial" w:cs="Arial" w:eastAsia="Arial" w:hAnsi="Arial"/>
                <w:sz w:val="19"/>
                <w:szCs w:val="19"/>
                <w:color w:val="auto"/>
                <w:w w:val="93"/>
              </w:rPr>
              <w:t>Command Engineering International Limited</w:t>
            </w:r>
          </w:p>
        </w:tc>
        <w:tc>
          <w:tcPr>
            <w:tcW w:w="474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Arial" w:cs="Arial" w:eastAsia="Arial" w:hAnsi="Arial"/>
                <w:sz w:val="19"/>
                <w:szCs w:val="19"/>
                <w:color w:val="auto"/>
              </w:rPr>
              <w:t>Ontario</w:t>
            </w:r>
          </w:p>
        </w:tc>
      </w:tr>
      <w:tr>
        <w:trPr>
          <w:trHeight w:val="380"/>
        </w:trPr>
        <w:tc>
          <w:tcPr>
            <w:tcW w:w="3500" w:type="dxa"/>
            <w:vAlign w:val="bottom"/>
            <w:gridSpan w:val="2"/>
          </w:tcPr>
          <w:p>
            <w:pPr>
              <w:spacing w:after="0"/>
              <w:rPr>
                <w:sz w:val="20"/>
                <w:szCs w:val="20"/>
                <w:color w:val="auto"/>
              </w:rPr>
            </w:pPr>
            <w:r>
              <w:rPr>
                <w:rFonts w:ascii="Arial" w:cs="Arial" w:eastAsia="Arial" w:hAnsi="Arial"/>
                <w:sz w:val="19"/>
                <w:szCs w:val="19"/>
                <w:color w:val="auto"/>
              </w:rPr>
              <w:t>De Leuw, Cather International Limited</w:t>
            </w:r>
          </w:p>
        </w:tc>
        <w:tc>
          <w:tcPr>
            <w:tcW w:w="474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Arial" w:cs="Arial" w:eastAsia="Arial" w:hAnsi="Arial"/>
                <w:sz w:val="19"/>
                <w:szCs w:val="19"/>
                <w:color w:val="auto"/>
              </w:rPr>
              <w:t>Delaware</w:t>
            </w:r>
          </w:p>
        </w:tc>
      </w:tr>
      <w:tr>
        <w:trPr>
          <w:trHeight w:val="358"/>
        </w:trPr>
        <w:tc>
          <w:tcPr>
            <w:tcW w:w="3500" w:type="dxa"/>
            <w:vAlign w:val="bottom"/>
            <w:gridSpan w:val="2"/>
          </w:tcPr>
          <w:p>
            <w:pPr>
              <w:spacing w:after="0"/>
              <w:rPr>
                <w:sz w:val="20"/>
                <w:szCs w:val="20"/>
                <w:color w:val="auto"/>
              </w:rPr>
            </w:pPr>
            <w:r>
              <w:rPr>
                <w:rFonts w:ascii="Arial" w:cs="Arial" w:eastAsia="Arial" w:hAnsi="Arial"/>
                <w:sz w:val="19"/>
                <w:szCs w:val="19"/>
                <w:color w:val="auto"/>
              </w:rPr>
              <w:t>Delcan Corporation</w:t>
            </w:r>
          </w:p>
        </w:tc>
        <w:tc>
          <w:tcPr>
            <w:tcW w:w="474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Arial" w:cs="Arial" w:eastAsia="Arial" w:hAnsi="Arial"/>
                <w:sz w:val="19"/>
                <w:szCs w:val="19"/>
                <w:color w:val="auto"/>
              </w:rPr>
              <w:t>Illinois</w:t>
            </w:r>
          </w:p>
        </w:tc>
      </w:tr>
      <w:tr>
        <w:trPr>
          <w:trHeight w:val="238"/>
        </w:trPr>
        <w:tc>
          <w:tcPr>
            <w:tcW w:w="3500" w:type="dxa"/>
            <w:vAlign w:val="bottom"/>
            <w:gridSpan w:val="2"/>
          </w:tcPr>
          <w:p>
            <w:pPr>
              <w:spacing w:after="0"/>
              <w:rPr>
                <w:sz w:val="20"/>
                <w:szCs w:val="20"/>
                <w:color w:val="auto"/>
              </w:rPr>
            </w:pPr>
            <w:r>
              <w:rPr>
                <w:rFonts w:ascii="Arial" w:cs="Arial" w:eastAsia="Arial" w:hAnsi="Arial"/>
                <w:sz w:val="19"/>
                <w:szCs w:val="19"/>
                <w:color w:val="auto"/>
              </w:rPr>
              <w:t>Delcan Technologies, Inc.</w:t>
            </w:r>
          </w:p>
        </w:tc>
        <w:tc>
          <w:tcPr>
            <w:tcW w:w="474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Arial" w:cs="Arial" w:eastAsia="Arial" w:hAnsi="Arial"/>
                <w:sz w:val="19"/>
                <w:szCs w:val="19"/>
                <w:color w:val="auto"/>
              </w:rPr>
              <w:t>Georgia</w:t>
            </w:r>
          </w:p>
        </w:tc>
      </w:tr>
      <w:tr>
        <w:trPr>
          <w:trHeight w:val="358"/>
        </w:trPr>
        <w:tc>
          <w:tcPr>
            <w:tcW w:w="3500" w:type="dxa"/>
            <w:vAlign w:val="bottom"/>
            <w:gridSpan w:val="2"/>
          </w:tcPr>
          <w:p>
            <w:pPr>
              <w:spacing w:after="0"/>
              <w:rPr>
                <w:sz w:val="20"/>
                <w:szCs w:val="20"/>
                <w:color w:val="auto"/>
              </w:rPr>
            </w:pPr>
            <w:r>
              <w:rPr>
                <w:rFonts w:ascii="Arial" w:cs="Arial" w:eastAsia="Arial" w:hAnsi="Arial"/>
                <w:sz w:val="19"/>
                <w:szCs w:val="19"/>
                <w:color w:val="auto"/>
              </w:rPr>
              <w:t>DZSP 21 LLC</w:t>
            </w:r>
          </w:p>
        </w:tc>
        <w:tc>
          <w:tcPr>
            <w:tcW w:w="474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Arial" w:cs="Arial" w:eastAsia="Arial" w:hAnsi="Arial"/>
                <w:sz w:val="19"/>
                <w:szCs w:val="19"/>
                <w:color w:val="auto"/>
              </w:rPr>
              <w:t>Delaware</w:t>
            </w:r>
          </w:p>
        </w:tc>
      </w:tr>
      <w:tr>
        <w:trPr>
          <w:trHeight w:val="216"/>
        </w:trPr>
        <w:tc>
          <w:tcPr>
            <w:tcW w:w="3500" w:type="dxa"/>
            <w:vAlign w:val="bottom"/>
            <w:gridSpan w:val="2"/>
          </w:tcPr>
          <w:p>
            <w:pPr>
              <w:spacing w:after="0" w:line="215" w:lineRule="exact"/>
              <w:rPr>
                <w:sz w:val="20"/>
                <w:szCs w:val="20"/>
                <w:color w:val="auto"/>
              </w:rPr>
            </w:pPr>
            <w:r>
              <w:rPr>
                <w:rFonts w:ascii="Arial" w:cs="Arial" w:eastAsia="Arial" w:hAnsi="Arial"/>
                <w:sz w:val="19"/>
                <w:szCs w:val="19"/>
                <w:color w:val="auto"/>
              </w:rPr>
              <w:t>Echo Ridge, LLC</w:t>
            </w:r>
          </w:p>
        </w:tc>
        <w:tc>
          <w:tcPr>
            <w:tcW w:w="4740" w:type="dxa"/>
            <w:vAlign w:val="bottom"/>
          </w:tcPr>
          <w:p>
            <w:pPr>
              <w:spacing w:after="0"/>
              <w:rPr>
                <w:sz w:val="18"/>
                <w:szCs w:val="18"/>
                <w:color w:val="auto"/>
              </w:rPr>
            </w:pPr>
          </w:p>
        </w:tc>
        <w:tc>
          <w:tcPr>
            <w:tcW w:w="3040" w:type="dxa"/>
            <w:vAlign w:val="bottom"/>
            <w:gridSpan w:val="2"/>
          </w:tcPr>
          <w:p>
            <w:pPr>
              <w:spacing w:after="0" w:line="215" w:lineRule="exact"/>
              <w:rPr>
                <w:sz w:val="20"/>
                <w:szCs w:val="20"/>
                <w:color w:val="auto"/>
              </w:rPr>
            </w:pPr>
            <w:r>
              <w:rPr>
                <w:rFonts w:ascii="Arial" w:cs="Arial" w:eastAsia="Arial" w:hAnsi="Arial"/>
                <w:sz w:val="19"/>
                <w:szCs w:val="19"/>
                <w:color w:val="auto"/>
              </w:rPr>
              <w:t>Virginia</w:t>
            </w:r>
          </w:p>
        </w:tc>
      </w:tr>
      <w:tr>
        <w:trPr>
          <w:trHeight w:val="216"/>
        </w:trPr>
        <w:tc>
          <w:tcPr>
            <w:tcW w:w="3500" w:type="dxa"/>
            <w:vAlign w:val="bottom"/>
            <w:gridSpan w:val="2"/>
          </w:tcPr>
          <w:p>
            <w:pPr>
              <w:spacing w:after="0" w:line="215" w:lineRule="exact"/>
              <w:rPr>
                <w:sz w:val="20"/>
                <w:szCs w:val="20"/>
                <w:color w:val="auto"/>
              </w:rPr>
            </w:pPr>
            <w:r>
              <w:rPr>
                <w:rFonts w:ascii="Arial" w:cs="Arial" w:eastAsia="Arial" w:hAnsi="Arial"/>
                <w:sz w:val="19"/>
                <w:szCs w:val="19"/>
                <w:color w:val="auto"/>
              </w:rPr>
              <w:t>Emerett, LLC</w:t>
            </w:r>
          </w:p>
        </w:tc>
        <w:tc>
          <w:tcPr>
            <w:tcW w:w="4740" w:type="dxa"/>
            <w:vAlign w:val="bottom"/>
          </w:tcPr>
          <w:p>
            <w:pPr>
              <w:spacing w:after="0"/>
              <w:rPr>
                <w:sz w:val="18"/>
                <w:szCs w:val="18"/>
                <w:color w:val="auto"/>
              </w:rPr>
            </w:pPr>
          </w:p>
        </w:tc>
        <w:tc>
          <w:tcPr>
            <w:tcW w:w="3040" w:type="dxa"/>
            <w:vAlign w:val="bottom"/>
            <w:gridSpan w:val="2"/>
          </w:tcPr>
          <w:p>
            <w:pPr>
              <w:spacing w:after="0" w:line="215" w:lineRule="exact"/>
              <w:rPr>
                <w:sz w:val="20"/>
                <w:szCs w:val="20"/>
                <w:color w:val="auto"/>
              </w:rPr>
            </w:pPr>
            <w:r>
              <w:rPr>
                <w:rFonts w:ascii="Arial" w:cs="Arial" w:eastAsia="Arial" w:hAnsi="Arial"/>
                <w:sz w:val="19"/>
                <w:szCs w:val="19"/>
                <w:color w:val="auto"/>
              </w:rPr>
              <w:t>Colorado</w:t>
            </w:r>
          </w:p>
        </w:tc>
      </w:tr>
      <w:tr>
        <w:trPr>
          <w:trHeight w:val="238"/>
        </w:trPr>
        <w:tc>
          <w:tcPr>
            <w:tcW w:w="3500" w:type="dxa"/>
            <w:vAlign w:val="bottom"/>
            <w:gridSpan w:val="2"/>
          </w:tcPr>
          <w:p>
            <w:pPr>
              <w:spacing w:after="0"/>
              <w:rPr>
                <w:sz w:val="20"/>
                <w:szCs w:val="20"/>
                <w:color w:val="auto"/>
              </w:rPr>
            </w:pPr>
            <w:r>
              <w:rPr>
                <w:rFonts w:ascii="Arial" w:cs="Arial" w:eastAsia="Arial" w:hAnsi="Arial"/>
                <w:sz w:val="19"/>
                <w:szCs w:val="19"/>
                <w:color w:val="auto"/>
              </w:rPr>
              <w:t>EXi Parsons Telecom LLC</w:t>
            </w:r>
          </w:p>
        </w:tc>
        <w:tc>
          <w:tcPr>
            <w:tcW w:w="474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Arial" w:cs="Arial" w:eastAsia="Arial" w:hAnsi="Arial"/>
                <w:sz w:val="19"/>
                <w:szCs w:val="19"/>
                <w:color w:val="auto"/>
              </w:rPr>
              <w:t>Delaware</w:t>
            </w:r>
          </w:p>
        </w:tc>
      </w:tr>
      <w:tr>
        <w:trPr>
          <w:trHeight w:val="380"/>
        </w:trPr>
        <w:tc>
          <w:tcPr>
            <w:tcW w:w="3500" w:type="dxa"/>
            <w:vAlign w:val="bottom"/>
            <w:gridSpan w:val="2"/>
          </w:tcPr>
          <w:p>
            <w:pPr>
              <w:spacing w:after="0"/>
              <w:rPr>
                <w:sz w:val="20"/>
                <w:szCs w:val="20"/>
                <w:color w:val="auto"/>
              </w:rPr>
            </w:pPr>
            <w:r>
              <w:rPr>
                <w:rFonts w:ascii="Arial" w:cs="Arial" w:eastAsia="Arial" w:hAnsi="Arial"/>
                <w:sz w:val="19"/>
                <w:szCs w:val="19"/>
                <w:color w:val="auto"/>
              </w:rPr>
              <w:t>Finley McNary Engineers, Inc.</w:t>
            </w:r>
          </w:p>
        </w:tc>
        <w:tc>
          <w:tcPr>
            <w:tcW w:w="474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Arial" w:cs="Arial" w:eastAsia="Arial" w:hAnsi="Arial"/>
                <w:sz w:val="19"/>
                <w:szCs w:val="19"/>
                <w:color w:val="auto"/>
              </w:rPr>
              <w:t>Florida</w:t>
            </w:r>
          </w:p>
        </w:tc>
      </w:tr>
      <w:tr>
        <w:trPr>
          <w:trHeight w:val="380"/>
        </w:trPr>
        <w:tc>
          <w:tcPr>
            <w:tcW w:w="3500" w:type="dxa"/>
            <w:vAlign w:val="bottom"/>
            <w:gridSpan w:val="2"/>
          </w:tcPr>
          <w:p>
            <w:pPr>
              <w:spacing w:after="0"/>
              <w:rPr>
                <w:sz w:val="20"/>
                <w:szCs w:val="20"/>
                <w:color w:val="auto"/>
              </w:rPr>
            </w:pPr>
            <w:r>
              <w:rPr>
                <w:rFonts w:ascii="Arial" w:cs="Arial" w:eastAsia="Arial" w:hAnsi="Arial"/>
                <w:sz w:val="19"/>
                <w:szCs w:val="19"/>
                <w:color w:val="auto"/>
              </w:rPr>
              <w:t>First Defense Services Pte. Ltd.</w:t>
            </w:r>
          </w:p>
        </w:tc>
        <w:tc>
          <w:tcPr>
            <w:tcW w:w="474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Arial" w:cs="Arial" w:eastAsia="Arial" w:hAnsi="Arial"/>
                <w:sz w:val="19"/>
                <w:szCs w:val="19"/>
                <w:color w:val="auto"/>
              </w:rPr>
              <w:t>Singapore</w:t>
            </w:r>
          </w:p>
        </w:tc>
      </w:tr>
      <w:tr>
        <w:trPr>
          <w:trHeight w:val="380"/>
        </w:trPr>
        <w:tc>
          <w:tcPr>
            <w:tcW w:w="3500" w:type="dxa"/>
            <w:vAlign w:val="bottom"/>
            <w:gridSpan w:val="2"/>
          </w:tcPr>
          <w:p>
            <w:pPr>
              <w:spacing w:after="0"/>
              <w:rPr>
                <w:sz w:val="20"/>
                <w:szCs w:val="20"/>
                <w:color w:val="auto"/>
              </w:rPr>
            </w:pPr>
            <w:r>
              <w:rPr>
                <w:rFonts w:ascii="Arial" w:cs="Arial" w:eastAsia="Arial" w:hAnsi="Arial"/>
                <w:sz w:val="19"/>
                <w:szCs w:val="19"/>
                <w:color w:val="auto"/>
              </w:rPr>
              <w:t>Fourth Dimension Engineering LLC</w:t>
            </w:r>
          </w:p>
        </w:tc>
        <w:tc>
          <w:tcPr>
            <w:tcW w:w="474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Arial" w:cs="Arial" w:eastAsia="Arial" w:hAnsi="Arial"/>
                <w:sz w:val="19"/>
                <w:szCs w:val="19"/>
                <w:color w:val="auto"/>
              </w:rPr>
              <w:t>Delaware</w:t>
            </w:r>
          </w:p>
        </w:tc>
      </w:tr>
      <w:tr>
        <w:trPr>
          <w:trHeight w:val="358"/>
        </w:trPr>
        <w:tc>
          <w:tcPr>
            <w:tcW w:w="3500" w:type="dxa"/>
            <w:vAlign w:val="bottom"/>
            <w:gridSpan w:val="2"/>
          </w:tcPr>
          <w:p>
            <w:pPr>
              <w:spacing w:after="0"/>
              <w:rPr>
                <w:sz w:val="20"/>
                <w:szCs w:val="20"/>
                <w:color w:val="auto"/>
              </w:rPr>
            </w:pPr>
            <w:r>
              <w:rPr>
                <w:rFonts w:ascii="Arial" w:cs="Arial" w:eastAsia="Arial" w:hAnsi="Arial"/>
                <w:sz w:val="19"/>
                <w:szCs w:val="19"/>
                <w:color w:val="auto"/>
              </w:rPr>
              <w:t>Holding S.r.L.</w:t>
            </w:r>
          </w:p>
        </w:tc>
        <w:tc>
          <w:tcPr>
            <w:tcW w:w="474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Arial" w:cs="Arial" w:eastAsia="Arial" w:hAnsi="Arial"/>
                <w:sz w:val="19"/>
                <w:szCs w:val="19"/>
                <w:color w:val="auto"/>
              </w:rPr>
              <w:t>Italy</w:t>
            </w:r>
          </w:p>
        </w:tc>
      </w:tr>
      <w:tr>
        <w:trPr>
          <w:trHeight w:val="216"/>
        </w:trPr>
        <w:tc>
          <w:tcPr>
            <w:tcW w:w="3500" w:type="dxa"/>
            <w:vAlign w:val="bottom"/>
            <w:gridSpan w:val="2"/>
          </w:tcPr>
          <w:p>
            <w:pPr>
              <w:spacing w:after="0" w:line="215" w:lineRule="exact"/>
              <w:rPr>
                <w:sz w:val="20"/>
                <w:szCs w:val="20"/>
                <w:color w:val="auto"/>
              </w:rPr>
            </w:pPr>
            <w:r>
              <w:rPr>
                <w:rFonts w:ascii="Arial" w:cs="Arial" w:eastAsia="Arial" w:hAnsi="Arial"/>
                <w:sz w:val="19"/>
                <w:szCs w:val="19"/>
                <w:color w:val="auto"/>
              </w:rPr>
              <w:t>Ingenicomm, LLC</w:t>
            </w:r>
          </w:p>
        </w:tc>
        <w:tc>
          <w:tcPr>
            <w:tcW w:w="4740" w:type="dxa"/>
            <w:vAlign w:val="bottom"/>
          </w:tcPr>
          <w:p>
            <w:pPr>
              <w:spacing w:after="0"/>
              <w:rPr>
                <w:sz w:val="18"/>
                <w:szCs w:val="18"/>
                <w:color w:val="auto"/>
              </w:rPr>
            </w:pPr>
          </w:p>
        </w:tc>
        <w:tc>
          <w:tcPr>
            <w:tcW w:w="3040" w:type="dxa"/>
            <w:vAlign w:val="bottom"/>
            <w:gridSpan w:val="2"/>
          </w:tcPr>
          <w:p>
            <w:pPr>
              <w:spacing w:after="0" w:line="215" w:lineRule="exact"/>
              <w:rPr>
                <w:sz w:val="20"/>
                <w:szCs w:val="20"/>
                <w:color w:val="auto"/>
              </w:rPr>
            </w:pPr>
            <w:r>
              <w:rPr>
                <w:rFonts w:ascii="Arial" w:cs="Arial" w:eastAsia="Arial" w:hAnsi="Arial"/>
                <w:sz w:val="19"/>
                <w:szCs w:val="19"/>
                <w:color w:val="auto"/>
              </w:rPr>
              <w:t>Virginia</w:t>
            </w:r>
          </w:p>
        </w:tc>
      </w:tr>
      <w:tr>
        <w:trPr>
          <w:trHeight w:val="238"/>
        </w:trPr>
        <w:tc>
          <w:tcPr>
            <w:tcW w:w="3500" w:type="dxa"/>
            <w:vAlign w:val="bottom"/>
            <w:gridSpan w:val="2"/>
          </w:tcPr>
          <w:p>
            <w:pPr>
              <w:spacing w:after="0"/>
              <w:rPr>
                <w:sz w:val="20"/>
                <w:szCs w:val="20"/>
                <w:color w:val="auto"/>
              </w:rPr>
            </w:pPr>
            <w:r>
              <w:rPr>
                <w:rFonts w:ascii="Arial" w:cs="Arial" w:eastAsia="Arial" w:hAnsi="Arial"/>
                <w:sz w:val="19"/>
                <w:szCs w:val="19"/>
                <w:color w:val="auto"/>
                <w:w w:val="93"/>
              </w:rPr>
              <w:t>Intelligent Software Solutions Global Limited</w:t>
            </w:r>
          </w:p>
        </w:tc>
        <w:tc>
          <w:tcPr>
            <w:tcW w:w="474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Arial" w:cs="Arial" w:eastAsia="Arial" w:hAnsi="Arial"/>
                <w:sz w:val="19"/>
                <w:szCs w:val="19"/>
                <w:color w:val="auto"/>
              </w:rPr>
              <w:t>United Kingdom</w:t>
            </w:r>
          </w:p>
        </w:tc>
      </w:tr>
      <w:tr>
        <w:trPr>
          <w:trHeight w:val="380"/>
        </w:trPr>
        <w:tc>
          <w:tcPr>
            <w:tcW w:w="3500" w:type="dxa"/>
            <w:vAlign w:val="bottom"/>
            <w:gridSpan w:val="2"/>
          </w:tcPr>
          <w:p>
            <w:pPr>
              <w:spacing w:after="0"/>
              <w:rPr>
                <w:sz w:val="20"/>
                <w:szCs w:val="20"/>
                <w:color w:val="auto"/>
              </w:rPr>
            </w:pPr>
            <w:r>
              <w:rPr>
                <w:rFonts w:ascii="Arial" w:cs="Arial" w:eastAsia="Arial" w:hAnsi="Arial"/>
                <w:sz w:val="19"/>
                <w:szCs w:val="19"/>
                <w:color w:val="auto"/>
              </w:rPr>
              <w:t>Marigold Infrastructure Partners Inc.</w:t>
            </w:r>
          </w:p>
        </w:tc>
        <w:tc>
          <w:tcPr>
            <w:tcW w:w="474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Arial" w:cs="Arial" w:eastAsia="Arial" w:hAnsi="Arial"/>
                <w:sz w:val="19"/>
                <w:szCs w:val="19"/>
                <w:color w:val="auto"/>
              </w:rPr>
              <w:t>Alberta</w:t>
            </w:r>
          </w:p>
        </w:tc>
      </w:tr>
      <w:tr>
        <w:trPr>
          <w:trHeight w:val="380"/>
        </w:trPr>
        <w:tc>
          <w:tcPr>
            <w:tcW w:w="3500" w:type="dxa"/>
            <w:vAlign w:val="bottom"/>
            <w:gridSpan w:val="2"/>
          </w:tcPr>
          <w:p>
            <w:pPr>
              <w:spacing w:after="0"/>
              <w:rPr>
                <w:sz w:val="20"/>
                <w:szCs w:val="20"/>
                <w:color w:val="auto"/>
              </w:rPr>
            </w:pPr>
            <w:r>
              <w:rPr>
                <w:rFonts w:ascii="Arial" w:cs="Arial" w:eastAsia="Arial" w:hAnsi="Arial"/>
                <w:sz w:val="19"/>
                <w:szCs w:val="19"/>
                <w:color w:val="auto"/>
              </w:rPr>
              <w:t>Mustang Merger Sub, Inc.</w:t>
            </w:r>
          </w:p>
        </w:tc>
        <w:tc>
          <w:tcPr>
            <w:tcW w:w="474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Arial" w:cs="Arial" w:eastAsia="Arial" w:hAnsi="Arial"/>
                <w:sz w:val="19"/>
                <w:szCs w:val="19"/>
                <w:color w:val="auto"/>
              </w:rPr>
              <w:t>Delaware</w:t>
            </w:r>
          </w:p>
        </w:tc>
      </w:tr>
      <w:tr>
        <w:trPr>
          <w:trHeight w:val="358"/>
        </w:trPr>
        <w:tc>
          <w:tcPr>
            <w:tcW w:w="3500" w:type="dxa"/>
            <w:vAlign w:val="bottom"/>
            <w:gridSpan w:val="2"/>
          </w:tcPr>
          <w:p>
            <w:pPr>
              <w:spacing w:after="0"/>
              <w:rPr>
                <w:sz w:val="20"/>
                <w:szCs w:val="20"/>
                <w:color w:val="auto"/>
              </w:rPr>
            </w:pPr>
            <w:r>
              <w:rPr>
                <w:rFonts w:ascii="Arial" w:cs="Arial" w:eastAsia="Arial" w:hAnsi="Arial"/>
                <w:sz w:val="19"/>
                <w:szCs w:val="19"/>
                <w:color w:val="auto"/>
              </w:rPr>
              <w:t>NDP, LLC</w:t>
            </w:r>
          </w:p>
        </w:tc>
        <w:tc>
          <w:tcPr>
            <w:tcW w:w="474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Arial" w:cs="Arial" w:eastAsia="Arial" w:hAnsi="Arial"/>
                <w:sz w:val="19"/>
                <w:szCs w:val="19"/>
                <w:color w:val="auto"/>
              </w:rPr>
              <w:t>Colorado</w:t>
            </w:r>
          </w:p>
        </w:tc>
      </w:tr>
      <w:tr>
        <w:trPr>
          <w:trHeight w:val="216"/>
        </w:trPr>
        <w:tc>
          <w:tcPr>
            <w:tcW w:w="3500" w:type="dxa"/>
            <w:vAlign w:val="bottom"/>
            <w:gridSpan w:val="2"/>
          </w:tcPr>
          <w:p>
            <w:pPr>
              <w:spacing w:after="0" w:line="215" w:lineRule="exact"/>
              <w:rPr>
                <w:sz w:val="20"/>
                <w:szCs w:val="20"/>
                <w:color w:val="auto"/>
              </w:rPr>
            </w:pPr>
            <w:r>
              <w:rPr>
                <w:rFonts w:ascii="Arial" w:cs="Arial" w:eastAsia="Arial" w:hAnsi="Arial"/>
                <w:sz w:val="19"/>
                <w:szCs w:val="19"/>
                <w:color w:val="auto"/>
              </w:rPr>
              <w:t>OGS Holdings, Inc.</w:t>
            </w:r>
          </w:p>
        </w:tc>
        <w:tc>
          <w:tcPr>
            <w:tcW w:w="4740" w:type="dxa"/>
            <w:vAlign w:val="bottom"/>
          </w:tcPr>
          <w:p>
            <w:pPr>
              <w:spacing w:after="0"/>
              <w:rPr>
                <w:sz w:val="18"/>
                <w:szCs w:val="18"/>
                <w:color w:val="auto"/>
              </w:rPr>
            </w:pPr>
          </w:p>
        </w:tc>
        <w:tc>
          <w:tcPr>
            <w:tcW w:w="3040" w:type="dxa"/>
            <w:vAlign w:val="bottom"/>
            <w:gridSpan w:val="2"/>
          </w:tcPr>
          <w:p>
            <w:pPr>
              <w:spacing w:after="0" w:line="215" w:lineRule="exact"/>
              <w:rPr>
                <w:sz w:val="20"/>
                <w:szCs w:val="20"/>
                <w:color w:val="auto"/>
              </w:rPr>
            </w:pPr>
            <w:r>
              <w:rPr>
                <w:rFonts w:ascii="Arial" w:cs="Arial" w:eastAsia="Arial" w:hAnsi="Arial"/>
                <w:sz w:val="19"/>
                <w:szCs w:val="19"/>
                <w:color w:val="auto"/>
              </w:rPr>
              <w:t>Delaware</w:t>
            </w:r>
          </w:p>
        </w:tc>
      </w:tr>
      <w:tr>
        <w:trPr>
          <w:trHeight w:val="216"/>
        </w:trPr>
        <w:tc>
          <w:tcPr>
            <w:tcW w:w="3500" w:type="dxa"/>
            <w:vAlign w:val="bottom"/>
            <w:gridSpan w:val="2"/>
          </w:tcPr>
          <w:p>
            <w:pPr>
              <w:spacing w:after="0" w:line="215" w:lineRule="exact"/>
              <w:rPr>
                <w:sz w:val="20"/>
                <w:szCs w:val="20"/>
                <w:color w:val="auto"/>
              </w:rPr>
            </w:pPr>
            <w:r>
              <w:rPr>
                <w:rFonts w:ascii="Arial" w:cs="Arial" w:eastAsia="Arial" w:hAnsi="Arial"/>
                <w:sz w:val="19"/>
                <w:szCs w:val="19"/>
                <w:color w:val="auto"/>
              </w:rPr>
              <w:t>OGSystems, LLC</w:t>
            </w:r>
          </w:p>
        </w:tc>
        <w:tc>
          <w:tcPr>
            <w:tcW w:w="4740" w:type="dxa"/>
            <w:vAlign w:val="bottom"/>
          </w:tcPr>
          <w:p>
            <w:pPr>
              <w:spacing w:after="0"/>
              <w:rPr>
                <w:sz w:val="18"/>
                <w:szCs w:val="18"/>
                <w:color w:val="auto"/>
              </w:rPr>
            </w:pPr>
          </w:p>
        </w:tc>
        <w:tc>
          <w:tcPr>
            <w:tcW w:w="3040" w:type="dxa"/>
            <w:vAlign w:val="bottom"/>
            <w:gridSpan w:val="2"/>
          </w:tcPr>
          <w:p>
            <w:pPr>
              <w:spacing w:after="0" w:line="215" w:lineRule="exact"/>
              <w:rPr>
                <w:sz w:val="20"/>
                <w:szCs w:val="20"/>
                <w:color w:val="auto"/>
              </w:rPr>
            </w:pPr>
            <w:r>
              <w:rPr>
                <w:rFonts w:ascii="Arial" w:cs="Arial" w:eastAsia="Arial" w:hAnsi="Arial"/>
                <w:sz w:val="19"/>
                <w:szCs w:val="19"/>
                <w:color w:val="auto"/>
              </w:rPr>
              <w:t>Virginia</w:t>
            </w:r>
          </w:p>
        </w:tc>
      </w:tr>
      <w:tr>
        <w:trPr>
          <w:trHeight w:val="238"/>
        </w:trPr>
        <w:tc>
          <w:tcPr>
            <w:tcW w:w="3500" w:type="dxa"/>
            <w:vAlign w:val="bottom"/>
            <w:gridSpan w:val="2"/>
          </w:tcPr>
          <w:p>
            <w:pPr>
              <w:spacing w:after="0"/>
              <w:rPr>
                <w:sz w:val="20"/>
                <w:szCs w:val="20"/>
                <w:color w:val="auto"/>
              </w:rPr>
            </w:pPr>
            <w:r>
              <w:rPr>
                <w:rFonts w:ascii="Arial" w:cs="Arial" w:eastAsia="Arial" w:hAnsi="Arial"/>
                <w:sz w:val="19"/>
                <w:szCs w:val="19"/>
                <w:color w:val="auto"/>
              </w:rPr>
              <w:t>PARCAN, Inc.</w:t>
            </w:r>
          </w:p>
        </w:tc>
        <w:tc>
          <w:tcPr>
            <w:tcW w:w="474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Arial" w:cs="Arial" w:eastAsia="Arial" w:hAnsi="Arial"/>
                <w:sz w:val="19"/>
                <w:szCs w:val="19"/>
                <w:color w:val="auto"/>
              </w:rPr>
              <w:t>Delaware</w:t>
            </w:r>
          </w:p>
        </w:tc>
      </w:tr>
      <w:tr>
        <w:trPr>
          <w:trHeight w:val="520"/>
        </w:trPr>
        <w:tc>
          <w:tcPr>
            <w:tcW w:w="8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-27940</wp:posOffset>
            </wp:positionV>
            <wp:extent cx="33655" cy="4127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7">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80"/>
          </w:cols>
          <w:pgMar w:left="320" w:top="524" w:right="299" w:bottom="1440" w:gutter="0" w:footer="0" w:header="0"/>
        </w:sectPr>
      </w:pPr>
    </w:p>
    <w:bookmarkStart w:id="335" w:name="page336"/>
    <w:bookmarkEnd w:id="335"/>
    <w:p>
      <w:pPr>
        <w:spacing w:after="0"/>
        <w:rPr>
          <w:sz w:val="20"/>
          <w:szCs w:val="20"/>
          <w:color w:val="auto"/>
        </w:rPr>
      </w:pPr>
      <w:r>
        <w:rPr>
          <w:rFonts w:ascii="Arial" w:cs="Arial" w:eastAsia="Arial" w:hAnsi="Arial"/>
          <w:sz w:val="20"/>
          <w:szCs w:val="20"/>
          <w:color w:val="auto"/>
        </w:rPr>
        <w:t>Exhibit 21.1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60" w:type="dxa"/>
            <w:vAlign w:val="bottom"/>
          </w:tcPr>
          <w:p>
            <w:pPr>
              <w:spacing w:after="0"/>
              <w:rPr>
                <w:sz w:val="20"/>
                <w:szCs w:val="20"/>
                <w:color w:val="auto"/>
              </w:rPr>
            </w:pPr>
            <w:r>
              <w:rPr>
                <w:rFonts w:ascii="Arial" w:cs="Arial" w:eastAsia="Arial" w:hAnsi="Arial"/>
                <w:sz w:val="19"/>
                <w:szCs w:val="19"/>
                <w:color w:val="auto"/>
              </w:rPr>
              <w:t>Parmetek, S.A. De C.V.</w:t>
            </w:r>
          </w:p>
        </w:tc>
        <w:tc>
          <w:tcPr>
            <w:tcW w:w="4620" w:type="dxa"/>
            <w:vAlign w:val="bottom"/>
          </w:tcPr>
          <w:p>
            <w:pPr>
              <w:ind w:left="1580"/>
              <w:spacing w:after="0"/>
              <w:rPr>
                <w:sz w:val="20"/>
                <w:szCs w:val="20"/>
                <w:color w:val="auto"/>
              </w:rPr>
            </w:pPr>
            <w:r>
              <w:rPr>
                <w:rFonts w:ascii="Arial" w:cs="Arial" w:eastAsia="Arial" w:hAnsi="Arial"/>
                <w:sz w:val="19"/>
                <w:szCs w:val="19"/>
                <w:color w:val="auto"/>
              </w:rPr>
              <w:t>Mexico</w:t>
            </w:r>
          </w:p>
        </w:tc>
      </w:tr>
      <w:tr>
        <w:trPr>
          <w:trHeight w:val="238"/>
        </w:trPr>
        <w:tc>
          <w:tcPr>
            <w:tcW w:w="6660" w:type="dxa"/>
            <w:vAlign w:val="bottom"/>
          </w:tcPr>
          <w:p>
            <w:pPr>
              <w:spacing w:after="0"/>
              <w:rPr>
                <w:sz w:val="20"/>
                <w:szCs w:val="20"/>
                <w:color w:val="auto"/>
              </w:rPr>
            </w:pPr>
            <w:r>
              <w:rPr>
                <w:rFonts w:ascii="Arial" w:cs="Arial" w:eastAsia="Arial" w:hAnsi="Arial"/>
                <w:sz w:val="19"/>
                <w:szCs w:val="19"/>
                <w:color w:val="auto"/>
              </w:rPr>
              <w:t>Parsons 401Hot GP Inc.</w:t>
            </w:r>
          </w:p>
        </w:tc>
        <w:tc>
          <w:tcPr>
            <w:tcW w:w="4620" w:type="dxa"/>
            <w:vAlign w:val="bottom"/>
          </w:tcPr>
          <w:p>
            <w:pPr>
              <w:ind w:left="1580"/>
              <w:spacing w:after="0"/>
              <w:rPr>
                <w:sz w:val="20"/>
                <w:szCs w:val="20"/>
                <w:color w:val="auto"/>
              </w:rPr>
            </w:pPr>
            <w:r>
              <w:rPr>
                <w:rFonts w:ascii="Arial" w:cs="Arial" w:eastAsia="Arial" w:hAnsi="Arial"/>
                <w:sz w:val="19"/>
                <w:szCs w:val="19"/>
                <w:color w:val="auto"/>
              </w:rPr>
              <w:t>Ontario</w:t>
            </w:r>
          </w:p>
        </w:tc>
      </w:tr>
      <w:tr>
        <w:trPr>
          <w:trHeight w:val="380"/>
        </w:trPr>
        <w:tc>
          <w:tcPr>
            <w:tcW w:w="6660" w:type="dxa"/>
            <w:vAlign w:val="bottom"/>
          </w:tcPr>
          <w:p>
            <w:pPr>
              <w:spacing w:after="0"/>
              <w:rPr>
                <w:sz w:val="20"/>
                <w:szCs w:val="20"/>
                <w:color w:val="auto"/>
              </w:rPr>
            </w:pPr>
            <w:r>
              <w:rPr>
                <w:rFonts w:ascii="Arial" w:cs="Arial" w:eastAsia="Arial" w:hAnsi="Arial"/>
                <w:sz w:val="19"/>
                <w:szCs w:val="19"/>
                <w:color w:val="auto"/>
              </w:rPr>
              <w:t>Parsons 401Hot Limited Partnership</w:t>
            </w:r>
          </w:p>
        </w:tc>
        <w:tc>
          <w:tcPr>
            <w:tcW w:w="4620" w:type="dxa"/>
            <w:vAlign w:val="bottom"/>
          </w:tcPr>
          <w:p>
            <w:pPr>
              <w:ind w:left="1580"/>
              <w:spacing w:after="0"/>
              <w:rPr>
                <w:sz w:val="20"/>
                <w:szCs w:val="20"/>
                <w:color w:val="auto"/>
              </w:rPr>
            </w:pPr>
            <w:r>
              <w:rPr>
                <w:rFonts w:ascii="Arial" w:cs="Arial" w:eastAsia="Arial" w:hAnsi="Arial"/>
                <w:sz w:val="19"/>
                <w:szCs w:val="19"/>
                <w:color w:val="auto"/>
              </w:rPr>
              <w:t>Ontario</w:t>
            </w:r>
          </w:p>
        </w:tc>
      </w:tr>
      <w:tr>
        <w:trPr>
          <w:trHeight w:val="380"/>
        </w:trPr>
        <w:tc>
          <w:tcPr>
            <w:tcW w:w="6660" w:type="dxa"/>
            <w:vAlign w:val="bottom"/>
          </w:tcPr>
          <w:p>
            <w:pPr>
              <w:spacing w:after="0"/>
              <w:rPr>
                <w:sz w:val="20"/>
                <w:szCs w:val="20"/>
                <w:color w:val="auto"/>
              </w:rPr>
            </w:pPr>
            <w:r>
              <w:rPr>
                <w:rFonts w:ascii="Arial" w:cs="Arial" w:eastAsia="Arial" w:hAnsi="Arial"/>
                <w:sz w:val="19"/>
                <w:szCs w:val="19"/>
                <w:color w:val="auto"/>
              </w:rPr>
              <w:t>Parsons Architectural Services Inc.</w:t>
            </w:r>
          </w:p>
        </w:tc>
        <w:tc>
          <w:tcPr>
            <w:tcW w:w="4620" w:type="dxa"/>
            <w:vAlign w:val="bottom"/>
          </w:tcPr>
          <w:p>
            <w:pPr>
              <w:ind w:left="1580"/>
              <w:spacing w:after="0"/>
              <w:rPr>
                <w:sz w:val="20"/>
                <w:szCs w:val="20"/>
                <w:color w:val="auto"/>
              </w:rPr>
            </w:pPr>
            <w:r>
              <w:rPr>
                <w:rFonts w:ascii="Arial" w:cs="Arial" w:eastAsia="Arial" w:hAnsi="Arial"/>
                <w:sz w:val="19"/>
                <w:szCs w:val="19"/>
                <w:color w:val="auto"/>
              </w:rPr>
              <w:t>Alberta</w:t>
            </w:r>
          </w:p>
        </w:tc>
      </w:tr>
      <w:tr>
        <w:trPr>
          <w:trHeight w:val="380"/>
        </w:trPr>
        <w:tc>
          <w:tcPr>
            <w:tcW w:w="6660" w:type="dxa"/>
            <w:vAlign w:val="bottom"/>
          </w:tcPr>
          <w:p>
            <w:pPr>
              <w:spacing w:after="0"/>
              <w:rPr>
                <w:sz w:val="20"/>
                <w:szCs w:val="20"/>
                <w:color w:val="auto"/>
              </w:rPr>
            </w:pPr>
            <w:r>
              <w:rPr>
                <w:rFonts w:ascii="Arial" w:cs="Arial" w:eastAsia="Arial" w:hAnsi="Arial"/>
                <w:sz w:val="19"/>
                <w:szCs w:val="19"/>
                <w:color w:val="auto"/>
              </w:rPr>
              <w:t>Parsons Architectural Services of Illinois Inc.</w:t>
            </w:r>
          </w:p>
        </w:tc>
        <w:tc>
          <w:tcPr>
            <w:tcW w:w="4620" w:type="dxa"/>
            <w:vAlign w:val="bottom"/>
          </w:tcPr>
          <w:p>
            <w:pPr>
              <w:ind w:left="1580"/>
              <w:spacing w:after="0"/>
              <w:rPr>
                <w:sz w:val="20"/>
                <w:szCs w:val="20"/>
                <w:color w:val="auto"/>
              </w:rPr>
            </w:pPr>
            <w:r>
              <w:rPr>
                <w:rFonts w:ascii="Arial" w:cs="Arial" w:eastAsia="Arial" w:hAnsi="Arial"/>
                <w:sz w:val="19"/>
                <w:szCs w:val="19"/>
                <w:color w:val="auto"/>
              </w:rPr>
              <w:t>Illinois</w:t>
            </w:r>
          </w:p>
        </w:tc>
      </w:tr>
      <w:tr>
        <w:trPr>
          <w:trHeight w:val="380"/>
        </w:trPr>
        <w:tc>
          <w:tcPr>
            <w:tcW w:w="6660" w:type="dxa"/>
            <w:vAlign w:val="bottom"/>
          </w:tcPr>
          <w:p>
            <w:pPr>
              <w:spacing w:after="0"/>
              <w:rPr>
                <w:sz w:val="20"/>
                <w:szCs w:val="20"/>
                <w:color w:val="auto"/>
              </w:rPr>
            </w:pPr>
            <w:r>
              <w:rPr>
                <w:rFonts w:ascii="Arial" w:cs="Arial" w:eastAsia="Arial" w:hAnsi="Arial"/>
                <w:sz w:val="19"/>
                <w:szCs w:val="19"/>
                <w:color w:val="auto"/>
              </w:rPr>
              <w:t>Parsons Architecture of Florida Inc.</w:t>
            </w:r>
          </w:p>
        </w:tc>
        <w:tc>
          <w:tcPr>
            <w:tcW w:w="4620" w:type="dxa"/>
            <w:vAlign w:val="bottom"/>
          </w:tcPr>
          <w:p>
            <w:pPr>
              <w:ind w:left="1580"/>
              <w:spacing w:after="0"/>
              <w:rPr>
                <w:sz w:val="20"/>
                <w:szCs w:val="20"/>
                <w:color w:val="auto"/>
              </w:rPr>
            </w:pPr>
            <w:r>
              <w:rPr>
                <w:rFonts w:ascii="Arial" w:cs="Arial" w:eastAsia="Arial" w:hAnsi="Arial"/>
                <w:sz w:val="19"/>
                <w:szCs w:val="19"/>
                <w:color w:val="auto"/>
              </w:rPr>
              <w:t>Florida</w:t>
            </w:r>
          </w:p>
        </w:tc>
      </w:tr>
      <w:tr>
        <w:trPr>
          <w:trHeight w:val="380"/>
        </w:trPr>
        <w:tc>
          <w:tcPr>
            <w:tcW w:w="6660" w:type="dxa"/>
            <w:vAlign w:val="bottom"/>
          </w:tcPr>
          <w:p>
            <w:pPr>
              <w:spacing w:after="0"/>
              <w:rPr>
                <w:sz w:val="20"/>
                <w:szCs w:val="20"/>
                <w:color w:val="auto"/>
              </w:rPr>
            </w:pPr>
            <w:r>
              <w:rPr>
                <w:rFonts w:ascii="Arial" w:cs="Arial" w:eastAsia="Arial" w:hAnsi="Arial"/>
                <w:sz w:val="19"/>
                <w:szCs w:val="19"/>
                <w:color w:val="auto"/>
              </w:rPr>
              <w:t>Parsons Architecture of New Jersey P.C.</w:t>
            </w:r>
          </w:p>
        </w:tc>
        <w:tc>
          <w:tcPr>
            <w:tcW w:w="4620" w:type="dxa"/>
            <w:vAlign w:val="bottom"/>
          </w:tcPr>
          <w:p>
            <w:pPr>
              <w:ind w:left="1580"/>
              <w:spacing w:after="0"/>
              <w:rPr>
                <w:sz w:val="20"/>
                <w:szCs w:val="20"/>
                <w:color w:val="auto"/>
              </w:rPr>
            </w:pPr>
            <w:r>
              <w:rPr>
                <w:rFonts w:ascii="Arial" w:cs="Arial" w:eastAsia="Arial" w:hAnsi="Arial"/>
                <w:sz w:val="19"/>
                <w:szCs w:val="19"/>
                <w:color w:val="auto"/>
              </w:rPr>
              <w:t>New Jersey</w:t>
            </w:r>
          </w:p>
        </w:tc>
      </w:tr>
      <w:tr>
        <w:trPr>
          <w:trHeight w:val="380"/>
        </w:trPr>
        <w:tc>
          <w:tcPr>
            <w:tcW w:w="6660" w:type="dxa"/>
            <w:vAlign w:val="bottom"/>
          </w:tcPr>
          <w:p>
            <w:pPr>
              <w:spacing w:after="0"/>
              <w:rPr>
                <w:sz w:val="20"/>
                <w:szCs w:val="20"/>
                <w:color w:val="auto"/>
              </w:rPr>
            </w:pPr>
            <w:r>
              <w:rPr>
                <w:rFonts w:ascii="Arial" w:cs="Arial" w:eastAsia="Arial" w:hAnsi="Arial"/>
                <w:sz w:val="19"/>
                <w:szCs w:val="19"/>
                <w:color w:val="auto"/>
              </w:rPr>
              <w:t>Parsons Canada Holdings, LLC</w:t>
            </w:r>
          </w:p>
        </w:tc>
        <w:tc>
          <w:tcPr>
            <w:tcW w:w="4620" w:type="dxa"/>
            <w:vAlign w:val="bottom"/>
          </w:tcPr>
          <w:p>
            <w:pPr>
              <w:ind w:left="1580"/>
              <w:spacing w:after="0"/>
              <w:rPr>
                <w:sz w:val="20"/>
                <w:szCs w:val="20"/>
                <w:color w:val="auto"/>
              </w:rPr>
            </w:pPr>
            <w:r>
              <w:rPr>
                <w:rFonts w:ascii="Arial" w:cs="Arial" w:eastAsia="Arial" w:hAnsi="Arial"/>
                <w:sz w:val="19"/>
                <w:szCs w:val="19"/>
                <w:color w:val="auto"/>
              </w:rPr>
              <w:t>Delaware</w:t>
            </w:r>
          </w:p>
        </w:tc>
      </w:tr>
      <w:tr>
        <w:trPr>
          <w:trHeight w:val="380"/>
        </w:trPr>
        <w:tc>
          <w:tcPr>
            <w:tcW w:w="6660" w:type="dxa"/>
            <w:vAlign w:val="bottom"/>
          </w:tcPr>
          <w:p>
            <w:pPr>
              <w:spacing w:after="0"/>
              <w:rPr>
                <w:sz w:val="20"/>
                <w:szCs w:val="20"/>
                <w:color w:val="auto"/>
              </w:rPr>
            </w:pPr>
            <w:r>
              <w:rPr>
                <w:rFonts w:ascii="Arial" w:cs="Arial" w:eastAsia="Arial" w:hAnsi="Arial"/>
                <w:sz w:val="19"/>
                <w:szCs w:val="19"/>
                <w:color w:val="auto"/>
              </w:rPr>
              <w:t>Parsons Construction Craft Services Inc.</w:t>
            </w:r>
          </w:p>
        </w:tc>
        <w:tc>
          <w:tcPr>
            <w:tcW w:w="4620" w:type="dxa"/>
            <w:vAlign w:val="bottom"/>
          </w:tcPr>
          <w:p>
            <w:pPr>
              <w:ind w:left="1580"/>
              <w:spacing w:after="0"/>
              <w:rPr>
                <w:sz w:val="20"/>
                <w:szCs w:val="20"/>
                <w:color w:val="auto"/>
              </w:rPr>
            </w:pPr>
            <w:r>
              <w:rPr>
                <w:rFonts w:ascii="Arial" w:cs="Arial" w:eastAsia="Arial" w:hAnsi="Arial"/>
                <w:sz w:val="19"/>
                <w:szCs w:val="19"/>
                <w:color w:val="auto"/>
              </w:rPr>
              <w:t>Texas</w:t>
            </w:r>
          </w:p>
        </w:tc>
      </w:tr>
      <w:tr>
        <w:trPr>
          <w:trHeight w:val="380"/>
        </w:trPr>
        <w:tc>
          <w:tcPr>
            <w:tcW w:w="6660" w:type="dxa"/>
            <w:vAlign w:val="bottom"/>
          </w:tcPr>
          <w:p>
            <w:pPr>
              <w:spacing w:after="0"/>
              <w:rPr>
                <w:sz w:val="20"/>
                <w:szCs w:val="20"/>
                <w:color w:val="auto"/>
              </w:rPr>
            </w:pPr>
            <w:r>
              <w:rPr>
                <w:rFonts w:ascii="Arial" w:cs="Arial" w:eastAsia="Arial" w:hAnsi="Arial"/>
                <w:sz w:val="19"/>
                <w:szCs w:val="19"/>
                <w:color w:val="auto"/>
              </w:rPr>
              <w:t>Parsons Construction Group Inc.</w:t>
            </w:r>
          </w:p>
        </w:tc>
        <w:tc>
          <w:tcPr>
            <w:tcW w:w="4620" w:type="dxa"/>
            <w:vAlign w:val="bottom"/>
          </w:tcPr>
          <w:p>
            <w:pPr>
              <w:ind w:left="1580"/>
              <w:spacing w:after="0"/>
              <w:rPr>
                <w:sz w:val="20"/>
                <w:szCs w:val="20"/>
                <w:color w:val="auto"/>
              </w:rPr>
            </w:pPr>
            <w:r>
              <w:rPr>
                <w:rFonts w:ascii="Arial" w:cs="Arial" w:eastAsia="Arial" w:hAnsi="Arial"/>
                <w:sz w:val="19"/>
                <w:szCs w:val="19"/>
                <w:color w:val="auto"/>
              </w:rPr>
              <w:t>Delaware</w:t>
            </w:r>
          </w:p>
        </w:tc>
      </w:tr>
      <w:tr>
        <w:trPr>
          <w:trHeight w:val="380"/>
        </w:trPr>
        <w:tc>
          <w:tcPr>
            <w:tcW w:w="6660" w:type="dxa"/>
            <w:vAlign w:val="bottom"/>
          </w:tcPr>
          <w:p>
            <w:pPr>
              <w:spacing w:after="0"/>
              <w:rPr>
                <w:sz w:val="20"/>
                <w:szCs w:val="20"/>
                <w:color w:val="auto"/>
              </w:rPr>
            </w:pPr>
            <w:r>
              <w:rPr>
                <w:rFonts w:ascii="Arial" w:cs="Arial" w:eastAsia="Arial" w:hAnsi="Arial"/>
                <w:sz w:val="19"/>
                <w:szCs w:val="19"/>
                <w:color w:val="auto"/>
              </w:rPr>
              <w:t>Parsons Constructors &amp; Fabricators Inc.</w:t>
            </w:r>
          </w:p>
        </w:tc>
        <w:tc>
          <w:tcPr>
            <w:tcW w:w="4620" w:type="dxa"/>
            <w:vAlign w:val="bottom"/>
          </w:tcPr>
          <w:p>
            <w:pPr>
              <w:ind w:left="1580"/>
              <w:spacing w:after="0"/>
              <w:rPr>
                <w:sz w:val="20"/>
                <w:szCs w:val="20"/>
                <w:color w:val="auto"/>
              </w:rPr>
            </w:pPr>
            <w:r>
              <w:rPr>
                <w:rFonts w:ascii="Arial" w:cs="Arial" w:eastAsia="Arial" w:hAnsi="Arial"/>
                <w:sz w:val="19"/>
                <w:szCs w:val="19"/>
                <w:color w:val="auto"/>
              </w:rPr>
              <w:t>Delaware</w:t>
            </w:r>
          </w:p>
        </w:tc>
      </w:tr>
      <w:tr>
        <w:trPr>
          <w:trHeight w:val="380"/>
        </w:trPr>
        <w:tc>
          <w:tcPr>
            <w:tcW w:w="6660" w:type="dxa"/>
            <w:vAlign w:val="bottom"/>
          </w:tcPr>
          <w:p>
            <w:pPr>
              <w:spacing w:after="0"/>
              <w:rPr>
                <w:sz w:val="20"/>
                <w:szCs w:val="20"/>
                <w:color w:val="auto"/>
              </w:rPr>
            </w:pPr>
            <w:r>
              <w:rPr>
                <w:rFonts w:ascii="Arial" w:cs="Arial" w:eastAsia="Arial" w:hAnsi="Arial"/>
                <w:sz w:val="19"/>
                <w:szCs w:val="19"/>
                <w:color w:val="auto"/>
              </w:rPr>
              <w:t>Parsons Constructors Inc.</w:t>
            </w:r>
          </w:p>
        </w:tc>
        <w:tc>
          <w:tcPr>
            <w:tcW w:w="4620" w:type="dxa"/>
            <w:vAlign w:val="bottom"/>
          </w:tcPr>
          <w:p>
            <w:pPr>
              <w:ind w:left="1580"/>
              <w:spacing w:after="0"/>
              <w:rPr>
                <w:sz w:val="20"/>
                <w:szCs w:val="20"/>
                <w:color w:val="auto"/>
              </w:rPr>
            </w:pPr>
            <w:r>
              <w:rPr>
                <w:rFonts w:ascii="Arial" w:cs="Arial" w:eastAsia="Arial" w:hAnsi="Arial"/>
                <w:sz w:val="19"/>
                <w:szCs w:val="19"/>
                <w:color w:val="auto"/>
              </w:rPr>
              <w:t>Delaware</w:t>
            </w:r>
          </w:p>
        </w:tc>
      </w:tr>
      <w:tr>
        <w:trPr>
          <w:trHeight w:val="358"/>
        </w:trPr>
        <w:tc>
          <w:tcPr>
            <w:tcW w:w="6660" w:type="dxa"/>
            <w:vAlign w:val="bottom"/>
          </w:tcPr>
          <w:p>
            <w:pPr>
              <w:spacing w:after="0"/>
              <w:rPr>
                <w:sz w:val="20"/>
                <w:szCs w:val="20"/>
                <w:color w:val="auto"/>
              </w:rPr>
            </w:pPr>
            <w:r>
              <w:rPr>
                <w:rFonts w:ascii="Arial" w:cs="Arial" w:eastAsia="Arial" w:hAnsi="Arial"/>
                <w:sz w:val="19"/>
                <w:szCs w:val="19"/>
                <w:color w:val="auto"/>
              </w:rPr>
              <w:t>Parsons Corporation</w:t>
            </w:r>
          </w:p>
        </w:tc>
        <w:tc>
          <w:tcPr>
            <w:tcW w:w="4620" w:type="dxa"/>
            <w:vAlign w:val="bottom"/>
          </w:tcPr>
          <w:p>
            <w:pPr>
              <w:ind w:left="1580"/>
              <w:spacing w:after="0"/>
              <w:rPr>
                <w:sz w:val="20"/>
                <w:szCs w:val="20"/>
                <w:color w:val="auto"/>
              </w:rPr>
            </w:pPr>
            <w:r>
              <w:rPr>
                <w:rFonts w:ascii="Arial" w:cs="Arial" w:eastAsia="Arial" w:hAnsi="Arial"/>
                <w:sz w:val="19"/>
                <w:szCs w:val="19"/>
                <w:color w:val="auto"/>
              </w:rPr>
              <w:t>Delaware</w:t>
            </w:r>
          </w:p>
        </w:tc>
      </w:tr>
      <w:tr>
        <w:trPr>
          <w:trHeight w:val="238"/>
        </w:trPr>
        <w:tc>
          <w:tcPr>
            <w:tcW w:w="6660" w:type="dxa"/>
            <w:vAlign w:val="bottom"/>
          </w:tcPr>
          <w:p>
            <w:pPr>
              <w:spacing w:after="0"/>
              <w:rPr>
                <w:sz w:val="20"/>
                <w:szCs w:val="20"/>
                <w:color w:val="auto"/>
              </w:rPr>
            </w:pPr>
            <w:r>
              <w:rPr>
                <w:rFonts w:ascii="Arial" w:cs="Arial" w:eastAsia="Arial" w:hAnsi="Arial"/>
                <w:sz w:val="19"/>
                <w:szCs w:val="19"/>
                <w:color w:val="auto"/>
              </w:rPr>
              <w:t>Parsons CTMain Projetos de Infraestrutura Sociedade Simples Ltda.</w:t>
            </w:r>
          </w:p>
        </w:tc>
        <w:tc>
          <w:tcPr>
            <w:tcW w:w="4620" w:type="dxa"/>
            <w:vAlign w:val="bottom"/>
          </w:tcPr>
          <w:p>
            <w:pPr>
              <w:ind w:left="1580"/>
              <w:spacing w:after="0"/>
              <w:rPr>
                <w:sz w:val="20"/>
                <w:szCs w:val="20"/>
                <w:color w:val="auto"/>
              </w:rPr>
            </w:pPr>
            <w:r>
              <w:rPr>
                <w:rFonts w:ascii="Arial" w:cs="Arial" w:eastAsia="Arial" w:hAnsi="Arial"/>
                <w:sz w:val="19"/>
                <w:szCs w:val="19"/>
                <w:color w:val="auto"/>
              </w:rPr>
              <w:t>Brazil</w:t>
            </w:r>
          </w:p>
        </w:tc>
      </w:tr>
      <w:tr>
        <w:trPr>
          <w:trHeight w:val="929"/>
        </w:trPr>
        <w:tc>
          <w:tcPr>
            <w:tcW w:w="6660" w:type="dxa"/>
            <w:vAlign w:val="bottom"/>
          </w:tcPr>
          <w:p>
            <w:pPr>
              <w:spacing w:after="0"/>
              <w:rPr>
                <w:sz w:val="20"/>
                <w:szCs w:val="20"/>
                <w:color w:val="auto"/>
              </w:rPr>
            </w:pPr>
            <w:r>
              <w:rPr>
                <w:rFonts w:ascii="Arial" w:cs="Arial" w:eastAsia="Arial" w:hAnsi="Arial"/>
                <w:sz w:val="19"/>
                <w:szCs w:val="19"/>
                <w:color w:val="auto"/>
              </w:rPr>
              <w:t>Parsons Delcan Inc.</w:t>
            </w:r>
          </w:p>
        </w:tc>
        <w:tc>
          <w:tcPr>
            <w:tcW w:w="4620" w:type="dxa"/>
            <w:vAlign w:val="bottom"/>
          </w:tcPr>
          <w:p>
            <w:pPr>
              <w:ind w:left="1580"/>
              <w:spacing w:after="0"/>
              <w:rPr>
                <w:sz w:val="20"/>
                <w:szCs w:val="20"/>
                <w:color w:val="auto"/>
              </w:rPr>
            </w:pPr>
            <w:r>
              <w:rPr>
                <w:rFonts w:ascii="Arial" w:cs="Arial" w:eastAsia="Arial" w:hAnsi="Arial"/>
                <w:sz w:val="19"/>
                <w:szCs w:val="19"/>
                <w:color w:val="auto"/>
              </w:rPr>
              <w:t>Delaware</w:t>
            </w:r>
          </w:p>
        </w:tc>
      </w:tr>
      <w:tr>
        <w:trPr>
          <w:trHeight w:val="238"/>
        </w:trPr>
        <w:tc>
          <w:tcPr>
            <w:tcW w:w="6660" w:type="dxa"/>
            <w:vAlign w:val="bottom"/>
          </w:tcPr>
          <w:p>
            <w:pPr>
              <w:spacing w:after="0"/>
              <w:rPr>
                <w:sz w:val="20"/>
                <w:szCs w:val="20"/>
                <w:color w:val="auto"/>
              </w:rPr>
            </w:pPr>
            <w:r>
              <w:rPr>
                <w:rFonts w:ascii="Arial" w:cs="Arial" w:eastAsia="Arial" w:hAnsi="Arial"/>
                <w:sz w:val="19"/>
                <w:szCs w:val="19"/>
                <w:color w:val="auto"/>
              </w:rPr>
              <w:t>Parsons do Brasil Construcoes Ltda.</w:t>
            </w:r>
          </w:p>
        </w:tc>
        <w:tc>
          <w:tcPr>
            <w:tcW w:w="4620" w:type="dxa"/>
            <w:vAlign w:val="bottom"/>
          </w:tcPr>
          <w:p>
            <w:pPr>
              <w:ind w:left="1580"/>
              <w:spacing w:after="0"/>
              <w:rPr>
                <w:sz w:val="20"/>
                <w:szCs w:val="20"/>
                <w:color w:val="auto"/>
              </w:rPr>
            </w:pPr>
            <w:r>
              <w:rPr>
                <w:rFonts w:ascii="Arial" w:cs="Arial" w:eastAsia="Arial" w:hAnsi="Arial"/>
                <w:sz w:val="19"/>
                <w:szCs w:val="19"/>
                <w:color w:val="auto"/>
              </w:rPr>
              <w:t>Brazil</w:t>
            </w:r>
          </w:p>
        </w:tc>
      </w:tr>
      <w:tr>
        <w:trPr>
          <w:trHeight w:val="380"/>
        </w:trPr>
        <w:tc>
          <w:tcPr>
            <w:tcW w:w="6660" w:type="dxa"/>
            <w:vAlign w:val="bottom"/>
          </w:tcPr>
          <w:p>
            <w:pPr>
              <w:spacing w:after="0"/>
              <w:rPr>
                <w:sz w:val="20"/>
                <w:szCs w:val="20"/>
                <w:color w:val="auto"/>
              </w:rPr>
            </w:pPr>
            <w:r>
              <w:rPr>
                <w:rFonts w:ascii="Arial" w:cs="Arial" w:eastAsia="Arial" w:hAnsi="Arial"/>
                <w:sz w:val="19"/>
                <w:szCs w:val="19"/>
                <w:color w:val="auto"/>
              </w:rPr>
              <w:t>Parsons Engineering Inc. of Michigan</w:t>
            </w:r>
          </w:p>
        </w:tc>
        <w:tc>
          <w:tcPr>
            <w:tcW w:w="4620" w:type="dxa"/>
            <w:vAlign w:val="bottom"/>
          </w:tcPr>
          <w:p>
            <w:pPr>
              <w:ind w:left="1580"/>
              <w:spacing w:after="0"/>
              <w:rPr>
                <w:sz w:val="20"/>
                <w:szCs w:val="20"/>
                <w:color w:val="auto"/>
              </w:rPr>
            </w:pPr>
            <w:r>
              <w:rPr>
                <w:rFonts w:ascii="Arial" w:cs="Arial" w:eastAsia="Arial" w:hAnsi="Arial"/>
                <w:sz w:val="19"/>
                <w:szCs w:val="19"/>
                <w:color w:val="auto"/>
              </w:rPr>
              <w:t>Michigan</w:t>
            </w:r>
          </w:p>
        </w:tc>
      </w:tr>
      <w:tr>
        <w:trPr>
          <w:trHeight w:val="380"/>
        </w:trPr>
        <w:tc>
          <w:tcPr>
            <w:tcW w:w="6660" w:type="dxa"/>
            <w:vAlign w:val="bottom"/>
          </w:tcPr>
          <w:p>
            <w:pPr>
              <w:spacing w:after="0"/>
              <w:rPr>
                <w:sz w:val="20"/>
                <w:szCs w:val="20"/>
                <w:color w:val="auto"/>
              </w:rPr>
            </w:pPr>
            <w:r>
              <w:rPr>
                <w:rFonts w:ascii="Arial" w:cs="Arial" w:eastAsia="Arial" w:hAnsi="Arial"/>
                <w:sz w:val="19"/>
                <w:szCs w:val="19"/>
                <w:color w:val="auto"/>
              </w:rPr>
              <w:t>Parsons Engineering Limited</w:t>
            </w:r>
          </w:p>
        </w:tc>
        <w:tc>
          <w:tcPr>
            <w:tcW w:w="4620" w:type="dxa"/>
            <w:vAlign w:val="bottom"/>
          </w:tcPr>
          <w:p>
            <w:pPr>
              <w:ind w:left="1580"/>
              <w:spacing w:after="0"/>
              <w:rPr>
                <w:sz w:val="20"/>
                <w:szCs w:val="20"/>
                <w:color w:val="auto"/>
              </w:rPr>
            </w:pPr>
            <w:r>
              <w:rPr>
                <w:rFonts w:ascii="Arial" w:cs="Arial" w:eastAsia="Arial" w:hAnsi="Arial"/>
                <w:sz w:val="19"/>
                <w:szCs w:val="19"/>
                <w:color w:val="auto"/>
              </w:rPr>
              <w:t>Cork</w:t>
            </w:r>
          </w:p>
        </w:tc>
      </w:tr>
      <w:tr>
        <w:trPr>
          <w:trHeight w:val="380"/>
        </w:trPr>
        <w:tc>
          <w:tcPr>
            <w:tcW w:w="6660" w:type="dxa"/>
            <w:vAlign w:val="bottom"/>
          </w:tcPr>
          <w:p>
            <w:pPr>
              <w:spacing w:after="0"/>
              <w:rPr>
                <w:sz w:val="20"/>
                <w:szCs w:val="20"/>
                <w:color w:val="auto"/>
              </w:rPr>
            </w:pPr>
            <w:r>
              <w:rPr>
                <w:rFonts w:ascii="Arial" w:cs="Arial" w:eastAsia="Arial" w:hAnsi="Arial"/>
                <w:sz w:val="19"/>
                <w:szCs w:val="19"/>
                <w:color w:val="auto"/>
              </w:rPr>
              <w:t>Parsons Engineering of New York, Inc.</w:t>
            </w:r>
          </w:p>
        </w:tc>
        <w:tc>
          <w:tcPr>
            <w:tcW w:w="4620" w:type="dxa"/>
            <w:vAlign w:val="bottom"/>
          </w:tcPr>
          <w:p>
            <w:pPr>
              <w:ind w:left="1580"/>
              <w:spacing w:after="0"/>
              <w:rPr>
                <w:sz w:val="20"/>
                <w:szCs w:val="20"/>
                <w:color w:val="auto"/>
              </w:rPr>
            </w:pPr>
            <w:r>
              <w:rPr>
                <w:rFonts w:ascii="Arial" w:cs="Arial" w:eastAsia="Arial" w:hAnsi="Arial"/>
                <w:sz w:val="19"/>
                <w:szCs w:val="19"/>
                <w:color w:val="auto"/>
              </w:rPr>
              <w:t>New York</w:t>
            </w:r>
          </w:p>
        </w:tc>
      </w:tr>
      <w:tr>
        <w:trPr>
          <w:trHeight w:val="380"/>
        </w:trPr>
        <w:tc>
          <w:tcPr>
            <w:tcW w:w="6660" w:type="dxa"/>
            <w:vAlign w:val="bottom"/>
          </w:tcPr>
          <w:p>
            <w:pPr>
              <w:spacing w:after="0"/>
              <w:rPr>
                <w:sz w:val="20"/>
                <w:szCs w:val="20"/>
                <w:color w:val="auto"/>
              </w:rPr>
            </w:pPr>
            <w:r>
              <w:rPr>
                <w:rFonts w:ascii="Arial" w:cs="Arial" w:eastAsia="Arial" w:hAnsi="Arial"/>
                <w:sz w:val="19"/>
                <w:szCs w:val="19"/>
                <w:color w:val="auto"/>
              </w:rPr>
              <w:t>Parsons Engineering Science International, Inc.</w:t>
            </w:r>
          </w:p>
        </w:tc>
        <w:tc>
          <w:tcPr>
            <w:tcW w:w="4620" w:type="dxa"/>
            <w:vAlign w:val="bottom"/>
          </w:tcPr>
          <w:p>
            <w:pPr>
              <w:ind w:left="1580"/>
              <w:spacing w:after="0"/>
              <w:rPr>
                <w:sz w:val="20"/>
                <w:szCs w:val="20"/>
                <w:color w:val="auto"/>
              </w:rPr>
            </w:pPr>
            <w:r>
              <w:rPr>
                <w:rFonts w:ascii="Arial" w:cs="Arial" w:eastAsia="Arial" w:hAnsi="Arial"/>
                <w:sz w:val="19"/>
                <w:szCs w:val="19"/>
                <w:color w:val="auto"/>
              </w:rPr>
              <w:t>Delaware</w:t>
            </w:r>
          </w:p>
        </w:tc>
      </w:tr>
      <w:tr>
        <w:trPr>
          <w:trHeight w:val="570"/>
        </w:trPr>
        <w:tc>
          <w:tcPr>
            <w:tcW w:w="6660" w:type="dxa"/>
            <w:vAlign w:val="bottom"/>
          </w:tcPr>
          <w:p>
            <w:pPr>
              <w:spacing w:after="0"/>
              <w:rPr>
                <w:sz w:val="20"/>
                <w:szCs w:val="20"/>
                <w:color w:val="auto"/>
              </w:rPr>
            </w:pPr>
            <w:r>
              <w:rPr>
                <w:rFonts w:ascii="Arial" w:cs="Arial" w:eastAsia="Arial" w:hAnsi="Arial"/>
                <w:sz w:val="19"/>
                <w:szCs w:val="19"/>
                <w:color w:val="auto"/>
              </w:rPr>
              <w:t>Parsons Engineering Science, Inc.</w:t>
            </w:r>
          </w:p>
        </w:tc>
        <w:tc>
          <w:tcPr>
            <w:tcW w:w="4620" w:type="dxa"/>
            <w:vAlign w:val="bottom"/>
          </w:tcPr>
          <w:p>
            <w:pPr>
              <w:ind w:left="1580"/>
              <w:spacing w:after="0"/>
              <w:rPr>
                <w:sz w:val="20"/>
                <w:szCs w:val="20"/>
                <w:color w:val="auto"/>
              </w:rPr>
            </w:pPr>
            <w:r>
              <w:rPr>
                <w:rFonts w:ascii="Arial" w:cs="Arial" w:eastAsia="Arial" w:hAnsi="Arial"/>
                <w:sz w:val="19"/>
                <w:szCs w:val="19"/>
                <w:color w:val="auto"/>
              </w:rPr>
              <w:t>California</w:t>
            </w:r>
          </w:p>
        </w:tc>
      </w:tr>
      <w:tr>
        <w:trPr>
          <w:trHeight w:val="380"/>
        </w:trPr>
        <w:tc>
          <w:tcPr>
            <w:tcW w:w="6660" w:type="dxa"/>
            <w:vAlign w:val="bottom"/>
          </w:tcPr>
          <w:p>
            <w:pPr>
              <w:spacing w:after="0"/>
              <w:rPr>
                <w:sz w:val="20"/>
                <w:szCs w:val="20"/>
                <w:color w:val="auto"/>
              </w:rPr>
            </w:pPr>
            <w:r>
              <w:rPr>
                <w:rFonts w:ascii="Arial" w:cs="Arial" w:eastAsia="Arial" w:hAnsi="Arial"/>
                <w:sz w:val="19"/>
                <w:szCs w:val="19"/>
                <w:color w:val="auto"/>
              </w:rPr>
              <w:t>Parsons Enterprises, Inc.</w:t>
            </w:r>
          </w:p>
        </w:tc>
        <w:tc>
          <w:tcPr>
            <w:tcW w:w="4620" w:type="dxa"/>
            <w:vAlign w:val="bottom"/>
          </w:tcPr>
          <w:p>
            <w:pPr>
              <w:ind w:left="1580"/>
              <w:spacing w:after="0"/>
              <w:rPr>
                <w:sz w:val="20"/>
                <w:szCs w:val="20"/>
                <w:color w:val="auto"/>
              </w:rPr>
            </w:pPr>
            <w:r>
              <w:rPr>
                <w:rFonts w:ascii="Arial" w:cs="Arial" w:eastAsia="Arial" w:hAnsi="Arial"/>
                <w:sz w:val="19"/>
                <w:szCs w:val="19"/>
                <w:color w:val="auto"/>
              </w:rPr>
              <w:t>Delaware</w:t>
            </w:r>
          </w:p>
        </w:tc>
      </w:tr>
      <w:tr>
        <w:trPr>
          <w:trHeight w:val="380"/>
        </w:trPr>
        <w:tc>
          <w:tcPr>
            <w:tcW w:w="6660" w:type="dxa"/>
            <w:vAlign w:val="bottom"/>
          </w:tcPr>
          <w:p>
            <w:pPr>
              <w:spacing w:after="0"/>
              <w:rPr>
                <w:sz w:val="20"/>
                <w:szCs w:val="20"/>
                <w:color w:val="auto"/>
              </w:rPr>
            </w:pPr>
            <w:r>
              <w:rPr>
                <w:rFonts w:ascii="Arial" w:cs="Arial" w:eastAsia="Arial" w:hAnsi="Arial"/>
                <w:sz w:val="19"/>
                <w:szCs w:val="19"/>
                <w:color w:val="auto"/>
              </w:rPr>
              <w:t>Parsons Environment &amp; Infrastructure Group Inc.</w:t>
            </w:r>
          </w:p>
        </w:tc>
        <w:tc>
          <w:tcPr>
            <w:tcW w:w="4620" w:type="dxa"/>
            <w:vAlign w:val="bottom"/>
          </w:tcPr>
          <w:p>
            <w:pPr>
              <w:ind w:left="1580"/>
              <w:spacing w:after="0"/>
              <w:rPr>
                <w:sz w:val="20"/>
                <w:szCs w:val="20"/>
                <w:color w:val="auto"/>
              </w:rPr>
            </w:pPr>
            <w:r>
              <w:rPr>
                <w:rFonts w:ascii="Arial" w:cs="Arial" w:eastAsia="Arial" w:hAnsi="Arial"/>
                <w:sz w:val="19"/>
                <w:szCs w:val="19"/>
                <w:color w:val="auto"/>
              </w:rPr>
              <w:t>Delaware</w:t>
            </w:r>
          </w:p>
        </w:tc>
      </w:tr>
      <w:tr>
        <w:trPr>
          <w:trHeight w:val="570"/>
        </w:trPr>
        <w:tc>
          <w:tcPr>
            <w:tcW w:w="6660" w:type="dxa"/>
            <w:vAlign w:val="bottom"/>
          </w:tcPr>
          <w:p>
            <w:pPr>
              <w:spacing w:after="0"/>
              <w:rPr>
                <w:sz w:val="20"/>
                <w:szCs w:val="20"/>
                <w:color w:val="auto"/>
              </w:rPr>
            </w:pPr>
            <w:r>
              <w:rPr>
                <w:rFonts w:ascii="Arial" w:cs="Arial" w:eastAsia="Arial" w:hAnsi="Arial"/>
                <w:sz w:val="19"/>
                <w:szCs w:val="19"/>
                <w:color w:val="auto"/>
              </w:rPr>
              <w:t>Parsons Europe Holdings B.V.</w:t>
            </w:r>
          </w:p>
        </w:tc>
        <w:tc>
          <w:tcPr>
            <w:tcW w:w="4620" w:type="dxa"/>
            <w:vAlign w:val="bottom"/>
          </w:tcPr>
          <w:p>
            <w:pPr>
              <w:ind w:left="1580"/>
              <w:spacing w:after="0"/>
              <w:rPr>
                <w:sz w:val="20"/>
                <w:szCs w:val="20"/>
                <w:color w:val="auto"/>
              </w:rPr>
            </w:pPr>
            <w:r>
              <w:rPr>
                <w:rFonts w:ascii="Arial" w:cs="Arial" w:eastAsia="Arial" w:hAnsi="Arial"/>
                <w:sz w:val="19"/>
                <w:szCs w:val="19"/>
                <w:color w:val="auto"/>
              </w:rPr>
              <w:t>Netherlands</w:t>
            </w:r>
          </w:p>
        </w:tc>
      </w:tr>
      <w:tr>
        <w:trPr>
          <w:trHeight w:val="380"/>
        </w:trPr>
        <w:tc>
          <w:tcPr>
            <w:tcW w:w="6660" w:type="dxa"/>
            <w:vAlign w:val="bottom"/>
          </w:tcPr>
          <w:p>
            <w:pPr>
              <w:spacing w:after="0"/>
              <w:rPr>
                <w:sz w:val="20"/>
                <w:szCs w:val="20"/>
                <w:color w:val="auto"/>
              </w:rPr>
            </w:pPr>
            <w:r>
              <w:rPr>
                <w:rFonts w:ascii="Arial" w:cs="Arial" w:eastAsia="Arial" w:hAnsi="Arial"/>
                <w:sz w:val="19"/>
                <w:szCs w:val="19"/>
                <w:color w:val="auto"/>
              </w:rPr>
              <w:t>Parsons Evergreene, LLC</w:t>
            </w:r>
          </w:p>
        </w:tc>
        <w:tc>
          <w:tcPr>
            <w:tcW w:w="4620" w:type="dxa"/>
            <w:vAlign w:val="bottom"/>
          </w:tcPr>
          <w:p>
            <w:pPr>
              <w:ind w:left="1580"/>
              <w:spacing w:after="0"/>
              <w:rPr>
                <w:sz w:val="20"/>
                <w:szCs w:val="20"/>
                <w:color w:val="auto"/>
              </w:rPr>
            </w:pPr>
            <w:r>
              <w:rPr>
                <w:rFonts w:ascii="Arial" w:cs="Arial" w:eastAsia="Arial" w:hAnsi="Arial"/>
                <w:sz w:val="19"/>
                <w:szCs w:val="19"/>
                <w:color w:val="auto"/>
              </w:rPr>
              <w:t>Delaware</w:t>
            </w:r>
          </w:p>
        </w:tc>
      </w:tr>
      <w:tr>
        <w:trPr>
          <w:trHeight w:val="380"/>
        </w:trPr>
        <w:tc>
          <w:tcPr>
            <w:tcW w:w="6660" w:type="dxa"/>
            <w:vAlign w:val="bottom"/>
          </w:tcPr>
          <w:p>
            <w:pPr>
              <w:spacing w:after="0"/>
              <w:rPr>
                <w:sz w:val="20"/>
                <w:szCs w:val="20"/>
                <w:color w:val="auto"/>
              </w:rPr>
            </w:pPr>
            <w:r>
              <w:rPr>
                <w:rFonts w:ascii="Arial" w:cs="Arial" w:eastAsia="Arial" w:hAnsi="Arial"/>
                <w:sz w:val="19"/>
                <w:szCs w:val="19"/>
                <w:color w:val="auto"/>
              </w:rPr>
              <w:t>Parsons Federal Construction Inc.</w:t>
            </w:r>
          </w:p>
        </w:tc>
        <w:tc>
          <w:tcPr>
            <w:tcW w:w="4620" w:type="dxa"/>
            <w:vAlign w:val="bottom"/>
          </w:tcPr>
          <w:p>
            <w:pPr>
              <w:ind w:left="1580"/>
              <w:spacing w:after="0"/>
              <w:rPr>
                <w:sz w:val="20"/>
                <w:szCs w:val="20"/>
                <w:color w:val="auto"/>
              </w:rPr>
            </w:pPr>
            <w:r>
              <w:rPr>
                <w:rFonts w:ascii="Arial" w:cs="Arial" w:eastAsia="Arial" w:hAnsi="Arial"/>
                <w:sz w:val="19"/>
                <w:szCs w:val="19"/>
                <w:color w:val="auto"/>
              </w:rPr>
              <w:t>California</w:t>
            </w:r>
          </w:p>
        </w:tc>
      </w:tr>
      <w:tr>
        <w:trPr>
          <w:trHeight w:val="380"/>
        </w:trPr>
        <w:tc>
          <w:tcPr>
            <w:tcW w:w="6660" w:type="dxa"/>
            <w:vAlign w:val="bottom"/>
          </w:tcPr>
          <w:p>
            <w:pPr>
              <w:spacing w:after="0"/>
              <w:rPr>
                <w:sz w:val="20"/>
                <w:szCs w:val="20"/>
                <w:color w:val="auto"/>
              </w:rPr>
            </w:pPr>
            <w:r>
              <w:rPr>
                <w:rFonts w:ascii="Arial" w:cs="Arial" w:eastAsia="Arial" w:hAnsi="Arial"/>
                <w:sz w:val="19"/>
                <w:szCs w:val="19"/>
                <w:color w:val="auto"/>
              </w:rPr>
              <w:t>Parsons Global Services, Ltd.</w:t>
            </w:r>
          </w:p>
        </w:tc>
        <w:tc>
          <w:tcPr>
            <w:tcW w:w="4620" w:type="dxa"/>
            <w:vAlign w:val="bottom"/>
          </w:tcPr>
          <w:p>
            <w:pPr>
              <w:ind w:left="1580"/>
              <w:spacing w:after="0"/>
              <w:rPr>
                <w:sz w:val="20"/>
                <w:szCs w:val="20"/>
                <w:color w:val="auto"/>
              </w:rPr>
            </w:pPr>
            <w:r>
              <w:rPr>
                <w:rFonts w:ascii="Arial" w:cs="Arial" w:eastAsia="Arial" w:hAnsi="Arial"/>
                <w:sz w:val="19"/>
                <w:szCs w:val="19"/>
                <w:color w:val="auto"/>
              </w:rPr>
              <w:t>Cayman Islands (B.W.I.)</w:t>
            </w:r>
          </w:p>
        </w:tc>
      </w:tr>
      <w:tr>
        <w:trPr>
          <w:trHeight w:val="685"/>
        </w:trPr>
        <w:tc>
          <w:tcPr>
            <w:tcW w:w="666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-27940</wp:posOffset>
            </wp:positionV>
            <wp:extent cx="33655" cy="4127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8">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9">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80"/>
          </w:cols>
          <w:pgMar w:left="320" w:top="524" w:right="299" w:bottom="1440" w:gutter="0" w:footer="0" w:header="0"/>
        </w:sectPr>
      </w:pPr>
    </w:p>
    <w:bookmarkStart w:id="336" w:name="page337"/>
    <w:bookmarkEnd w:id="336"/>
    <w:p>
      <w:pPr>
        <w:spacing w:after="0"/>
        <w:rPr>
          <w:sz w:val="20"/>
          <w:szCs w:val="20"/>
          <w:color w:val="auto"/>
        </w:rPr>
      </w:pPr>
      <w:r>
        <w:rPr>
          <w:rFonts w:ascii="Arial" w:cs="Arial" w:eastAsia="Arial" w:hAnsi="Arial"/>
          <w:sz w:val="20"/>
          <w:szCs w:val="20"/>
          <w:color w:val="auto"/>
        </w:rPr>
        <w:t>Exhibit 21.1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r>
              <w:rPr>
                <w:rFonts w:ascii="Arial" w:cs="Arial" w:eastAsia="Arial" w:hAnsi="Arial"/>
                <w:sz w:val="19"/>
                <w:szCs w:val="19"/>
                <w:color w:val="auto"/>
              </w:rPr>
              <w:t>Parsons Government Services Inc.</w:t>
            </w:r>
          </w:p>
        </w:tc>
        <w:tc>
          <w:tcPr>
            <w:tcW w:w="4600" w:type="dxa"/>
            <w:vAlign w:val="bottom"/>
          </w:tcPr>
          <w:p>
            <w:pPr>
              <w:ind w:left="1560"/>
              <w:spacing w:after="0"/>
              <w:rPr>
                <w:sz w:val="20"/>
                <w:szCs w:val="20"/>
                <w:color w:val="auto"/>
              </w:rPr>
            </w:pPr>
            <w:r>
              <w:rPr>
                <w:rFonts w:ascii="Arial" w:cs="Arial" w:eastAsia="Arial" w:hAnsi="Arial"/>
                <w:sz w:val="19"/>
                <w:szCs w:val="19"/>
                <w:color w:val="auto"/>
              </w:rPr>
              <w:t>Nevada</w:t>
            </w:r>
          </w:p>
        </w:tc>
      </w:tr>
      <w:tr>
        <w:trPr>
          <w:trHeight w:val="380"/>
        </w:trPr>
        <w:tc>
          <w:tcPr>
            <w:tcW w:w="6680" w:type="dxa"/>
            <w:vAlign w:val="bottom"/>
          </w:tcPr>
          <w:p>
            <w:pPr>
              <w:spacing w:after="0"/>
              <w:rPr>
                <w:sz w:val="20"/>
                <w:szCs w:val="20"/>
                <w:color w:val="auto"/>
              </w:rPr>
            </w:pPr>
            <w:r>
              <w:rPr>
                <w:rFonts w:ascii="Arial" w:cs="Arial" w:eastAsia="Arial" w:hAnsi="Arial"/>
                <w:sz w:val="19"/>
                <w:szCs w:val="19"/>
                <w:color w:val="auto"/>
              </w:rPr>
              <w:t>Parsons Government Services International Inc.</w:t>
            </w:r>
          </w:p>
        </w:tc>
        <w:tc>
          <w:tcPr>
            <w:tcW w:w="4600" w:type="dxa"/>
            <w:vAlign w:val="bottom"/>
          </w:tcPr>
          <w:p>
            <w:pPr>
              <w:ind w:left="1560"/>
              <w:spacing w:after="0"/>
              <w:rPr>
                <w:sz w:val="20"/>
                <w:szCs w:val="20"/>
                <w:color w:val="auto"/>
              </w:rPr>
            </w:pPr>
            <w:r>
              <w:rPr>
                <w:rFonts w:ascii="Arial" w:cs="Arial" w:eastAsia="Arial" w:hAnsi="Arial"/>
                <w:sz w:val="19"/>
                <w:szCs w:val="19"/>
                <w:color w:val="auto"/>
              </w:rPr>
              <w:t>Delaware</w:t>
            </w:r>
          </w:p>
        </w:tc>
      </w:tr>
      <w:tr>
        <w:trPr>
          <w:trHeight w:val="570"/>
        </w:trPr>
        <w:tc>
          <w:tcPr>
            <w:tcW w:w="6680" w:type="dxa"/>
            <w:vAlign w:val="bottom"/>
          </w:tcPr>
          <w:p>
            <w:pPr>
              <w:spacing w:after="0"/>
              <w:rPr>
                <w:sz w:val="20"/>
                <w:szCs w:val="20"/>
                <w:color w:val="auto"/>
              </w:rPr>
            </w:pPr>
            <w:r>
              <w:rPr>
                <w:rFonts w:ascii="Arial" w:cs="Arial" w:eastAsia="Arial" w:hAnsi="Arial"/>
                <w:sz w:val="19"/>
                <w:szCs w:val="19"/>
                <w:color w:val="auto"/>
              </w:rPr>
              <w:t>Parsons Government Support Services Inc.</w:t>
            </w:r>
          </w:p>
        </w:tc>
        <w:tc>
          <w:tcPr>
            <w:tcW w:w="4600" w:type="dxa"/>
            <w:vAlign w:val="bottom"/>
          </w:tcPr>
          <w:p>
            <w:pPr>
              <w:ind w:left="1560"/>
              <w:spacing w:after="0"/>
              <w:rPr>
                <w:sz w:val="20"/>
                <w:szCs w:val="20"/>
                <w:color w:val="auto"/>
              </w:rPr>
            </w:pPr>
            <w:r>
              <w:rPr>
                <w:rFonts w:ascii="Arial" w:cs="Arial" w:eastAsia="Arial" w:hAnsi="Arial"/>
                <w:sz w:val="19"/>
                <w:szCs w:val="19"/>
                <w:color w:val="auto"/>
              </w:rPr>
              <w:t>Texas</w:t>
            </w:r>
          </w:p>
        </w:tc>
      </w:tr>
      <w:tr>
        <w:trPr>
          <w:trHeight w:val="380"/>
        </w:trPr>
        <w:tc>
          <w:tcPr>
            <w:tcW w:w="6680" w:type="dxa"/>
            <w:vAlign w:val="bottom"/>
          </w:tcPr>
          <w:p>
            <w:pPr>
              <w:spacing w:after="0"/>
              <w:rPr>
                <w:sz w:val="20"/>
                <w:szCs w:val="20"/>
                <w:color w:val="auto"/>
              </w:rPr>
            </w:pPr>
            <w:r>
              <w:rPr>
                <w:rFonts w:ascii="Arial" w:cs="Arial" w:eastAsia="Arial" w:hAnsi="Arial"/>
                <w:sz w:val="19"/>
                <w:szCs w:val="19"/>
                <w:color w:val="auto"/>
              </w:rPr>
              <w:t>Parsons Group International Limited</w:t>
            </w:r>
          </w:p>
        </w:tc>
        <w:tc>
          <w:tcPr>
            <w:tcW w:w="4600" w:type="dxa"/>
            <w:vAlign w:val="bottom"/>
          </w:tcPr>
          <w:p>
            <w:pPr>
              <w:ind w:left="1560"/>
              <w:spacing w:after="0"/>
              <w:rPr>
                <w:sz w:val="20"/>
                <w:szCs w:val="20"/>
                <w:color w:val="auto"/>
              </w:rPr>
            </w:pPr>
            <w:r>
              <w:rPr>
                <w:rFonts w:ascii="Arial" w:cs="Arial" w:eastAsia="Arial" w:hAnsi="Arial"/>
                <w:sz w:val="19"/>
                <w:szCs w:val="19"/>
                <w:color w:val="auto"/>
              </w:rPr>
              <w:t>United Kingdom</w:t>
            </w:r>
          </w:p>
        </w:tc>
      </w:tr>
      <w:tr>
        <w:trPr>
          <w:trHeight w:val="380"/>
        </w:trPr>
        <w:tc>
          <w:tcPr>
            <w:tcW w:w="6680" w:type="dxa"/>
            <w:vAlign w:val="bottom"/>
          </w:tcPr>
          <w:p>
            <w:pPr>
              <w:spacing w:after="0"/>
              <w:rPr>
                <w:sz w:val="20"/>
                <w:szCs w:val="20"/>
                <w:color w:val="auto"/>
              </w:rPr>
            </w:pPr>
            <w:r>
              <w:rPr>
                <w:rFonts w:ascii="Arial" w:cs="Arial" w:eastAsia="Arial" w:hAnsi="Arial"/>
                <w:sz w:val="19"/>
                <w:szCs w:val="19"/>
                <w:color w:val="auto"/>
              </w:rPr>
              <w:t>Parsons Group-France SAS</w:t>
            </w:r>
          </w:p>
        </w:tc>
        <w:tc>
          <w:tcPr>
            <w:tcW w:w="4600" w:type="dxa"/>
            <w:vAlign w:val="bottom"/>
          </w:tcPr>
          <w:p>
            <w:pPr>
              <w:ind w:left="1560"/>
              <w:spacing w:after="0"/>
              <w:rPr>
                <w:sz w:val="20"/>
                <w:szCs w:val="20"/>
                <w:color w:val="auto"/>
              </w:rPr>
            </w:pPr>
            <w:r>
              <w:rPr>
                <w:rFonts w:ascii="Arial" w:cs="Arial" w:eastAsia="Arial" w:hAnsi="Arial"/>
                <w:sz w:val="19"/>
                <w:szCs w:val="19"/>
                <w:color w:val="auto"/>
              </w:rPr>
              <w:t>France</w:t>
            </w:r>
          </w:p>
        </w:tc>
      </w:tr>
      <w:tr>
        <w:trPr>
          <w:trHeight w:val="380"/>
        </w:trPr>
        <w:tc>
          <w:tcPr>
            <w:tcW w:w="6680" w:type="dxa"/>
            <w:vAlign w:val="bottom"/>
          </w:tcPr>
          <w:p>
            <w:pPr>
              <w:spacing w:after="0"/>
              <w:rPr>
                <w:sz w:val="20"/>
                <w:szCs w:val="20"/>
                <w:color w:val="auto"/>
              </w:rPr>
            </w:pPr>
            <w:r>
              <w:rPr>
                <w:rFonts w:ascii="Arial" w:cs="Arial" w:eastAsia="Arial" w:hAnsi="Arial"/>
                <w:sz w:val="19"/>
                <w:szCs w:val="19"/>
                <w:color w:val="auto"/>
              </w:rPr>
              <w:t>Parsons Hanford Fabricators Inc.</w:t>
            </w:r>
          </w:p>
        </w:tc>
        <w:tc>
          <w:tcPr>
            <w:tcW w:w="4600" w:type="dxa"/>
            <w:vAlign w:val="bottom"/>
          </w:tcPr>
          <w:p>
            <w:pPr>
              <w:ind w:left="1560"/>
              <w:spacing w:after="0"/>
              <w:rPr>
                <w:sz w:val="20"/>
                <w:szCs w:val="20"/>
                <w:color w:val="auto"/>
              </w:rPr>
            </w:pPr>
            <w:r>
              <w:rPr>
                <w:rFonts w:ascii="Arial" w:cs="Arial" w:eastAsia="Arial" w:hAnsi="Arial"/>
                <w:sz w:val="19"/>
                <w:szCs w:val="19"/>
                <w:color w:val="auto"/>
              </w:rPr>
              <w:t>Washington</w:t>
            </w:r>
          </w:p>
        </w:tc>
      </w:tr>
      <w:tr>
        <w:trPr>
          <w:trHeight w:val="358"/>
        </w:trPr>
        <w:tc>
          <w:tcPr>
            <w:tcW w:w="6680" w:type="dxa"/>
            <w:vAlign w:val="bottom"/>
          </w:tcPr>
          <w:p>
            <w:pPr>
              <w:spacing w:after="0"/>
              <w:rPr>
                <w:sz w:val="20"/>
                <w:szCs w:val="20"/>
                <w:color w:val="auto"/>
              </w:rPr>
            </w:pPr>
            <w:r>
              <w:rPr>
                <w:rFonts w:ascii="Arial" w:cs="Arial" w:eastAsia="Arial" w:hAnsi="Arial"/>
                <w:sz w:val="19"/>
                <w:szCs w:val="19"/>
                <w:color w:val="auto"/>
              </w:rPr>
              <w:t>Parsons Inc.</w:t>
            </w:r>
          </w:p>
        </w:tc>
        <w:tc>
          <w:tcPr>
            <w:tcW w:w="4600" w:type="dxa"/>
            <w:vAlign w:val="bottom"/>
          </w:tcPr>
          <w:p>
            <w:pPr>
              <w:ind w:left="1560"/>
              <w:spacing w:after="0"/>
              <w:rPr>
                <w:sz w:val="20"/>
                <w:szCs w:val="20"/>
                <w:color w:val="auto"/>
              </w:rPr>
            </w:pPr>
            <w:r>
              <w:rPr>
                <w:rFonts w:ascii="Arial" w:cs="Arial" w:eastAsia="Arial" w:hAnsi="Arial"/>
                <w:sz w:val="19"/>
                <w:szCs w:val="19"/>
                <w:color w:val="auto"/>
              </w:rPr>
              <w:t>Federally Chartered</w:t>
            </w:r>
          </w:p>
        </w:tc>
      </w:tr>
      <w:tr>
        <w:trPr>
          <w:trHeight w:val="238"/>
        </w:trPr>
        <w:tc>
          <w:tcPr>
            <w:tcW w:w="6680" w:type="dxa"/>
            <w:vAlign w:val="bottom"/>
          </w:tcPr>
          <w:p>
            <w:pPr>
              <w:spacing w:after="0"/>
              <w:rPr>
                <w:sz w:val="20"/>
                <w:szCs w:val="20"/>
                <w:color w:val="auto"/>
              </w:rPr>
            </w:pPr>
            <w:r>
              <w:rPr>
                <w:rFonts w:ascii="Arial" w:cs="Arial" w:eastAsia="Arial" w:hAnsi="Arial"/>
                <w:sz w:val="19"/>
                <w:szCs w:val="19"/>
                <w:color w:val="auto"/>
              </w:rPr>
              <w:t>Parsons Infrastructure &amp; Technology Group Inc. of Ohio</w:t>
            </w:r>
          </w:p>
        </w:tc>
        <w:tc>
          <w:tcPr>
            <w:tcW w:w="4600" w:type="dxa"/>
            <w:vAlign w:val="bottom"/>
          </w:tcPr>
          <w:p>
            <w:pPr>
              <w:ind w:left="1560"/>
              <w:spacing w:after="0"/>
              <w:rPr>
                <w:sz w:val="20"/>
                <w:szCs w:val="20"/>
                <w:color w:val="auto"/>
              </w:rPr>
            </w:pPr>
            <w:r>
              <w:rPr>
                <w:rFonts w:ascii="Arial" w:cs="Arial" w:eastAsia="Arial" w:hAnsi="Arial"/>
                <w:sz w:val="19"/>
                <w:szCs w:val="19"/>
                <w:color w:val="auto"/>
              </w:rPr>
              <w:t>Ohio</w:t>
            </w:r>
          </w:p>
        </w:tc>
      </w:tr>
      <w:tr>
        <w:trPr>
          <w:trHeight w:val="570"/>
        </w:trPr>
        <w:tc>
          <w:tcPr>
            <w:tcW w:w="6680" w:type="dxa"/>
            <w:vAlign w:val="bottom"/>
          </w:tcPr>
          <w:p>
            <w:pPr>
              <w:spacing w:after="0"/>
              <w:rPr>
                <w:sz w:val="20"/>
                <w:szCs w:val="20"/>
                <w:color w:val="auto"/>
              </w:rPr>
            </w:pPr>
            <w:r>
              <w:rPr>
                <w:rFonts w:ascii="Arial" w:cs="Arial" w:eastAsia="Arial" w:hAnsi="Arial"/>
                <w:sz w:val="19"/>
                <w:szCs w:val="19"/>
                <w:color w:val="auto"/>
              </w:rPr>
              <w:t>Parsons Infrastructure &amp; Technology Group of Illinois P.C.</w:t>
            </w:r>
          </w:p>
        </w:tc>
        <w:tc>
          <w:tcPr>
            <w:tcW w:w="4600" w:type="dxa"/>
            <w:vAlign w:val="bottom"/>
          </w:tcPr>
          <w:p>
            <w:pPr>
              <w:ind w:left="1560"/>
              <w:spacing w:after="0"/>
              <w:rPr>
                <w:sz w:val="20"/>
                <w:szCs w:val="20"/>
                <w:color w:val="auto"/>
              </w:rPr>
            </w:pPr>
            <w:r>
              <w:rPr>
                <w:rFonts w:ascii="Arial" w:cs="Arial" w:eastAsia="Arial" w:hAnsi="Arial"/>
                <w:sz w:val="19"/>
                <w:szCs w:val="19"/>
                <w:color w:val="auto"/>
              </w:rPr>
              <w:t>Illinois</w:t>
            </w:r>
          </w:p>
        </w:tc>
      </w:tr>
      <w:tr>
        <w:trPr>
          <w:trHeight w:val="570"/>
        </w:trPr>
        <w:tc>
          <w:tcPr>
            <w:tcW w:w="6680" w:type="dxa"/>
            <w:vAlign w:val="bottom"/>
          </w:tcPr>
          <w:p>
            <w:pPr>
              <w:spacing w:after="0"/>
              <w:rPr>
                <w:sz w:val="20"/>
                <w:szCs w:val="20"/>
                <w:color w:val="auto"/>
              </w:rPr>
            </w:pPr>
            <w:r>
              <w:rPr>
                <w:rFonts w:ascii="Arial" w:cs="Arial" w:eastAsia="Arial" w:hAnsi="Arial"/>
                <w:sz w:val="19"/>
                <w:szCs w:val="19"/>
                <w:color w:val="auto"/>
              </w:rPr>
              <w:t>Parsons Infrastructure &amp; Technology Group of Michigan Inc.</w:t>
            </w:r>
          </w:p>
        </w:tc>
        <w:tc>
          <w:tcPr>
            <w:tcW w:w="4600" w:type="dxa"/>
            <w:vAlign w:val="bottom"/>
          </w:tcPr>
          <w:p>
            <w:pPr>
              <w:ind w:left="1560"/>
              <w:spacing w:after="0"/>
              <w:rPr>
                <w:sz w:val="20"/>
                <w:szCs w:val="20"/>
                <w:color w:val="auto"/>
              </w:rPr>
            </w:pPr>
            <w:r>
              <w:rPr>
                <w:rFonts w:ascii="Arial" w:cs="Arial" w:eastAsia="Arial" w:hAnsi="Arial"/>
                <w:sz w:val="19"/>
                <w:szCs w:val="19"/>
                <w:color w:val="auto"/>
              </w:rPr>
              <w:t>Nevada</w:t>
            </w:r>
          </w:p>
        </w:tc>
      </w:tr>
      <w:tr>
        <w:trPr>
          <w:trHeight w:val="570"/>
        </w:trPr>
        <w:tc>
          <w:tcPr>
            <w:tcW w:w="6680" w:type="dxa"/>
            <w:vAlign w:val="bottom"/>
          </w:tcPr>
          <w:p>
            <w:pPr>
              <w:spacing w:after="0"/>
              <w:rPr>
                <w:sz w:val="20"/>
                <w:szCs w:val="20"/>
                <w:color w:val="auto"/>
              </w:rPr>
            </w:pPr>
            <w:r>
              <w:rPr>
                <w:rFonts w:ascii="Arial" w:cs="Arial" w:eastAsia="Arial" w:hAnsi="Arial"/>
                <w:sz w:val="19"/>
                <w:szCs w:val="19"/>
                <w:color w:val="auto"/>
              </w:rPr>
              <w:t>Parsons Infrastructure &amp; Technology Group of New York Inc.</w:t>
            </w:r>
          </w:p>
        </w:tc>
        <w:tc>
          <w:tcPr>
            <w:tcW w:w="4600" w:type="dxa"/>
            <w:vAlign w:val="bottom"/>
          </w:tcPr>
          <w:p>
            <w:pPr>
              <w:ind w:left="1560"/>
              <w:spacing w:after="0"/>
              <w:rPr>
                <w:sz w:val="20"/>
                <w:szCs w:val="20"/>
                <w:color w:val="auto"/>
              </w:rPr>
            </w:pPr>
            <w:r>
              <w:rPr>
                <w:rFonts w:ascii="Arial" w:cs="Arial" w:eastAsia="Arial" w:hAnsi="Arial"/>
                <w:sz w:val="19"/>
                <w:szCs w:val="19"/>
                <w:color w:val="auto"/>
              </w:rPr>
              <w:t>New York</w:t>
            </w:r>
          </w:p>
        </w:tc>
      </w:tr>
      <w:tr>
        <w:trPr>
          <w:trHeight w:val="570"/>
        </w:trPr>
        <w:tc>
          <w:tcPr>
            <w:tcW w:w="6680" w:type="dxa"/>
            <w:vAlign w:val="bottom"/>
          </w:tcPr>
          <w:p>
            <w:pPr>
              <w:spacing w:after="0"/>
              <w:rPr>
                <w:sz w:val="20"/>
                <w:szCs w:val="20"/>
                <w:color w:val="auto"/>
              </w:rPr>
            </w:pPr>
            <w:r>
              <w:rPr>
                <w:rFonts w:ascii="Arial" w:cs="Arial" w:eastAsia="Arial" w:hAnsi="Arial"/>
                <w:sz w:val="19"/>
                <w:szCs w:val="19"/>
                <w:color w:val="auto"/>
              </w:rPr>
              <w:t>Parsons Ingeniería, S. de R.L. de C.V</w:t>
            </w:r>
          </w:p>
        </w:tc>
        <w:tc>
          <w:tcPr>
            <w:tcW w:w="4600" w:type="dxa"/>
            <w:vAlign w:val="bottom"/>
          </w:tcPr>
          <w:p>
            <w:pPr>
              <w:ind w:left="1560"/>
              <w:spacing w:after="0"/>
              <w:rPr>
                <w:sz w:val="20"/>
                <w:szCs w:val="20"/>
                <w:color w:val="auto"/>
              </w:rPr>
            </w:pPr>
            <w:r>
              <w:rPr>
                <w:rFonts w:ascii="Arial" w:cs="Arial" w:eastAsia="Arial" w:hAnsi="Arial"/>
                <w:sz w:val="19"/>
                <w:szCs w:val="19"/>
                <w:color w:val="auto"/>
              </w:rPr>
              <w:t>Mexico</w:t>
            </w:r>
          </w:p>
        </w:tc>
      </w:tr>
      <w:tr>
        <w:trPr>
          <w:trHeight w:val="380"/>
        </w:trPr>
        <w:tc>
          <w:tcPr>
            <w:tcW w:w="6680" w:type="dxa"/>
            <w:vAlign w:val="bottom"/>
          </w:tcPr>
          <w:p>
            <w:pPr>
              <w:spacing w:after="0"/>
              <w:rPr>
                <w:sz w:val="20"/>
                <w:szCs w:val="20"/>
                <w:color w:val="auto"/>
              </w:rPr>
            </w:pPr>
            <w:r>
              <w:rPr>
                <w:rFonts w:ascii="Arial" w:cs="Arial" w:eastAsia="Arial" w:hAnsi="Arial"/>
                <w:sz w:val="19"/>
                <w:szCs w:val="19"/>
                <w:color w:val="auto"/>
              </w:rPr>
              <w:t>Parsons Inspection &amp; Maintenance Corporation</w:t>
            </w:r>
          </w:p>
        </w:tc>
        <w:tc>
          <w:tcPr>
            <w:tcW w:w="4600" w:type="dxa"/>
            <w:vAlign w:val="bottom"/>
          </w:tcPr>
          <w:p>
            <w:pPr>
              <w:ind w:left="1560"/>
              <w:spacing w:after="0"/>
              <w:rPr>
                <w:sz w:val="20"/>
                <w:szCs w:val="20"/>
                <w:color w:val="auto"/>
              </w:rPr>
            </w:pPr>
            <w:r>
              <w:rPr>
                <w:rFonts w:ascii="Arial" w:cs="Arial" w:eastAsia="Arial" w:hAnsi="Arial"/>
                <w:sz w:val="19"/>
                <w:szCs w:val="19"/>
                <w:color w:val="auto"/>
              </w:rPr>
              <w:t>Delaware</w:t>
            </w:r>
          </w:p>
        </w:tc>
      </w:tr>
      <w:tr>
        <w:trPr>
          <w:trHeight w:val="570"/>
        </w:trPr>
        <w:tc>
          <w:tcPr>
            <w:tcW w:w="6680" w:type="dxa"/>
            <w:vAlign w:val="bottom"/>
          </w:tcPr>
          <w:p>
            <w:pPr>
              <w:spacing w:after="0"/>
              <w:rPr>
                <w:sz w:val="20"/>
                <w:szCs w:val="20"/>
                <w:color w:val="auto"/>
              </w:rPr>
            </w:pPr>
            <w:r>
              <w:rPr>
                <w:rFonts w:ascii="Arial" w:cs="Arial" w:eastAsia="Arial" w:hAnsi="Arial"/>
                <w:sz w:val="19"/>
                <w:szCs w:val="19"/>
                <w:color w:val="auto"/>
              </w:rPr>
              <w:t>Parsons International &amp; Company LLC</w:t>
            </w:r>
          </w:p>
        </w:tc>
        <w:tc>
          <w:tcPr>
            <w:tcW w:w="4600" w:type="dxa"/>
            <w:vAlign w:val="bottom"/>
          </w:tcPr>
          <w:p>
            <w:pPr>
              <w:ind w:left="1560"/>
              <w:spacing w:after="0"/>
              <w:rPr>
                <w:sz w:val="20"/>
                <w:szCs w:val="20"/>
                <w:color w:val="auto"/>
              </w:rPr>
            </w:pPr>
            <w:r>
              <w:rPr>
                <w:rFonts w:ascii="Arial" w:cs="Arial" w:eastAsia="Arial" w:hAnsi="Arial"/>
                <w:sz w:val="19"/>
                <w:szCs w:val="19"/>
                <w:color w:val="auto"/>
              </w:rPr>
              <w:t>Sultanate of Oman</w:t>
            </w:r>
          </w:p>
        </w:tc>
      </w:tr>
      <w:tr>
        <w:trPr>
          <w:trHeight w:val="380"/>
        </w:trPr>
        <w:tc>
          <w:tcPr>
            <w:tcW w:w="6680" w:type="dxa"/>
            <w:vAlign w:val="bottom"/>
          </w:tcPr>
          <w:p>
            <w:pPr>
              <w:spacing w:after="0"/>
              <w:rPr>
                <w:sz w:val="20"/>
                <w:szCs w:val="20"/>
                <w:color w:val="auto"/>
              </w:rPr>
            </w:pPr>
            <w:r>
              <w:rPr>
                <w:rFonts w:ascii="Arial" w:cs="Arial" w:eastAsia="Arial" w:hAnsi="Arial"/>
                <w:sz w:val="19"/>
                <w:szCs w:val="19"/>
                <w:color w:val="auto"/>
              </w:rPr>
              <w:t>Parsons International Limited</w:t>
            </w:r>
          </w:p>
        </w:tc>
        <w:tc>
          <w:tcPr>
            <w:tcW w:w="4600" w:type="dxa"/>
            <w:vAlign w:val="bottom"/>
          </w:tcPr>
          <w:p>
            <w:pPr>
              <w:ind w:left="1560"/>
              <w:spacing w:after="0"/>
              <w:rPr>
                <w:sz w:val="20"/>
                <w:szCs w:val="20"/>
                <w:color w:val="auto"/>
              </w:rPr>
            </w:pPr>
            <w:r>
              <w:rPr>
                <w:rFonts w:ascii="Arial" w:cs="Arial" w:eastAsia="Arial" w:hAnsi="Arial"/>
                <w:sz w:val="19"/>
                <w:szCs w:val="19"/>
                <w:color w:val="auto"/>
              </w:rPr>
              <w:t>Nevada</w:t>
            </w:r>
          </w:p>
        </w:tc>
      </w:tr>
      <w:tr>
        <w:trPr>
          <w:trHeight w:val="380"/>
        </w:trPr>
        <w:tc>
          <w:tcPr>
            <w:tcW w:w="6680" w:type="dxa"/>
            <w:vAlign w:val="bottom"/>
          </w:tcPr>
          <w:p>
            <w:pPr>
              <w:spacing w:after="0"/>
              <w:rPr>
                <w:sz w:val="20"/>
                <w:szCs w:val="20"/>
                <w:color w:val="auto"/>
              </w:rPr>
            </w:pPr>
            <w:r>
              <w:rPr>
                <w:rFonts w:ascii="Arial" w:cs="Arial" w:eastAsia="Arial" w:hAnsi="Arial"/>
                <w:sz w:val="19"/>
                <w:szCs w:val="19"/>
                <w:color w:val="auto"/>
              </w:rPr>
              <w:t>Parsons International Limited</w:t>
            </w:r>
          </w:p>
        </w:tc>
        <w:tc>
          <w:tcPr>
            <w:tcW w:w="4600" w:type="dxa"/>
            <w:vAlign w:val="bottom"/>
          </w:tcPr>
          <w:p>
            <w:pPr>
              <w:ind w:left="1560"/>
              <w:spacing w:after="0"/>
              <w:rPr>
                <w:sz w:val="20"/>
                <w:szCs w:val="20"/>
                <w:color w:val="auto"/>
              </w:rPr>
            </w:pPr>
            <w:r>
              <w:rPr>
                <w:rFonts w:ascii="Arial" w:cs="Arial" w:eastAsia="Arial" w:hAnsi="Arial"/>
                <w:sz w:val="19"/>
                <w:szCs w:val="19"/>
                <w:color w:val="auto"/>
              </w:rPr>
              <w:t>Delaware</w:t>
            </w:r>
          </w:p>
        </w:tc>
      </w:tr>
      <w:tr>
        <w:trPr>
          <w:trHeight w:val="380"/>
        </w:trPr>
        <w:tc>
          <w:tcPr>
            <w:tcW w:w="6680" w:type="dxa"/>
            <w:vAlign w:val="bottom"/>
          </w:tcPr>
          <w:p>
            <w:pPr>
              <w:spacing w:after="0"/>
              <w:rPr>
                <w:sz w:val="20"/>
                <w:szCs w:val="20"/>
                <w:color w:val="auto"/>
              </w:rPr>
            </w:pPr>
            <w:r>
              <w:rPr>
                <w:rFonts w:ascii="Arial" w:cs="Arial" w:eastAsia="Arial" w:hAnsi="Arial"/>
                <w:sz w:val="19"/>
                <w:szCs w:val="19"/>
                <w:color w:val="auto"/>
              </w:rPr>
              <w:t>Parsons International Limited (L.L.C.), a Limited Liability Company</w:t>
            </w:r>
          </w:p>
        </w:tc>
        <w:tc>
          <w:tcPr>
            <w:tcW w:w="4600" w:type="dxa"/>
            <w:vAlign w:val="bottom"/>
          </w:tcPr>
          <w:p>
            <w:pPr>
              <w:ind w:left="1560"/>
              <w:spacing w:after="0"/>
              <w:rPr>
                <w:sz w:val="20"/>
                <w:szCs w:val="20"/>
                <w:color w:val="auto"/>
              </w:rPr>
            </w:pPr>
            <w:r>
              <w:rPr>
                <w:rFonts w:ascii="Arial" w:cs="Arial" w:eastAsia="Arial" w:hAnsi="Arial"/>
                <w:sz w:val="19"/>
                <w:szCs w:val="19"/>
                <w:color w:val="auto"/>
              </w:rPr>
              <w:t>Egypt, Arab Republic of</w:t>
            </w:r>
          </w:p>
        </w:tc>
      </w:tr>
      <w:tr>
        <w:trPr>
          <w:trHeight w:val="761"/>
        </w:trPr>
        <w:tc>
          <w:tcPr>
            <w:tcW w:w="6680" w:type="dxa"/>
            <w:vAlign w:val="bottom"/>
          </w:tcPr>
          <w:p>
            <w:pPr>
              <w:spacing w:after="0"/>
              <w:rPr>
                <w:sz w:val="20"/>
                <w:szCs w:val="20"/>
                <w:color w:val="auto"/>
              </w:rPr>
            </w:pPr>
            <w:r>
              <w:rPr>
                <w:rFonts w:ascii="Arial" w:cs="Arial" w:eastAsia="Arial" w:hAnsi="Arial"/>
                <w:sz w:val="19"/>
                <w:szCs w:val="19"/>
                <w:color w:val="auto"/>
              </w:rPr>
              <w:t>Parsons Main of New York, Inc.</w:t>
            </w:r>
          </w:p>
        </w:tc>
        <w:tc>
          <w:tcPr>
            <w:tcW w:w="4600" w:type="dxa"/>
            <w:vAlign w:val="bottom"/>
          </w:tcPr>
          <w:p>
            <w:pPr>
              <w:ind w:left="1560"/>
              <w:spacing w:after="0"/>
              <w:rPr>
                <w:sz w:val="20"/>
                <w:szCs w:val="20"/>
                <w:color w:val="auto"/>
              </w:rPr>
            </w:pPr>
            <w:r>
              <w:rPr>
                <w:rFonts w:ascii="Arial" w:cs="Arial" w:eastAsia="Arial" w:hAnsi="Arial"/>
                <w:sz w:val="19"/>
                <w:szCs w:val="19"/>
                <w:color w:val="auto"/>
              </w:rPr>
              <w:t>New York</w:t>
            </w:r>
          </w:p>
        </w:tc>
      </w:tr>
      <w:tr>
        <w:trPr>
          <w:trHeight w:val="358"/>
        </w:trPr>
        <w:tc>
          <w:tcPr>
            <w:tcW w:w="6680" w:type="dxa"/>
            <w:vAlign w:val="bottom"/>
          </w:tcPr>
          <w:p>
            <w:pPr>
              <w:spacing w:after="0"/>
              <w:rPr>
                <w:sz w:val="20"/>
                <w:szCs w:val="20"/>
                <w:color w:val="auto"/>
              </w:rPr>
            </w:pPr>
            <w:r>
              <w:rPr>
                <w:rFonts w:ascii="Arial" w:cs="Arial" w:eastAsia="Arial" w:hAnsi="Arial"/>
                <w:sz w:val="19"/>
                <w:szCs w:val="19"/>
                <w:color w:val="auto"/>
              </w:rPr>
              <w:t>Parsons Main, Inc.</w:t>
            </w:r>
          </w:p>
        </w:tc>
        <w:tc>
          <w:tcPr>
            <w:tcW w:w="4600" w:type="dxa"/>
            <w:vAlign w:val="bottom"/>
          </w:tcPr>
          <w:p>
            <w:pPr>
              <w:ind w:left="1560"/>
              <w:spacing w:after="0"/>
              <w:rPr>
                <w:sz w:val="20"/>
                <w:szCs w:val="20"/>
                <w:color w:val="auto"/>
              </w:rPr>
            </w:pPr>
            <w:r>
              <w:rPr>
                <w:rFonts w:ascii="Arial" w:cs="Arial" w:eastAsia="Arial" w:hAnsi="Arial"/>
                <w:sz w:val="19"/>
                <w:szCs w:val="19"/>
                <w:color w:val="auto"/>
              </w:rPr>
              <w:t>Massachusetts</w:t>
            </w:r>
          </w:p>
        </w:tc>
      </w:tr>
      <w:tr>
        <w:trPr>
          <w:trHeight w:val="238"/>
        </w:trPr>
        <w:tc>
          <w:tcPr>
            <w:tcW w:w="6680" w:type="dxa"/>
            <w:vAlign w:val="bottom"/>
          </w:tcPr>
          <w:p>
            <w:pPr>
              <w:spacing w:after="0"/>
              <w:rPr>
                <w:sz w:val="20"/>
                <w:szCs w:val="20"/>
                <w:color w:val="auto"/>
              </w:rPr>
            </w:pPr>
            <w:r>
              <w:rPr>
                <w:rFonts w:ascii="Arial" w:cs="Arial" w:eastAsia="Arial" w:hAnsi="Arial"/>
                <w:sz w:val="19"/>
                <w:szCs w:val="19"/>
                <w:color w:val="auto"/>
              </w:rPr>
              <w:t>Parsons Middle East Corporation</w:t>
            </w:r>
          </w:p>
        </w:tc>
        <w:tc>
          <w:tcPr>
            <w:tcW w:w="4600" w:type="dxa"/>
            <w:vAlign w:val="bottom"/>
          </w:tcPr>
          <w:p>
            <w:pPr>
              <w:ind w:left="1560"/>
              <w:spacing w:after="0"/>
              <w:rPr>
                <w:sz w:val="20"/>
                <w:szCs w:val="20"/>
                <w:color w:val="auto"/>
              </w:rPr>
            </w:pPr>
            <w:r>
              <w:rPr>
                <w:rFonts w:ascii="Arial" w:cs="Arial" w:eastAsia="Arial" w:hAnsi="Arial"/>
                <w:sz w:val="19"/>
                <w:szCs w:val="19"/>
                <w:color w:val="auto"/>
              </w:rPr>
              <w:t>Nevada</w:t>
            </w:r>
          </w:p>
        </w:tc>
      </w:tr>
      <w:tr>
        <w:trPr>
          <w:trHeight w:val="380"/>
        </w:trPr>
        <w:tc>
          <w:tcPr>
            <w:tcW w:w="6680" w:type="dxa"/>
            <w:vAlign w:val="bottom"/>
          </w:tcPr>
          <w:p>
            <w:pPr>
              <w:spacing w:after="0"/>
              <w:rPr>
                <w:sz w:val="20"/>
                <w:szCs w:val="20"/>
                <w:color w:val="auto"/>
              </w:rPr>
            </w:pPr>
            <w:r>
              <w:rPr>
                <w:rFonts w:ascii="Arial" w:cs="Arial" w:eastAsia="Arial" w:hAnsi="Arial"/>
                <w:sz w:val="19"/>
                <w:szCs w:val="19"/>
                <w:color w:val="auto"/>
              </w:rPr>
              <w:t>Parsons Middle East Ltd.</w:t>
            </w:r>
          </w:p>
        </w:tc>
        <w:tc>
          <w:tcPr>
            <w:tcW w:w="4600" w:type="dxa"/>
            <w:vAlign w:val="bottom"/>
          </w:tcPr>
          <w:p>
            <w:pPr>
              <w:ind w:left="1560"/>
              <w:spacing w:after="0"/>
              <w:rPr>
                <w:sz w:val="20"/>
                <w:szCs w:val="20"/>
                <w:color w:val="auto"/>
              </w:rPr>
            </w:pPr>
            <w:r>
              <w:rPr>
                <w:rFonts w:ascii="Arial" w:cs="Arial" w:eastAsia="Arial" w:hAnsi="Arial"/>
                <w:sz w:val="19"/>
                <w:szCs w:val="19"/>
                <w:color w:val="auto"/>
              </w:rPr>
              <w:t>Delaware</w:t>
            </w:r>
          </w:p>
        </w:tc>
      </w:tr>
      <w:tr>
        <w:trPr>
          <w:trHeight w:val="358"/>
        </w:trPr>
        <w:tc>
          <w:tcPr>
            <w:tcW w:w="6680" w:type="dxa"/>
            <w:vAlign w:val="bottom"/>
          </w:tcPr>
          <w:p>
            <w:pPr>
              <w:spacing w:after="0"/>
              <w:rPr>
                <w:sz w:val="20"/>
                <w:szCs w:val="20"/>
                <w:color w:val="auto"/>
              </w:rPr>
            </w:pPr>
            <w:r>
              <w:rPr>
                <w:rFonts w:ascii="Arial" w:cs="Arial" w:eastAsia="Arial" w:hAnsi="Arial"/>
                <w:sz w:val="19"/>
                <w:szCs w:val="19"/>
                <w:color w:val="auto"/>
              </w:rPr>
              <w:t>Parsons MIP Inc.</w:t>
            </w:r>
          </w:p>
        </w:tc>
        <w:tc>
          <w:tcPr>
            <w:tcW w:w="4600" w:type="dxa"/>
            <w:vAlign w:val="bottom"/>
          </w:tcPr>
          <w:p>
            <w:pPr>
              <w:ind w:left="1560"/>
              <w:spacing w:after="0"/>
              <w:rPr>
                <w:sz w:val="20"/>
                <w:szCs w:val="20"/>
                <w:color w:val="auto"/>
              </w:rPr>
            </w:pPr>
            <w:r>
              <w:rPr>
                <w:rFonts w:ascii="Arial" w:cs="Arial" w:eastAsia="Arial" w:hAnsi="Arial"/>
                <w:sz w:val="19"/>
                <w:szCs w:val="19"/>
                <w:color w:val="auto"/>
              </w:rPr>
              <w:t>Alberta</w:t>
            </w:r>
          </w:p>
        </w:tc>
      </w:tr>
      <w:tr>
        <w:trPr>
          <w:trHeight w:val="238"/>
        </w:trPr>
        <w:tc>
          <w:tcPr>
            <w:tcW w:w="6680" w:type="dxa"/>
            <w:vAlign w:val="bottom"/>
          </w:tcPr>
          <w:p>
            <w:pPr>
              <w:spacing w:after="0"/>
              <w:rPr>
                <w:sz w:val="20"/>
                <w:szCs w:val="20"/>
                <w:color w:val="auto"/>
              </w:rPr>
            </w:pPr>
            <w:r>
              <w:rPr>
                <w:rFonts w:ascii="Arial" w:cs="Arial" w:eastAsia="Arial" w:hAnsi="Arial"/>
                <w:sz w:val="19"/>
                <w:szCs w:val="19"/>
                <w:color w:val="auto"/>
              </w:rPr>
              <w:t>Parsons of North Carolina Inc.</w:t>
            </w:r>
          </w:p>
        </w:tc>
        <w:tc>
          <w:tcPr>
            <w:tcW w:w="4600" w:type="dxa"/>
            <w:vAlign w:val="bottom"/>
          </w:tcPr>
          <w:p>
            <w:pPr>
              <w:ind w:left="1560"/>
              <w:spacing w:after="0"/>
              <w:rPr>
                <w:sz w:val="20"/>
                <w:szCs w:val="20"/>
                <w:color w:val="auto"/>
              </w:rPr>
            </w:pPr>
            <w:r>
              <w:rPr>
                <w:rFonts w:ascii="Arial" w:cs="Arial" w:eastAsia="Arial" w:hAnsi="Arial"/>
                <w:sz w:val="19"/>
                <w:szCs w:val="19"/>
                <w:color w:val="auto"/>
              </w:rPr>
              <w:t>North Carolina</w:t>
            </w:r>
          </w:p>
        </w:tc>
      </w:tr>
      <w:tr>
        <w:trPr>
          <w:trHeight w:val="380"/>
        </w:trPr>
        <w:tc>
          <w:tcPr>
            <w:tcW w:w="6680" w:type="dxa"/>
            <w:vAlign w:val="bottom"/>
          </w:tcPr>
          <w:p>
            <w:pPr>
              <w:spacing w:after="0"/>
              <w:rPr>
                <w:sz w:val="20"/>
                <w:szCs w:val="20"/>
                <w:color w:val="auto"/>
              </w:rPr>
            </w:pPr>
            <w:r>
              <w:rPr>
                <w:rFonts w:ascii="Arial" w:cs="Arial" w:eastAsia="Arial" w:hAnsi="Arial"/>
                <w:sz w:val="19"/>
                <w:szCs w:val="19"/>
                <w:color w:val="auto"/>
              </w:rPr>
              <w:t>Parsons of Puerto Rico Professional Engineers, P.S.C.</w:t>
            </w:r>
          </w:p>
        </w:tc>
        <w:tc>
          <w:tcPr>
            <w:tcW w:w="4600" w:type="dxa"/>
            <w:vAlign w:val="bottom"/>
          </w:tcPr>
          <w:p>
            <w:pPr>
              <w:ind w:left="1560"/>
              <w:spacing w:after="0"/>
              <w:rPr>
                <w:sz w:val="20"/>
                <w:szCs w:val="20"/>
                <w:color w:val="auto"/>
              </w:rPr>
            </w:pPr>
            <w:r>
              <w:rPr>
                <w:rFonts w:ascii="Arial" w:cs="Arial" w:eastAsia="Arial" w:hAnsi="Arial"/>
                <w:sz w:val="19"/>
                <w:szCs w:val="19"/>
                <w:color w:val="auto"/>
              </w:rPr>
              <w:t>Puerto Rico</w:t>
            </w:r>
          </w:p>
        </w:tc>
      </w:tr>
      <w:tr>
        <w:trPr>
          <w:trHeight w:val="570"/>
        </w:trPr>
        <w:tc>
          <w:tcPr>
            <w:tcW w:w="6680" w:type="dxa"/>
            <w:vAlign w:val="bottom"/>
          </w:tcPr>
          <w:p>
            <w:pPr>
              <w:spacing w:after="0"/>
              <w:rPr>
                <w:sz w:val="20"/>
                <w:szCs w:val="20"/>
                <w:color w:val="auto"/>
              </w:rPr>
            </w:pPr>
            <w:r>
              <w:rPr>
                <w:rFonts w:ascii="Arial" w:cs="Arial" w:eastAsia="Arial" w:hAnsi="Arial"/>
                <w:sz w:val="19"/>
                <w:szCs w:val="19"/>
                <w:color w:val="auto"/>
              </w:rPr>
              <w:t>Parsons Overseas Company</w:t>
            </w:r>
          </w:p>
        </w:tc>
        <w:tc>
          <w:tcPr>
            <w:tcW w:w="4600" w:type="dxa"/>
            <w:vAlign w:val="bottom"/>
          </w:tcPr>
          <w:p>
            <w:pPr>
              <w:ind w:left="1560"/>
              <w:spacing w:after="0"/>
              <w:rPr>
                <w:sz w:val="20"/>
                <w:szCs w:val="20"/>
                <w:color w:val="auto"/>
              </w:rPr>
            </w:pPr>
            <w:r>
              <w:rPr>
                <w:rFonts w:ascii="Arial" w:cs="Arial" w:eastAsia="Arial" w:hAnsi="Arial"/>
                <w:sz w:val="19"/>
                <w:szCs w:val="19"/>
                <w:color w:val="auto"/>
              </w:rPr>
              <w:t>Nevada</w:t>
            </w:r>
          </w:p>
        </w:tc>
      </w:tr>
      <w:tr>
        <w:trPr>
          <w:trHeight w:val="685"/>
        </w:trPr>
        <w:tc>
          <w:tcPr>
            <w:tcW w:w="668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-27940</wp:posOffset>
            </wp:positionV>
            <wp:extent cx="33655" cy="4127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1">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80"/>
          </w:cols>
          <w:pgMar w:left="320" w:top="524" w:right="299" w:bottom="1440" w:gutter="0" w:footer="0" w:header="0"/>
        </w:sectPr>
      </w:pPr>
    </w:p>
    <w:bookmarkStart w:id="337" w:name="page338"/>
    <w:bookmarkEnd w:id="337"/>
    <w:p>
      <w:pPr>
        <w:spacing w:after="0"/>
        <w:rPr>
          <w:sz w:val="20"/>
          <w:szCs w:val="20"/>
          <w:color w:val="auto"/>
        </w:rPr>
      </w:pPr>
      <w:r>
        <w:rPr>
          <w:rFonts w:ascii="Arial" w:cs="Arial" w:eastAsia="Arial" w:hAnsi="Arial"/>
          <w:sz w:val="20"/>
          <w:szCs w:val="20"/>
          <w:color w:val="auto"/>
        </w:rPr>
        <w:t>Exhibit 21.1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r>
              <w:rPr>
                <w:rFonts w:ascii="Arial" w:cs="Arial" w:eastAsia="Arial" w:hAnsi="Arial"/>
                <w:sz w:val="19"/>
                <w:szCs w:val="19"/>
                <w:color w:val="auto"/>
              </w:rPr>
              <w:t>Parsons Overseas Limited Inc.</w:t>
            </w:r>
          </w:p>
        </w:tc>
        <w:tc>
          <w:tcPr>
            <w:tcW w:w="4640" w:type="dxa"/>
            <w:vAlign w:val="bottom"/>
          </w:tcPr>
          <w:p>
            <w:pPr>
              <w:ind w:left="1600"/>
              <w:spacing w:after="0"/>
              <w:rPr>
                <w:sz w:val="20"/>
                <w:szCs w:val="20"/>
                <w:color w:val="auto"/>
              </w:rPr>
            </w:pPr>
            <w:r>
              <w:rPr>
                <w:rFonts w:ascii="Arial" w:cs="Arial" w:eastAsia="Arial" w:hAnsi="Arial"/>
                <w:sz w:val="19"/>
                <w:szCs w:val="19"/>
                <w:color w:val="auto"/>
              </w:rPr>
              <w:t>Delaware</w:t>
            </w:r>
          </w:p>
        </w:tc>
      </w:tr>
      <w:tr>
        <w:trPr>
          <w:trHeight w:val="358"/>
        </w:trPr>
        <w:tc>
          <w:tcPr>
            <w:tcW w:w="6640" w:type="dxa"/>
            <w:vAlign w:val="bottom"/>
          </w:tcPr>
          <w:p>
            <w:pPr>
              <w:spacing w:after="0"/>
              <w:rPr>
                <w:sz w:val="20"/>
                <w:szCs w:val="20"/>
                <w:color w:val="auto"/>
              </w:rPr>
            </w:pPr>
            <w:r>
              <w:rPr>
                <w:rFonts w:ascii="Arial" w:cs="Arial" w:eastAsia="Arial" w:hAnsi="Arial"/>
                <w:sz w:val="19"/>
                <w:szCs w:val="19"/>
                <w:color w:val="auto"/>
              </w:rPr>
              <w:t>Parsons PATCO Inc.</w:t>
            </w:r>
          </w:p>
        </w:tc>
        <w:tc>
          <w:tcPr>
            <w:tcW w:w="4640" w:type="dxa"/>
            <w:vAlign w:val="bottom"/>
          </w:tcPr>
          <w:p>
            <w:pPr>
              <w:ind w:left="1600"/>
              <w:spacing w:after="0"/>
              <w:rPr>
                <w:sz w:val="20"/>
                <w:szCs w:val="20"/>
                <w:color w:val="auto"/>
              </w:rPr>
            </w:pPr>
            <w:r>
              <w:rPr>
                <w:rFonts w:ascii="Arial" w:cs="Arial" w:eastAsia="Arial" w:hAnsi="Arial"/>
                <w:sz w:val="19"/>
                <w:szCs w:val="19"/>
                <w:color w:val="auto"/>
              </w:rPr>
              <w:t>Delaware</w:t>
            </w:r>
          </w:p>
        </w:tc>
      </w:tr>
      <w:tr>
        <w:trPr>
          <w:trHeight w:val="238"/>
        </w:trPr>
        <w:tc>
          <w:tcPr>
            <w:tcW w:w="6640" w:type="dxa"/>
            <w:vAlign w:val="bottom"/>
          </w:tcPr>
          <w:p>
            <w:pPr>
              <w:spacing w:after="0"/>
              <w:rPr>
                <w:sz w:val="20"/>
                <w:szCs w:val="20"/>
                <w:color w:val="auto"/>
              </w:rPr>
            </w:pPr>
            <w:r>
              <w:rPr>
                <w:rFonts w:ascii="Arial" w:cs="Arial" w:eastAsia="Arial" w:hAnsi="Arial"/>
                <w:sz w:val="19"/>
                <w:szCs w:val="19"/>
                <w:color w:val="auto"/>
              </w:rPr>
              <w:t>Parsons Professional Corporation</w:t>
            </w:r>
          </w:p>
        </w:tc>
        <w:tc>
          <w:tcPr>
            <w:tcW w:w="4640" w:type="dxa"/>
            <w:vAlign w:val="bottom"/>
          </w:tcPr>
          <w:p>
            <w:pPr>
              <w:ind w:left="1600"/>
              <w:spacing w:after="0"/>
              <w:rPr>
                <w:sz w:val="20"/>
                <w:szCs w:val="20"/>
                <w:color w:val="auto"/>
              </w:rPr>
            </w:pPr>
            <w:r>
              <w:rPr>
                <w:rFonts w:ascii="Arial" w:cs="Arial" w:eastAsia="Arial" w:hAnsi="Arial"/>
                <w:sz w:val="19"/>
                <w:szCs w:val="19"/>
                <w:color w:val="auto"/>
              </w:rPr>
              <w:t>District of Columbia</w:t>
            </w:r>
          </w:p>
        </w:tc>
      </w:tr>
      <w:tr>
        <w:trPr>
          <w:trHeight w:val="380"/>
        </w:trPr>
        <w:tc>
          <w:tcPr>
            <w:tcW w:w="6640" w:type="dxa"/>
            <w:vAlign w:val="bottom"/>
          </w:tcPr>
          <w:p>
            <w:pPr>
              <w:spacing w:after="0"/>
              <w:rPr>
                <w:sz w:val="20"/>
                <w:szCs w:val="20"/>
                <w:color w:val="auto"/>
              </w:rPr>
            </w:pPr>
            <w:r>
              <w:rPr>
                <w:rFonts w:ascii="Arial" w:cs="Arial" w:eastAsia="Arial" w:hAnsi="Arial"/>
                <w:sz w:val="19"/>
                <w:szCs w:val="19"/>
                <w:color w:val="auto"/>
              </w:rPr>
              <w:t>Parsons Professional Services Inc.</w:t>
            </w:r>
          </w:p>
        </w:tc>
        <w:tc>
          <w:tcPr>
            <w:tcW w:w="4640" w:type="dxa"/>
            <w:vAlign w:val="bottom"/>
          </w:tcPr>
          <w:p>
            <w:pPr>
              <w:ind w:left="1600"/>
              <w:spacing w:after="0"/>
              <w:rPr>
                <w:sz w:val="20"/>
                <w:szCs w:val="20"/>
                <w:color w:val="auto"/>
              </w:rPr>
            </w:pPr>
            <w:r>
              <w:rPr>
                <w:rFonts w:ascii="Arial" w:cs="Arial" w:eastAsia="Arial" w:hAnsi="Arial"/>
                <w:sz w:val="19"/>
                <w:szCs w:val="19"/>
                <w:color w:val="auto"/>
              </w:rPr>
              <w:t>Ontario</w:t>
            </w:r>
          </w:p>
        </w:tc>
      </w:tr>
      <w:tr>
        <w:trPr>
          <w:trHeight w:val="380"/>
        </w:trPr>
        <w:tc>
          <w:tcPr>
            <w:tcW w:w="6640" w:type="dxa"/>
            <w:vAlign w:val="bottom"/>
          </w:tcPr>
          <w:p>
            <w:pPr>
              <w:spacing w:after="0"/>
              <w:rPr>
                <w:sz w:val="20"/>
                <w:szCs w:val="20"/>
                <w:color w:val="auto"/>
              </w:rPr>
            </w:pPr>
            <w:r>
              <w:rPr>
                <w:rFonts w:ascii="Arial" w:cs="Arial" w:eastAsia="Arial" w:hAnsi="Arial"/>
                <w:sz w:val="19"/>
                <w:szCs w:val="19"/>
                <w:color w:val="auto"/>
              </w:rPr>
              <w:t>Parsons Project Services, Inc.</w:t>
            </w:r>
          </w:p>
        </w:tc>
        <w:tc>
          <w:tcPr>
            <w:tcW w:w="4640" w:type="dxa"/>
            <w:vAlign w:val="bottom"/>
          </w:tcPr>
          <w:p>
            <w:pPr>
              <w:ind w:left="1600"/>
              <w:spacing w:after="0"/>
              <w:rPr>
                <w:sz w:val="20"/>
                <w:szCs w:val="20"/>
                <w:color w:val="auto"/>
              </w:rPr>
            </w:pPr>
            <w:r>
              <w:rPr>
                <w:rFonts w:ascii="Arial" w:cs="Arial" w:eastAsia="Arial" w:hAnsi="Arial"/>
                <w:sz w:val="19"/>
                <w:szCs w:val="19"/>
                <w:color w:val="auto"/>
              </w:rPr>
              <w:t>California</w:t>
            </w:r>
          </w:p>
        </w:tc>
      </w:tr>
      <w:tr>
        <w:trPr>
          <w:trHeight w:val="358"/>
        </w:trPr>
        <w:tc>
          <w:tcPr>
            <w:tcW w:w="6640" w:type="dxa"/>
            <w:vAlign w:val="bottom"/>
          </w:tcPr>
          <w:p>
            <w:pPr>
              <w:spacing w:after="0"/>
              <w:rPr>
                <w:sz w:val="20"/>
                <w:szCs w:val="20"/>
                <w:color w:val="auto"/>
              </w:rPr>
            </w:pPr>
            <w:r>
              <w:rPr>
                <w:rFonts w:ascii="Arial" w:cs="Arial" w:eastAsia="Arial" w:hAnsi="Arial"/>
                <w:sz w:val="19"/>
                <w:szCs w:val="19"/>
                <w:color w:val="auto"/>
              </w:rPr>
              <w:t>Parsons RCI Inc.</w:t>
            </w:r>
          </w:p>
        </w:tc>
        <w:tc>
          <w:tcPr>
            <w:tcW w:w="4640" w:type="dxa"/>
            <w:vAlign w:val="bottom"/>
          </w:tcPr>
          <w:p>
            <w:pPr>
              <w:ind w:left="1600"/>
              <w:spacing w:after="0"/>
              <w:rPr>
                <w:sz w:val="20"/>
                <w:szCs w:val="20"/>
                <w:color w:val="auto"/>
              </w:rPr>
            </w:pPr>
            <w:r>
              <w:rPr>
                <w:rFonts w:ascii="Arial" w:cs="Arial" w:eastAsia="Arial" w:hAnsi="Arial"/>
                <w:sz w:val="19"/>
                <w:szCs w:val="19"/>
                <w:color w:val="auto"/>
              </w:rPr>
              <w:t>Washington</w:t>
            </w:r>
          </w:p>
        </w:tc>
      </w:tr>
      <w:tr>
        <w:trPr>
          <w:trHeight w:val="238"/>
        </w:trPr>
        <w:tc>
          <w:tcPr>
            <w:tcW w:w="6640" w:type="dxa"/>
            <w:vAlign w:val="bottom"/>
          </w:tcPr>
          <w:p>
            <w:pPr>
              <w:spacing w:after="0"/>
              <w:rPr>
                <w:sz w:val="20"/>
                <w:szCs w:val="20"/>
                <w:color w:val="auto"/>
              </w:rPr>
            </w:pPr>
            <w:r>
              <w:rPr>
                <w:rFonts w:ascii="Arial" w:cs="Arial" w:eastAsia="Arial" w:hAnsi="Arial"/>
                <w:sz w:val="19"/>
                <w:szCs w:val="19"/>
                <w:color w:val="auto"/>
              </w:rPr>
              <w:t>Parsons Savannah Construction Company</w:t>
            </w:r>
          </w:p>
        </w:tc>
        <w:tc>
          <w:tcPr>
            <w:tcW w:w="4640" w:type="dxa"/>
            <w:vAlign w:val="bottom"/>
          </w:tcPr>
          <w:p>
            <w:pPr>
              <w:ind w:left="1600"/>
              <w:spacing w:after="0"/>
              <w:rPr>
                <w:sz w:val="20"/>
                <w:szCs w:val="20"/>
                <w:color w:val="auto"/>
              </w:rPr>
            </w:pPr>
            <w:r>
              <w:rPr>
                <w:rFonts w:ascii="Arial" w:cs="Arial" w:eastAsia="Arial" w:hAnsi="Arial"/>
                <w:sz w:val="19"/>
                <w:szCs w:val="19"/>
                <w:color w:val="auto"/>
              </w:rPr>
              <w:t>South Carolina</w:t>
            </w:r>
          </w:p>
        </w:tc>
      </w:tr>
      <w:tr>
        <w:trPr>
          <w:trHeight w:val="380"/>
        </w:trPr>
        <w:tc>
          <w:tcPr>
            <w:tcW w:w="6640" w:type="dxa"/>
            <w:vAlign w:val="bottom"/>
          </w:tcPr>
          <w:p>
            <w:pPr>
              <w:spacing w:after="0"/>
              <w:rPr>
                <w:sz w:val="20"/>
                <w:szCs w:val="20"/>
                <w:color w:val="auto"/>
              </w:rPr>
            </w:pPr>
            <w:r>
              <w:rPr>
                <w:rFonts w:ascii="Arial" w:cs="Arial" w:eastAsia="Arial" w:hAnsi="Arial"/>
                <w:sz w:val="19"/>
                <w:szCs w:val="19"/>
                <w:color w:val="auto"/>
              </w:rPr>
              <w:t>Parsons Savannah Services Company</w:t>
            </w:r>
          </w:p>
        </w:tc>
        <w:tc>
          <w:tcPr>
            <w:tcW w:w="4640" w:type="dxa"/>
            <w:vAlign w:val="bottom"/>
          </w:tcPr>
          <w:p>
            <w:pPr>
              <w:ind w:left="1600"/>
              <w:spacing w:after="0"/>
              <w:rPr>
                <w:sz w:val="20"/>
                <w:szCs w:val="20"/>
                <w:color w:val="auto"/>
              </w:rPr>
            </w:pPr>
            <w:r>
              <w:rPr>
                <w:rFonts w:ascii="Arial" w:cs="Arial" w:eastAsia="Arial" w:hAnsi="Arial"/>
                <w:sz w:val="19"/>
                <w:szCs w:val="19"/>
                <w:color w:val="auto"/>
              </w:rPr>
              <w:t>Delaware</w:t>
            </w:r>
          </w:p>
        </w:tc>
      </w:tr>
      <w:tr>
        <w:trPr>
          <w:trHeight w:val="380"/>
        </w:trPr>
        <w:tc>
          <w:tcPr>
            <w:tcW w:w="6640" w:type="dxa"/>
            <w:vAlign w:val="bottom"/>
          </w:tcPr>
          <w:p>
            <w:pPr>
              <w:spacing w:after="0"/>
              <w:rPr>
                <w:sz w:val="20"/>
                <w:szCs w:val="20"/>
                <w:color w:val="auto"/>
              </w:rPr>
            </w:pPr>
            <w:r>
              <w:rPr>
                <w:rFonts w:ascii="Arial" w:cs="Arial" w:eastAsia="Arial" w:hAnsi="Arial"/>
                <w:sz w:val="19"/>
                <w:szCs w:val="19"/>
                <w:color w:val="auto"/>
              </w:rPr>
              <w:t>Parsons Secure Solutions Inc.</w:t>
            </w:r>
          </w:p>
        </w:tc>
        <w:tc>
          <w:tcPr>
            <w:tcW w:w="4640" w:type="dxa"/>
            <w:vAlign w:val="bottom"/>
          </w:tcPr>
          <w:p>
            <w:pPr>
              <w:ind w:left="1600"/>
              <w:spacing w:after="0"/>
              <w:rPr>
                <w:sz w:val="20"/>
                <w:szCs w:val="20"/>
                <w:color w:val="auto"/>
              </w:rPr>
            </w:pPr>
            <w:r>
              <w:rPr>
                <w:rFonts w:ascii="Arial" w:cs="Arial" w:eastAsia="Arial" w:hAnsi="Arial"/>
                <w:sz w:val="19"/>
                <w:szCs w:val="19"/>
                <w:color w:val="auto"/>
              </w:rPr>
              <w:t>Virginia</w:t>
            </w:r>
          </w:p>
        </w:tc>
      </w:tr>
      <w:tr>
        <w:trPr>
          <w:trHeight w:val="380"/>
        </w:trPr>
        <w:tc>
          <w:tcPr>
            <w:tcW w:w="6640" w:type="dxa"/>
            <w:vAlign w:val="bottom"/>
          </w:tcPr>
          <w:p>
            <w:pPr>
              <w:spacing w:after="0"/>
              <w:rPr>
                <w:sz w:val="20"/>
                <w:szCs w:val="20"/>
                <w:color w:val="auto"/>
              </w:rPr>
            </w:pPr>
            <w:r>
              <w:rPr>
                <w:rFonts w:ascii="Arial" w:cs="Arial" w:eastAsia="Arial" w:hAnsi="Arial"/>
                <w:sz w:val="19"/>
                <w:szCs w:val="19"/>
                <w:color w:val="auto"/>
              </w:rPr>
              <w:t>Parsons Services Company</w:t>
            </w:r>
          </w:p>
        </w:tc>
        <w:tc>
          <w:tcPr>
            <w:tcW w:w="4640" w:type="dxa"/>
            <w:vAlign w:val="bottom"/>
          </w:tcPr>
          <w:p>
            <w:pPr>
              <w:ind w:left="1600"/>
              <w:spacing w:after="0"/>
              <w:rPr>
                <w:sz w:val="20"/>
                <w:szCs w:val="20"/>
                <w:color w:val="auto"/>
              </w:rPr>
            </w:pPr>
            <w:r>
              <w:rPr>
                <w:rFonts w:ascii="Arial" w:cs="Arial" w:eastAsia="Arial" w:hAnsi="Arial"/>
                <w:sz w:val="19"/>
                <w:szCs w:val="19"/>
                <w:color w:val="auto"/>
              </w:rPr>
              <w:t>Texas</w:t>
            </w:r>
          </w:p>
        </w:tc>
      </w:tr>
      <w:tr>
        <w:trPr>
          <w:trHeight w:val="380"/>
        </w:trPr>
        <w:tc>
          <w:tcPr>
            <w:tcW w:w="6640" w:type="dxa"/>
            <w:vAlign w:val="bottom"/>
          </w:tcPr>
          <w:p>
            <w:pPr>
              <w:spacing w:after="0"/>
              <w:rPr>
                <w:sz w:val="20"/>
                <w:szCs w:val="20"/>
                <w:color w:val="auto"/>
              </w:rPr>
            </w:pPr>
            <w:r>
              <w:rPr>
                <w:rFonts w:ascii="Arial" w:cs="Arial" w:eastAsia="Arial" w:hAnsi="Arial"/>
                <w:sz w:val="19"/>
                <w:szCs w:val="19"/>
                <w:color w:val="auto"/>
              </w:rPr>
              <w:t>Parsons SGTP GP Holdings Inc.</w:t>
            </w:r>
          </w:p>
        </w:tc>
        <w:tc>
          <w:tcPr>
            <w:tcW w:w="4640" w:type="dxa"/>
            <w:vAlign w:val="bottom"/>
          </w:tcPr>
          <w:p>
            <w:pPr>
              <w:ind w:left="1600"/>
              <w:spacing w:after="0"/>
              <w:rPr>
                <w:sz w:val="20"/>
                <w:szCs w:val="20"/>
                <w:color w:val="auto"/>
              </w:rPr>
            </w:pPr>
            <w:r>
              <w:rPr>
                <w:rFonts w:ascii="Arial" w:cs="Arial" w:eastAsia="Arial" w:hAnsi="Arial"/>
                <w:sz w:val="19"/>
                <w:szCs w:val="19"/>
                <w:color w:val="auto"/>
              </w:rPr>
              <w:t>Federally Chartered</w:t>
            </w:r>
          </w:p>
        </w:tc>
      </w:tr>
      <w:tr>
        <w:trPr>
          <w:trHeight w:val="380"/>
        </w:trPr>
        <w:tc>
          <w:tcPr>
            <w:tcW w:w="6640" w:type="dxa"/>
            <w:vAlign w:val="bottom"/>
          </w:tcPr>
          <w:p>
            <w:pPr>
              <w:spacing w:after="0"/>
              <w:rPr>
                <w:sz w:val="20"/>
                <w:szCs w:val="20"/>
                <w:color w:val="auto"/>
              </w:rPr>
            </w:pPr>
            <w:r>
              <w:rPr>
                <w:rFonts w:ascii="Arial" w:cs="Arial" w:eastAsia="Arial" w:hAnsi="Arial"/>
                <w:sz w:val="19"/>
                <w:szCs w:val="19"/>
                <w:color w:val="auto"/>
              </w:rPr>
              <w:t>Parsons Technical Services Inc.</w:t>
            </w:r>
          </w:p>
        </w:tc>
        <w:tc>
          <w:tcPr>
            <w:tcW w:w="4640" w:type="dxa"/>
            <w:vAlign w:val="bottom"/>
          </w:tcPr>
          <w:p>
            <w:pPr>
              <w:ind w:left="1600"/>
              <w:spacing w:after="0"/>
              <w:rPr>
                <w:sz w:val="20"/>
                <w:szCs w:val="20"/>
                <w:color w:val="auto"/>
              </w:rPr>
            </w:pPr>
            <w:r>
              <w:rPr>
                <w:rFonts w:ascii="Arial" w:cs="Arial" w:eastAsia="Arial" w:hAnsi="Arial"/>
                <w:sz w:val="19"/>
                <w:szCs w:val="19"/>
                <w:color w:val="auto"/>
              </w:rPr>
              <w:t>Delaware</w:t>
            </w:r>
          </w:p>
        </w:tc>
      </w:tr>
      <w:tr>
        <w:trPr>
          <w:trHeight w:val="380"/>
        </w:trPr>
        <w:tc>
          <w:tcPr>
            <w:tcW w:w="6640" w:type="dxa"/>
            <w:vAlign w:val="bottom"/>
          </w:tcPr>
          <w:p>
            <w:pPr>
              <w:spacing w:after="0"/>
              <w:rPr>
                <w:sz w:val="20"/>
                <w:szCs w:val="20"/>
                <w:color w:val="auto"/>
              </w:rPr>
            </w:pPr>
            <w:r>
              <w:rPr>
                <w:rFonts w:ascii="Arial" w:cs="Arial" w:eastAsia="Arial" w:hAnsi="Arial"/>
                <w:sz w:val="19"/>
                <w:szCs w:val="19"/>
                <w:color w:val="auto"/>
              </w:rPr>
              <w:t>Parsons Technical Services International Inc.</w:t>
            </w:r>
          </w:p>
        </w:tc>
        <w:tc>
          <w:tcPr>
            <w:tcW w:w="4640" w:type="dxa"/>
            <w:vAlign w:val="bottom"/>
          </w:tcPr>
          <w:p>
            <w:pPr>
              <w:ind w:left="1600"/>
              <w:spacing w:after="0"/>
              <w:rPr>
                <w:sz w:val="20"/>
                <w:szCs w:val="20"/>
                <w:color w:val="auto"/>
              </w:rPr>
            </w:pPr>
            <w:r>
              <w:rPr>
                <w:rFonts w:ascii="Arial" w:cs="Arial" w:eastAsia="Arial" w:hAnsi="Arial"/>
                <w:sz w:val="19"/>
                <w:szCs w:val="19"/>
                <w:color w:val="auto"/>
              </w:rPr>
              <w:t>Texas</w:t>
            </w:r>
          </w:p>
        </w:tc>
      </w:tr>
      <w:tr>
        <w:trPr>
          <w:trHeight w:val="570"/>
        </w:trPr>
        <w:tc>
          <w:tcPr>
            <w:tcW w:w="6640" w:type="dxa"/>
            <w:vAlign w:val="bottom"/>
          </w:tcPr>
          <w:p>
            <w:pPr>
              <w:spacing w:after="0"/>
              <w:rPr>
                <w:sz w:val="20"/>
                <w:szCs w:val="20"/>
                <w:color w:val="auto"/>
              </w:rPr>
            </w:pPr>
            <w:r>
              <w:rPr>
                <w:rFonts w:ascii="Arial" w:cs="Arial" w:eastAsia="Arial" w:hAnsi="Arial"/>
                <w:sz w:val="19"/>
                <w:szCs w:val="19"/>
                <w:color w:val="auto"/>
              </w:rPr>
              <w:t>Parsons Technical Support Inc.</w:t>
            </w:r>
          </w:p>
        </w:tc>
        <w:tc>
          <w:tcPr>
            <w:tcW w:w="4640" w:type="dxa"/>
            <w:vAlign w:val="bottom"/>
          </w:tcPr>
          <w:p>
            <w:pPr>
              <w:ind w:left="1600"/>
              <w:spacing w:after="0"/>
              <w:rPr>
                <w:sz w:val="20"/>
                <w:szCs w:val="20"/>
                <w:color w:val="auto"/>
              </w:rPr>
            </w:pPr>
            <w:r>
              <w:rPr>
                <w:rFonts w:ascii="Arial" w:cs="Arial" w:eastAsia="Arial" w:hAnsi="Arial"/>
                <w:sz w:val="19"/>
                <w:szCs w:val="19"/>
                <w:color w:val="auto"/>
              </w:rPr>
              <w:t>Delaware</w:t>
            </w:r>
          </w:p>
        </w:tc>
      </w:tr>
      <w:tr>
        <w:trPr>
          <w:trHeight w:val="380"/>
        </w:trPr>
        <w:tc>
          <w:tcPr>
            <w:tcW w:w="6640" w:type="dxa"/>
            <w:vAlign w:val="bottom"/>
          </w:tcPr>
          <w:p>
            <w:pPr>
              <w:spacing w:after="0"/>
              <w:rPr>
                <w:sz w:val="20"/>
                <w:szCs w:val="20"/>
                <w:color w:val="auto"/>
              </w:rPr>
            </w:pPr>
            <w:r>
              <w:rPr>
                <w:rFonts w:ascii="Arial" w:cs="Arial" w:eastAsia="Arial" w:hAnsi="Arial"/>
                <w:sz w:val="19"/>
                <w:szCs w:val="19"/>
                <w:color w:val="auto"/>
              </w:rPr>
              <w:t>Parsons Technologies, LLC</w:t>
            </w:r>
          </w:p>
        </w:tc>
        <w:tc>
          <w:tcPr>
            <w:tcW w:w="4640" w:type="dxa"/>
            <w:vAlign w:val="bottom"/>
          </w:tcPr>
          <w:p>
            <w:pPr>
              <w:ind w:left="1600"/>
              <w:spacing w:after="0"/>
              <w:rPr>
                <w:sz w:val="20"/>
                <w:szCs w:val="20"/>
                <w:color w:val="auto"/>
              </w:rPr>
            </w:pPr>
            <w:r>
              <w:rPr>
                <w:rFonts w:ascii="Arial" w:cs="Arial" w:eastAsia="Arial" w:hAnsi="Arial"/>
                <w:sz w:val="19"/>
                <w:szCs w:val="19"/>
                <w:color w:val="auto"/>
              </w:rPr>
              <w:t>Delaware</w:t>
            </w:r>
          </w:p>
        </w:tc>
      </w:tr>
      <w:tr>
        <w:trPr>
          <w:trHeight w:val="380"/>
        </w:trPr>
        <w:tc>
          <w:tcPr>
            <w:tcW w:w="6640" w:type="dxa"/>
            <w:vAlign w:val="bottom"/>
          </w:tcPr>
          <w:p>
            <w:pPr>
              <w:spacing w:after="0"/>
              <w:rPr>
                <w:sz w:val="20"/>
                <w:szCs w:val="20"/>
                <w:color w:val="auto"/>
              </w:rPr>
            </w:pPr>
            <w:r>
              <w:rPr>
                <w:rFonts w:ascii="Arial" w:cs="Arial" w:eastAsia="Arial" w:hAnsi="Arial"/>
                <w:sz w:val="19"/>
                <w:szCs w:val="19"/>
                <w:color w:val="auto"/>
              </w:rPr>
              <w:t>Parsons Transportation Architectural Services LLC</w:t>
            </w:r>
          </w:p>
        </w:tc>
        <w:tc>
          <w:tcPr>
            <w:tcW w:w="4640" w:type="dxa"/>
            <w:vAlign w:val="bottom"/>
          </w:tcPr>
          <w:p>
            <w:pPr>
              <w:ind w:left="1600"/>
              <w:spacing w:after="0"/>
              <w:rPr>
                <w:sz w:val="20"/>
                <w:szCs w:val="20"/>
                <w:color w:val="auto"/>
              </w:rPr>
            </w:pPr>
            <w:r>
              <w:rPr>
                <w:rFonts w:ascii="Arial" w:cs="Arial" w:eastAsia="Arial" w:hAnsi="Arial"/>
                <w:sz w:val="19"/>
                <w:szCs w:val="19"/>
                <w:color w:val="auto"/>
              </w:rPr>
              <w:t>Delaware</w:t>
            </w:r>
          </w:p>
        </w:tc>
      </w:tr>
      <w:tr>
        <w:trPr>
          <w:trHeight w:val="570"/>
        </w:trPr>
        <w:tc>
          <w:tcPr>
            <w:tcW w:w="6640" w:type="dxa"/>
            <w:vAlign w:val="bottom"/>
          </w:tcPr>
          <w:p>
            <w:pPr>
              <w:spacing w:after="0"/>
              <w:rPr>
                <w:sz w:val="20"/>
                <w:szCs w:val="20"/>
                <w:color w:val="auto"/>
              </w:rPr>
            </w:pPr>
            <w:r>
              <w:rPr>
                <w:rFonts w:ascii="Arial" w:cs="Arial" w:eastAsia="Arial" w:hAnsi="Arial"/>
                <w:sz w:val="19"/>
                <w:szCs w:val="19"/>
                <w:color w:val="auto"/>
              </w:rPr>
              <w:t>Parsons Transportation Group Inc.</w:t>
            </w:r>
          </w:p>
        </w:tc>
        <w:tc>
          <w:tcPr>
            <w:tcW w:w="4640" w:type="dxa"/>
            <w:vAlign w:val="bottom"/>
          </w:tcPr>
          <w:p>
            <w:pPr>
              <w:ind w:left="1600"/>
              <w:spacing w:after="0"/>
              <w:rPr>
                <w:sz w:val="20"/>
                <w:szCs w:val="20"/>
                <w:color w:val="auto"/>
              </w:rPr>
            </w:pPr>
            <w:r>
              <w:rPr>
                <w:rFonts w:ascii="Arial" w:cs="Arial" w:eastAsia="Arial" w:hAnsi="Arial"/>
                <w:sz w:val="19"/>
                <w:szCs w:val="19"/>
                <w:color w:val="auto"/>
              </w:rPr>
              <w:t>Illinois</w:t>
            </w:r>
          </w:p>
        </w:tc>
      </w:tr>
      <w:tr>
        <w:trPr>
          <w:trHeight w:val="380"/>
        </w:trPr>
        <w:tc>
          <w:tcPr>
            <w:tcW w:w="6640" w:type="dxa"/>
            <w:vAlign w:val="bottom"/>
          </w:tcPr>
          <w:p>
            <w:pPr>
              <w:spacing w:after="0"/>
              <w:rPr>
                <w:sz w:val="20"/>
                <w:szCs w:val="20"/>
                <w:color w:val="auto"/>
              </w:rPr>
            </w:pPr>
            <w:r>
              <w:rPr>
                <w:rFonts w:ascii="Arial" w:cs="Arial" w:eastAsia="Arial" w:hAnsi="Arial"/>
                <w:sz w:val="19"/>
                <w:szCs w:val="19"/>
                <w:color w:val="auto"/>
              </w:rPr>
              <w:t>Parsons Transportation Group Inc. of Michigan</w:t>
            </w:r>
          </w:p>
        </w:tc>
        <w:tc>
          <w:tcPr>
            <w:tcW w:w="4640" w:type="dxa"/>
            <w:vAlign w:val="bottom"/>
          </w:tcPr>
          <w:p>
            <w:pPr>
              <w:ind w:left="1600"/>
              <w:spacing w:after="0"/>
              <w:rPr>
                <w:sz w:val="20"/>
                <w:szCs w:val="20"/>
                <w:color w:val="auto"/>
              </w:rPr>
            </w:pPr>
            <w:r>
              <w:rPr>
                <w:rFonts w:ascii="Arial" w:cs="Arial" w:eastAsia="Arial" w:hAnsi="Arial"/>
                <w:sz w:val="19"/>
                <w:szCs w:val="19"/>
                <w:color w:val="auto"/>
              </w:rPr>
              <w:t>Michigan</w:t>
            </w:r>
          </w:p>
        </w:tc>
      </w:tr>
      <w:tr>
        <w:trPr>
          <w:trHeight w:val="380"/>
        </w:trPr>
        <w:tc>
          <w:tcPr>
            <w:tcW w:w="6640" w:type="dxa"/>
            <w:vAlign w:val="bottom"/>
          </w:tcPr>
          <w:p>
            <w:pPr>
              <w:spacing w:after="0"/>
              <w:rPr>
                <w:sz w:val="20"/>
                <w:szCs w:val="20"/>
                <w:color w:val="auto"/>
              </w:rPr>
            </w:pPr>
            <w:r>
              <w:rPr>
                <w:rFonts w:ascii="Arial" w:cs="Arial" w:eastAsia="Arial" w:hAnsi="Arial"/>
                <w:sz w:val="19"/>
                <w:szCs w:val="19"/>
                <w:color w:val="auto"/>
              </w:rPr>
              <w:t>Parsons Transportation Group Inc. of Virginia</w:t>
            </w:r>
          </w:p>
        </w:tc>
        <w:tc>
          <w:tcPr>
            <w:tcW w:w="4640" w:type="dxa"/>
            <w:vAlign w:val="bottom"/>
          </w:tcPr>
          <w:p>
            <w:pPr>
              <w:ind w:left="1600"/>
              <w:spacing w:after="0"/>
              <w:rPr>
                <w:sz w:val="20"/>
                <w:szCs w:val="20"/>
                <w:color w:val="auto"/>
              </w:rPr>
            </w:pPr>
            <w:r>
              <w:rPr>
                <w:rFonts w:ascii="Arial" w:cs="Arial" w:eastAsia="Arial" w:hAnsi="Arial"/>
                <w:sz w:val="19"/>
                <w:szCs w:val="19"/>
                <w:color w:val="auto"/>
              </w:rPr>
              <w:t>Virginia</w:t>
            </w:r>
          </w:p>
        </w:tc>
      </w:tr>
      <w:tr>
        <w:trPr>
          <w:trHeight w:val="380"/>
        </w:trPr>
        <w:tc>
          <w:tcPr>
            <w:tcW w:w="6640" w:type="dxa"/>
            <w:vAlign w:val="bottom"/>
          </w:tcPr>
          <w:p>
            <w:pPr>
              <w:spacing w:after="0"/>
              <w:rPr>
                <w:sz w:val="20"/>
                <w:szCs w:val="20"/>
                <w:color w:val="auto"/>
              </w:rPr>
            </w:pPr>
            <w:r>
              <w:rPr>
                <w:rFonts w:ascii="Arial" w:cs="Arial" w:eastAsia="Arial" w:hAnsi="Arial"/>
                <w:sz w:val="19"/>
                <w:szCs w:val="19"/>
                <w:color w:val="auto"/>
              </w:rPr>
              <w:t>Parsons Transportation Group of New York, Inc.</w:t>
            </w:r>
          </w:p>
        </w:tc>
        <w:tc>
          <w:tcPr>
            <w:tcW w:w="4640" w:type="dxa"/>
            <w:vAlign w:val="bottom"/>
          </w:tcPr>
          <w:p>
            <w:pPr>
              <w:ind w:left="1600"/>
              <w:spacing w:after="0"/>
              <w:rPr>
                <w:sz w:val="20"/>
                <w:szCs w:val="20"/>
                <w:color w:val="auto"/>
              </w:rPr>
            </w:pPr>
            <w:r>
              <w:rPr>
                <w:rFonts w:ascii="Arial" w:cs="Arial" w:eastAsia="Arial" w:hAnsi="Arial"/>
                <w:sz w:val="19"/>
                <w:szCs w:val="19"/>
                <w:color w:val="auto"/>
              </w:rPr>
              <w:t>New York</w:t>
            </w:r>
          </w:p>
        </w:tc>
      </w:tr>
      <w:tr>
        <w:trPr>
          <w:trHeight w:val="570"/>
        </w:trPr>
        <w:tc>
          <w:tcPr>
            <w:tcW w:w="6640" w:type="dxa"/>
            <w:vAlign w:val="bottom"/>
          </w:tcPr>
          <w:p>
            <w:pPr>
              <w:spacing w:after="0"/>
              <w:rPr>
                <w:sz w:val="20"/>
                <w:szCs w:val="20"/>
                <w:color w:val="auto"/>
              </w:rPr>
            </w:pPr>
            <w:r>
              <w:rPr>
                <w:rFonts w:ascii="Arial" w:cs="Arial" w:eastAsia="Arial" w:hAnsi="Arial"/>
                <w:sz w:val="19"/>
                <w:szCs w:val="19"/>
                <w:color w:val="auto"/>
              </w:rPr>
              <w:t>Parsons Transportation Group, Professional Corporation</w:t>
            </w:r>
          </w:p>
        </w:tc>
        <w:tc>
          <w:tcPr>
            <w:tcW w:w="4640" w:type="dxa"/>
            <w:vAlign w:val="bottom"/>
          </w:tcPr>
          <w:p>
            <w:pPr>
              <w:ind w:left="1600"/>
              <w:spacing w:after="0"/>
              <w:rPr>
                <w:sz w:val="20"/>
                <w:szCs w:val="20"/>
                <w:color w:val="auto"/>
              </w:rPr>
            </w:pPr>
            <w:r>
              <w:rPr>
                <w:rFonts w:ascii="Arial" w:cs="Arial" w:eastAsia="Arial" w:hAnsi="Arial"/>
                <w:sz w:val="19"/>
                <w:szCs w:val="19"/>
                <w:color w:val="auto"/>
              </w:rPr>
              <w:t>District of Columbia</w:t>
            </w:r>
          </w:p>
        </w:tc>
      </w:tr>
      <w:tr>
        <w:trPr>
          <w:trHeight w:val="570"/>
        </w:trPr>
        <w:tc>
          <w:tcPr>
            <w:tcW w:w="6640" w:type="dxa"/>
            <w:vAlign w:val="bottom"/>
          </w:tcPr>
          <w:p>
            <w:pPr>
              <w:spacing w:after="0"/>
              <w:rPr>
                <w:sz w:val="20"/>
                <w:szCs w:val="20"/>
                <w:color w:val="auto"/>
              </w:rPr>
            </w:pPr>
            <w:r>
              <w:rPr>
                <w:rFonts w:ascii="Arial" w:cs="Arial" w:eastAsia="Arial" w:hAnsi="Arial"/>
                <w:sz w:val="19"/>
                <w:szCs w:val="19"/>
                <w:color w:val="auto"/>
              </w:rPr>
              <w:t>Parsons Turkey Ulastirma Altyapi Sanayi ve Ticaret Limited Sirketi</w:t>
            </w:r>
          </w:p>
        </w:tc>
        <w:tc>
          <w:tcPr>
            <w:tcW w:w="4640" w:type="dxa"/>
            <w:vAlign w:val="bottom"/>
          </w:tcPr>
          <w:p>
            <w:pPr>
              <w:ind w:left="1600"/>
              <w:spacing w:after="0"/>
              <w:rPr>
                <w:sz w:val="20"/>
                <w:szCs w:val="20"/>
                <w:color w:val="auto"/>
              </w:rPr>
            </w:pPr>
            <w:r>
              <w:rPr>
                <w:rFonts w:ascii="Arial" w:cs="Arial" w:eastAsia="Arial" w:hAnsi="Arial"/>
                <w:sz w:val="19"/>
                <w:szCs w:val="19"/>
                <w:color w:val="auto"/>
              </w:rPr>
              <w:t>Turkey</w:t>
            </w:r>
          </w:p>
        </w:tc>
      </w:tr>
      <w:tr>
        <w:trPr>
          <w:trHeight w:val="761"/>
        </w:trPr>
        <w:tc>
          <w:tcPr>
            <w:tcW w:w="6640" w:type="dxa"/>
            <w:vAlign w:val="bottom"/>
          </w:tcPr>
          <w:p>
            <w:pPr>
              <w:spacing w:after="0"/>
              <w:rPr>
                <w:sz w:val="20"/>
                <w:szCs w:val="20"/>
                <w:color w:val="auto"/>
              </w:rPr>
            </w:pPr>
            <w:r>
              <w:rPr>
                <w:rFonts w:ascii="Arial" w:cs="Arial" w:eastAsia="Arial" w:hAnsi="Arial"/>
                <w:sz w:val="19"/>
                <w:szCs w:val="19"/>
                <w:color w:val="auto"/>
              </w:rPr>
              <w:t>Parsons Water &amp; Infrastructure Inc.</w:t>
            </w:r>
          </w:p>
        </w:tc>
        <w:tc>
          <w:tcPr>
            <w:tcW w:w="4640" w:type="dxa"/>
            <w:vAlign w:val="bottom"/>
          </w:tcPr>
          <w:p>
            <w:pPr>
              <w:ind w:left="1600"/>
              <w:spacing w:after="0"/>
              <w:rPr>
                <w:sz w:val="20"/>
                <w:szCs w:val="20"/>
                <w:color w:val="auto"/>
              </w:rPr>
            </w:pPr>
            <w:r>
              <w:rPr>
                <w:rFonts w:ascii="Arial" w:cs="Arial" w:eastAsia="Arial" w:hAnsi="Arial"/>
                <w:sz w:val="19"/>
                <w:szCs w:val="19"/>
                <w:color w:val="auto"/>
              </w:rPr>
              <w:t>Delaware</w:t>
            </w:r>
          </w:p>
        </w:tc>
      </w:tr>
      <w:tr>
        <w:trPr>
          <w:trHeight w:val="358"/>
        </w:trPr>
        <w:tc>
          <w:tcPr>
            <w:tcW w:w="6640" w:type="dxa"/>
            <w:vAlign w:val="bottom"/>
          </w:tcPr>
          <w:p>
            <w:pPr>
              <w:spacing w:after="0"/>
              <w:rPr>
                <w:sz w:val="20"/>
                <w:szCs w:val="20"/>
                <w:color w:val="auto"/>
              </w:rPr>
            </w:pPr>
            <w:r>
              <w:rPr>
                <w:rFonts w:ascii="Arial" w:cs="Arial" w:eastAsia="Arial" w:hAnsi="Arial"/>
                <w:sz w:val="19"/>
                <w:szCs w:val="19"/>
                <w:color w:val="auto"/>
              </w:rPr>
              <w:t>Parsons-Versar LLC</w:t>
            </w:r>
          </w:p>
        </w:tc>
        <w:tc>
          <w:tcPr>
            <w:tcW w:w="4640" w:type="dxa"/>
            <w:vAlign w:val="bottom"/>
          </w:tcPr>
          <w:p>
            <w:pPr>
              <w:ind w:left="1600"/>
              <w:spacing w:after="0"/>
              <w:rPr>
                <w:sz w:val="20"/>
                <w:szCs w:val="20"/>
                <w:color w:val="auto"/>
              </w:rPr>
            </w:pPr>
            <w:r>
              <w:rPr>
                <w:rFonts w:ascii="Arial" w:cs="Arial" w:eastAsia="Arial" w:hAnsi="Arial"/>
                <w:sz w:val="19"/>
                <w:szCs w:val="19"/>
                <w:color w:val="auto"/>
              </w:rPr>
              <w:t>Delaware</w:t>
            </w:r>
          </w:p>
        </w:tc>
      </w:tr>
      <w:tr>
        <w:trPr>
          <w:trHeight w:val="238"/>
        </w:trPr>
        <w:tc>
          <w:tcPr>
            <w:tcW w:w="6640" w:type="dxa"/>
            <w:vAlign w:val="bottom"/>
          </w:tcPr>
          <w:p>
            <w:pPr>
              <w:spacing w:after="0"/>
              <w:rPr>
                <w:sz w:val="20"/>
                <w:szCs w:val="20"/>
                <w:color w:val="auto"/>
              </w:rPr>
            </w:pPr>
            <w:r>
              <w:rPr>
                <w:rFonts w:ascii="Arial" w:cs="Arial" w:eastAsia="Arial" w:hAnsi="Arial"/>
                <w:sz w:val="19"/>
                <w:szCs w:val="19"/>
                <w:color w:val="auto"/>
              </w:rPr>
              <w:t>Partnership for Temporary Housing LLC</w:t>
            </w:r>
          </w:p>
        </w:tc>
        <w:tc>
          <w:tcPr>
            <w:tcW w:w="4640" w:type="dxa"/>
            <w:vAlign w:val="bottom"/>
          </w:tcPr>
          <w:p>
            <w:pPr>
              <w:ind w:left="1600"/>
              <w:spacing w:after="0"/>
              <w:rPr>
                <w:sz w:val="20"/>
                <w:szCs w:val="20"/>
                <w:color w:val="auto"/>
              </w:rPr>
            </w:pPr>
            <w:r>
              <w:rPr>
                <w:rFonts w:ascii="Arial" w:cs="Arial" w:eastAsia="Arial" w:hAnsi="Arial"/>
                <w:sz w:val="19"/>
                <w:szCs w:val="19"/>
                <w:color w:val="auto"/>
              </w:rPr>
              <w:t>Delaware</w:t>
            </w:r>
          </w:p>
        </w:tc>
      </w:tr>
      <w:tr>
        <w:trPr>
          <w:trHeight w:val="570"/>
        </w:trPr>
        <w:tc>
          <w:tcPr>
            <w:tcW w:w="6640" w:type="dxa"/>
            <w:vAlign w:val="bottom"/>
          </w:tcPr>
          <w:p>
            <w:pPr>
              <w:spacing w:after="0"/>
              <w:rPr>
                <w:sz w:val="20"/>
                <w:szCs w:val="20"/>
                <w:color w:val="auto"/>
              </w:rPr>
            </w:pPr>
            <w:r>
              <w:rPr>
                <w:rFonts w:ascii="Arial" w:cs="Arial" w:eastAsia="Arial" w:hAnsi="Arial"/>
                <w:sz w:val="19"/>
                <w:szCs w:val="19"/>
                <w:color w:val="auto"/>
              </w:rPr>
              <w:t>Polaris Alpha Advanced Systems, Inc.</w:t>
            </w:r>
          </w:p>
        </w:tc>
        <w:tc>
          <w:tcPr>
            <w:tcW w:w="4640" w:type="dxa"/>
            <w:vAlign w:val="bottom"/>
          </w:tcPr>
          <w:p>
            <w:pPr>
              <w:ind w:left="1600"/>
              <w:spacing w:after="0"/>
              <w:rPr>
                <w:sz w:val="20"/>
                <w:szCs w:val="20"/>
                <w:color w:val="auto"/>
              </w:rPr>
            </w:pPr>
            <w:r>
              <w:rPr>
                <w:rFonts w:ascii="Arial" w:cs="Arial" w:eastAsia="Arial" w:hAnsi="Arial"/>
                <w:sz w:val="19"/>
                <w:szCs w:val="19"/>
                <w:color w:val="auto"/>
              </w:rPr>
              <w:t>Virginia</w:t>
            </w:r>
          </w:p>
        </w:tc>
      </w:tr>
      <w:tr>
        <w:trPr>
          <w:trHeight w:val="875"/>
        </w:trPr>
        <w:tc>
          <w:tcPr>
            <w:tcW w:w="664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-27940</wp:posOffset>
            </wp:positionV>
            <wp:extent cx="33655" cy="4127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3">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80"/>
          </w:cols>
          <w:pgMar w:left="320" w:top="524" w:right="299" w:bottom="1440" w:gutter="0" w:footer="0" w:header="0"/>
        </w:sectPr>
      </w:pPr>
    </w:p>
    <w:bookmarkStart w:id="338" w:name="page339"/>
    <w:bookmarkEnd w:id="338"/>
    <w:p>
      <w:pPr>
        <w:spacing w:after="0"/>
        <w:rPr>
          <w:sz w:val="20"/>
          <w:szCs w:val="20"/>
          <w:color w:val="auto"/>
        </w:rPr>
      </w:pPr>
      <w:r>
        <w:rPr>
          <w:rFonts w:ascii="Arial" w:cs="Arial" w:eastAsia="Arial" w:hAnsi="Arial"/>
          <w:sz w:val="19"/>
          <w:szCs w:val="19"/>
          <w:color w:val="auto"/>
        </w:rPr>
        <w:t>Exhibit 21.1</w:t>
      </w:r>
    </w:p>
    <w:p>
      <w:pPr>
        <w:sectPr>
          <w:pgSz w:w="11900" w:h="16838" w:orient="portrait"/>
          <w:cols w:equalWidth="0" w:num="1">
            <w:col w:w="10139"/>
          </w:cols>
          <w:pgMar w:left="320" w:top="524" w:right="1440" w:bottom="1440" w:gutter="0" w:footer="0" w:header="0"/>
        </w:sect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Polaris Alpha Cyber and Sigint, LLC</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185" w:lineRule="exact"/>
        <w:rPr>
          <w:sz w:val="20"/>
          <w:szCs w:val="20"/>
          <w:color w:val="auto"/>
        </w:rPr>
      </w:pPr>
    </w:p>
    <w:p>
      <w:pPr>
        <w:sectPr>
          <w:pgSz w:w="11900" w:h="16838" w:orient="portrait"/>
          <w:cols w:equalWidth="0" w:num="2">
            <w:col w:w="7520" w:space="720"/>
            <w:col w:w="1899"/>
          </w:cols>
          <w:pgMar w:left="320" w:top="524" w:right="1440" w:bottom="1440" w:gutter="0" w:footer="0" w:header="0"/>
          <w:type w:val="continuous"/>
        </w:sectPr>
      </w:pPr>
    </w:p>
    <w:p>
      <w:pPr>
        <w:spacing w:after="0"/>
        <w:rPr>
          <w:sz w:val="20"/>
          <w:szCs w:val="20"/>
          <w:color w:val="auto"/>
        </w:rPr>
      </w:pPr>
      <w:r>
        <w:rPr>
          <w:rFonts w:ascii="Arial" w:cs="Arial" w:eastAsia="Arial" w:hAnsi="Arial"/>
          <w:sz w:val="17"/>
          <w:szCs w:val="17"/>
          <w:color w:val="auto"/>
        </w:rPr>
        <w:t>Polaris Alpha Cyber Technologies,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Delaware</w:t>
      </w:r>
    </w:p>
    <w:p>
      <w:pPr>
        <w:spacing w:after="0" w:line="185" w:lineRule="exact"/>
        <w:rPr>
          <w:sz w:val="20"/>
          <w:szCs w:val="20"/>
          <w:color w:val="auto"/>
        </w:rPr>
      </w:pPr>
    </w:p>
    <w:p>
      <w:pPr>
        <w:sectPr>
          <w:pgSz w:w="11900" w:h="16838" w:orient="portrait"/>
          <w:cols w:equalWidth="0" w:num="2">
            <w:col w:w="7520" w:space="720"/>
            <w:col w:w="1899"/>
          </w:cols>
          <w:pgMar w:left="320" w:top="524" w:right="1440" w:bottom="1440" w:gutter="0" w:footer="0" w:header="0"/>
          <w:type w:val="continuous"/>
        </w:sectPr>
      </w:pPr>
    </w:p>
    <w:p>
      <w:pPr>
        <w:spacing w:after="0"/>
        <w:rPr>
          <w:sz w:val="20"/>
          <w:szCs w:val="20"/>
          <w:color w:val="auto"/>
        </w:rPr>
      </w:pPr>
      <w:r>
        <w:rPr>
          <w:rFonts w:ascii="Arial" w:cs="Arial" w:eastAsia="Arial" w:hAnsi="Arial"/>
          <w:sz w:val="17"/>
          <w:szCs w:val="17"/>
          <w:color w:val="auto"/>
        </w:rPr>
        <w:t>Polaris Alpha Equity Holdings,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Delaware</w:t>
      </w:r>
    </w:p>
    <w:p>
      <w:pPr>
        <w:spacing w:after="0" w:line="185" w:lineRule="exact"/>
        <w:rPr>
          <w:sz w:val="20"/>
          <w:szCs w:val="20"/>
          <w:color w:val="auto"/>
        </w:rPr>
      </w:pPr>
    </w:p>
    <w:p>
      <w:pPr>
        <w:sectPr>
          <w:pgSz w:w="11900" w:h="16838" w:orient="portrait"/>
          <w:cols w:equalWidth="0" w:num="2">
            <w:col w:w="7520" w:space="720"/>
            <w:col w:w="1899"/>
          </w:cols>
          <w:pgMar w:left="320" w:top="524" w:right="1440" w:bottom="1440" w:gutter="0" w:footer="0" w:header="0"/>
          <w:type w:val="continuous"/>
        </w:sectPr>
      </w:pPr>
    </w:p>
    <w:p>
      <w:pPr>
        <w:spacing w:after="0"/>
        <w:rPr>
          <w:sz w:val="20"/>
          <w:szCs w:val="20"/>
          <w:color w:val="auto"/>
        </w:rPr>
      </w:pPr>
      <w:r>
        <w:rPr>
          <w:rFonts w:ascii="Arial" w:cs="Arial" w:eastAsia="Arial" w:hAnsi="Arial"/>
          <w:sz w:val="17"/>
          <w:szCs w:val="17"/>
          <w:color w:val="auto"/>
        </w:rPr>
        <w:t>Polaris Alpha Holdings Parent,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Delaware</w:t>
      </w:r>
    </w:p>
    <w:p>
      <w:pPr>
        <w:spacing w:after="0" w:line="185" w:lineRule="exact"/>
        <w:rPr>
          <w:sz w:val="20"/>
          <w:szCs w:val="20"/>
          <w:color w:val="auto"/>
        </w:rPr>
      </w:pPr>
    </w:p>
    <w:p>
      <w:pPr>
        <w:sectPr>
          <w:pgSz w:w="11900" w:h="16838" w:orient="portrait"/>
          <w:cols w:equalWidth="0" w:num="2">
            <w:col w:w="7520" w:space="720"/>
            <w:col w:w="1899"/>
          </w:cols>
          <w:pgMar w:left="320" w:top="524" w:right="1440" w:bottom="1440" w:gutter="0" w:footer="0" w:header="0"/>
          <w:type w:val="continuous"/>
        </w:sectPr>
      </w:pPr>
    </w:p>
    <w:p>
      <w:pPr>
        <w:spacing w:after="0"/>
        <w:rPr>
          <w:sz w:val="20"/>
          <w:szCs w:val="20"/>
          <w:color w:val="auto"/>
        </w:rPr>
      </w:pPr>
      <w:r>
        <w:rPr>
          <w:rFonts w:ascii="Arial" w:cs="Arial" w:eastAsia="Arial" w:hAnsi="Arial"/>
          <w:sz w:val="19"/>
          <w:szCs w:val="19"/>
          <w:color w:val="auto"/>
        </w:rPr>
        <w:t>Polaris Alpha, LLC</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PTSI Managed Services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Delaware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California</w:t>
      </w:r>
    </w:p>
    <w:p>
      <w:pPr>
        <w:spacing w:after="0" w:line="169" w:lineRule="exact"/>
        <w:rPr>
          <w:sz w:val="20"/>
          <w:szCs w:val="20"/>
          <w:color w:val="auto"/>
        </w:rPr>
      </w:pPr>
    </w:p>
    <w:p>
      <w:pPr>
        <w:sectPr>
          <w:pgSz w:w="11900" w:h="16838" w:orient="portrait"/>
          <w:cols w:equalWidth="0" w:num="2">
            <w:col w:w="7520" w:space="720"/>
            <w:col w:w="1899"/>
          </w:cols>
          <w:pgMar w:left="320" w:top="524" w:right="1440" w:bottom="1440" w:gutter="0" w:footer="0" w:header="0"/>
          <w:type w:val="continuous"/>
        </w:sectPr>
      </w:pPr>
    </w:p>
    <w:p>
      <w:pPr>
        <w:spacing w:after="0"/>
        <w:rPr>
          <w:sz w:val="20"/>
          <w:szCs w:val="20"/>
          <w:color w:val="auto"/>
        </w:rPr>
      </w:pPr>
      <w:r>
        <w:rPr>
          <w:rFonts w:ascii="Arial" w:cs="Arial" w:eastAsia="Arial" w:hAnsi="Arial"/>
          <w:sz w:val="19"/>
          <w:szCs w:val="19"/>
          <w:color w:val="auto"/>
        </w:rPr>
        <w:t>QRC, LLC</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Research and Development Solutions,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Virginia</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00" w:lineRule="exact"/>
        <w:rPr>
          <w:sz w:val="20"/>
          <w:szCs w:val="20"/>
          <w:color w:val="auto"/>
        </w:rPr>
      </w:pPr>
    </w:p>
    <w:p>
      <w:pPr>
        <w:sectPr>
          <w:pgSz w:w="11900" w:h="16838" w:orient="portrait"/>
          <w:cols w:equalWidth="0" w:num="2">
            <w:col w:w="7520" w:space="720"/>
            <w:col w:w="1899"/>
          </w:cols>
          <w:pgMar w:left="320" w:top="524" w:right="1440"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RMP Infrastructure Holdings Inc.</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auto"/>
        </w:rPr>
        <w:t>Federally Chartered</w:t>
      </w:r>
    </w:p>
    <w:p>
      <w:pPr>
        <w:spacing w:after="0" w:line="207" w:lineRule="exact"/>
        <w:rPr>
          <w:sz w:val="20"/>
          <w:szCs w:val="20"/>
          <w:color w:val="auto"/>
        </w:rPr>
      </w:pPr>
    </w:p>
    <w:p>
      <w:pPr>
        <w:sectPr>
          <w:pgSz w:w="11900" w:h="16838" w:orient="portrait"/>
          <w:cols w:equalWidth="0" w:num="2">
            <w:col w:w="7520" w:space="720"/>
            <w:col w:w="1899"/>
          </w:cols>
          <w:pgMar w:left="320" w:top="524" w:right="1440" w:bottom="1440" w:gutter="0" w:footer="0" w:header="0"/>
          <w:type w:val="continuous"/>
        </w:sectPr>
      </w:pPr>
    </w:p>
    <w:p>
      <w:pPr>
        <w:spacing w:after="0"/>
        <w:rPr>
          <w:sz w:val="20"/>
          <w:szCs w:val="20"/>
          <w:color w:val="auto"/>
        </w:rPr>
      </w:pPr>
      <w:r>
        <w:rPr>
          <w:rFonts w:ascii="Arial" w:cs="Arial" w:eastAsia="Arial" w:hAnsi="Arial"/>
          <w:sz w:val="15"/>
          <w:szCs w:val="15"/>
          <w:color w:val="auto"/>
        </w:rPr>
        <w:t>S&amp;P Geology Services P.C.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New York</w:t>
      </w:r>
    </w:p>
    <w:p>
      <w:pPr>
        <w:spacing w:after="0" w:line="185" w:lineRule="exact"/>
        <w:rPr>
          <w:sz w:val="20"/>
          <w:szCs w:val="20"/>
          <w:color w:val="auto"/>
        </w:rPr>
      </w:pPr>
    </w:p>
    <w:p>
      <w:pPr>
        <w:sectPr>
          <w:pgSz w:w="11900" w:h="16838" w:orient="portrait"/>
          <w:cols w:equalWidth="0" w:num="2">
            <w:col w:w="7520" w:space="720"/>
            <w:col w:w="1899"/>
          </w:cols>
          <w:pgMar w:left="320" w:top="524" w:right="1440" w:bottom="1440" w:gutter="0" w:footer="0" w:header="0"/>
          <w:type w:val="continuous"/>
        </w:sectPr>
      </w:pPr>
    </w:p>
    <w:p>
      <w:pPr>
        <w:spacing w:after="0"/>
        <w:rPr>
          <w:sz w:val="20"/>
          <w:szCs w:val="20"/>
          <w:color w:val="auto"/>
        </w:rPr>
      </w:pPr>
      <w:r>
        <w:rPr>
          <w:rFonts w:ascii="Arial" w:cs="Arial" w:eastAsia="Arial" w:hAnsi="Arial"/>
          <w:sz w:val="19"/>
          <w:szCs w:val="19"/>
          <w:color w:val="auto"/>
        </w:rPr>
        <w:t>S.I.P., Inc.</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Saudi Arabian Parsons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Saudi Arabia</w:t>
      </w:r>
    </w:p>
    <w:p>
      <w:pPr>
        <w:spacing w:after="0" w:line="169" w:lineRule="exact"/>
        <w:rPr>
          <w:sz w:val="20"/>
          <w:szCs w:val="20"/>
          <w:color w:val="auto"/>
        </w:rPr>
      </w:pPr>
    </w:p>
    <w:p>
      <w:pPr>
        <w:sectPr>
          <w:pgSz w:w="11900" w:h="16838" w:orient="portrait"/>
          <w:cols w:equalWidth="0" w:num="2">
            <w:col w:w="7520" w:space="720"/>
            <w:col w:w="1899"/>
          </w:cols>
          <w:pgMar w:left="320" w:top="524" w:right="1440" w:bottom="1440" w:gutter="0" w:footer="0" w:header="0"/>
          <w:type w:val="continuous"/>
        </w:sectPr>
      </w:pPr>
    </w:p>
    <w:p>
      <w:pPr>
        <w:spacing w:after="0"/>
        <w:rPr>
          <w:sz w:val="20"/>
          <w:szCs w:val="20"/>
          <w:color w:val="auto"/>
        </w:rPr>
      </w:pPr>
      <w:r>
        <w:rPr>
          <w:rFonts w:ascii="Arial" w:cs="Arial" w:eastAsia="Arial" w:hAnsi="Arial"/>
          <w:sz w:val="15"/>
          <w:szCs w:val="15"/>
          <w:color w:val="auto"/>
        </w:rPr>
        <w:t>SGTP Highway Bypass GP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Saskatchewan</w:t>
      </w:r>
    </w:p>
    <w:p>
      <w:pPr>
        <w:spacing w:after="0" w:line="200" w:lineRule="exact"/>
        <w:rPr>
          <w:sz w:val="20"/>
          <w:szCs w:val="20"/>
          <w:color w:val="auto"/>
        </w:rPr>
      </w:pPr>
    </w:p>
    <w:p>
      <w:pPr>
        <w:sectPr>
          <w:pgSz w:w="11900" w:h="16838" w:orient="portrait"/>
          <w:cols w:equalWidth="0" w:num="2">
            <w:col w:w="7520" w:space="720"/>
            <w:col w:w="1899"/>
          </w:cols>
          <w:pgMar w:left="320" w:top="524"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SGTP Highway Bypass Limited Partnership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Saskatchewan</w:t>
      </w:r>
    </w:p>
    <w:p>
      <w:pPr>
        <w:spacing w:after="0" w:line="207" w:lineRule="exact"/>
        <w:rPr>
          <w:sz w:val="20"/>
          <w:szCs w:val="20"/>
          <w:color w:val="auto"/>
        </w:rPr>
      </w:pPr>
    </w:p>
    <w:p>
      <w:pPr>
        <w:sectPr>
          <w:pgSz w:w="11900" w:h="16838" w:orient="portrait"/>
          <w:cols w:equalWidth="0" w:num="2">
            <w:col w:w="7520" w:space="720"/>
            <w:col w:w="1899"/>
          </w:cols>
          <w:pgMar w:left="320" w:top="524" w:right="1440" w:bottom="1440" w:gutter="0" w:footer="0" w:header="0"/>
          <w:type w:val="continuous"/>
        </w:sectPr>
      </w:pPr>
    </w:p>
    <w:p>
      <w:pPr>
        <w:spacing w:after="0"/>
        <w:rPr>
          <w:sz w:val="20"/>
          <w:szCs w:val="20"/>
          <w:color w:val="auto"/>
        </w:rPr>
      </w:pPr>
      <w:r>
        <w:rPr>
          <w:rFonts w:ascii="Arial" w:cs="Arial" w:eastAsia="Arial" w:hAnsi="Arial"/>
          <w:sz w:val="19"/>
          <w:szCs w:val="19"/>
          <w:color w:val="auto"/>
        </w:rPr>
        <w:t>Solidyn Solutions, LLC</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Space Ground System Solutions,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Delaware</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Florida</w:t>
      </w:r>
    </w:p>
    <w:p>
      <w:pPr>
        <w:spacing w:after="0" w:line="146" w:lineRule="exact"/>
        <w:rPr>
          <w:sz w:val="20"/>
          <w:szCs w:val="20"/>
          <w:color w:val="auto"/>
        </w:rPr>
      </w:pPr>
    </w:p>
    <w:p>
      <w:pPr>
        <w:sectPr>
          <w:pgSz w:w="11900" w:h="16838" w:orient="portrait"/>
          <w:cols w:equalWidth="0" w:num="2">
            <w:col w:w="7520" w:space="720"/>
            <w:col w:w="1899"/>
          </w:cols>
          <w:pgMar w:left="320" w:top="524" w:right="1440" w:bottom="1440" w:gutter="0" w:footer="0" w:header="0"/>
          <w:type w:val="continuous"/>
        </w:sectPr>
      </w:pPr>
    </w:p>
    <w:p>
      <w:pPr>
        <w:spacing w:after="0"/>
        <w:rPr>
          <w:sz w:val="20"/>
          <w:szCs w:val="20"/>
          <w:color w:val="auto"/>
        </w:rPr>
      </w:pPr>
      <w:r>
        <w:rPr>
          <w:rFonts w:ascii="Arial" w:cs="Arial" w:eastAsia="Arial" w:hAnsi="Arial"/>
          <w:sz w:val="19"/>
          <w:szCs w:val="19"/>
          <w:color w:val="auto"/>
        </w:rPr>
        <w:t>SPW 2020 LLC</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Steinman Boynton Gronquist &amp; Birdsall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Virginia</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New York</w:t>
      </w:r>
    </w:p>
    <w:p>
      <w:pPr>
        <w:spacing w:after="0" w:line="169" w:lineRule="exact"/>
        <w:rPr>
          <w:sz w:val="20"/>
          <w:szCs w:val="20"/>
          <w:color w:val="auto"/>
        </w:rPr>
      </w:pPr>
    </w:p>
    <w:p>
      <w:pPr>
        <w:sectPr>
          <w:pgSz w:w="11900" w:h="16838" w:orient="portrait"/>
          <w:cols w:equalWidth="0" w:num="2">
            <w:col w:w="7520" w:space="720"/>
            <w:col w:w="1899"/>
          </w:cols>
          <w:pgMar w:left="320" w:top="524" w:right="1440" w:bottom="1440" w:gutter="0" w:footer="0" w:header="0"/>
          <w:type w:val="continuous"/>
        </w:sectPr>
      </w:pPr>
    </w:p>
    <w:p>
      <w:pPr>
        <w:spacing w:after="0"/>
        <w:rPr>
          <w:sz w:val="20"/>
          <w:szCs w:val="20"/>
          <w:color w:val="auto"/>
        </w:rPr>
      </w:pPr>
      <w:r>
        <w:rPr>
          <w:rFonts w:ascii="Arial" w:cs="Arial" w:eastAsia="Arial" w:hAnsi="Arial"/>
          <w:sz w:val="19"/>
          <w:szCs w:val="19"/>
          <w:color w:val="auto"/>
        </w:rPr>
        <w:t>Steinman Inc.</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T.J. Cross Engineers,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New York</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California</w:t>
      </w:r>
    </w:p>
    <w:p>
      <w:pPr>
        <w:spacing w:after="0" w:line="169" w:lineRule="exact"/>
        <w:rPr>
          <w:sz w:val="20"/>
          <w:szCs w:val="20"/>
          <w:color w:val="auto"/>
        </w:rPr>
      </w:pPr>
    </w:p>
    <w:p>
      <w:pPr>
        <w:sectPr>
          <w:pgSz w:w="11900" w:h="16838" w:orient="portrait"/>
          <w:cols w:equalWidth="0" w:num="2">
            <w:col w:w="7520" w:space="720"/>
            <w:col w:w="1899"/>
          </w:cols>
          <w:pgMar w:left="320" w:top="524" w:right="1440" w:bottom="1440" w:gutter="0" w:footer="0" w:header="0"/>
          <w:type w:val="continuous"/>
        </w:sectPr>
      </w:pPr>
    </w:p>
    <w:p>
      <w:pPr>
        <w:spacing w:after="0"/>
        <w:rPr>
          <w:sz w:val="20"/>
          <w:szCs w:val="20"/>
          <w:color w:val="auto"/>
        </w:rPr>
      </w:pPr>
      <w:r>
        <w:rPr>
          <w:rFonts w:ascii="Arial" w:cs="Arial" w:eastAsia="Arial" w:hAnsi="Arial"/>
          <w:sz w:val="17"/>
          <w:szCs w:val="17"/>
          <w:color w:val="auto"/>
        </w:rPr>
        <w:t>Tailored Engineering Deployments,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Maryland</w:t>
      </w:r>
    </w:p>
    <w:p>
      <w:pPr>
        <w:spacing w:after="0" w:line="185" w:lineRule="exact"/>
        <w:rPr>
          <w:sz w:val="20"/>
          <w:szCs w:val="20"/>
          <w:color w:val="auto"/>
        </w:rPr>
      </w:pPr>
    </w:p>
    <w:p>
      <w:pPr>
        <w:sectPr>
          <w:pgSz w:w="11900" w:h="16838" w:orient="portrait"/>
          <w:cols w:equalWidth="0" w:num="2">
            <w:col w:w="7520" w:space="720"/>
            <w:col w:w="1899"/>
          </w:cols>
          <w:pgMar w:left="320" w:top="524" w:right="1440" w:bottom="1440" w:gutter="0" w:footer="0" w:header="0"/>
          <w:type w:val="continuous"/>
        </w:sectPr>
      </w:pPr>
    </w:p>
    <w:p>
      <w:pPr>
        <w:spacing w:after="0"/>
        <w:rPr>
          <w:sz w:val="20"/>
          <w:szCs w:val="20"/>
          <w:color w:val="auto"/>
        </w:rPr>
      </w:pPr>
      <w:r>
        <w:rPr>
          <w:rFonts w:ascii="Arial" w:cs="Arial" w:eastAsia="Arial" w:hAnsi="Arial"/>
          <w:sz w:val="17"/>
          <w:szCs w:val="17"/>
          <w:color w:val="auto"/>
        </w:rPr>
        <w:t>TCG International Group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Virginia</w:t>
      </w:r>
    </w:p>
    <w:p>
      <w:pPr>
        <w:spacing w:after="0" w:line="185" w:lineRule="exact"/>
        <w:rPr>
          <w:sz w:val="20"/>
          <w:szCs w:val="20"/>
          <w:color w:val="auto"/>
        </w:rPr>
      </w:pPr>
    </w:p>
    <w:p>
      <w:pPr>
        <w:sectPr>
          <w:pgSz w:w="11900" w:h="16838" w:orient="portrait"/>
          <w:cols w:equalWidth="0" w:num="2">
            <w:col w:w="7520" w:space="720"/>
            <w:col w:w="1899"/>
          </w:cols>
          <w:pgMar w:left="320" w:top="524" w:right="1440" w:bottom="1440" w:gutter="0" w:footer="0" w:header="0"/>
          <w:type w:val="continuous"/>
        </w:sectPr>
      </w:pPr>
    </w:p>
    <w:p>
      <w:pPr>
        <w:spacing w:after="0"/>
        <w:rPr>
          <w:sz w:val="20"/>
          <w:szCs w:val="20"/>
          <w:color w:val="auto"/>
        </w:rPr>
      </w:pPr>
      <w:r>
        <w:rPr>
          <w:rFonts w:ascii="Arial" w:cs="Arial" w:eastAsia="Arial" w:hAnsi="Arial"/>
          <w:sz w:val="17"/>
          <w:szCs w:val="17"/>
          <w:color w:val="auto"/>
        </w:rPr>
        <w:t>The C. T. Main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Massachusetts</w:t>
      </w:r>
    </w:p>
    <w:p>
      <w:pPr>
        <w:spacing w:after="0" w:line="207" w:lineRule="exact"/>
        <w:rPr>
          <w:sz w:val="20"/>
          <w:szCs w:val="20"/>
          <w:color w:val="auto"/>
        </w:rPr>
      </w:pPr>
    </w:p>
    <w:p>
      <w:pPr>
        <w:sectPr>
          <w:pgSz w:w="11900" w:h="16838" w:orient="portrait"/>
          <w:cols w:equalWidth="0" w:num="2">
            <w:col w:w="7520" w:space="720"/>
            <w:col w:w="1899"/>
          </w:cols>
          <w:pgMar w:left="320" w:top="524" w:right="1440" w:bottom="1440" w:gutter="0" w:footer="0" w:header="0"/>
          <w:type w:val="continuous"/>
        </w:sectPr>
      </w:pPr>
    </w:p>
    <w:p>
      <w:pPr>
        <w:spacing w:after="0"/>
        <w:rPr>
          <w:sz w:val="20"/>
          <w:szCs w:val="20"/>
          <w:color w:val="auto"/>
        </w:rPr>
      </w:pPr>
      <w:r>
        <w:rPr>
          <w:rFonts w:ascii="Arial" w:cs="Arial" w:eastAsia="Arial" w:hAnsi="Arial"/>
          <w:sz w:val="15"/>
          <w:szCs w:val="15"/>
          <w:color w:val="auto"/>
        </w:rPr>
        <w:t>The Ralph M. Parsons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Nevada</w:t>
      </w:r>
    </w:p>
    <w:p>
      <w:pPr>
        <w:spacing w:after="0" w:line="200" w:lineRule="exact"/>
        <w:rPr>
          <w:sz w:val="20"/>
          <w:szCs w:val="20"/>
          <w:color w:val="auto"/>
        </w:rPr>
      </w:pPr>
    </w:p>
    <w:p>
      <w:pPr>
        <w:sectPr>
          <w:pgSz w:w="11900" w:h="16838" w:orient="portrait"/>
          <w:cols w:equalWidth="0" w:num="2">
            <w:col w:w="7520" w:space="720"/>
            <w:col w:w="1899"/>
          </w:cols>
          <w:pgMar w:left="320" w:top="524"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West Corridor Developers General Partnership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Alberta</w:t>
      </w:r>
    </w:p>
    <w:p>
      <w:pPr>
        <w:spacing w:after="0" w:line="200" w:lineRule="exact"/>
        <w:rPr>
          <w:sz w:val="20"/>
          <w:szCs w:val="20"/>
          <w:color w:val="auto"/>
        </w:rPr>
      </w:pPr>
    </w:p>
    <w:p>
      <w:pPr>
        <w:sectPr>
          <w:pgSz w:w="11900" w:h="16838" w:orient="portrait"/>
          <w:cols w:equalWidth="0" w:num="2">
            <w:col w:w="7520" w:space="720"/>
            <w:col w:w="1899"/>
          </w:cols>
          <w:pgMar w:left="320" w:top="524"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Williams Electric Co., Inc.</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Florida</w:t>
      </w:r>
    </w:p>
    <w:p>
      <w:pPr>
        <w:sectPr>
          <w:pgSz w:w="11900" w:h="16838" w:orient="portrait"/>
          <w:cols w:equalWidth="0" w:num="2">
            <w:col w:w="7520" w:space="720"/>
            <w:col w:w="1899"/>
          </w:cols>
          <w:pgMar w:left="320" w:top="524" w:right="1440" w:bottom="1440" w:gutter="0" w:footer="0" w:header="0"/>
          <w:type w:val="continuous"/>
        </w:sectPr>
      </w:pPr>
    </w:p>
    <w:bookmarkStart w:id="339" w:name="page340"/>
    <w:bookmarkEnd w:id="339"/>
    <w:p>
      <w:pPr>
        <w:jc w:val="right"/>
        <w:spacing w:after="0"/>
        <w:rPr>
          <w:sz w:val="20"/>
          <w:szCs w:val="20"/>
          <w:color w:val="auto"/>
        </w:rPr>
      </w:pPr>
      <w:r>
        <w:rPr>
          <w:rFonts w:ascii="Arial" w:cs="Arial" w:eastAsia="Arial" w:hAnsi="Arial"/>
          <w:sz w:val="19"/>
          <w:szCs w:val="19"/>
          <w:color w:val="auto"/>
        </w:rPr>
        <w:t>Exhibit 23.1</w:t>
      </w: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3" w:lineRule="exact"/>
        <w:rPr>
          <w:sz w:val="20"/>
          <w:szCs w:val="20"/>
          <w:color w:val="auto"/>
        </w:rPr>
      </w:pPr>
    </w:p>
    <w:p>
      <w:pPr>
        <w:ind w:right="420"/>
        <w:spacing w:after="0" w:line="238" w:lineRule="auto"/>
        <w:rPr>
          <w:sz w:val="20"/>
          <w:szCs w:val="20"/>
          <w:color w:val="auto"/>
        </w:rPr>
      </w:pPr>
      <w:r>
        <w:rPr>
          <w:rFonts w:ascii="Arial" w:cs="Arial" w:eastAsia="Arial" w:hAnsi="Arial"/>
          <w:sz w:val="17"/>
          <w:szCs w:val="17"/>
          <w:color w:val="auto"/>
        </w:rPr>
        <w:t>We hereby consent to the incorporation by reference in the Registration Statements on Form S-8 (Nos. 333-234626 and 333-231387) of Parsons Corporation of our report dated February 23, 2022 relating to the financial statements and financial statement schedule and the effectiveness of internal control over financial reporting, which appears in this Form 10-K.</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33" w:lineRule="auto"/>
        <w:rPr>
          <w:sz w:val="20"/>
          <w:szCs w:val="20"/>
          <w:color w:val="auto"/>
        </w:rPr>
      </w:pPr>
      <w:r>
        <w:rPr>
          <w:rFonts w:ascii="Arial" w:cs="Arial" w:eastAsia="Arial" w:hAnsi="Arial"/>
          <w:sz w:val="17"/>
          <w:szCs w:val="17"/>
          <w:color w:val="auto"/>
        </w:rPr>
        <w:t>Los Angeles, California</w:t>
      </w:r>
    </w:p>
    <w:p>
      <w:pPr>
        <w:spacing w:after="0"/>
        <w:rPr>
          <w:sz w:val="20"/>
          <w:szCs w:val="20"/>
          <w:color w:val="auto"/>
        </w:rPr>
      </w:pPr>
      <w:r>
        <w:rPr>
          <w:rFonts w:ascii="Arial" w:cs="Arial" w:eastAsia="Arial" w:hAnsi="Arial"/>
          <w:sz w:val="17"/>
          <w:szCs w:val="17"/>
          <w:color w:val="auto"/>
        </w:rPr>
        <w:t>February 23, 2022</w:t>
      </w:r>
    </w:p>
    <w:p>
      <w:pPr>
        <w:sectPr>
          <w:pgSz w:w="11900" w:h="16838" w:orient="portrait"/>
          <w:cols w:equalWidth="0" w:num="1">
            <w:col w:w="11240"/>
          </w:cols>
          <w:pgMar w:left="320" w:top="122" w:right="339" w:bottom="1440" w:gutter="0" w:footer="0" w:header="0"/>
        </w:sectPr>
      </w:pPr>
    </w:p>
    <w:bookmarkStart w:id="340" w:name="page341"/>
    <w:bookmarkEnd w:id="340"/>
    <w:p>
      <w:pPr>
        <w:jc w:val="right"/>
        <w:spacing w:after="0"/>
        <w:rPr>
          <w:sz w:val="20"/>
          <w:szCs w:val="20"/>
          <w:color w:val="auto"/>
        </w:rPr>
      </w:pPr>
      <w:r>
        <w:rPr>
          <w:rFonts w:ascii="Arial" w:cs="Arial" w:eastAsia="Arial" w:hAnsi="Arial"/>
          <w:sz w:val="17"/>
          <w:szCs w:val="17"/>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I, Carey A. Smith, certify that:</w:t>
      </w:r>
    </w:p>
    <w:p>
      <w:pPr>
        <w:spacing w:after="0" w:line="198" w:lineRule="exact"/>
        <w:rPr>
          <w:sz w:val="20"/>
          <w:szCs w:val="20"/>
          <w:color w:val="auto"/>
        </w:rPr>
      </w:pPr>
    </w:p>
    <w:p>
      <w:pPr>
        <w:ind w:left="520" w:hanging="519"/>
        <w:spacing w:after="0"/>
        <w:tabs>
          <w:tab w:leader="none" w:pos="52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Parsons Corporation;</w:t>
      </w:r>
    </w:p>
    <w:p>
      <w:pPr>
        <w:spacing w:after="0" w:line="336" w:lineRule="exact"/>
        <w:rPr>
          <w:rFonts w:ascii="Arial" w:cs="Arial" w:eastAsia="Arial" w:hAnsi="Arial"/>
          <w:sz w:val="17"/>
          <w:szCs w:val="17"/>
          <w:color w:val="auto"/>
        </w:rPr>
      </w:pPr>
    </w:p>
    <w:p>
      <w:pPr>
        <w:jc w:val="both"/>
        <w:ind w:left="520" w:right="80" w:hanging="519"/>
        <w:spacing w:after="0" w:line="238" w:lineRule="auto"/>
        <w:tabs>
          <w:tab w:leader="none" w:pos="52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1" w:lineRule="exact"/>
        <w:rPr>
          <w:rFonts w:ascii="Arial" w:cs="Arial" w:eastAsia="Arial" w:hAnsi="Arial"/>
          <w:sz w:val="17"/>
          <w:szCs w:val="17"/>
          <w:color w:val="auto"/>
        </w:rPr>
      </w:pPr>
    </w:p>
    <w:p>
      <w:pPr>
        <w:ind w:left="520" w:right="200" w:hanging="519"/>
        <w:spacing w:after="0" w:line="242" w:lineRule="auto"/>
        <w:tabs>
          <w:tab w:leader="none" w:pos="52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28" w:lineRule="exact"/>
        <w:rPr>
          <w:rFonts w:ascii="Arial" w:cs="Arial" w:eastAsia="Arial" w:hAnsi="Arial"/>
          <w:sz w:val="17"/>
          <w:szCs w:val="17"/>
          <w:color w:val="auto"/>
        </w:rPr>
      </w:pPr>
    </w:p>
    <w:p>
      <w:pPr>
        <w:jc w:val="both"/>
        <w:ind w:left="520" w:right="100" w:hanging="519"/>
        <w:spacing w:after="0" w:line="248" w:lineRule="auto"/>
        <w:tabs>
          <w:tab w:leader="none" w:pos="52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520"/>
        <w:spacing w:after="0"/>
        <w:rPr>
          <w:rFonts w:ascii="Arial" w:cs="Arial" w:eastAsia="Arial" w:hAnsi="Arial"/>
          <w:sz w:val="16"/>
          <w:szCs w:val="16"/>
          <w:color w:val="auto"/>
        </w:rPr>
      </w:pPr>
      <w:r>
        <w:rPr>
          <w:rFonts w:ascii="Arial" w:cs="Arial" w:eastAsia="Arial" w:hAnsi="Arial"/>
          <w:sz w:val="17"/>
          <w:szCs w:val="17"/>
          <w:color w:val="auto"/>
        </w:rPr>
        <w:t>15d-15(f)) for the registrant and have:</w:t>
      </w:r>
    </w:p>
    <w:p>
      <w:pPr>
        <w:spacing w:after="0" w:line="336" w:lineRule="exact"/>
        <w:rPr>
          <w:rFonts w:ascii="Arial" w:cs="Arial" w:eastAsia="Arial" w:hAnsi="Arial"/>
          <w:sz w:val="16"/>
          <w:szCs w:val="16"/>
          <w:color w:val="auto"/>
        </w:rPr>
      </w:pPr>
    </w:p>
    <w:p>
      <w:pPr>
        <w:ind w:left="1040" w:right="100" w:hanging="519"/>
        <w:spacing w:after="0" w:line="238" w:lineRule="auto"/>
        <w:tabs>
          <w:tab w:leader="none" w:pos="1040" w:val="left"/>
        </w:tabs>
        <w:numPr>
          <w:ilvl w:val="1"/>
          <w:numId w:val="2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17"/>
          <w:szCs w:val="17"/>
          <w:color w:val="auto"/>
        </w:rPr>
      </w:pPr>
    </w:p>
    <w:p>
      <w:pPr>
        <w:ind w:left="1040" w:hanging="519"/>
        <w:spacing w:after="0" w:line="238" w:lineRule="auto"/>
        <w:tabs>
          <w:tab w:leader="none" w:pos="1040" w:val="left"/>
        </w:tabs>
        <w:numPr>
          <w:ilvl w:val="1"/>
          <w:numId w:val="2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17"/>
          <w:szCs w:val="17"/>
          <w:color w:val="auto"/>
        </w:rPr>
      </w:pPr>
    </w:p>
    <w:p>
      <w:pPr>
        <w:jc w:val="both"/>
        <w:ind w:left="1040" w:right="20" w:hanging="519"/>
        <w:spacing w:after="0" w:line="272" w:lineRule="auto"/>
        <w:tabs>
          <w:tab w:leader="none" w:pos="1040" w:val="left"/>
        </w:tabs>
        <w:numPr>
          <w:ilvl w:val="1"/>
          <w:numId w:val="2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1040" w:right="220" w:hanging="519"/>
        <w:spacing w:after="0" w:line="238" w:lineRule="auto"/>
        <w:tabs>
          <w:tab w:leader="none" w:pos="1040" w:val="left"/>
        </w:tabs>
        <w:numPr>
          <w:ilvl w:val="1"/>
          <w:numId w:val="2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17"/>
          <w:szCs w:val="17"/>
          <w:color w:val="auto"/>
        </w:rPr>
      </w:pPr>
    </w:p>
    <w:p>
      <w:pPr>
        <w:ind w:left="520" w:right="140" w:hanging="519"/>
        <w:spacing w:after="0" w:line="272" w:lineRule="auto"/>
        <w:tabs>
          <w:tab w:leader="none" w:pos="52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5" w:lineRule="exact"/>
        <w:rPr>
          <w:rFonts w:ascii="Arial" w:cs="Arial" w:eastAsia="Arial" w:hAnsi="Arial"/>
          <w:sz w:val="16"/>
          <w:szCs w:val="16"/>
          <w:color w:val="auto"/>
        </w:rPr>
      </w:pPr>
    </w:p>
    <w:p>
      <w:pPr>
        <w:ind w:left="1040" w:right="500" w:hanging="519"/>
        <w:spacing w:after="0" w:line="272" w:lineRule="auto"/>
        <w:tabs>
          <w:tab w:leader="none" w:pos="1040" w:val="left"/>
        </w:tabs>
        <w:numPr>
          <w:ilvl w:val="1"/>
          <w:numId w:val="2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40" w:right="120" w:hanging="519"/>
        <w:spacing w:after="0" w:line="242" w:lineRule="auto"/>
        <w:tabs>
          <w:tab w:leader="none" w:pos="1040" w:val="left"/>
        </w:tabs>
        <w:numPr>
          <w:ilvl w:val="1"/>
          <w:numId w:val="21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p>
      <w:pPr>
        <w:spacing w:after="0"/>
        <w:tabs>
          <w:tab w:leader="none" w:pos="5900" w:val="left"/>
          <w:tab w:leader="none" w:pos="8020" w:val="left"/>
        </w:tabs>
        <w:rPr>
          <w:sz w:val="20"/>
          <w:szCs w:val="20"/>
          <w:color w:val="auto"/>
        </w:rPr>
      </w:pPr>
      <w:r>
        <w:rPr>
          <w:rFonts w:ascii="Arial" w:cs="Arial" w:eastAsia="Arial" w:hAnsi="Arial"/>
          <w:sz w:val="17"/>
          <w:szCs w:val="17"/>
          <w:color w:val="auto"/>
        </w:rPr>
        <w:t>Date: February 23,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-2540</wp:posOffset>
            </wp:positionV>
            <wp:extent cx="320421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4">
                      <a:extLst>
                        <a:ext uri="{28A0092B-C50C-407E-A947-70E740481C1C}"/>
                      </a:extLst>
                    </a:blip>
                    <a:srcRect/>
                    <a:stretch>
                      <a:fillRect/>
                    </a:stretch>
                  </pic:blipFill>
                  <pic:spPr bwMode="auto">
                    <a:xfrm>
                      <a:off x="0" y="0"/>
                      <a:ext cx="3204210" cy="8255"/>
                    </a:xfrm>
                    <a:prstGeom prst="rect">
                      <a:avLst/>
                    </a:prstGeom>
                    <a:noFill/>
                  </pic:spPr>
                </pic:pic>
              </a:graphicData>
            </a:graphic>
          </wp:anchor>
        </w:drawing>
      </w:r>
    </w:p>
    <w:p>
      <w:pPr>
        <w:jc w:val="center"/>
        <w:ind w:left="6180"/>
        <w:spacing w:after="0"/>
        <w:rPr>
          <w:sz w:val="20"/>
          <w:szCs w:val="20"/>
          <w:color w:val="auto"/>
        </w:rPr>
      </w:pPr>
      <w:r>
        <w:rPr>
          <w:rFonts w:ascii="Arial" w:cs="Arial" w:eastAsia="Arial" w:hAnsi="Arial"/>
          <w:sz w:val="17"/>
          <w:szCs w:val="17"/>
          <w:color w:val="auto"/>
        </w:rPr>
        <w:t>Carey A. Smith</w:t>
      </w:r>
    </w:p>
    <w:p>
      <w:pPr>
        <w:jc w:val="center"/>
        <w:ind w:left="61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240"/>
          </w:cols>
          <w:pgMar w:left="320" w:top="334" w:right="339" w:bottom="1440" w:gutter="0" w:footer="0" w:header="0"/>
        </w:sectPr>
      </w:pPr>
    </w:p>
    <w:bookmarkStart w:id="341" w:name="page342"/>
    <w:bookmarkEnd w:id="341"/>
    <w:p>
      <w:pPr>
        <w:jc w:val="right"/>
        <w:spacing w:after="0"/>
        <w:rPr>
          <w:sz w:val="20"/>
          <w:szCs w:val="20"/>
          <w:color w:val="auto"/>
        </w:rPr>
      </w:pPr>
      <w:r>
        <w:rPr>
          <w:rFonts w:ascii="Arial" w:cs="Arial" w:eastAsia="Arial" w:hAnsi="Arial"/>
          <w:sz w:val="17"/>
          <w:szCs w:val="17"/>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I, George L. Ball, certify that:</w:t>
      </w:r>
    </w:p>
    <w:p>
      <w:pPr>
        <w:spacing w:after="0" w:line="198" w:lineRule="exact"/>
        <w:rPr>
          <w:sz w:val="20"/>
          <w:szCs w:val="20"/>
          <w:color w:val="auto"/>
        </w:rPr>
      </w:pPr>
    </w:p>
    <w:p>
      <w:pPr>
        <w:ind w:left="520" w:hanging="519"/>
        <w:spacing w:after="0"/>
        <w:tabs>
          <w:tab w:leader="none" w:pos="52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Parsons Corporation;</w:t>
      </w:r>
    </w:p>
    <w:p>
      <w:pPr>
        <w:spacing w:after="0" w:line="197" w:lineRule="exact"/>
        <w:rPr>
          <w:rFonts w:ascii="Arial" w:cs="Arial" w:eastAsia="Arial" w:hAnsi="Arial"/>
          <w:sz w:val="17"/>
          <w:szCs w:val="17"/>
          <w:color w:val="auto"/>
        </w:rPr>
      </w:pPr>
    </w:p>
    <w:p>
      <w:pPr>
        <w:jc w:val="both"/>
        <w:ind w:left="520" w:right="80" w:hanging="519"/>
        <w:spacing w:after="0" w:line="238" w:lineRule="auto"/>
        <w:tabs>
          <w:tab w:leader="none" w:pos="52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Arial" w:cs="Arial" w:eastAsia="Arial" w:hAnsi="Arial"/>
          <w:sz w:val="17"/>
          <w:szCs w:val="17"/>
          <w:color w:val="auto"/>
        </w:rPr>
      </w:pPr>
    </w:p>
    <w:p>
      <w:pPr>
        <w:ind w:left="520" w:right="200" w:hanging="519"/>
        <w:spacing w:after="0" w:line="242" w:lineRule="auto"/>
        <w:tabs>
          <w:tab w:leader="none" w:pos="52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Arial" w:cs="Arial" w:eastAsia="Arial" w:hAnsi="Arial"/>
          <w:sz w:val="17"/>
          <w:szCs w:val="17"/>
          <w:color w:val="auto"/>
        </w:rPr>
      </w:pPr>
    </w:p>
    <w:p>
      <w:pPr>
        <w:jc w:val="both"/>
        <w:ind w:left="380" w:right="60" w:hanging="379"/>
        <w:spacing w:after="0" w:line="238" w:lineRule="auto"/>
        <w:tabs>
          <w:tab w:leader="none" w:pos="38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31" w:lineRule="exact"/>
        <w:rPr>
          <w:rFonts w:ascii="Arial" w:cs="Arial" w:eastAsia="Arial" w:hAnsi="Arial"/>
          <w:sz w:val="17"/>
          <w:szCs w:val="17"/>
          <w:color w:val="auto"/>
        </w:rPr>
      </w:pPr>
    </w:p>
    <w:p>
      <w:pPr>
        <w:ind w:left="1040" w:right="100" w:hanging="519"/>
        <w:spacing w:after="0" w:line="238" w:lineRule="auto"/>
        <w:tabs>
          <w:tab w:leader="none" w:pos="104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17"/>
          <w:szCs w:val="17"/>
          <w:color w:val="auto"/>
        </w:rPr>
      </w:pPr>
    </w:p>
    <w:p>
      <w:pPr>
        <w:ind w:left="1040" w:hanging="519"/>
        <w:spacing w:after="0" w:line="238" w:lineRule="auto"/>
        <w:tabs>
          <w:tab w:leader="none" w:pos="104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17"/>
          <w:szCs w:val="17"/>
          <w:color w:val="auto"/>
        </w:rPr>
      </w:pPr>
    </w:p>
    <w:p>
      <w:pPr>
        <w:jc w:val="both"/>
        <w:ind w:left="1040" w:right="20" w:hanging="519"/>
        <w:spacing w:after="0" w:line="272" w:lineRule="auto"/>
        <w:tabs>
          <w:tab w:leader="none" w:pos="104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1040" w:right="220" w:hanging="519"/>
        <w:spacing w:after="0" w:line="238" w:lineRule="auto"/>
        <w:tabs>
          <w:tab w:leader="none" w:pos="104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17"/>
          <w:szCs w:val="17"/>
          <w:color w:val="auto"/>
        </w:rPr>
      </w:pPr>
    </w:p>
    <w:p>
      <w:pPr>
        <w:ind w:left="520" w:right="140" w:hanging="519"/>
        <w:spacing w:after="0" w:line="272" w:lineRule="auto"/>
        <w:tabs>
          <w:tab w:leader="none" w:pos="52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1040" w:right="500" w:hanging="519"/>
        <w:spacing w:after="0" w:line="272" w:lineRule="auto"/>
        <w:tabs>
          <w:tab w:leader="none" w:pos="104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40" w:right="120" w:hanging="519"/>
        <w:spacing w:after="0" w:line="242" w:lineRule="auto"/>
        <w:tabs>
          <w:tab w:leader="none" w:pos="104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p>
      <w:pPr>
        <w:spacing w:after="0"/>
        <w:tabs>
          <w:tab w:leader="none" w:pos="5900" w:val="left"/>
          <w:tab w:leader="none" w:pos="8060" w:val="left"/>
        </w:tabs>
        <w:rPr>
          <w:sz w:val="20"/>
          <w:szCs w:val="20"/>
          <w:color w:val="auto"/>
        </w:rPr>
      </w:pPr>
      <w:r>
        <w:rPr>
          <w:rFonts w:ascii="Arial" w:cs="Arial" w:eastAsia="Arial" w:hAnsi="Arial"/>
          <w:sz w:val="17"/>
          <w:szCs w:val="17"/>
          <w:color w:val="auto"/>
        </w:rPr>
        <w:t>Date: February 23,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-2540</wp:posOffset>
            </wp:positionV>
            <wp:extent cx="320421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5">
                      <a:extLst>
                        <a:ext uri="{28A0092B-C50C-407E-A947-70E740481C1C}"/>
                      </a:extLst>
                    </a:blip>
                    <a:srcRect/>
                    <a:stretch>
                      <a:fillRect/>
                    </a:stretch>
                  </pic:blipFill>
                  <pic:spPr bwMode="auto">
                    <a:xfrm>
                      <a:off x="0" y="0"/>
                      <a:ext cx="3204210" cy="8255"/>
                    </a:xfrm>
                    <a:prstGeom prst="rect">
                      <a:avLst/>
                    </a:prstGeom>
                    <a:noFill/>
                  </pic:spPr>
                </pic:pic>
              </a:graphicData>
            </a:graphic>
          </wp:anchor>
        </w:drawing>
      </w:r>
    </w:p>
    <w:p>
      <w:pPr>
        <w:jc w:val="center"/>
        <w:ind w:left="6180"/>
        <w:spacing w:after="0"/>
        <w:rPr>
          <w:sz w:val="20"/>
          <w:szCs w:val="20"/>
          <w:color w:val="auto"/>
        </w:rPr>
      </w:pPr>
      <w:r>
        <w:rPr>
          <w:rFonts w:ascii="Arial" w:cs="Arial" w:eastAsia="Arial" w:hAnsi="Arial"/>
          <w:sz w:val="17"/>
          <w:szCs w:val="17"/>
          <w:color w:val="auto"/>
        </w:rPr>
        <w:t>George L. Ball</w:t>
      </w:r>
    </w:p>
    <w:p>
      <w:pPr>
        <w:jc w:val="center"/>
        <w:ind w:left="618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240"/>
          </w:cols>
          <w:pgMar w:left="320" w:top="334" w:right="339" w:bottom="1440" w:gutter="0" w:footer="0" w:header="0"/>
        </w:sectPr>
      </w:pPr>
    </w:p>
    <w:bookmarkStart w:id="342" w:name="page343"/>
    <w:bookmarkEnd w:id="342"/>
    <w:p>
      <w:pPr>
        <w:jc w:val="right"/>
        <w:spacing w:after="0"/>
        <w:rPr>
          <w:sz w:val="20"/>
          <w:szCs w:val="20"/>
          <w:color w:val="auto"/>
        </w:rPr>
      </w:pPr>
      <w:r>
        <w:rPr>
          <w:rFonts w:ascii="Arial" w:cs="Arial" w:eastAsia="Arial" w:hAnsi="Arial"/>
          <w:sz w:val="17"/>
          <w:szCs w:val="17"/>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auto"/>
        </w:rPr>
        <w:t>18 U.S.C. SECTION 1350, AS ADOPTED PURSUANT TO</w:t>
      </w:r>
    </w:p>
    <w:p>
      <w:pPr>
        <w:ind w:left="338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8" w:lineRule="exact"/>
        <w:rPr>
          <w:sz w:val="20"/>
          <w:szCs w:val="20"/>
          <w:color w:val="auto"/>
        </w:rPr>
      </w:pPr>
    </w:p>
    <w:p>
      <w:pPr>
        <w:ind w:right="20" w:firstLine="611"/>
        <w:spacing w:after="0" w:line="238" w:lineRule="auto"/>
        <w:rPr>
          <w:sz w:val="20"/>
          <w:szCs w:val="20"/>
          <w:color w:val="auto"/>
        </w:rPr>
      </w:pPr>
      <w:r>
        <w:rPr>
          <w:rFonts w:ascii="Arial" w:cs="Arial" w:eastAsia="Arial" w:hAnsi="Arial"/>
          <w:sz w:val="17"/>
          <w:szCs w:val="17"/>
          <w:color w:val="auto"/>
        </w:rPr>
        <w:t>In connection with the Annual Report of Parsons Corporation (the “Company”) on Form 10-K for the period ending December 31, 2021 as filed with the Securities and Exchange Commission on the date hereof (the “Report”), I, Carey A. Smith, Chief Executive Officer of the Company, certify, pursuant to 18 U.S.C. § 1350, as adopted pursuant to § 906 of the Sarbanes-Oxley Act of 2002, that:</w:t>
      </w:r>
    </w:p>
    <w:p>
      <w:pPr>
        <w:spacing w:after="0" w:line="192" w:lineRule="exact"/>
        <w:rPr>
          <w:sz w:val="20"/>
          <w:szCs w:val="20"/>
          <w:color w:val="auto"/>
        </w:rPr>
      </w:pPr>
    </w:p>
    <w:p>
      <w:pPr>
        <w:ind w:left="1220" w:hanging="610"/>
        <w:spacing w:after="0"/>
        <w:tabs>
          <w:tab w:leader="none" w:pos="122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97" w:lineRule="exact"/>
        <w:rPr>
          <w:rFonts w:ascii="Arial" w:cs="Arial" w:eastAsia="Arial" w:hAnsi="Arial"/>
          <w:sz w:val="17"/>
          <w:szCs w:val="17"/>
          <w:color w:val="auto"/>
        </w:rPr>
      </w:pPr>
    </w:p>
    <w:p>
      <w:pPr>
        <w:ind w:left="1220" w:right="180" w:hanging="610"/>
        <w:spacing w:after="0" w:line="242" w:lineRule="auto"/>
        <w:tabs>
          <w:tab w:leader="none" w:pos="122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27" w:lineRule="exact"/>
        <w:rPr>
          <w:sz w:val="20"/>
          <w:szCs w:val="20"/>
          <w:color w:val="auto"/>
        </w:rPr>
      </w:pPr>
    </w:p>
    <w:p>
      <w:pPr>
        <w:spacing w:after="0"/>
        <w:tabs>
          <w:tab w:leader="none" w:pos="5680" w:val="left"/>
          <w:tab w:leader="none" w:pos="7920" w:val="left"/>
        </w:tabs>
        <w:rPr>
          <w:sz w:val="20"/>
          <w:szCs w:val="20"/>
          <w:color w:val="auto"/>
        </w:rPr>
      </w:pPr>
      <w:r>
        <w:rPr>
          <w:rFonts w:ascii="Arial" w:cs="Arial" w:eastAsia="Arial" w:hAnsi="Arial"/>
          <w:sz w:val="17"/>
          <w:szCs w:val="17"/>
          <w:color w:val="auto"/>
        </w:rPr>
        <w:t>Date: February 23,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-2540</wp:posOffset>
            </wp:positionV>
            <wp:extent cx="331660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6">
                      <a:extLst>
                        <a:ext uri="{28A0092B-C50C-407E-A947-70E740481C1C}"/>
                      </a:extLst>
                    </a:blip>
                    <a:srcRect/>
                    <a:stretch>
                      <a:fillRect/>
                    </a:stretch>
                  </pic:blipFill>
                  <pic:spPr bwMode="auto">
                    <a:xfrm>
                      <a:off x="0" y="0"/>
                      <a:ext cx="3316605" cy="8255"/>
                    </a:xfrm>
                    <a:prstGeom prst="rect">
                      <a:avLst/>
                    </a:prstGeom>
                    <a:noFill/>
                  </pic:spPr>
                </pic:pic>
              </a:graphicData>
            </a:graphic>
          </wp:anchor>
        </w:drawing>
      </w:r>
    </w:p>
    <w:p>
      <w:pPr>
        <w:jc w:val="center"/>
        <w:ind w:left="6000"/>
        <w:spacing w:after="0"/>
        <w:rPr>
          <w:sz w:val="20"/>
          <w:szCs w:val="20"/>
          <w:color w:val="auto"/>
        </w:rPr>
      </w:pPr>
      <w:r>
        <w:rPr>
          <w:rFonts w:ascii="Arial" w:cs="Arial" w:eastAsia="Arial" w:hAnsi="Arial"/>
          <w:sz w:val="17"/>
          <w:szCs w:val="17"/>
          <w:color w:val="auto"/>
        </w:rPr>
        <w:t>Carey A. Smith</w:t>
      </w:r>
    </w:p>
    <w:p>
      <w:pPr>
        <w:spacing w:after="0" w:line="7"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240"/>
          </w:cols>
          <w:pgMar w:left="320" w:top="334" w:right="339" w:bottom="1440" w:gutter="0" w:footer="0" w:header="0"/>
        </w:sectPr>
      </w:pPr>
    </w:p>
    <w:bookmarkStart w:id="343" w:name="page344"/>
    <w:bookmarkEnd w:id="343"/>
    <w:p>
      <w:pPr>
        <w:jc w:val="right"/>
        <w:spacing w:after="0"/>
        <w:rPr>
          <w:sz w:val="20"/>
          <w:szCs w:val="20"/>
          <w:color w:val="auto"/>
        </w:rPr>
      </w:pPr>
      <w:r>
        <w:rPr>
          <w:rFonts w:ascii="Arial" w:cs="Arial" w:eastAsia="Arial" w:hAnsi="Arial"/>
          <w:sz w:val="17"/>
          <w:szCs w:val="17"/>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auto"/>
        </w:rPr>
        <w:t>18 U.S.C. SECTION 1350, AS ADOPTED PURSUANT TO</w:t>
      </w:r>
    </w:p>
    <w:p>
      <w:pPr>
        <w:ind w:left="338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8" w:lineRule="exact"/>
        <w:rPr>
          <w:sz w:val="20"/>
          <w:szCs w:val="20"/>
          <w:color w:val="auto"/>
        </w:rPr>
      </w:pPr>
    </w:p>
    <w:p>
      <w:pPr>
        <w:ind w:right="20" w:firstLine="611"/>
        <w:spacing w:after="0" w:line="238" w:lineRule="auto"/>
        <w:rPr>
          <w:sz w:val="20"/>
          <w:szCs w:val="20"/>
          <w:color w:val="auto"/>
        </w:rPr>
      </w:pPr>
      <w:r>
        <w:rPr>
          <w:rFonts w:ascii="Arial" w:cs="Arial" w:eastAsia="Arial" w:hAnsi="Arial"/>
          <w:sz w:val="17"/>
          <w:szCs w:val="17"/>
          <w:color w:val="auto"/>
        </w:rPr>
        <w:t>In connection with the Annual Report of Parsons Corporation (the “Company”) on Form 10-K for the period ending December 31, 2021 as filed with the Securities and Exchange Commission on the date hereof (the “Report”), I, George L. Ball, Chief Financial Officer of the Company, certify, pursuant to 18 U.S.C. § 1350, as adopted pursuant to § 906 of the Sarbanes-Oxley Act of 2002, that:</w:t>
      </w:r>
    </w:p>
    <w:p>
      <w:pPr>
        <w:spacing w:after="0" w:line="192" w:lineRule="exact"/>
        <w:rPr>
          <w:sz w:val="20"/>
          <w:szCs w:val="20"/>
          <w:color w:val="auto"/>
        </w:rPr>
      </w:pPr>
    </w:p>
    <w:p>
      <w:pPr>
        <w:ind w:left="1220" w:hanging="610"/>
        <w:spacing w:after="0"/>
        <w:tabs>
          <w:tab w:leader="none" w:pos="122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97" w:lineRule="exact"/>
        <w:rPr>
          <w:rFonts w:ascii="Arial" w:cs="Arial" w:eastAsia="Arial" w:hAnsi="Arial"/>
          <w:sz w:val="17"/>
          <w:szCs w:val="17"/>
          <w:color w:val="auto"/>
        </w:rPr>
      </w:pPr>
    </w:p>
    <w:p>
      <w:pPr>
        <w:ind w:left="1220" w:right="180" w:hanging="610"/>
        <w:spacing w:after="0" w:line="242" w:lineRule="auto"/>
        <w:tabs>
          <w:tab w:leader="none" w:pos="122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27" w:lineRule="exact"/>
        <w:rPr>
          <w:sz w:val="20"/>
          <w:szCs w:val="20"/>
          <w:color w:val="auto"/>
        </w:rPr>
      </w:pPr>
    </w:p>
    <w:p>
      <w:pPr>
        <w:spacing w:after="0"/>
        <w:tabs>
          <w:tab w:leader="none" w:pos="5680" w:val="left"/>
          <w:tab w:leader="none" w:pos="7960" w:val="left"/>
        </w:tabs>
        <w:rPr>
          <w:sz w:val="20"/>
          <w:szCs w:val="20"/>
          <w:color w:val="auto"/>
        </w:rPr>
      </w:pPr>
      <w:r>
        <w:rPr>
          <w:rFonts w:ascii="Arial" w:cs="Arial" w:eastAsia="Arial" w:hAnsi="Arial"/>
          <w:sz w:val="17"/>
          <w:szCs w:val="17"/>
          <w:color w:val="auto"/>
        </w:rPr>
        <w:t>Date: February 23,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-2540</wp:posOffset>
            </wp:positionV>
            <wp:extent cx="331660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7">
                      <a:extLst>
                        <a:ext uri="{28A0092B-C50C-407E-A947-70E740481C1C}"/>
                      </a:extLst>
                    </a:blip>
                    <a:srcRect/>
                    <a:stretch>
                      <a:fillRect/>
                    </a:stretch>
                  </pic:blipFill>
                  <pic:spPr bwMode="auto">
                    <a:xfrm>
                      <a:off x="0" y="0"/>
                      <a:ext cx="3316605" cy="8255"/>
                    </a:xfrm>
                    <a:prstGeom prst="rect">
                      <a:avLst/>
                    </a:prstGeom>
                    <a:noFill/>
                  </pic:spPr>
                </pic:pic>
              </a:graphicData>
            </a:graphic>
          </wp:anchor>
        </w:drawing>
      </w:r>
    </w:p>
    <w:p>
      <w:pPr>
        <w:jc w:val="center"/>
        <w:ind w:left="6000"/>
        <w:spacing w:after="0"/>
        <w:rPr>
          <w:sz w:val="20"/>
          <w:szCs w:val="20"/>
          <w:color w:val="auto"/>
        </w:rPr>
      </w:pPr>
      <w:r>
        <w:rPr>
          <w:rFonts w:ascii="Arial" w:cs="Arial" w:eastAsia="Arial" w:hAnsi="Arial"/>
          <w:sz w:val="17"/>
          <w:szCs w:val="17"/>
          <w:color w:val="auto"/>
        </w:rPr>
        <w:t>George L. Ball</w:t>
      </w:r>
    </w:p>
    <w:p>
      <w:pPr>
        <w:spacing w:after="0" w:line="7"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240"/>
      </w:cols>
      <w:pgMar w:left="320" w:top="3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CA0C5FA"/>
    <w:multiLevelType w:val="hybridMultilevel"/>
    <w:lvl w:ilvl="0">
      <w:lvlJc w:val="left"/>
      <w:lvlText w:val="☒"/>
      <w:numFmt w:val="bullet"/>
      <w:start w:val="1"/>
    </w:lvl>
  </w:abstractNum>
  <w:abstractNum w:abstractNumId="1">
    <w:nsid w:val="53584BCB"/>
    <w:multiLevelType w:val="hybridMultilevel"/>
    <w:lvl w:ilvl="0">
      <w:lvlJc w:val="left"/>
      <w:lvlText w:val="☐"/>
      <w:numFmt w:val="bullet"/>
      <w:start w:val="1"/>
    </w:lvl>
  </w:abstractNum>
  <w:abstractNum w:abstractNumId="2">
    <w:nsid w:val="415E286C"/>
    <w:multiLevelType w:val="hybridMultilevel"/>
    <w:lvl w:ilvl="0">
      <w:lvlJc w:val="left"/>
      <w:lvlText w:val="•"/>
      <w:numFmt w:val="bullet"/>
      <w:start w:val="1"/>
    </w:lvl>
  </w:abstractNum>
  <w:abstractNum w:abstractNumId="3">
    <w:nsid w:val="7C58FD05"/>
    <w:multiLevelType w:val="hybridMultilevel"/>
    <w:lvl w:ilvl="0">
      <w:lvlJc w:val="left"/>
      <w:lvlText w:val="•"/>
      <w:numFmt w:val="bullet"/>
      <w:start w:val="1"/>
    </w:lvl>
  </w:abstractNum>
  <w:abstractNum w:abstractNumId="4">
    <w:nsid w:val="23D86AA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
    <w:nsid w:val="45E6D486"/>
    <w:multiLevelType w:val="hybridMultilevel"/>
    <w:lvl w:ilvl="0">
      <w:lvlJc w:val="left"/>
      <w:lvlText w:val="•"/>
      <w:numFmt w:val="bullet"/>
      <w:start w:val="1"/>
    </w:lvl>
    <w:lvl w:ilvl="1">
      <w:lvlJc w:val="left"/>
      <w:lvlText w:val="▪"/>
      <w:numFmt w:val="bullet"/>
      <w:start w:val="1"/>
    </w:lvl>
  </w:abstractNum>
  <w:abstractNum w:abstractNumId="6">
    <w:nsid w:val="5C10FE2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
    <w:nsid w:val="E7FFA2B"/>
    <w:multiLevelType w:val="hybridMultilevel"/>
    <w:lvl w:ilvl="0">
      <w:lvlJc w:val="left"/>
      <w:lvlText w:val="•"/>
      <w:numFmt w:val="bullet"/>
      <w:start w:val="1"/>
    </w:lvl>
  </w:abstractNum>
  <w:abstractNum w:abstractNumId="8">
    <w:nsid w:val="3C5991AA"/>
    <w:multiLevelType w:val="hybridMultilevel"/>
    <w:lvl w:ilvl="0">
      <w:lvlJc w:val="left"/>
      <w:lvlText w:val="•"/>
      <w:numFmt w:val="bullet"/>
      <w:start w:val="1"/>
    </w:lvl>
    <w:lvl w:ilvl="1">
      <w:lvlJc w:val="left"/>
      <w:lvlText w:val="•"/>
      <w:numFmt w:val="bullet"/>
      <w:start w:val="1"/>
    </w:lvl>
  </w:abstractNum>
  <w:abstractNum w:abstractNumId="9">
    <w:nsid w:val="4BD8591A"/>
    <w:multiLevelType w:val="hybridMultilevel"/>
    <w:lvl w:ilvl="0">
      <w:lvlJc w:val="left"/>
      <w:lvlText w:val="•"/>
      <w:numFmt w:val="bullet"/>
      <w:start w:val="1"/>
    </w:lvl>
  </w:abstractNum>
  <w:abstractNum w:abstractNumId="10">
    <w:nsid w:val="78DF6A55"/>
    <w:multiLevelType w:val="hybridMultilevel"/>
    <w:lvl w:ilvl="0">
      <w:lvlJc w:val="left"/>
      <w:lvlText w:val="•"/>
      <w:numFmt w:val="bullet"/>
      <w:start w:val="1"/>
    </w:lvl>
  </w:abstractNum>
  <w:abstractNum w:abstractNumId="11">
    <w:nsid w:val="39B7AAA2"/>
    <w:multiLevelType w:val="hybridMultilevel"/>
    <w:lvl w:ilvl="0">
      <w:lvlJc w:val="left"/>
      <w:lvlText w:val="•"/>
      <w:numFmt w:val="bullet"/>
      <w:start w:val="1"/>
    </w:lvl>
  </w:abstractNum>
  <w:abstractNum w:abstractNumId="12">
    <w:nsid w:val="2B0D8DBE"/>
    <w:multiLevelType w:val="hybridMultilevel"/>
    <w:lvl w:ilvl="0">
      <w:lvlJc w:val="left"/>
      <w:lvlText w:val="•"/>
      <w:numFmt w:val="bullet"/>
      <w:start w:val="1"/>
    </w:lvl>
  </w:abstractNum>
  <w:abstractNum w:abstractNumId="13">
    <w:nsid w:val="6C80EC70"/>
    <w:multiLevelType w:val="hybridMultilevel"/>
    <w:lvl w:ilvl="0">
      <w:lvlJc w:val="left"/>
      <w:lvlText w:val="•"/>
      <w:numFmt w:val="bullet"/>
      <w:start w:val="1"/>
    </w:lvl>
  </w:abstractNum>
  <w:abstractNum w:abstractNumId="14">
    <w:nsid w:val="379E21B5"/>
    <w:multiLevelType w:val="hybridMultilevel"/>
    <w:lvl w:ilvl="0">
      <w:lvlJc w:val="left"/>
      <w:lvlText w:val="o"/>
      <w:numFmt w:val="bullet"/>
      <w:start w:val="1"/>
    </w:lvl>
  </w:abstractNum>
  <w:abstractNum w:abstractNumId="15">
    <w:nsid w:val="69E373"/>
    <w:multiLevelType w:val="hybridMultilevel"/>
    <w:lvl w:ilvl="0">
      <w:lvlJc w:val="left"/>
      <w:lvlText w:val="o"/>
      <w:numFmt w:val="bullet"/>
      <w:start w:val="1"/>
    </w:lvl>
  </w:abstractNum>
  <w:abstractNum w:abstractNumId="16">
    <w:nsid w:val="2C27173B"/>
    <w:multiLevelType w:val="hybridMultilevel"/>
    <w:lvl w:ilvl="0">
      <w:lvlJc w:val="left"/>
      <w:lvlText w:val="•"/>
      <w:numFmt w:val="bullet"/>
      <w:start w:val="1"/>
    </w:lvl>
  </w:abstractNum>
  <w:abstractNum w:abstractNumId="17">
    <w:nsid w:val="4C9B0904"/>
    <w:multiLevelType w:val="hybridMultilevel"/>
    <w:lvl w:ilvl="0">
      <w:lvlJc w:val="left"/>
      <w:lvlText w:val="•"/>
      <w:numFmt w:val="bullet"/>
      <w:start w:val="1"/>
    </w:lvl>
  </w:abstractNum>
  <w:abstractNum w:abstractNumId="18">
    <w:nsid w:val="6AA7B75C"/>
    <w:multiLevelType w:val="hybridMultilevel"/>
    <w:lvl w:ilvl="0">
      <w:lvlJc w:val="left"/>
      <w:lvlText w:val="•"/>
      <w:numFmt w:val="bullet"/>
      <w:start w:val="1"/>
    </w:lvl>
  </w:abstractNum>
  <w:abstractNum w:abstractNumId="19">
    <w:nsid w:val="1DF029D3"/>
    <w:multiLevelType w:val="hybridMultilevel"/>
    <w:lvl w:ilvl="0">
      <w:lvlJc w:val="left"/>
      <w:lvlText w:val="•"/>
      <w:numFmt w:val="bullet"/>
      <w:start w:val="1"/>
    </w:lvl>
  </w:abstractNum>
  <w:abstractNum w:abstractNumId="20">
    <w:nsid w:val="5675FF36"/>
    <w:multiLevelType w:val="hybridMultilevel"/>
    <w:lvl w:ilvl="0">
      <w:lvlJc w:val="left"/>
      <w:lvlText w:val="•"/>
      <w:numFmt w:val="bullet"/>
      <w:start w:val="1"/>
    </w:lvl>
  </w:abstractNum>
  <w:abstractNum w:abstractNumId="21">
    <w:nsid w:val="3DD15094"/>
    <w:multiLevelType w:val="hybridMultilevel"/>
    <w:lvl w:ilvl="0">
      <w:lvlJc w:val="left"/>
      <w:lvlText w:val="•"/>
      <w:numFmt w:val="bullet"/>
      <w:start w:val="1"/>
    </w:lvl>
  </w:abstractNum>
  <w:abstractNum w:abstractNumId="22">
    <w:nsid w:val="3DB012B3"/>
    <w:multiLevelType w:val="hybridMultilevel"/>
    <w:lvl w:ilvl="0">
      <w:lvlJc w:val="left"/>
      <w:lvlText w:val="•"/>
      <w:numFmt w:val="bullet"/>
      <w:start w:val="1"/>
    </w:lvl>
  </w:abstractNum>
  <w:abstractNum w:abstractNumId="23">
    <w:nsid w:val="2708C9AF"/>
    <w:multiLevelType w:val="hybridMultilevel"/>
    <w:lvl w:ilvl="0">
      <w:lvlJc w:val="left"/>
      <w:lvlText w:val="•"/>
      <w:numFmt w:val="bullet"/>
      <w:start w:val="1"/>
    </w:lvl>
  </w:abstractNum>
  <w:abstractNum w:abstractNumId="24">
    <w:nsid w:val="5B25ACE2"/>
    <w:multiLevelType w:val="hybridMultilevel"/>
    <w:lvl w:ilvl="0">
      <w:lvlJc w:val="left"/>
      <w:lvlText w:val="•"/>
      <w:numFmt w:val="bullet"/>
      <w:start w:val="1"/>
    </w:lvl>
  </w:abstractNum>
  <w:abstractNum w:abstractNumId="25">
    <w:nsid w:val="175DFCF0"/>
    <w:multiLevelType w:val="hybridMultilevel"/>
    <w:lvl w:ilvl="0">
      <w:lvlJc w:val="left"/>
      <w:lvlText w:val="•"/>
      <w:numFmt w:val="bullet"/>
      <w:start w:val="1"/>
    </w:lvl>
  </w:abstractNum>
  <w:abstractNum w:abstractNumId="26">
    <w:nsid w:val="4F97E3E4"/>
    <w:multiLevelType w:val="hybridMultilevel"/>
    <w:lvl w:ilvl="0">
      <w:lvlJc w:val="left"/>
      <w:lvlText w:val="•"/>
      <w:numFmt w:val="bullet"/>
      <w:start w:val="1"/>
    </w:lvl>
  </w:abstractNum>
  <w:abstractNum w:abstractNumId="27">
    <w:nsid w:val="53B0A9E"/>
    <w:multiLevelType w:val="hybridMultilevel"/>
    <w:lvl w:ilvl="0">
      <w:lvlJc w:val="left"/>
      <w:lvlText w:val="•"/>
      <w:numFmt w:val="bullet"/>
      <w:start w:val="1"/>
    </w:lvl>
  </w:abstractNum>
  <w:abstractNum w:abstractNumId="28">
    <w:nsid w:val="34FD6B4F"/>
    <w:multiLevelType w:val="hybridMultilevel"/>
    <w:lvl w:ilvl="0">
      <w:lvlJc w:val="left"/>
      <w:lvlText w:val="•"/>
      <w:numFmt w:val="bullet"/>
      <w:start w:val="1"/>
    </w:lvl>
  </w:abstractNum>
  <w:abstractNum w:abstractNumId="29">
    <w:nsid w:val="5915FF32"/>
    <w:multiLevelType w:val="hybridMultilevel"/>
    <w:lvl w:ilvl="0">
      <w:lvlJc w:val="left"/>
      <w:lvlText w:val="•"/>
      <w:numFmt w:val="bullet"/>
      <w:start w:val="1"/>
    </w:lvl>
  </w:abstractNum>
  <w:abstractNum w:abstractNumId="30">
    <w:nsid w:val="56438D15"/>
    <w:multiLevelType w:val="hybridMultilevel"/>
    <w:lvl w:ilvl="0">
      <w:lvlJc w:val="left"/>
      <w:lvlText w:val="•"/>
      <w:numFmt w:val="bullet"/>
      <w:start w:val="1"/>
    </w:lvl>
  </w:abstractNum>
  <w:abstractNum w:abstractNumId="31">
    <w:nsid w:val="519E3149"/>
    <w:multiLevelType w:val="hybridMultilevel"/>
    <w:lvl w:ilvl="0">
      <w:lvlJc w:val="left"/>
      <w:lvlText w:val="•"/>
      <w:numFmt w:val="bullet"/>
      <w:start w:val="1"/>
    </w:lvl>
  </w:abstractNum>
  <w:abstractNum w:abstractNumId="32">
    <w:nsid w:val="2C6E4AFD"/>
    <w:multiLevelType w:val="hybridMultilevel"/>
    <w:lvl w:ilvl="0">
      <w:lvlJc w:val="left"/>
      <w:lvlText w:val="•"/>
      <w:numFmt w:val="bullet"/>
      <w:start w:val="1"/>
    </w:lvl>
  </w:abstractNum>
  <w:abstractNum w:abstractNumId="33">
    <w:nsid w:val="17A1B582"/>
    <w:multiLevelType w:val="hybridMultilevel"/>
    <w:lvl w:ilvl="0">
      <w:lvlJc w:val="left"/>
      <w:lvlText w:val="•"/>
      <w:numFmt w:val="bullet"/>
      <w:start w:val="1"/>
    </w:lvl>
  </w:abstractNum>
  <w:abstractNum w:abstractNumId="34">
    <w:nsid w:val="4DF72E4E"/>
    <w:multiLevelType w:val="hybridMultilevel"/>
    <w:lvl w:ilvl="0">
      <w:lvlJc w:val="left"/>
      <w:lvlText w:val="•"/>
      <w:numFmt w:val="bullet"/>
      <w:start w:val="1"/>
    </w:lvl>
  </w:abstractNum>
  <w:abstractNum w:abstractNumId="35">
    <w:nsid w:val="5046B5A9"/>
    <w:multiLevelType w:val="hybridMultilevel"/>
    <w:lvl w:ilvl="0">
      <w:lvlJc w:val="left"/>
      <w:lvlText w:val="•"/>
      <w:numFmt w:val="bullet"/>
      <w:start w:val="1"/>
    </w:lvl>
  </w:abstractNum>
  <w:abstractNum w:abstractNumId="36">
    <w:nsid w:val="5D888A08"/>
    <w:multiLevelType w:val="hybridMultilevel"/>
    <w:lvl w:ilvl="0">
      <w:lvlJc w:val="left"/>
      <w:lvlText w:val="•"/>
      <w:numFmt w:val="bullet"/>
      <w:start w:val="1"/>
    </w:lvl>
    <w:lvl w:ilvl="1">
      <w:lvlJc w:val="left"/>
      <w:lvlText w:val="•"/>
      <w:numFmt w:val="bullet"/>
      <w:start w:val="1"/>
    </w:lvl>
  </w:abstractNum>
  <w:abstractNum w:abstractNumId="37">
    <w:nsid w:val="2A082C70"/>
    <w:multiLevelType w:val="hybridMultilevel"/>
    <w:lvl w:ilvl="0">
      <w:lvlJc w:val="left"/>
      <w:lvlText w:val="•"/>
      <w:numFmt w:val="bullet"/>
      <w:start w:val="1"/>
    </w:lvl>
  </w:abstractNum>
  <w:abstractNum w:abstractNumId="38">
    <w:nsid w:val="5EC6AFD4"/>
    <w:multiLevelType w:val="hybridMultilevel"/>
    <w:lvl w:ilvl="0">
      <w:lvlJc w:val="left"/>
      <w:lvlText w:val="•"/>
      <w:numFmt w:val="bullet"/>
      <w:start w:val="1"/>
    </w:lvl>
  </w:abstractNum>
  <w:abstractNum w:abstractNumId="39">
    <w:nsid w:val="19E21BB2"/>
    <w:multiLevelType w:val="hybridMultilevel"/>
    <w:lvl w:ilvl="0">
      <w:lvlJc w:val="left"/>
      <w:lvlText w:val="•"/>
      <w:numFmt w:val="bullet"/>
      <w:start w:val="1"/>
    </w:lvl>
  </w:abstractNum>
  <w:abstractNum w:abstractNumId="40">
    <w:nsid w:val="75E0858A"/>
    <w:multiLevelType w:val="hybridMultilevel"/>
    <w:lvl w:ilvl="0">
      <w:lvlJc w:val="left"/>
      <w:lvlText w:val="(%1)"/>
      <w:numFmt w:val="decimal"/>
      <w:start w:val="1"/>
    </w:lvl>
  </w:abstractNum>
  <w:abstractNum w:abstractNumId="41">
    <w:nsid w:val="57A61A29"/>
    <w:multiLevelType w:val="hybridMultilevel"/>
    <w:lvl w:ilvl="0">
      <w:lvlJc w:val="left"/>
      <w:lvlText w:val="•"/>
      <w:numFmt w:val="bullet"/>
      <w:start w:val="1"/>
    </w:lvl>
  </w:abstractNum>
  <w:abstractNum w:abstractNumId="42">
    <w:nsid w:val="5399C654"/>
    <w:multiLevelType w:val="hybridMultilevel"/>
    <w:lvl w:ilvl="0">
      <w:lvlJc w:val="left"/>
      <w:lvlText w:val="(%1)"/>
      <w:numFmt w:val="decimal"/>
      <w:start w:val="1"/>
    </w:lvl>
  </w:abstractNum>
  <w:abstractNum w:abstractNumId="43">
    <w:nsid w:val="20EE1348"/>
    <w:multiLevelType w:val="hybridMultilevel"/>
    <w:lvl w:ilvl="0">
      <w:lvlJc w:val="left"/>
      <w:lvlText w:val="•"/>
      <w:numFmt w:val="bullet"/>
      <w:start w:val="1"/>
    </w:lvl>
  </w:abstractNum>
  <w:abstractNum w:abstractNumId="44">
    <w:nsid w:val="4427069A"/>
    <w:multiLevelType w:val="hybridMultilevel"/>
    <w:lvl w:ilvl="0">
      <w:lvlJc w:val="left"/>
      <w:lvlText w:val="•"/>
      <w:numFmt w:val="bullet"/>
      <w:start w:val="1"/>
    </w:lvl>
  </w:abstractNum>
  <w:abstractNum w:abstractNumId="45">
    <w:nsid w:val="B37E80A"/>
    <w:multiLevelType w:val="hybridMultilevel"/>
    <w:lvl w:ilvl="0">
      <w:lvlJc w:val="left"/>
      <w:lvlText w:val="(%1)"/>
      <w:numFmt w:val="decimal"/>
      <w:start w:val="1"/>
    </w:lvl>
  </w:abstractNum>
  <w:abstractNum w:abstractNumId="46">
    <w:nsid w:val="2157F6BC"/>
    <w:multiLevelType w:val="hybridMultilevel"/>
    <w:lvl w:ilvl="0">
      <w:lvlJc w:val="left"/>
      <w:lvlText w:val="(%1)"/>
      <w:numFmt w:val="lowerLetter"/>
      <w:start w:val="1"/>
    </w:lvl>
  </w:abstractNum>
  <w:abstractNum w:abstractNumId="47">
    <w:nsid w:val="704E1DD5"/>
    <w:multiLevelType w:val="hybridMultilevel"/>
    <w:lvl w:ilvl="0">
      <w:lvlJc w:val="left"/>
      <w:lvlText w:val="%1."/>
      <w:numFmt w:val="decimal"/>
      <w:start w:val="606"/>
    </w:lvl>
  </w:abstractNum>
  <w:abstractNum w:abstractNumId="48">
    <w:nsid w:val="57D2F10E"/>
    <w:multiLevelType w:val="hybridMultilevel"/>
    <w:lvl w:ilvl="0">
      <w:lvlJc w:val="left"/>
      <w:lvlText w:val="(%1)"/>
      <w:numFmt w:val="decimal"/>
      <w:start w:val="4"/>
    </w:lvl>
    <w:lvl w:ilvl="1">
      <w:lvlJc w:val="left"/>
      <w:lvlText w:val="•"/>
      <w:numFmt w:val="bullet"/>
      <w:start w:val="1"/>
    </w:lvl>
  </w:abstractNum>
  <w:abstractNum w:abstractNumId="49">
    <w:nsid w:val="BFFAE18"/>
    <w:multiLevelType w:val="hybridMultilevel"/>
    <w:lvl w:ilvl="0">
      <w:lvlJc w:val="left"/>
      <w:lvlText w:val="%1."/>
      <w:numFmt w:val="decimal"/>
      <w:start w:val="1"/>
    </w:lvl>
  </w:abstractNum>
  <w:abstractNum w:abstractNumId="50">
    <w:nsid w:val="E3E47A8"/>
    <w:multiLevelType w:val="hybridMultilevel"/>
    <w:lvl w:ilvl="0">
      <w:lvlJc w:val="left"/>
      <w:lvlText w:val="(%1)"/>
      <w:numFmt w:val="lowerLetter"/>
      <w:start w:val="1"/>
    </w:lvl>
    <w:lvl w:ilvl="1">
      <w:lvlJc w:val="left"/>
      <w:lvlText w:val="(%2)"/>
      <w:numFmt w:val="decimal"/>
      <w:start w:val="1"/>
    </w:lvl>
  </w:abstractNum>
  <w:abstractNum w:abstractNumId="51">
    <w:nsid w:val="2E48F044"/>
    <w:multiLevelType w:val="hybridMultilevel"/>
    <w:lvl w:ilvl="0">
      <w:lvlJc w:val="left"/>
      <w:lvlText w:val="%1."/>
      <w:numFmt w:val="decimal"/>
      <w:start w:val="1"/>
    </w:lvl>
  </w:abstractNum>
  <w:abstractNum w:abstractNumId="52">
    <w:nsid w:val="49D0FEAC"/>
    <w:multiLevelType w:val="hybridMultilevel"/>
    <w:lvl w:ilvl="0">
      <w:lvlJc w:val="left"/>
      <w:lvlText w:val="%1."/>
      <w:numFmt w:val="decimal"/>
      <w:start w:val="2"/>
    </w:lvl>
  </w:abstractNum>
  <w:abstractNum w:abstractNumId="53">
    <w:nsid w:val="4BEE5A5B"/>
    <w:multiLevelType w:val="hybridMultilevel"/>
    <w:lvl w:ilvl="0">
      <w:lvlJc w:val="left"/>
      <w:lvlText w:val="%1."/>
      <w:numFmt w:val="decimal"/>
      <w:start w:val="1"/>
    </w:lvl>
  </w:abstractNum>
  <w:abstractNum w:abstractNumId="54">
    <w:nsid w:val="5551B9F3"/>
    <w:multiLevelType w:val="hybridMultilevel"/>
    <w:lvl w:ilvl="0">
      <w:lvlJc w:val="left"/>
      <w:lvlText w:val="(%1)"/>
      <w:numFmt w:val="decimal"/>
      <w:start w:val="6"/>
    </w:lvl>
  </w:abstractNum>
  <w:abstractNum w:abstractNumId="55">
    <w:nsid w:val="24F6AB8E"/>
    <w:multiLevelType w:val="hybridMultilevel"/>
    <w:lvl w:ilvl="0">
      <w:lvlJc w:val="left"/>
      <w:lvlText w:val="%1."/>
      <w:numFmt w:val="decimal"/>
      <w:start w:val="3"/>
    </w:lvl>
  </w:abstractNum>
  <w:abstractNum w:abstractNumId="56">
    <w:nsid w:val="634C574C"/>
    <w:multiLevelType w:val="hybridMultilevel"/>
    <w:lvl w:ilvl="0">
      <w:lvlJc w:val="left"/>
      <w:lvlText w:val="%1."/>
      <w:numFmt w:val="decimal"/>
      <w:start w:val="4"/>
    </w:lvl>
  </w:abstractNum>
  <w:abstractNum w:abstractNumId="57">
    <w:nsid w:val="24E99DD7"/>
    <w:multiLevelType w:val="hybridMultilevel"/>
    <w:lvl w:ilvl="0">
      <w:lvlJc w:val="left"/>
      <w:lvlText w:val="(%1)"/>
      <w:numFmt w:val="decimal"/>
      <w:start w:val="1"/>
    </w:lvl>
  </w:abstractNum>
  <w:abstractNum w:abstractNumId="58">
    <w:nsid w:val="2A31B62D"/>
    <w:multiLevelType w:val="hybridMultilevel"/>
    <w:lvl w:ilvl="0">
      <w:lvlJc w:val="left"/>
      <w:lvlText w:val="%1."/>
      <w:numFmt w:val="decimal"/>
      <w:start w:val="5"/>
    </w:lvl>
  </w:abstractNum>
  <w:abstractNum w:abstractNumId="59">
    <w:nsid w:val="1849C29B"/>
    <w:multiLevelType w:val="hybridMultilevel"/>
    <w:lvl w:ilvl="0">
      <w:lvlJc w:val="left"/>
      <w:lvlText w:val="%1."/>
      <w:numFmt w:val="decimal"/>
      <w:start w:val="6"/>
    </w:lvl>
  </w:abstractNum>
  <w:abstractNum w:abstractNumId="60">
    <w:nsid w:val="7DFF9D09"/>
    <w:multiLevelType w:val="hybridMultilevel"/>
    <w:lvl w:ilvl="0">
      <w:lvlJc w:val="left"/>
      <w:lvlText w:val="%1."/>
      <w:numFmt w:val="decimal"/>
      <w:start w:val="7"/>
    </w:lvl>
  </w:abstractNum>
  <w:abstractNum w:abstractNumId="61">
    <w:nsid w:val="754342"/>
    <w:multiLevelType w:val="hybridMultilevel"/>
    <w:lvl w:ilvl="0">
      <w:lvlJc w:val="left"/>
      <w:lvlText w:val="%1."/>
      <w:numFmt w:val="decimal"/>
      <w:start w:val="8"/>
    </w:lvl>
  </w:abstractNum>
  <w:abstractNum w:abstractNumId="62">
    <w:nsid w:val="69E7F3E5"/>
    <w:multiLevelType w:val="hybridMultilevel"/>
    <w:lvl w:ilvl="0">
      <w:lvlJc w:val="left"/>
      <w:lvlText w:val="%1."/>
      <w:numFmt w:val="decimal"/>
      <w:start w:val="9"/>
    </w:lvl>
  </w:abstractNum>
  <w:abstractNum w:abstractNumId="63">
    <w:nsid w:val="2A6DE806"/>
    <w:multiLevelType w:val="hybridMultilevel"/>
    <w:lvl w:ilvl="0">
      <w:lvlJc w:val="left"/>
      <w:lvlText w:val="%1."/>
      <w:numFmt w:val="decimal"/>
      <w:start w:val="10"/>
    </w:lvl>
  </w:abstractNum>
  <w:abstractNum w:abstractNumId="64">
    <w:nsid w:val="1816F8C4"/>
    <w:multiLevelType w:val="hybridMultilevel"/>
    <w:lvl w:ilvl="0">
      <w:lvlJc w:val="left"/>
      <w:lvlText w:val="%1."/>
      <w:numFmt w:val="decimal"/>
      <w:start w:val="11"/>
    </w:lvl>
  </w:abstractNum>
  <w:abstractNum w:abstractNumId="65">
    <w:nsid w:val="37DF2233"/>
    <w:multiLevelType w:val="hybridMultilevel"/>
    <w:lvl w:ilvl="0">
      <w:lvlJc w:val="left"/>
      <w:lvlText w:val="%1."/>
      <w:numFmt w:val="decimal"/>
      <w:start w:val="12"/>
    </w:lvl>
  </w:abstractNum>
  <w:abstractNum w:abstractNumId="66">
    <w:nsid w:val="7AB49DAF"/>
    <w:multiLevelType w:val="hybridMultilevel"/>
    <w:lvl w:ilvl="0">
      <w:lvlJc w:val="left"/>
      <w:lvlText w:val="•"/>
      <w:numFmt w:val="bullet"/>
      <w:start w:val="1"/>
    </w:lvl>
  </w:abstractNum>
  <w:abstractNum w:abstractNumId="67">
    <w:nsid w:val="759F82CD"/>
    <w:multiLevelType w:val="hybridMultilevel"/>
    <w:lvl w:ilvl="0">
      <w:lvlJc w:val="left"/>
      <w:lvlText w:val="%1."/>
      <w:numFmt w:val="decimal"/>
      <w:start w:val="13"/>
    </w:lvl>
  </w:abstractNum>
  <w:abstractNum w:abstractNumId="68">
    <w:nsid w:val="61E74EA3"/>
    <w:multiLevelType w:val="hybridMultilevel"/>
    <w:lvl w:ilvl="0">
      <w:lvlJc w:val="left"/>
      <w:lvlText w:val="%1."/>
      <w:numFmt w:val="decimal"/>
      <w:start w:val="14"/>
    </w:lvl>
  </w:abstractNum>
  <w:abstractNum w:abstractNumId="69">
    <w:nsid w:val="597B4D84"/>
    <w:multiLevelType w:val="hybridMultilevel"/>
    <w:lvl w:ilvl="0">
      <w:lvlJc w:val="left"/>
      <w:lvlText w:val="%1."/>
      <w:numFmt w:val="decimal"/>
      <w:start w:val="15"/>
    </w:lvl>
  </w:abstractNum>
  <w:abstractNum w:abstractNumId="70">
    <w:nsid w:val="F819E7F"/>
    <w:multiLevelType w:val="hybridMultilevel"/>
    <w:lvl w:ilvl="0">
      <w:lvlJc w:val="left"/>
      <w:lvlText w:val="%1."/>
      <w:numFmt w:val="decimal"/>
      <w:start w:val="16"/>
    </w:lvl>
  </w:abstractNum>
  <w:abstractNum w:abstractNumId="71">
    <w:nsid w:val="57C7D42D"/>
    <w:multiLevelType w:val="hybridMultilevel"/>
    <w:lvl w:ilvl="0">
      <w:lvlJc w:val="left"/>
      <w:lvlText w:val="%1."/>
      <w:numFmt w:val="decimal"/>
      <w:start w:val="17"/>
    </w:lvl>
  </w:abstractNum>
  <w:abstractNum w:abstractNumId="72">
    <w:nsid w:val="312167AD"/>
    <w:multiLevelType w:val="hybridMultilevel"/>
    <w:lvl w:ilvl="0">
      <w:lvlJc w:val="left"/>
      <w:lvlText w:val="(%1)"/>
      <w:numFmt w:val="decimal"/>
      <w:start w:val="2"/>
    </w:lvl>
  </w:abstractNum>
  <w:abstractNum w:abstractNumId="73">
    <w:nsid w:val="631B64D4"/>
    <w:multiLevelType w:val="hybridMultilevel"/>
    <w:lvl w:ilvl="0">
      <w:lvlJc w:val="left"/>
      <w:lvlText w:val="%1."/>
      <w:numFmt w:val="decimal"/>
      <w:start w:val="18"/>
    </w:lvl>
  </w:abstractNum>
  <w:abstractNum w:abstractNumId="74">
    <w:nsid w:val="78B5E776"/>
    <w:multiLevelType w:val="hybridMultilevel"/>
    <w:lvl w:ilvl="0">
      <w:lvlJc w:val="left"/>
      <w:lvlText w:val="%1."/>
      <w:numFmt w:val="decimal"/>
      <w:start w:val="19"/>
    </w:lvl>
  </w:abstractNum>
  <w:abstractNum w:abstractNumId="75">
    <w:nsid w:val="75486E47"/>
    <w:multiLevelType w:val="hybridMultilevel"/>
    <w:lvl w:ilvl="0">
      <w:lvlJc w:val="left"/>
      <w:lvlText w:val="•"/>
      <w:numFmt w:val="bullet"/>
      <w:start w:val="1"/>
    </w:lvl>
  </w:abstractNum>
  <w:abstractNum w:abstractNumId="76">
    <w:nsid w:val="6E534CDE"/>
    <w:multiLevelType w:val="hybridMultilevel"/>
    <w:lvl w:ilvl="0">
      <w:lvlJc w:val="left"/>
      <w:lvlText w:val="•"/>
      <w:numFmt w:val="bullet"/>
      <w:start w:val="1"/>
    </w:lvl>
  </w:abstractNum>
  <w:abstractNum w:abstractNumId="77">
    <w:nsid w:val="1A0DDE32"/>
    <w:multiLevelType w:val="hybridMultilevel"/>
    <w:lvl w:ilvl="0">
      <w:lvlJc w:val="left"/>
      <w:lvlText w:val="%1."/>
      <w:numFmt w:val="decimal"/>
      <w:start w:val="20"/>
    </w:lvl>
  </w:abstractNum>
  <w:abstractNum w:abstractNumId="78">
    <w:nsid w:val="65968C1C"/>
    <w:multiLevelType w:val="hybridMultilevel"/>
    <w:lvl w:ilvl="0">
      <w:lvlJc w:val="left"/>
      <w:lvlText w:val="%1."/>
      <w:numFmt w:val="decimal"/>
      <w:start w:val="21"/>
    </w:lvl>
  </w:abstractNum>
  <w:abstractNum w:abstractNumId="79">
    <w:nsid w:val="46263DEC"/>
    <w:multiLevelType w:val="hybridMultilevel"/>
    <w:lvl w:ilvl="0">
      <w:lvlJc w:val="left"/>
      <w:lvlText w:val="(%1)"/>
      <w:numFmt w:val="lowerLetter"/>
      <w:start w:val="1"/>
    </w:lvl>
  </w:abstractNum>
  <w:abstractNum w:abstractNumId="80">
    <w:nsid w:val="260D8C4A"/>
    <w:multiLevelType w:val="hybridMultilevel"/>
    <w:lvl w:ilvl="0">
      <w:lvlJc w:val="left"/>
      <w:lvlText w:val="%1."/>
      <w:numFmt w:val="decimal"/>
      <w:start w:val="22"/>
    </w:lvl>
  </w:abstractNum>
  <w:abstractNum w:abstractNumId="81">
    <w:nsid w:val="73D4D3C4"/>
    <w:multiLevelType w:val="hybridMultilevel"/>
    <w:lvl w:ilvl="0">
      <w:lvlJc w:val="left"/>
      <w:lvlText w:val="(%1)"/>
      <w:numFmt w:val="decimal"/>
      <w:start w:val="1"/>
    </w:lvl>
  </w:abstractNum>
  <w:abstractNum w:abstractNumId="82">
    <w:nsid w:val="746F2E30"/>
    <w:multiLevelType w:val="hybridMultilevel"/>
    <w:lvl w:ilvl="0">
      <w:lvlJc w:val="left"/>
      <w:lvlText w:val="(%1)"/>
      <w:numFmt w:val="lowerLetter"/>
      <w:start w:val="1"/>
    </w:lvl>
  </w:abstractNum>
  <w:abstractNum w:abstractNumId="83">
    <w:nsid w:val="6FDE8AF6"/>
    <w:multiLevelType w:val="hybridMultilevel"/>
    <w:lvl w:ilvl="0">
      <w:lvlJc w:val="left"/>
      <w:lvlText w:val="(%1)"/>
      <w:numFmt w:val="lowerLetter"/>
      <w:start w:val="4"/>
    </w:lvl>
  </w:abstractNum>
  <w:abstractNum w:abstractNumId="84">
    <w:nsid w:val="3FC32E20"/>
    <w:multiLevelType w:val="hybridMultilevel"/>
    <w:lvl w:ilvl="0">
      <w:lvlJc w:val="left"/>
      <w:lvlText w:val="(%1)"/>
      <w:numFmt w:val="lowerLetter"/>
      <w:start w:val="6"/>
    </w:lvl>
  </w:abstractNum>
  <w:abstractNum w:abstractNumId="85">
    <w:nsid w:val="49C0E823"/>
    <w:multiLevelType w:val="hybridMultilevel"/>
    <w:lvl w:ilvl="0">
      <w:lvlJc w:val="left"/>
      <w:lvlText w:val="(%1)"/>
      <w:numFmt w:val="lowerLetter"/>
      <w:start w:val="1"/>
    </w:lvl>
  </w:abstractNum>
  <w:abstractNum w:abstractNumId="86">
    <w:nsid w:val="14D53685"/>
    <w:multiLevelType w:val="hybridMultilevel"/>
    <w:lvl w:ilvl="0">
      <w:lvlJc w:val="left"/>
      <w:lvlText w:val="(%1)"/>
      <w:numFmt w:val="lowerLetter"/>
      <w:start w:val="1"/>
    </w:lvl>
  </w:abstractNum>
  <w:abstractNum w:abstractNumId="87">
    <w:nsid w:val="230F856C"/>
    <w:multiLevelType w:val="hybridMultilevel"/>
    <w:lvl w:ilvl="0">
      <w:lvlJc w:val="left"/>
      <w:lvlText w:val="(%1)"/>
      <w:numFmt w:val="lowerLetter"/>
      <w:start w:val="2"/>
    </w:lvl>
  </w:abstractNum>
  <w:abstractNum w:abstractNumId="88">
    <w:nsid w:val="6EAA85FB"/>
    <w:multiLevelType w:val="hybridMultilevel"/>
    <w:lvl w:ilvl="0">
      <w:lvlJc w:val="left"/>
      <w:lvlText w:val="(%1)"/>
      <w:numFmt w:val="lowerRoman"/>
      <w:start w:val="2"/>
    </w:lvl>
  </w:abstractNum>
  <w:abstractNum w:abstractNumId="89">
    <w:nsid w:val="3F06ECB2"/>
    <w:multiLevelType w:val="hybridMultilevel"/>
    <w:lvl w:ilvl="0">
      <w:lvlJc w:val="left"/>
      <w:lvlText w:val="%1)"/>
      <w:numFmt w:val="lowerLetter"/>
      <w:start w:val="1"/>
    </w:lvl>
  </w:abstractNum>
  <w:abstractNum w:abstractNumId="90">
    <w:nsid w:val="3B594807"/>
    <w:multiLevelType w:val="hybridMultilevel"/>
    <w:lvl w:ilvl="0">
      <w:lvlJc w:val="left"/>
      <w:lvlText w:val="•"/>
      <w:numFmt w:val="bullet"/>
      <w:start w:val="1"/>
    </w:lvl>
  </w:abstractNum>
  <w:abstractNum w:abstractNumId="91">
    <w:nsid w:val="6CAA2304"/>
    <w:multiLevelType w:val="hybridMultilevel"/>
    <w:lvl w:ilvl="0">
      <w:lvlJc w:val="left"/>
      <w:lvlText w:val="•"/>
      <w:numFmt w:val="bullet"/>
      <w:start w:val="1"/>
    </w:lvl>
  </w:abstractNum>
  <w:abstractNum w:abstractNumId="92">
    <w:nsid w:val="3F7C2FF4"/>
    <w:multiLevelType w:val="hybridMultilevel"/>
    <w:lvl w:ilvl="0">
      <w:lvlJc w:val="left"/>
      <w:lvlText w:val="•"/>
      <w:numFmt w:val="bullet"/>
      <w:start w:val="1"/>
    </w:lvl>
  </w:abstractNum>
  <w:abstractNum w:abstractNumId="93">
    <w:nsid w:val="25413BEC"/>
    <w:multiLevelType w:val="hybridMultilevel"/>
    <w:lvl w:ilvl="0">
      <w:lvlJc w:val="left"/>
      <w:lvlText w:val="•"/>
      <w:numFmt w:val="bullet"/>
      <w:start w:val="1"/>
    </w:lvl>
  </w:abstractNum>
  <w:abstractNum w:abstractNumId="94">
    <w:nsid w:val="17180B0B"/>
    <w:multiLevelType w:val="hybridMultilevel"/>
    <w:lvl w:ilvl="0">
      <w:lvlJc w:val="left"/>
      <w:lvlText w:val="•"/>
      <w:numFmt w:val="bullet"/>
      <w:start w:val="1"/>
    </w:lvl>
  </w:abstractNum>
  <w:abstractNum w:abstractNumId="95">
    <w:nsid w:val="579328B9"/>
    <w:multiLevelType w:val="hybridMultilevel"/>
    <w:lvl w:ilvl="0">
      <w:lvlJc w:val="left"/>
      <w:lvlText w:val="1"/>
      <w:numFmt w:val="bullet"/>
      <w:start w:val="1"/>
    </w:lvl>
  </w:abstractNum>
  <w:abstractNum w:abstractNumId="96">
    <w:nsid w:val="5D205E20"/>
    <w:multiLevelType w:val="hybridMultilevel"/>
    <w:lvl w:ilvl="0">
      <w:lvlJc w:val="left"/>
      <w:lvlText w:val="(%1)"/>
      <w:numFmt w:val="lowerLetter"/>
      <w:start w:val="1"/>
    </w:lvl>
  </w:abstractNum>
  <w:abstractNum w:abstractNumId="97">
    <w:nsid w:val="11CCA8BA"/>
    <w:multiLevelType w:val="hybridMultilevel"/>
    <w:lvl w:ilvl="0">
      <w:lvlJc w:val="left"/>
      <w:lvlText w:val="(%1)"/>
      <w:numFmt w:val="lowerLetter"/>
      <w:start w:val="2"/>
    </w:lvl>
    <w:lvl w:ilvl="1">
      <w:lvlJc w:val="left"/>
      <w:lvlText w:val="(%2)"/>
      <w:numFmt w:val="lowerRoman"/>
      <w:start w:val="1"/>
    </w:lvl>
  </w:abstractNum>
  <w:abstractNum w:abstractNumId="98">
    <w:nsid w:val="4D32AB86"/>
    <w:multiLevelType w:val="hybridMultilevel"/>
    <w:lvl w:ilvl="0">
      <w:lvlJc w:val="left"/>
      <w:lvlText w:val="(%1)"/>
      <w:numFmt w:val="lowerRoman"/>
      <w:start w:val="3"/>
    </w:lvl>
    <w:lvl w:ilvl="1">
      <w:lvlJc w:val="left"/>
      <w:lvlText w:val="%2)"/>
      <w:numFmt w:val="decimal"/>
      <w:start w:val="1"/>
    </w:lvl>
  </w:abstractNum>
  <w:abstractNum w:abstractNumId="99">
    <w:nsid w:val="3F07ACC3"/>
    <w:multiLevelType w:val="hybridMultilevel"/>
    <w:lvl w:ilvl="0">
      <w:lvlJc w:val="left"/>
      <w:lvlText w:val="(%1)"/>
      <w:numFmt w:val="lowerLetter"/>
      <w:start w:val="7"/>
    </w:lvl>
    <w:lvl w:ilvl="1">
      <w:lvlJc w:val="left"/>
      <w:lvlText w:val="(%2)"/>
      <w:numFmt w:val="lowerRoman"/>
      <w:start w:val="1"/>
    </w:lvl>
  </w:abstractNum>
  <w:abstractNum w:abstractNumId="100">
    <w:nsid w:val="6B47F63E"/>
    <w:multiLevelType w:val="hybridMultilevel"/>
    <w:lvl w:ilvl="0">
      <w:lvlJc w:val="left"/>
      <w:lvlText w:val="%1"/>
      <w:numFmt w:val="lowerLetter"/>
      <w:start w:val="1"/>
    </w:lvl>
    <w:lvl w:ilvl="1">
      <w:lvlJc w:val="left"/>
      <w:lvlText w:val="(%2)"/>
      <w:numFmt w:val="lowerRoman"/>
      <w:start w:val="4"/>
    </w:lvl>
  </w:abstractNum>
  <w:abstractNum w:abstractNumId="101">
    <w:nsid w:val="5CB44A05"/>
    <w:multiLevelType w:val="hybridMultilevel"/>
    <w:lvl w:ilvl="0">
      <w:lvlJc w:val="left"/>
      <w:lvlText w:val="(%1)"/>
      <w:numFmt w:val="lowerLetter"/>
      <w:start w:val="12"/>
    </w:lvl>
    <w:lvl w:ilvl="1">
      <w:lvlJc w:val="left"/>
      <w:lvlText w:val="(%2)"/>
      <w:numFmt w:val="lowerRoman"/>
      <w:start w:val="1"/>
    </w:lvl>
  </w:abstractNum>
  <w:abstractNum w:abstractNumId="102">
    <w:nsid w:val="16CF80F1"/>
    <w:multiLevelType w:val="hybridMultilevel"/>
    <w:lvl w:ilvl="0">
      <w:lvlJc w:val="left"/>
      <w:lvlText w:val="(%1)"/>
      <w:numFmt w:val="lowerRoman"/>
      <w:start w:val="2"/>
    </w:lvl>
  </w:abstractNum>
  <w:abstractNum w:abstractNumId="103">
    <w:nsid w:val="1C695DEC"/>
    <w:multiLevelType w:val="hybridMultilevel"/>
    <w:lvl w:ilvl="0">
      <w:lvlJc w:val="left"/>
      <w:lvlText w:val="(%1)"/>
      <w:numFmt w:val="lowerLetter"/>
      <w:start w:val="1"/>
    </w:lvl>
  </w:abstractNum>
  <w:abstractNum w:abstractNumId="104">
    <w:nsid w:val="3FCFAED9"/>
    <w:multiLevelType w:val="hybridMultilevel"/>
    <w:lvl w:ilvl="0">
      <w:lvlJc w:val="left"/>
      <w:lvlText w:val="(%1)"/>
      <w:numFmt w:val="lowerLetter"/>
      <w:start w:val="1"/>
    </w:lvl>
  </w:abstractNum>
  <w:abstractNum w:abstractNumId="105">
    <w:nsid w:val="F856867"/>
    <w:multiLevelType w:val="hybridMultilevel"/>
    <w:lvl w:ilvl="0">
      <w:lvlJc w:val="left"/>
      <w:lvlText w:val="(%1)"/>
      <w:numFmt w:val="lowerLetter"/>
      <w:start w:val="1"/>
    </w:lvl>
  </w:abstractNum>
  <w:abstractNum w:abstractNumId="106">
    <w:nsid w:val="11B1CC33"/>
    <w:multiLevelType w:val="hybridMultilevel"/>
    <w:lvl w:ilvl="0">
      <w:lvlJc w:val="left"/>
      <w:lvlText w:val="(%1)"/>
      <w:numFmt w:val="lowerLetter"/>
      <w:start w:val="2"/>
    </w:lvl>
    <w:lvl w:ilvl="1">
      <w:lvlJc w:val="left"/>
      <w:lvlText w:val="(%2)"/>
      <w:numFmt w:val="lowerRoman"/>
      <w:start w:val="1"/>
    </w:lvl>
  </w:abstractNum>
  <w:abstractNum w:abstractNumId="107">
    <w:nsid w:val="2E22FBB7"/>
    <w:multiLevelType w:val="hybridMultilevel"/>
    <w:lvl w:ilvl="0">
      <w:lvlJc w:val="left"/>
      <w:lvlText w:val="(%1)"/>
      <w:numFmt w:val="lowerRoman"/>
      <w:start w:val="3"/>
    </w:lvl>
    <w:lvl w:ilvl="1">
      <w:lvlJc w:val="left"/>
      <w:lvlText w:val="%2)"/>
      <w:numFmt w:val="decimal"/>
      <w:start w:val="1"/>
    </w:lvl>
  </w:abstractNum>
  <w:abstractNum w:abstractNumId="108">
    <w:nsid w:val="29934699"/>
    <w:multiLevelType w:val="hybridMultilevel"/>
    <w:lvl w:ilvl="0">
      <w:lvlJc w:val="left"/>
      <w:lvlText w:val="(%1)"/>
      <w:numFmt w:val="lowerLetter"/>
      <w:start w:val="7"/>
    </w:lvl>
    <w:lvl w:ilvl="1">
      <w:lvlJc w:val="left"/>
      <w:lvlText w:val="(%2)"/>
      <w:numFmt w:val="lowerRoman"/>
      <w:start w:val="1"/>
    </w:lvl>
  </w:abstractNum>
  <w:abstractNum w:abstractNumId="109">
    <w:nsid w:val="77485850"/>
    <w:multiLevelType w:val="hybridMultilevel"/>
    <w:lvl w:ilvl="0">
      <w:lvlJc w:val="left"/>
      <w:lvlText w:val="%1"/>
      <w:numFmt w:val="lowerLetter"/>
      <w:start w:val="1"/>
    </w:lvl>
    <w:lvl w:ilvl="1">
      <w:lvlJc w:val="left"/>
      <w:lvlText w:val="(%2)"/>
      <w:numFmt w:val="lowerRoman"/>
      <w:start w:val="4"/>
    </w:lvl>
  </w:abstractNum>
  <w:abstractNum w:abstractNumId="110">
    <w:nsid w:val="744939A3"/>
    <w:multiLevelType w:val="hybridMultilevel"/>
    <w:lvl w:ilvl="0">
      <w:lvlJc w:val="left"/>
      <w:lvlText w:val="(%1)"/>
      <w:numFmt w:val="lowerLetter"/>
      <w:start w:val="12"/>
    </w:lvl>
    <w:lvl w:ilvl="1">
      <w:lvlJc w:val="left"/>
      <w:lvlText w:val="(%2)"/>
      <w:numFmt w:val="lowerRoman"/>
      <w:start w:val="1"/>
    </w:lvl>
  </w:abstractNum>
  <w:abstractNum w:abstractNumId="111">
    <w:nsid w:val="4FA0D2E3"/>
    <w:multiLevelType w:val="hybridMultilevel"/>
    <w:lvl w:ilvl="0">
      <w:lvlJc w:val="left"/>
      <w:lvlText w:val="(%1)"/>
      <w:numFmt w:val="lowerRoman"/>
      <w:start w:val="2"/>
    </w:lvl>
  </w:abstractNum>
  <w:abstractNum w:abstractNumId="112">
    <w:nsid w:val="6B1D2C14"/>
    <w:multiLevelType w:val="hybridMultilevel"/>
    <w:lvl w:ilvl="0">
      <w:lvlJc w:val="left"/>
      <w:lvlText w:val="(%1)"/>
      <w:numFmt w:val="lowerLetter"/>
      <w:start w:val="1"/>
    </w:lvl>
  </w:abstractNum>
  <w:abstractNum w:abstractNumId="113">
    <w:nsid w:val="68B867D3"/>
    <w:multiLevelType w:val="hybridMultilevel"/>
    <w:lvl w:ilvl="0">
      <w:lvlJc w:val="left"/>
      <w:lvlText w:val="(%1)"/>
      <w:numFmt w:val="lowerLetter"/>
      <w:start w:val="1"/>
    </w:lvl>
  </w:abstractNum>
  <w:abstractNum w:abstractNumId="114">
    <w:nsid w:val="3F7F5DD9"/>
    <w:multiLevelType w:val="hybridMultilevel"/>
    <w:lvl w:ilvl="0">
      <w:lvlJc w:val="left"/>
      <w:lvlText w:val="(%1)"/>
      <w:numFmt w:val="lowerLetter"/>
      <w:start w:val="1"/>
    </w:lvl>
  </w:abstractNum>
  <w:abstractNum w:abstractNumId="115">
    <w:nsid w:val="2AE05A34"/>
    <w:multiLevelType w:val="hybridMultilevel"/>
    <w:lvl w:ilvl="0">
      <w:lvlJc w:val="left"/>
      <w:lvlText w:val="(%1)"/>
      <w:numFmt w:val="lowerLetter"/>
      <w:start w:val="2"/>
    </w:lvl>
    <w:lvl w:ilvl="1">
      <w:lvlJc w:val="left"/>
      <w:lvlText w:val="(%2)"/>
      <w:numFmt w:val="lowerRoman"/>
      <w:start w:val="1"/>
    </w:lvl>
  </w:abstractNum>
  <w:abstractNum w:abstractNumId="116">
    <w:nsid w:val="32794FF7"/>
    <w:multiLevelType w:val="hybridMultilevel"/>
    <w:lvl w:ilvl="0">
      <w:lvlJc w:val="left"/>
      <w:lvlText w:val="(%1)"/>
      <w:numFmt w:val="lowerRoman"/>
      <w:start w:val="3"/>
    </w:lvl>
    <w:lvl w:ilvl="1">
      <w:lvlJc w:val="left"/>
      <w:lvlText w:val="%2)"/>
      <w:numFmt w:val="decimal"/>
      <w:start w:val="1"/>
    </w:lvl>
  </w:abstractNum>
  <w:abstractNum w:abstractNumId="117">
    <w:nsid w:val="5454945E"/>
    <w:multiLevelType w:val="hybridMultilevel"/>
    <w:lvl w:ilvl="0">
      <w:lvlJc w:val="left"/>
      <w:lvlText w:val="(%1)"/>
      <w:numFmt w:val="lowerLetter"/>
      <w:start w:val="7"/>
    </w:lvl>
    <w:lvl w:ilvl="1">
      <w:lvlJc w:val="left"/>
      <w:lvlText w:val="(%2)"/>
      <w:numFmt w:val="lowerRoman"/>
      <w:start w:val="1"/>
    </w:lvl>
  </w:abstractNum>
  <w:abstractNum w:abstractNumId="118">
    <w:nsid w:val="4DEFDFA0"/>
    <w:multiLevelType w:val="hybridMultilevel"/>
    <w:lvl w:ilvl="0">
      <w:lvlJc w:val="left"/>
      <w:lvlText w:val="%1"/>
      <w:numFmt w:val="lowerLetter"/>
      <w:start w:val="1"/>
    </w:lvl>
    <w:lvl w:ilvl="1">
      <w:lvlJc w:val="left"/>
      <w:lvlText w:val="(%2)"/>
      <w:numFmt w:val="lowerRoman"/>
      <w:start w:val="4"/>
    </w:lvl>
  </w:abstractNum>
  <w:abstractNum w:abstractNumId="119">
    <w:nsid w:val="2123D5F2"/>
    <w:multiLevelType w:val="hybridMultilevel"/>
    <w:lvl w:ilvl="0">
      <w:lvlJc w:val="left"/>
      <w:lvlText w:val="(%1)"/>
      <w:numFmt w:val="lowerLetter"/>
      <w:start w:val="12"/>
    </w:lvl>
    <w:lvl w:ilvl="1">
      <w:lvlJc w:val="left"/>
      <w:lvlText w:val="(%2)"/>
      <w:numFmt w:val="lowerRoman"/>
      <w:start w:val="1"/>
    </w:lvl>
  </w:abstractNum>
  <w:abstractNum w:abstractNumId="120">
    <w:nsid w:val="135B8110"/>
    <w:multiLevelType w:val="hybridMultilevel"/>
    <w:lvl w:ilvl="0">
      <w:lvlJc w:val="left"/>
      <w:lvlText w:val="(%1)"/>
      <w:numFmt w:val="lowerRoman"/>
      <w:start w:val="2"/>
    </w:lvl>
  </w:abstractNum>
  <w:abstractNum w:abstractNumId="121">
    <w:nsid w:val="94927A8"/>
    <w:multiLevelType w:val="hybridMultilevel"/>
    <w:lvl w:ilvl="0">
      <w:lvlJc w:val="left"/>
      <w:lvlText w:val="(%1)"/>
      <w:numFmt w:val="lowerLetter"/>
      <w:start w:val="1"/>
    </w:lvl>
  </w:abstractNum>
  <w:abstractNum w:abstractNumId="122">
    <w:nsid w:val="DCDF8F6"/>
    <w:multiLevelType w:val="hybridMultilevel"/>
    <w:lvl w:ilvl="0">
      <w:lvlJc w:val="left"/>
      <w:lvlText w:val="(%1)"/>
      <w:numFmt w:val="lowerLetter"/>
      <w:start w:val="1"/>
    </w:lvl>
  </w:abstractNum>
  <w:abstractNum w:abstractNumId="123">
    <w:nsid w:val="52D7B105"/>
    <w:multiLevelType w:val="hybridMultilevel"/>
    <w:lvl w:ilvl="0">
      <w:lvlJc w:val="left"/>
      <w:lvlText w:val="(%1)"/>
      <w:numFmt w:val="lowerLetter"/>
      <w:start w:val="1"/>
    </w:lvl>
  </w:abstractNum>
  <w:abstractNum w:abstractNumId="124">
    <w:nsid w:val="2E8A6394"/>
    <w:multiLevelType w:val="hybridMultilevel"/>
    <w:lvl w:ilvl="0">
      <w:lvlJc w:val="left"/>
      <w:lvlText w:val="(%1)"/>
      <w:numFmt w:val="lowerLetter"/>
      <w:start w:val="2"/>
    </w:lvl>
    <w:lvl w:ilvl="1">
      <w:lvlJc w:val="left"/>
      <w:lvlText w:val="(%2)"/>
      <w:numFmt w:val="lowerRoman"/>
      <w:start w:val="1"/>
    </w:lvl>
  </w:abstractNum>
  <w:abstractNum w:abstractNumId="125">
    <w:nsid w:val="24E60401"/>
    <w:multiLevelType w:val="hybridMultilevel"/>
    <w:lvl w:ilvl="0">
      <w:lvlJc w:val="left"/>
      <w:lvlText w:val="(%1)"/>
      <w:numFmt w:val="lowerRoman"/>
      <w:start w:val="3"/>
    </w:lvl>
    <w:lvl w:ilvl="1">
      <w:lvlJc w:val="left"/>
      <w:lvlText w:val="%2)"/>
      <w:numFmt w:val="decimal"/>
      <w:start w:val="1"/>
    </w:lvl>
  </w:abstractNum>
  <w:abstractNum w:abstractNumId="126">
    <w:nsid w:val="2A6AD9BE"/>
    <w:multiLevelType w:val="hybridMultilevel"/>
    <w:lvl w:ilvl="0">
      <w:lvlJc w:val="left"/>
      <w:lvlText w:val="(%1)"/>
      <w:numFmt w:val="lowerLetter"/>
      <w:start w:val="7"/>
    </w:lvl>
    <w:lvl w:ilvl="1">
      <w:lvlJc w:val="left"/>
      <w:lvlText w:val="(%2)"/>
      <w:numFmt w:val="lowerRoman"/>
      <w:start w:val="1"/>
    </w:lvl>
  </w:abstractNum>
  <w:abstractNum w:abstractNumId="127">
    <w:nsid w:val="BAAC1B4"/>
    <w:multiLevelType w:val="hybridMultilevel"/>
    <w:lvl w:ilvl="0">
      <w:lvlJc w:val="left"/>
      <w:lvlText w:val="%1"/>
      <w:numFmt w:val="lowerLetter"/>
      <w:start w:val="1"/>
    </w:lvl>
    <w:lvl w:ilvl="1">
      <w:lvlJc w:val="left"/>
      <w:lvlText w:val="(%2)"/>
      <w:numFmt w:val="lowerRoman"/>
      <w:start w:val="4"/>
    </w:lvl>
  </w:abstractNum>
  <w:abstractNum w:abstractNumId="128">
    <w:nsid w:val="36B2ACBC"/>
    <w:multiLevelType w:val="hybridMultilevel"/>
    <w:lvl w:ilvl="0">
      <w:lvlJc w:val="left"/>
      <w:lvlText w:val="(%1)"/>
      <w:numFmt w:val="lowerLetter"/>
      <w:start w:val="12"/>
    </w:lvl>
    <w:lvl w:ilvl="1">
      <w:lvlJc w:val="left"/>
      <w:lvlText w:val="(%2)"/>
      <w:numFmt w:val="lowerRoman"/>
      <w:start w:val="1"/>
    </w:lvl>
  </w:abstractNum>
  <w:abstractNum w:abstractNumId="129">
    <w:nsid w:val="779D8544"/>
    <w:multiLevelType w:val="hybridMultilevel"/>
    <w:lvl w:ilvl="0">
      <w:lvlJc w:val="left"/>
      <w:lvlText w:val="(%1)"/>
      <w:numFmt w:val="lowerRoman"/>
      <w:start w:val="2"/>
    </w:lvl>
  </w:abstractNum>
  <w:abstractNum w:abstractNumId="130">
    <w:nsid w:val="4AB26E78"/>
    <w:multiLevelType w:val="hybridMultilevel"/>
    <w:lvl w:ilvl="0">
      <w:lvlJc w:val="left"/>
      <w:lvlText w:val="(%1)"/>
      <w:numFmt w:val="lowerLetter"/>
      <w:start w:val="1"/>
    </w:lvl>
  </w:abstractNum>
  <w:abstractNum w:abstractNumId="131">
    <w:nsid w:val="21FAA2FA"/>
    <w:multiLevelType w:val="hybridMultilevel"/>
    <w:lvl w:ilvl="0">
      <w:lvlJc w:val="left"/>
      <w:lvlText w:val="(%1)"/>
      <w:numFmt w:val="lowerLetter"/>
      <w:start w:val="1"/>
    </w:lvl>
  </w:abstractNum>
  <w:abstractNum w:abstractNumId="132">
    <w:nsid w:val="5451CF49"/>
    <w:multiLevelType w:val="hybridMultilevel"/>
    <w:lvl w:ilvl="0">
      <w:lvlJc w:val="left"/>
      <w:lvlText w:val="(%1)"/>
      <w:numFmt w:val="lowerLetter"/>
      <w:start w:val="1"/>
    </w:lvl>
  </w:abstractNum>
  <w:abstractNum w:abstractNumId="133">
    <w:nsid w:val="6181EF69"/>
    <w:multiLevelType w:val="hybridMultilevel"/>
    <w:lvl w:ilvl="0">
      <w:lvlJc w:val="left"/>
      <w:lvlText w:val="(%1)"/>
      <w:numFmt w:val="lowerLetter"/>
      <w:start w:val="2"/>
    </w:lvl>
    <w:lvl w:ilvl="1">
      <w:lvlJc w:val="left"/>
      <w:lvlText w:val="(%2)"/>
      <w:numFmt w:val="lowerRoman"/>
      <w:start w:val="1"/>
    </w:lvl>
  </w:abstractNum>
  <w:abstractNum w:abstractNumId="134">
    <w:nsid w:val="3E6400E6"/>
    <w:multiLevelType w:val="hybridMultilevel"/>
    <w:lvl w:ilvl="0">
      <w:lvlJc w:val="left"/>
      <w:lvlText w:val="(%1)"/>
      <w:numFmt w:val="lowerRoman"/>
      <w:start w:val="3"/>
    </w:lvl>
    <w:lvl w:ilvl="1">
      <w:lvlJc w:val="left"/>
      <w:lvlText w:val="%2)"/>
      <w:numFmt w:val="decimal"/>
      <w:start w:val="1"/>
    </w:lvl>
  </w:abstractNum>
  <w:abstractNum w:abstractNumId="135">
    <w:nsid w:val="14217E23"/>
    <w:multiLevelType w:val="hybridMultilevel"/>
    <w:lvl w:ilvl="0">
      <w:lvlJc w:val="left"/>
      <w:lvlText w:val="(%1)"/>
      <w:numFmt w:val="lowerLetter"/>
      <w:start w:val="7"/>
    </w:lvl>
    <w:lvl w:ilvl="1">
      <w:lvlJc w:val="left"/>
      <w:lvlText w:val="(%2)"/>
      <w:numFmt w:val="lowerRoman"/>
      <w:start w:val="1"/>
    </w:lvl>
  </w:abstractNum>
  <w:abstractNum w:abstractNumId="136">
    <w:nsid w:val="710757D0"/>
    <w:multiLevelType w:val="hybridMultilevel"/>
    <w:lvl w:ilvl="0">
      <w:lvlJc w:val="left"/>
      <w:lvlText w:val="%1"/>
      <w:numFmt w:val="lowerLetter"/>
      <w:start w:val="1"/>
    </w:lvl>
    <w:lvl w:ilvl="1">
      <w:lvlJc w:val="left"/>
      <w:lvlText w:val="(%2)"/>
      <w:numFmt w:val="lowerRoman"/>
      <w:start w:val="4"/>
    </w:lvl>
  </w:abstractNum>
  <w:abstractNum w:abstractNumId="137">
    <w:nsid w:val="5015CD1A"/>
    <w:multiLevelType w:val="hybridMultilevel"/>
    <w:lvl w:ilvl="0">
      <w:lvlJc w:val="left"/>
      <w:lvlText w:val="(%1)"/>
      <w:numFmt w:val="lowerLetter"/>
      <w:start w:val="12"/>
    </w:lvl>
    <w:lvl w:ilvl="1">
      <w:lvlJc w:val="left"/>
      <w:lvlText w:val="(%2)"/>
      <w:numFmt w:val="lowerRoman"/>
      <w:start w:val="1"/>
    </w:lvl>
  </w:abstractNum>
  <w:abstractNum w:abstractNumId="138">
    <w:nsid w:val="424479DA"/>
    <w:multiLevelType w:val="hybridMultilevel"/>
    <w:lvl w:ilvl="0">
      <w:lvlJc w:val="left"/>
      <w:lvlText w:val="(%1)"/>
      <w:numFmt w:val="lowerRoman"/>
      <w:start w:val="2"/>
    </w:lvl>
  </w:abstractNum>
  <w:abstractNum w:abstractNumId="139">
    <w:nsid w:val="1A9A9E69"/>
    <w:multiLevelType w:val="hybridMultilevel"/>
    <w:lvl w:ilvl="0">
      <w:lvlJc w:val="left"/>
      <w:lvlText w:val="(%1)"/>
      <w:numFmt w:val="lowerLetter"/>
      <w:start w:val="1"/>
    </w:lvl>
  </w:abstractNum>
  <w:abstractNum w:abstractNumId="140">
    <w:nsid w:val="475E256A"/>
    <w:multiLevelType w:val="hybridMultilevel"/>
    <w:lvl w:ilvl="0">
      <w:lvlJc w:val="left"/>
      <w:lvlText w:val="(%1)"/>
      <w:numFmt w:val="lowerLetter"/>
      <w:start w:val="1"/>
    </w:lvl>
  </w:abstractNum>
  <w:abstractNum w:abstractNumId="141">
    <w:nsid w:val="368DB37E"/>
    <w:multiLevelType w:val="hybridMultilevel"/>
    <w:lvl w:ilvl="0">
      <w:lvlJc w:val="left"/>
      <w:lvlText w:val="(%1)"/>
      <w:numFmt w:val="lowerLetter"/>
      <w:start w:val="1"/>
    </w:lvl>
  </w:abstractNum>
  <w:abstractNum w:abstractNumId="142">
    <w:nsid w:val="6A3B714C"/>
    <w:multiLevelType w:val="hybridMultilevel"/>
    <w:lvl w:ilvl="0">
      <w:lvlJc w:val="left"/>
      <w:lvlText w:val="(%1)"/>
      <w:numFmt w:val="lowerLetter"/>
      <w:start w:val="2"/>
    </w:lvl>
    <w:lvl w:ilvl="1">
      <w:lvlJc w:val="left"/>
      <w:lvlText w:val="(%2)"/>
      <w:numFmt w:val="lowerRoman"/>
      <w:start w:val="1"/>
    </w:lvl>
  </w:abstractNum>
  <w:abstractNum w:abstractNumId="143">
    <w:nsid w:val="327B517E"/>
    <w:multiLevelType w:val="hybridMultilevel"/>
    <w:lvl w:ilvl="0">
      <w:lvlJc w:val="left"/>
      <w:lvlText w:val="(%1)"/>
      <w:numFmt w:val="lowerRoman"/>
      <w:start w:val="3"/>
    </w:lvl>
    <w:lvl w:ilvl="1">
      <w:lvlJc w:val="left"/>
      <w:lvlText w:val="%2)"/>
      <w:numFmt w:val="decimal"/>
      <w:start w:val="1"/>
    </w:lvl>
  </w:abstractNum>
  <w:abstractNum w:abstractNumId="144">
    <w:nsid w:val="1F461B51"/>
    <w:multiLevelType w:val="hybridMultilevel"/>
    <w:lvl w:ilvl="0">
      <w:lvlJc w:val="left"/>
      <w:lvlText w:val="(%1)"/>
      <w:numFmt w:val="lowerLetter"/>
      <w:start w:val="7"/>
    </w:lvl>
    <w:lvl w:ilvl="1">
      <w:lvlJc w:val="left"/>
      <w:lvlText w:val="(%2)"/>
      <w:numFmt w:val="lowerRoman"/>
      <w:start w:val="1"/>
    </w:lvl>
  </w:abstractNum>
  <w:abstractNum w:abstractNumId="145">
    <w:nsid w:val="29BACF25"/>
    <w:multiLevelType w:val="hybridMultilevel"/>
    <w:lvl w:ilvl="0">
      <w:lvlJc w:val="left"/>
      <w:lvlText w:val="%1"/>
      <w:numFmt w:val="lowerLetter"/>
      <w:start w:val="1"/>
    </w:lvl>
    <w:lvl w:ilvl="1">
      <w:lvlJc w:val="left"/>
      <w:lvlText w:val="(%2)"/>
      <w:numFmt w:val="lowerRoman"/>
      <w:start w:val="4"/>
    </w:lvl>
  </w:abstractNum>
  <w:abstractNum w:abstractNumId="146">
    <w:nsid w:val="5D5BABB3"/>
    <w:multiLevelType w:val="hybridMultilevel"/>
    <w:lvl w:ilvl="0">
      <w:lvlJc w:val="left"/>
      <w:lvlText w:val="(%1)"/>
      <w:numFmt w:val="lowerLetter"/>
      <w:start w:val="12"/>
    </w:lvl>
    <w:lvl w:ilvl="1">
      <w:lvlJc w:val="left"/>
      <w:lvlText w:val="(%2)"/>
      <w:numFmt w:val="lowerRoman"/>
      <w:start w:val="1"/>
    </w:lvl>
  </w:abstractNum>
  <w:abstractNum w:abstractNumId="147">
    <w:nsid w:val="51BF6B48"/>
    <w:multiLevelType w:val="hybridMultilevel"/>
    <w:lvl w:ilvl="0">
      <w:lvlJc w:val="left"/>
      <w:lvlText w:val="(%1)"/>
      <w:numFmt w:val="lowerRoman"/>
      <w:start w:val="2"/>
    </w:lvl>
  </w:abstractNum>
  <w:abstractNum w:abstractNumId="148">
    <w:nsid w:val="7E0F6384"/>
    <w:multiLevelType w:val="hybridMultilevel"/>
    <w:lvl w:ilvl="0">
      <w:lvlJc w:val="left"/>
      <w:lvlText w:val="(%1)"/>
      <w:numFmt w:val="lowerLetter"/>
      <w:start w:val="1"/>
    </w:lvl>
  </w:abstractNum>
  <w:abstractNum w:abstractNumId="149">
    <w:nsid w:val="2B4B8B53"/>
    <w:multiLevelType w:val="hybridMultilevel"/>
    <w:lvl w:ilvl="0">
      <w:lvlJc w:val="left"/>
      <w:lvlText w:val="(%1)"/>
      <w:numFmt w:val="lowerLetter"/>
      <w:start w:val="1"/>
    </w:lvl>
  </w:abstractNum>
  <w:abstractNum w:abstractNumId="150">
    <w:nsid w:val="72E3413A"/>
    <w:multiLevelType w:val="hybridMultilevel"/>
    <w:lvl w:ilvl="0">
      <w:lvlJc w:val="left"/>
      <w:lvlText w:val="%1."/>
      <w:numFmt w:val="decimal"/>
      <w:start w:val="1"/>
    </w:lvl>
  </w:abstractNum>
  <w:abstractNum w:abstractNumId="151">
    <w:nsid w:val="116AE494"/>
    <w:multiLevelType w:val="hybridMultilevel"/>
    <w:lvl w:ilvl="0">
      <w:lvlJc w:val="left"/>
      <w:lvlText w:val="%1."/>
      <w:numFmt w:val="decimal"/>
      <w:start w:val="36"/>
    </w:lvl>
  </w:abstractNum>
  <w:abstractNum w:abstractNumId="152">
    <w:nsid w:val="3494B2FB"/>
    <w:multiLevelType w:val="hybridMultilevel"/>
    <w:lvl w:ilvl="0">
      <w:lvlJc w:val="left"/>
      <w:lvlText w:val="%1."/>
      <w:numFmt w:val="decimal"/>
      <w:start w:val="2"/>
    </w:lvl>
  </w:abstractNum>
  <w:abstractNum w:abstractNumId="153">
    <w:nsid w:val="B13A31"/>
    <w:multiLevelType w:val="hybridMultilevel"/>
    <w:lvl w:ilvl="0">
      <w:lvlJc w:val="left"/>
      <w:lvlText w:val="%1."/>
      <w:numFmt w:val="decimal"/>
      <w:start w:val="1"/>
    </w:lvl>
  </w:abstractNum>
  <w:abstractNum w:abstractNumId="154">
    <w:nsid w:val="64429599"/>
    <w:multiLevelType w:val="hybridMultilevel"/>
    <w:lvl w:ilvl="0">
      <w:lvlJc w:val="left"/>
      <w:lvlText w:val="%1."/>
      <w:numFmt w:val="decimal"/>
      <w:start w:val="36"/>
    </w:lvl>
  </w:abstractNum>
  <w:abstractNum w:abstractNumId="155">
    <w:nsid w:val="631F1690"/>
    <w:multiLevelType w:val="hybridMultilevel"/>
    <w:lvl w:ilvl="0">
      <w:lvlJc w:val="left"/>
      <w:lvlText w:val="%1."/>
      <w:numFmt w:val="decimal"/>
      <w:start w:val="2"/>
    </w:lvl>
  </w:abstractNum>
  <w:abstractNum w:abstractNumId="156">
    <w:nsid w:val="25973E32"/>
    <w:multiLevelType w:val="hybridMultilevel"/>
    <w:lvl w:ilvl="0">
      <w:lvlJc w:val="left"/>
      <w:lvlText w:val="%1."/>
      <w:numFmt w:val="decimal"/>
      <w:start w:val="1"/>
    </w:lvl>
  </w:abstractNum>
  <w:abstractNum w:abstractNumId="157">
    <w:nsid w:val="EAD6F57"/>
    <w:multiLevelType w:val="hybridMultilevel"/>
    <w:lvl w:ilvl="0">
      <w:lvlJc w:val="left"/>
      <w:lvlText w:val="%1."/>
      <w:numFmt w:val="decimal"/>
      <w:start w:val="36"/>
    </w:lvl>
  </w:abstractNum>
  <w:abstractNum w:abstractNumId="158">
    <w:nsid w:val="6EC9D844"/>
    <w:multiLevelType w:val="hybridMultilevel"/>
    <w:lvl w:ilvl="0">
      <w:lvlJc w:val="left"/>
      <w:lvlText w:val="%1."/>
      <w:numFmt w:val="decimal"/>
      <w:start w:val="2"/>
    </w:lvl>
  </w:abstractNum>
  <w:abstractNum w:abstractNumId="159">
    <w:nsid w:val="5C49EAEE"/>
    <w:multiLevelType w:val="hybridMultilevel"/>
    <w:lvl w:ilvl="0">
      <w:lvlJc w:val="left"/>
      <w:lvlText w:val="%1."/>
      <w:numFmt w:val="decimal"/>
      <w:start w:val="1"/>
    </w:lvl>
  </w:abstractNum>
  <w:abstractNum w:abstractNumId="160">
    <w:nsid w:val="64AF49B"/>
    <w:multiLevelType w:val="hybridMultilevel"/>
    <w:lvl w:ilvl="0">
      <w:lvlJc w:val="left"/>
      <w:lvlText w:val="%1."/>
      <w:numFmt w:val="decimal"/>
      <w:start w:val="2"/>
    </w:lvl>
  </w:abstractNum>
  <w:abstractNum w:abstractNumId="161">
    <w:nsid w:val="397C46BC"/>
    <w:multiLevelType w:val="hybridMultilevel"/>
    <w:lvl w:ilvl="0">
      <w:lvlJc w:val="left"/>
      <w:lvlText w:val="%1."/>
      <w:numFmt w:val="decimal"/>
      <w:start w:val="1"/>
    </w:lvl>
  </w:abstractNum>
  <w:abstractNum w:abstractNumId="162">
    <w:nsid w:val="7E448DE9"/>
    <w:multiLevelType w:val="hybridMultilevel"/>
    <w:lvl w:ilvl="0">
      <w:lvlJc w:val="left"/>
      <w:lvlText w:val="%1."/>
      <w:numFmt w:val="decimal"/>
      <w:start w:val="2"/>
    </w:lvl>
  </w:abstractNum>
  <w:abstractNum w:abstractNumId="163">
    <w:nsid w:val="5A9CC3E5"/>
    <w:multiLevelType w:val="hybridMultilevel"/>
    <w:lvl w:ilvl="0">
      <w:lvlJc w:val="left"/>
      <w:lvlText w:val="%1."/>
      <w:numFmt w:val="decimal"/>
      <w:start w:val="1"/>
    </w:lvl>
  </w:abstractNum>
  <w:abstractNum w:abstractNumId="164">
    <w:nsid w:val="1AFE3625"/>
    <w:multiLevelType w:val="hybridMultilevel"/>
    <w:lvl w:ilvl="0">
      <w:lvlJc w:val="left"/>
      <w:lvlText w:val="%1."/>
      <w:numFmt w:val="decimal"/>
      <w:start w:val="2"/>
    </w:lvl>
  </w:abstractNum>
  <w:abstractNum w:abstractNumId="165">
    <w:nsid w:val="3CA88ECF"/>
    <w:multiLevelType w:val="hybridMultilevel"/>
    <w:lvl w:ilvl="0">
      <w:lvlJc w:val="left"/>
      <w:lvlText w:val="%1."/>
      <w:numFmt w:val="decimal"/>
      <w:start w:val="1"/>
    </w:lvl>
  </w:abstractNum>
  <w:abstractNum w:abstractNumId="166">
    <w:nsid w:val="6EBE4208"/>
    <w:multiLevelType w:val="hybridMultilevel"/>
    <w:lvl w:ilvl="0">
      <w:lvlJc w:val="left"/>
      <w:lvlText w:val="%1."/>
      <w:numFmt w:val="decimal"/>
      <w:start w:val="36"/>
    </w:lvl>
  </w:abstractNum>
  <w:abstractNum w:abstractNumId="167">
    <w:nsid w:val="C058DF5"/>
    <w:multiLevelType w:val="hybridMultilevel"/>
    <w:lvl w:ilvl="0">
      <w:lvlJc w:val="left"/>
      <w:lvlText w:val="%1."/>
      <w:numFmt w:val="decimal"/>
      <w:start w:val="2"/>
    </w:lvl>
  </w:abstractNum>
  <w:abstractNum w:abstractNumId="168">
    <w:nsid w:val="CBE5BE9"/>
    <w:multiLevelType w:val="hybridMultilevel"/>
    <w:lvl w:ilvl="0">
      <w:lvlJc w:val="left"/>
      <w:lvlText w:val="%1."/>
      <w:numFmt w:val="decimal"/>
      <w:start w:val="1"/>
    </w:lvl>
  </w:abstractNum>
  <w:abstractNum w:abstractNumId="169">
    <w:nsid w:val="3102BBE2"/>
    <w:multiLevelType w:val="hybridMultilevel"/>
    <w:lvl w:ilvl="0">
      <w:lvlJc w:val="left"/>
      <w:lvlText w:val="%1."/>
      <w:numFmt w:val="decimal"/>
      <w:start w:val="36"/>
    </w:lvl>
  </w:abstractNum>
  <w:abstractNum w:abstractNumId="170">
    <w:nsid w:val="26A02C5E"/>
    <w:multiLevelType w:val="hybridMultilevel"/>
    <w:lvl w:ilvl="0">
      <w:lvlJc w:val="left"/>
      <w:lvlText w:val="%1."/>
      <w:numFmt w:val="decimal"/>
      <w:start w:val="2"/>
    </w:lvl>
  </w:abstractNum>
  <w:abstractNum w:abstractNumId="171">
    <w:nsid w:val="541C8153"/>
    <w:multiLevelType w:val="hybridMultilevel"/>
    <w:lvl w:ilvl="0">
      <w:lvlJc w:val="left"/>
      <w:lvlText w:val="%1."/>
      <w:numFmt w:val="decimal"/>
      <w:start w:val="1"/>
    </w:lvl>
  </w:abstractNum>
  <w:abstractNum w:abstractNumId="172">
    <w:nsid w:val="67906F60"/>
    <w:multiLevelType w:val="hybridMultilevel"/>
    <w:lvl w:ilvl="0">
      <w:lvlJc w:val="left"/>
      <w:lvlText w:val="%1."/>
      <w:numFmt w:val="decimal"/>
      <w:start w:val="2"/>
    </w:lvl>
  </w:abstractNum>
  <w:abstractNum w:abstractNumId="173">
    <w:nsid w:val="10DB9DAA"/>
    <w:multiLevelType w:val="hybridMultilevel"/>
    <w:lvl w:ilvl="0">
      <w:lvlJc w:val="left"/>
      <w:lvlText w:val="%1."/>
      <w:numFmt w:val="decimal"/>
      <w:start w:val="1"/>
    </w:lvl>
  </w:abstractNum>
  <w:abstractNum w:abstractNumId="174">
    <w:nsid w:val="697D2D2"/>
    <w:multiLevelType w:val="hybridMultilevel"/>
    <w:lvl w:ilvl="0">
      <w:lvlJc w:val="left"/>
      <w:lvlText w:val="%1."/>
      <w:numFmt w:val="decimal"/>
      <w:start w:val="2"/>
    </w:lvl>
  </w:abstractNum>
  <w:abstractNum w:abstractNumId="175">
    <w:nsid w:val="6D68AB2"/>
    <w:multiLevelType w:val="hybridMultilevel"/>
    <w:lvl w:ilvl="0">
      <w:lvlJc w:val="left"/>
      <w:lvlText w:val="%1."/>
      <w:numFmt w:val="decimal"/>
      <w:start w:val="1"/>
    </w:lvl>
  </w:abstractNum>
  <w:abstractNum w:abstractNumId="176">
    <w:nsid w:val="3A966CD0"/>
    <w:multiLevelType w:val="hybridMultilevel"/>
    <w:lvl w:ilvl="0">
      <w:lvlJc w:val="left"/>
      <w:lvlText w:val="%1."/>
      <w:numFmt w:val="decimal"/>
      <w:start w:val="36"/>
    </w:lvl>
  </w:abstractNum>
  <w:abstractNum w:abstractNumId="177">
    <w:nsid w:val="63F37E85"/>
    <w:multiLevelType w:val="hybridMultilevel"/>
    <w:lvl w:ilvl="0">
      <w:lvlJc w:val="left"/>
      <w:lvlText w:val="%1."/>
      <w:numFmt w:val="decimal"/>
      <w:start w:val="2"/>
    </w:lvl>
  </w:abstractNum>
  <w:abstractNum w:abstractNumId="178">
    <w:nsid w:val="5895F5FA"/>
    <w:multiLevelType w:val="hybridMultilevel"/>
    <w:lvl w:ilvl="0">
      <w:lvlJc w:val="left"/>
      <w:lvlText w:val="%1."/>
      <w:numFmt w:val="decimal"/>
      <w:start w:val="1"/>
    </w:lvl>
  </w:abstractNum>
  <w:abstractNum w:abstractNumId="179">
    <w:nsid w:val="38A5D054"/>
    <w:multiLevelType w:val="hybridMultilevel"/>
    <w:lvl w:ilvl="0">
      <w:lvlJc w:val="left"/>
      <w:lvlText w:val="%1."/>
      <w:numFmt w:val="decimal"/>
      <w:start w:val="36"/>
    </w:lvl>
  </w:abstractNum>
  <w:abstractNum w:abstractNumId="180">
    <w:nsid w:val="F3F09D8"/>
    <w:multiLevelType w:val="hybridMultilevel"/>
    <w:lvl w:ilvl="0">
      <w:lvlJc w:val="left"/>
      <w:lvlText w:val="%1."/>
      <w:numFmt w:val="decimal"/>
      <w:start w:val="2"/>
    </w:lvl>
  </w:abstractNum>
  <w:abstractNum w:abstractNumId="181">
    <w:nsid w:val="4B793735"/>
    <w:multiLevelType w:val="hybridMultilevel"/>
    <w:lvl w:ilvl="0">
      <w:lvlJc w:val="left"/>
      <w:lvlText w:val="%1."/>
      <w:numFmt w:val="decimal"/>
      <w:start w:val="1"/>
    </w:lvl>
  </w:abstractNum>
  <w:abstractNum w:abstractNumId="182">
    <w:nsid w:val="4A10B4E8"/>
    <w:multiLevelType w:val="hybridMultilevel"/>
    <w:lvl w:ilvl="0">
      <w:lvlJc w:val="left"/>
      <w:lvlText w:val="%1."/>
      <w:numFmt w:val="decimal"/>
      <w:start w:val="2"/>
    </w:lvl>
  </w:abstractNum>
  <w:abstractNum w:abstractNumId="183">
    <w:nsid w:val="43D3BCD4"/>
    <w:multiLevelType w:val="hybridMultilevel"/>
    <w:lvl w:ilvl="0">
      <w:lvlJc w:val="left"/>
      <w:lvlText w:val="%1."/>
      <w:numFmt w:val="decimal"/>
      <w:start w:val="1"/>
    </w:lvl>
  </w:abstractNum>
  <w:abstractNum w:abstractNumId="184">
    <w:nsid w:val="4C2A7166"/>
    <w:multiLevelType w:val="hybridMultilevel"/>
    <w:lvl w:ilvl="0">
      <w:lvlJc w:val="left"/>
      <w:lvlText w:val="%1."/>
      <w:numFmt w:val="decimal"/>
      <w:start w:val="2"/>
    </w:lvl>
  </w:abstractNum>
  <w:abstractNum w:abstractNumId="185">
    <w:nsid w:val="2E534A82"/>
    <w:multiLevelType w:val="hybridMultilevel"/>
    <w:lvl w:ilvl="0">
      <w:lvlJc w:val="left"/>
      <w:lvlText w:val="%1."/>
      <w:numFmt w:val="decimal"/>
      <w:start w:val="1"/>
    </w:lvl>
  </w:abstractNum>
  <w:abstractNum w:abstractNumId="186">
    <w:nsid w:val="26F2D364"/>
    <w:multiLevelType w:val="hybridMultilevel"/>
    <w:lvl w:ilvl="0">
      <w:lvlJc w:val="left"/>
      <w:lvlText w:val="%1."/>
      <w:numFmt w:val="decimal"/>
      <w:start w:val="36"/>
    </w:lvl>
  </w:abstractNum>
  <w:abstractNum w:abstractNumId="187">
    <w:nsid w:val="71C1AF98"/>
    <w:multiLevelType w:val="hybridMultilevel"/>
    <w:lvl w:ilvl="0">
      <w:lvlJc w:val="left"/>
      <w:lvlText w:val="%1."/>
      <w:numFmt w:val="decimal"/>
      <w:start w:val="2"/>
    </w:lvl>
  </w:abstractNum>
  <w:abstractNum w:abstractNumId="188">
    <w:nsid w:val="3D00B9D9"/>
    <w:multiLevelType w:val="hybridMultilevel"/>
    <w:lvl w:ilvl="0">
      <w:lvlJc w:val="left"/>
      <w:lvlText w:val="%1."/>
      <w:numFmt w:val="decimal"/>
      <w:start w:val="1"/>
    </w:lvl>
  </w:abstractNum>
  <w:abstractNum w:abstractNumId="189">
    <w:nsid w:val="15BCABA8"/>
    <w:multiLevelType w:val="hybridMultilevel"/>
    <w:lvl w:ilvl="0">
      <w:lvlJc w:val="left"/>
      <w:lvlText w:val="%1."/>
      <w:numFmt w:val="decimal"/>
      <w:start w:val="36"/>
    </w:lvl>
  </w:abstractNum>
  <w:abstractNum w:abstractNumId="190">
    <w:nsid w:val="4E0B9A87"/>
    <w:multiLevelType w:val="hybridMultilevel"/>
    <w:lvl w:ilvl="0">
      <w:lvlJc w:val="left"/>
      <w:lvlText w:val="%1."/>
      <w:numFmt w:val="decimal"/>
      <w:start w:val="2"/>
    </w:lvl>
  </w:abstractNum>
  <w:abstractNum w:abstractNumId="191">
    <w:nsid w:val="434BAE75"/>
    <w:multiLevelType w:val="hybridMultilevel"/>
    <w:lvl w:ilvl="0">
      <w:lvlJc w:val="left"/>
      <w:lvlText w:val="%1."/>
      <w:numFmt w:val="decimal"/>
      <w:start w:val="1"/>
    </w:lvl>
  </w:abstractNum>
  <w:abstractNum w:abstractNumId="192">
    <w:nsid w:val="4F38F265"/>
    <w:multiLevelType w:val="hybridMultilevel"/>
    <w:lvl w:ilvl="0">
      <w:lvlJc w:val="left"/>
      <w:lvlText w:val="%1."/>
      <w:numFmt w:val="decimal"/>
      <w:start w:val="2"/>
    </w:lvl>
  </w:abstractNum>
  <w:abstractNum w:abstractNumId="193">
    <w:nsid w:val="4C502870"/>
    <w:multiLevelType w:val="hybridMultilevel"/>
    <w:lvl w:ilvl="0">
      <w:lvlJc w:val="left"/>
      <w:lvlText w:val="%1."/>
      <w:numFmt w:val="decimal"/>
      <w:start w:val="1"/>
    </w:lvl>
  </w:abstractNum>
  <w:abstractNum w:abstractNumId="194">
    <w:nsid w:val="1DE8725A"/>
    <w:multiLevelType w:val="hybridMultilevel"/>
    <w:lvl w:ilvl="0">
      <w:lvlJc w:val="left"/>
      <w:lvlText w:val="%1."/>
      <w:numFmt w:val="decimal"/>
      <w:start w:val="2"/>
    </w:lvl>
  </w:abstractNum>
  <w:abstractNum w:abstractNumId="195">
    <w:nsid w:val="6A37288A"/>
    <w:multiLevelType w:val="hybridMultilevel"/>
    <w:lvl w:ilvl="0">
      <w:lvlJc w:val="left"/>
      <w:lvlText w:val="%1."/>
      <w:numFmt w:val="decimal"/>
      <w:start w:val="1"/>
    </w:lvl>
  </w:abstractNum>
  <w:abstractNum w:abstractNumId="196">
    <w:nsid w:val="8F8B73F"/>
    <w:multiLevelType w:val="hybridMultilevel"/>
    <w:lvl w:ilvl="0">
      <w:lvlJc w:val="left"/>
      <w:lvlText w:val="%1."/>
      <w:numFmt w:val="decimal"/>
      <w:start w:val="36"/>
    </w:lvl>
  </w:abstractNum>
  <w:abstractNum w:abstractNumId="197">
    <w:nsid w:val="CA6B462"/>
    <w:multiLevelType w:val="hybridMultilevel"/>
    <w:lvl w:ilvl="0">
      <w:lvlJc w:val="left"/>
      <w:lvlText w:val="%1."/>
      <w:numFmt w:val="decimal"/>
      <w:start w:val="2"/>
    </w:lvl>
  </w:abstractNum>
  <w:abstractNum w:abstractNumId="198">
    <w:nsid w:val="763CB680"/>
    <w:multiLevelType w:val="hybridMultilevel"/>
    <w:lvl w:ilvl="0">
      <w:lvlJc w:val="left"/>
      <w:lvlText w:val="%1."/>
      <w:numFmt w:val="decimal"/>
      <w:start w:val="1"/>
    </w:lvl>
  </w:abstractNum>
  <w:abstractNum w:abstractNumId="199">
    <w:nsid w:val="15B71329"/>
    <w:multiLevelType w:val="hybridMultilevel"/>
    <w:lvl w:ilvl="0">
      <w:lvlJc w:val="left"/>
      <w:lvlText w:val="%1."/>
      <w:numFmt w:val="decimal"/>
      <w:start w:val="36"/>
    </w:lvl>
  </w:abstractNum>
  <w:abstractNum w:abstractNumId="200">
    <w:nsid w:val="3DA97044"/>
    <w:multiLevelType w:val="hybridMultilevel"/>
    <w:lvl w:ilvl="0">
      <w:lvlJc w:val="left"/>
      <w:lvlText w:val="%1."/>
      <w:numFmt w:val="decimal"/>
      <w:start w:val="2"/>
    </w:lvl>
  </w:abstractNum>
  <w:abstractNum w:abstractNumId="201">
    <w:nsid w:val="1CDCE2DE"/>
    <w:multiLevelType w:val="hybridMultilevel"/>
    <w:lvl w:ilvl="0">
      <w:lvlJc w:val="left"/>
      <w:lvlText w:val="%1."/>
      <w:numFmt w:val="decimal"/>
      <w:start w:val="1"/>
    </w:lvl>
  </w:abstractNum>
  <w:abstractNum w:abstractNumId="202">
    <w:nsid w:val="69D3947C"/>
    <w:multiLevelType w:val="hybridMultilevel"/>
    <w:lvl w:ilvl="0">
      <w:lvlJc w:val="left"/>
      <w:lvlText w:val="%1."/>
      <w:numFmt w:val="decimal"/>
      <w:start w:val="2"/>
    </w:lvl>
  </w:abstractNum>
  <w:abstractNum w:abstractNumId="203">
    <w:nsid w:val="2539DFA5"/>
    <w:multiLevelType w:val="hybridMultilevel"/>
    <w:lvl w:ilvl="0">
      <w:lvlJc w:val="left"/>
      <w:lvlText w:val="%1."/>
      <w:numFmt w:val="decimal"/>
      <w:start w:val="1"/>
    </w:lvl>
  </w:abstractNum>
  <w:abstractNum w:abstractNumId="204">
    <w:nsid w:val="2DB88089"/>
    <w:multiLevelType w:val="hybridMultilevel"/>
    <w:lvl w:ilvl="0">
      <w:lvlJc w:val="left"/>
      <w:lvlText w:val="%1."/>
      <w:numFmt w:val="decimal"/>
      <w:start w:val="2"/>
    </w:lvl>
  </w:abstractNum>
  <w:abstractNum w:abstractNumId="205">
    <w:nsid w:val="706B674E"/>
    <w:multiLevelType w:val="hybridMultilevel"/>
    <w:lvl w:ilvl="0">
      <w:lvlJc w:val="left"/>
      <w:lvlText w:val="%1."/>
      <w:numFmt w:val="decimal"/>
      <w:start w:val="1"/>
    </w:lvl>
  </w:abstractNum>
  <w:abstractNum w:abstractNumId="206">
    <w:nsid w:val="2C106A57"/>
    <w:multiLevelType w:val="hybridMultilevel"/>
    <w:lvl w:ilvl="0">
      <w:lvlJc w:val="left"/>
      <w:lvlText w:val="%1."/>
      <w:numFmt w:val="decimal"/>
      <w:start w:val="1"/>
    </w:lvl>
  </w:abstractNum>
  <w:abstractNum w:abstractNumId="207">
    <w:nsid w:val="684EED59"/>
    <w:multiLevelType w:val="hybridMultilevel"/>
    <w:lvl w:ilvl="0">
      <w:lvlJc w:val="left"/>
      <w:lvlText w:val="(%1)"/>
      <w:numFmt w:val="lowerLetter"/>
      <w:start w:val="1"/>
    </w:lvl>
  </w:abstractNum>
  <w:abstractNum w:abstractNumId="208">
    <w:nsid w:val="545EE5D3"/>
    <w:multiLevelType w:val="hybridMultilevel"/>
    <w:lvl w:ilvl="0">
      <w:lvlJc w:val="left"/>
      <w:lvlText w:val="(%1)"/>
      <w:numFmt w:val="lowerRoman"/>
      <w:start w:val="1"/>
    </w:lvl>
  </w:abstractNum>
  <w:abstractNum w:abstractNumId="209">
    <w:nsid w:val="4A66051"/>
    <w:multiLevelType w:val="hybridMultilevel"/>
    <w:lvl w:ilvl="0">
      <w:lvlJc w:val="left"/>
      <w:lvlText w:val="(%1)"/>
      <w:numFmt w:val="lowerRoman"/>
      <w:start w:val="4"/>
    </w:lvl>
  </w:abstractNum>
  <w:abstractNum w:abstractNumId="210">
    <w:nsid w:val="20F4BDAD"/>
    <w:multiLevelType w:val="hybridMultilevel"/>
    <w:lvl w:ilvl="0">
      <w:lvlJc w:val="left"/>
      <w:lvlText w:val="(%1)"/>
      <w:numFmt w:val="lowerLetter"/>
      <w:start w:val="3"/>
    </w:lvl>
  </w:abstractNum>
  <w:abstractNum w:abstractNumId="211">
    <w:nsid w:val="639DEFAC"/>
    <w:multiLevelType w:val="hybridMultilevel"/>
    <w:lvl w:ilvl="0">
      <w:lvlJc w:val="left"/>
      <w:lvlText w:val="(%1)"/>
      <w:numFmt w:val="lowerLetter"/>
      <w:start w:val="8"/>
    </w:lvl>
    <w:lvl w:ilvl="1">
      <w:lvlJc w:val="left"/>
      <w:lvlText w:val="(%2)"/>
      <w:numFmt w:val="lowerRoman"/>
      <w:start w:val="1"/>
    </w:lvl>
  </w:abstractNum>
  <w:abstractNum w:abstractNumId="212">
    <w:nsid w:val="501F9786"/>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13">
    <w:nsid w:val="6B057295"/>
    <w:multiLevelType w:val="hybridMultilevel"/>
    <w:lvl w:ilvl="0">
      <w:lvlJc w:val="left"/>
      <w:lvlText w:val="(%1)"/>
      <w:numFmt w:val="decimal"/>
      <w:start w:val="30"/>
    </w:lvl>
    <w:lvl w:ilvl="1">
      <w:lvlJc w:val="left"/>
      <w:lvlText w:val="%2"/>
      <w:numFmt w:val="decimal"/>
      <w:start w:val="1"/>
    </w:lvl>
    <w:lvl w:ilvl="2">
      <w:lvlJc w:val="left"/>
      <w:lvlText w:val="%3."/>
      <w:numFmt w:val="lowerLetter"/>
      <w:start w:val="2"/>
    </w:lvl>
  </w:abstractNum>
  <w:abstractNum w:abstractNumId="214">
    <w:nsid w:val="2771AC80"/>
    <w:multiLevelType w:val="hybridMultilevel"/>
    <w:lvl w:ilvl="0">
      <w:lvlJc w:val="left"/>
      <w:lvlText w:val="(%1)"/>
      <w:numFmt w:val="decimal"/>
      <w:start w:val="1"/>
    </w:lvl>
    <w:lvl w:ilvl="1">
      <w:lvlJc w:val="left"/>
      <w:lvlText w:val="(%2)"/>
      <w:numFmt w:val="decimal"/>
      <w:start w:val="2"/>
    </w:lvl>
  </w:abstractNum>
  <w:abstractNum w:abstractNumId="215">
    <w:nsid w:val="1C4A08EC"/>
    <w:multiLevelType w:val="hybridMultilevel"/>
    <w:lvl w:ilvl="0">
      <w:lvlJc w:val="left"/>
      <w:lvlText w:val="%1."/>
      <w:numFmt w:val="decimal"/>
      <w:start w:val="5"/>
    </w:lvl>
  </w:abstractNum>
  <w:abstractNum w:abstractNumId="216">
    <w:nsid w:val="1958BD17"/>
    <w:multiLevelType w:val="hybridMultilevel"/>
    <w:lvl w:ilvl="0">
      <w:lvlJc w:val="left"/>
      <w:lvlText w:val="%1."/>
      <w:numFmt w:val="decimal"/>
      <w:start w:val="1"/>
    </w:lvl>
    <w:lvl w:ilvl="1">
      <w:lvlJc w:val="left"/>
      <w:lvlText w:val="(%2)"/>
      <w:numFmt w:val="lowerLetter"/>
      <w:start w:val="1"/>
    </w:lvl>
  </w:abstractNum>
  <w:abstractNum w:abstractNumId="217">
    <w:nsid w:val="4E647FE4"/>
    <w:multiLevelType w:val="hybridMultilevel"/>
    <w:lvl w:ilvl="0">
      <w:lvlJc w:val="left"/>
      <w:lvlText w:val="%1."/>
      <w:numFmt w:val="decimal"/>
      <w:start w:val="1"/>
    </w:lvl>
    <w:lvl w:ilvl="1">
      <w:lvlJc w:val="left"/>
      <w:lvlText w:val="(%2)"/>
      <w:numFmt w:val="lowerLetter"/>
      <w:start w:val="1"/>
    </w:lvl>
  </w:abstractNum>
  <w:abstractNum w:abstractNumId="218">
    <w:nsid w:val="E0BB885"/>
    <w:multiLevelType w:val="hybridMultilevel"/>
    <w:lvl w:ilvl="0">
      <w:lvlJc w:val="left"/>
      <w:lvlText w:val="(%1)"/>
      <w:numFmt w:val="decimal"/>
      <w:start w:val="1"/>
    </w:lvl>
  </w:abstractNum>
  <w:abstractNum w:abstractNumId="219">
    <w:nsid w:val="565976F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37" Type="http://schemas.openxmlformats.org/officeDocument/2006/relationships/image" Target="media/image104.png"/><Relationship Id="rId138"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159" Type="http://schemas.openxmlformats.org/officeDocument/2006/relationships/image" Target="media/image108.png"/><Relationship Id="rId160" Type="http://schemas.openxmlformats.org/officeDocument/2006/relationships/image" Target="media/image109.png"/><Relationship Id="rId161" Type="http://schemas.openxmlformats.org/officeDocument/2006/relationships/image" Target="media/image110.png"/><Relationship Id="rId162" Type="http://schemas.openxmlformats.org/officeDocument/2006/relationships/image" Target="media/image111.png"/><Relationship Id="rId163" Type="http://schemas.openxmlformats.org/officeDocument/2006/relationships/image" Target="media/image112.png"/><Relationship Id="rId164" Type="http://schemas.openxmlformats.org/officeDocument/2006/relationships/image" Target="media/image113.png"/><Relationship Id="rId165" Type="http://schemas.openxmlformats.org/officeDocument/2006/relationships/image" Target="media/image114.png"/><Relationship Id="rId166" Type="http://schemas.openxmlformats.org/officeDocument/2006/relationships/image" Target="media/image115.png"/><Relationship Id="rId167" Type="http://schemas.openxmlformats.org/officeDocument/2006/relationships/image" Target="media/image116.png"/><Relationship Id="rId168" Type="http://schemas.openxmlformats.org/officeDocument/2006/relationships/image" Target="media/image117.png"/><Relationship Id="rId169" Type="http://schemas.openxmlformats.org/officeDocument/2006/relationships/image" Target="media/image118.png"/><Relationship Id="rId170" Type="http://schemas.openxmlformats.org/officeDocument/2006/relationships/image" Target="media/image119.png"/><Relationship Id="rId171" Type="http://schemas.openxmlformats.org/officeDocument/2006/relationships/image" Target="media/image120.png"/><Relationship Id="rId172" Type="http://schemas.openxmlformats.org/officeDocument/2006/relationships/image" Target="media/image121.png"/><Relationship Id="rId173" Type="http://schemas.openxmlformats.org/officeDocument/2006/relationships/image" Target="media/image122.png"/><Relationship Id="rId174" Type="http://schemas.openxmlformats.org/officeDocument/2006/relationships/image" Target="media/image123.png"/><Relationship Id="rId175" Type="http://schemas.openxmlformats.org/officeDocument/2006/relationships/image" Target="media/image124.png"/><Relationship Id="rId176" Type="http://schemas.openxmlformats.org/officeDocument/2006/relationships/image" Target="media/image125.png"/><Relationship Id="rId177" Type="http://schemas.openxmlformats.org/officeDocument/2006/relationships/image" Target="media/image126.png"/><Relationship Id="rId178" Type="http://schemas.openxmlformats.org/officeDocument/2006/relationships/image" Target="media/image127.png"/><Relationship Id="rId179" Type="http://schemas.openxmlformats.org/officeDocument/2006/relationships/image" Target="media/image128.png"/><Relationship Id="rId180" Type="http://schemas.openxmlformats.org/officeDocument/2006/relationships/image" Target="media/image129.png"/><Relationship Id="rId181" Type="http://schemas.openxmlformats.org/officeDocument/2006/relationships/image" Target="media/image130.png"/><Relationship Id="rId182" Type="http://schemas.openxmlformats.org/officeDocument/2006/relationships/image" Target="media/image131.png"/><Relationship Id="rId183" Type="http://schemas.openxmlformats.org/officeDocument/2006/relationships/image" Target="media/image132.png"/><Relationship Id="rId184" Type="http://schemas.openxmlformats.org/officeDocument/2006/relationships/image" Target="media/image133.png"/><Relationship Id="rId185" Type="http://schemas.openxmlformats.org/officeDocument/2006/relationships/image" Target="media/image134.png"/><Relationship Id="rId186" Type="http://schemas.openxmlformats.org/officeDocument/2006/relationships/image" Target="media/image135.png"/><Relationship Id="rId187" Type="http://schemas.openxmlformats.org/officeDocument/2006/relationships/image" Target="media/image136.png"/><Relationship Id="rId188" Type="http://schemas.openxmlformats.org/officeDocument/2006/relationships/image" Target="media/image137.png"/><Relationship Id="rId189" Type="http://schemas.openxmlformats.org/officeDocument/2006/relationships/image" Target="media/image138.png"/><Relationship Id="rId190" Type="http://schemas.openxmlformats.org/officeDocument/2006/relationships/image" Target="media/image139.png"/><Relationship Id="rId191" Type="http://schemas.openxmlformats.org/officeDocument/2006/relationships/image" Target="media/image140.png"/><Relationship Id="rId192" Type="http://schemas.openxmlformats.org/officeDocument/2006/relationships/image" Target="media/image141.png"/><Relationship Id="rId193" Type="http://schemas.openxmlformats.org/officeDocument/2006/relationships/image" Target="media/image142.png"/><Relationship Id="rId194" Type="http://schemas.openxmlformats.org/officeDocument/2006/relationships/image" Target="media/image143.png"/><Relationship Id="rId195" Type="http://schemas.openxmlformats.org/officeDocument/2006/relationships/image" Target="media/image144.png"/><Relationship Id="rId196" Type="http://schemas.openxmlformats.org/officeDocument/2006/relationships/image" Target="media/image145.png"/><Relationship Id="rId197" Type="http://schemas.openxmlformats.org/officeDocument/2006/relationships/image" Target="media/image146.png"/><Relationship Id="rId198" Type="http://schemas.openxmlformats.org/officeDocument/2006/relationships/image" Target="media/image147.png"/><Relationship Id="rId199" Type="http://schemas.openxmlformats.org/officeDocument/2006/relationships/image" Target="media/image148.png"/><Relationship Id="rId200" Type="http://schemas.openxmlformats.org/officeDocument/2006/relationships/image" Target="media/image149.png"/><Relationship Id="rId201" Type="http://schemas.openxmlformats.org/officeDocument/2006/relationships/image" Target="media/image150.png"/><Relationship Id="rId202" Type="http://schemas.openxmlformats.org/officeDocument/2006/relationships/image" Target="media/image151.png"/><Relationship Id="rId203" Type="http://schemas.openxmlformats.org/officeDocument/2006/relationships/image" Target="media/image152.png"/><Relationship Id="rId204" Type="http://schemas.openxmlformats.org/officeDocument/2006/relationships/image" Target="media/image153.png"/><Relationship Id="rId205" Type="http://schemas.openxmlformats.org/officeDocument/2006/relationships/image" Target="media/image154.png"/><Relationship Id="rId206" Type="http://schemas.openxmlformats.org/officeDocument/2006/relationships/image" Target="media/image155.png"/><Relationship Id="rId207" Type="http://schemas.openxmlformats.org/officeDocument/2006/relationships/image" Target="media/image156.png"/><Relationship Id="rId208" Type="http://schemas.openxmlformats.org/officeDocument/2006/relationships/image" Target="media/image157.png"/><Relationship Id="rId209" Type="http://schemas.openxmlformats.org/officeDocument/2006/relationships/image" Target="media/image158.png"/><Relationship Id="rId210" Type="http://schemas.openxmlformats.org/officeDocument/2006/relationships/image" Target="media/image159.png"/><Relationship Id="rId211" Type="http://schemas.openxmlformats.org/officeDocument/2006/relationships/image" Target="media/image160.png"/><Relationship Id="rId212" Type="http://schemas.openxmlformats.org/officeDocument/2006/relationships/image" Target="media/image161.png"/><Relationship Id="rId213" Type="http://schemas.openxmlformats.org/officeDocument/2006/relationships/image" Target="media/image162.png"/><Relationship Id="rId214" Type="http://schemas.openxmlformats.org/officeDocument/2006/relationships/image" Target="media/image163.png"/><Relationship Id="rId215" Type="http://schemas.openxmlformats.org/officeDocument/2006/relationships/image" Target="media/image164.png"/><Relationship Id="rId216" Type="http://schemas.openxmlformats.org/officeDocument/2006/relationships/image" Target="media/image165.png"/><Relationship Id="rId217" Type="http://schemas.openxmlformats.org/officeDocument/2006/relationships/image" Target="media/image166.png"/><Relationship Id="rId218" Type="http://schemas.openxmlformats.org/officeDocument/2006/relationships/image" Target="media/image167.png"/><Relationship Id="rId219" Type="http://schemas.openxmlformats.org/officeDocument/2006/relationships/image" Target="media/image168.png"/><Relationship Id="rId220" Type="http://schemas.openxmlformats.org/officeDocument/2006/relationships/image" Target="media/image169.png"/><Relationship Id="rId221" Type="http://schemas.openxmlformats.org/officeDocument/2006/relationships/image" Target="media/image170.png"/><Relationship Id="rId222" Type="http://schemas.openxmlformats.org/officeDocument/2006/relationships/image" Target="media/image171.png"/><Relationship Id="rId223" Type="http://schemas.openxmlformats.org/officeDocument/2006/relationships/image" Target="media/image172.png"/><Relationship Id="rId224" Type="http://schemas.openxmlformats.org/officeDocument/2006/relationships/image" Target="media/image173.png"/><Relationship Id="rId225" Type="http://schemas.openxmlformats.org/officeDocument/2006/relationships/image" Target="media/image174.png"/><Relationship Id="rId226" Type="http://schemas.openxmlformats.org/officeDocument/2006/relationships/image" Target="media/image175.png"/><Relationship Id="rId227" Type="http://schemas.openxmlformats.org/officeDocument/2006/relationships/image" Target="media/image176.png"/><Relationship Id="rId228" Type="http://schemas.openxmlformats.org/officeDocument/2006/relationships/image" Target="media/image177.png"/><Relationship Id="rId229" Type="http://schemas.openxmlformats.org/officeDocument/2006/relationships/image" Target="media/image178.png"/><Relationship Id="rId230" Type="http://schemas.openxmlformats.org/officeDocument/2006/relationships/image" Target="media/image179.png"/><Relationship Id="rId231" Type="http://schemas.openxmlformats.org/officeDocument/2006/relationships/image" Target="media/image180.png"/><Relationship Id="rId232" Type="http://schemas.openxmlformats.org/officeDocument/2006/relationships/image" Target="media/image181.png"/><Relationship Id="rId233" Type="http://schemas.openxmlformats.org/officeDocument/2006/relationships/image" Target="media/image182.png"/><Relationship Id="rId234" Type="http://schemas.openxmlformats.org/officeDocument/2006/relationships/image" Target="media/image183.png"/><Relationship Id="rId235" Type="http://schemas.openxmlformats.org/officeDocument/2006/relationships/image" Target="media/image184.png"/><Relationship Id="rId236" Type="http://schemas.openxmlformats.org/officeDocument/2006/relationships/image" Target="media/image185.png"/><Relationship Id="rId237" Type="http://schemas.openxmlformats.org/officeDocument/2006/relationships/image" Target="media/image186.png"/><Relationship Id="rId238" Type="http://schemas.openxmlformats.org/officeDocument/2006/relationships/image" Target="media/image187.png"/><Relationship Id="rId239" Type="http://schemas.openxmlformats.org/officeDocument/2006/relationships/image" Target="media/image188.png"/><Relationship Id="rId240" Type="http://schemas.openxmlformats.org/officeDocument/2006/relationships/image" Target="media/image189.png"/><Relationship Id="rId241" Type="http://schemas.openxmlformats.org/officeDocument/2006/relationships/image" Target="media/image190.png"/><Relationship Id="rId242" Type="http://schemas.openxmlformats.org/officeDocument/2006/relationships/image" Target="media/image191.png"/><Relationship Id="rId243" Type="http://schemas.openxmlformats.org/officeDocument/2006/relationships/image" Target="media/image192.png"/><Relationship Id="rId244" Type="http://schemas.openxmlformats.org/officeDocument/2006/relationships/image" Target="media/image193.png"/><Relationship Id="rId245" Type="http://schemas.openxmlformats.org/officeDocument/2006/relationships/image" Target="media/image194.png"/><Relationship Id="rId246" Type="http://schemas.openxmlformats.org/officeDocument/2006/relationships/image" Target="media/image195.png"/><Relationship Id="rId247" Type="http://schemas.openxmlformats.org/officeDocument/2006/relationships/image" Target="media/image196.png"/><Relationship Id="rId248" Type="http://schemas.openxmlformats.org/officeDocument/2006/relationships/image" Target="media/image197.png"/><Relationship Id="rId249" Type="http://schemas.openxmlformats.org/officeDocument/2006/relationships/image" Target="media/image198.png"/><Relationship Id="rId250" Type="http://schemas.openxmlformats.org/officeDocument/2006/relationships/image" Target="media/image199.png"/><Relationship Id="rId251" Type="http://schemas.openxmlformats.org/officeDocument/2006/relationships/image" Target="media/image200.png"/><Relationship Id="rId252" Type="http://schemas.openxmlformats.org/officeDocument/2006/relationships/image" Target="media/image201.png"/><Relationship Id="rId253" Type="http://schemas.openxmlformats.org/officeDocument/2006/relationships/image" Target="media/image202.png"/><Relationship Id="rId254" Type="http://schemas.openxmlformats.org/officeDocument/2006/relationships/image" Target="media/image203.png"/><Relationship Id="rId255" Type="http://schemas.openxmlformats.org/officeDocument/2006/relationships/image" Target="media/image204.png"/><Relationship Id="rId256" Type="http://schemas.openxmlformats.org/officeDocument/2006/relationships/image" Target="media/image205.png"/><Relationship Id="rId257" Type="http://schemas.openxmlformats.org/officeDocument/2006/relationships/image" Target="media/image206.png"/><Relationship Id="rId258" Type="http://schemas.openxmlformats.org/officeDocument/2006/relationships/image" Target="media/image207.png"/><Relationship Id="rId259" Type="http://schemas.openxmlformats.org/officeDocument/2006/relationships/image" Target="media/image208.png"/><Relationship Id="rId260" Type="http://schemas.openxmlformats.org/officeDocument/2006/relationships/image" Target="media/image209.png"/><Relationship Id="rId261" Type="http://schemas.openxmlformats.org/officeDocument/2006/relationships/image" Target="media/image210.png"/><Relationship Id="rId262" Type="http://schemas.openxmlformats.org/officeDocument/2006/relationships/image" Target="media/image211.png"/><Relationship Id="rId263" Type="http://schemas.openxmlformats.org/officeDocument/2006/relationships/image" Target="media/image212.png"/><Relationship Id="rId264" Type="http://schemas.openxmlformats.org/officeDocument/2006/relationships/image" Target="media/image213.png"/><Relationship Id="rId265" Type="http://schemas.openxmlformats.org/officeDocument/2006/relationships/image" Target="media/image214.png"/><Relationship Id="rId266" Type="http://schemas.openxmlformats.org/officeDocument/2006/relationships/image" Target="media/image215.png"/><Relationship Id="rId267" Type="http://schemas.openxmlformats.org/officeDocument/2006/relationships/image" Target="media/image216.png"/><Relationship Id="rId268" Type="http://schemas.openxmlformats.org/officeDocument/2006/relationships/image" Target="media/image217.png"/><Relationship Id="rId269" Type="http://schemas.openxmlformats.org/officeDocument/2006/relationships/image" Target="media/image218.png"/><Relationship Id="rId270" Type="http://schemas.openxmlformats.org/officeDocument/2006/relationships/image" Target="media/image219.png"/><Relationship Id="rId271" Type="http://schemas.openxmlformats.org/officeDocument/2006/relationships/image" Target="media/image220.png"/><Relationship Id="rId272" Type="http://schemas.openxmlformats.org/officeDocument/2006/relationships/image" Target="media/image221.png"/><Relationship Id="rId273" Type="http://schemas.openxmlformats.org/officeDocument/2006/relationships/image" Target="media/image222.png"/><Relationship Id="rId274" Type="http://schemas.openxmlformats.org/officeDocument/2006/relationships/image" Target="media/image223.png"/><Relationship Id="rId275" Type="http://schemas.openxmlformats.org/officeDocument/2006/relationships/image" Target="media/image224.png"/><Relationship Id="rId276" Type="http://schemas.openxmlformats.org/officeDocument/2006/relationships/image" Target="media/image225.png"/><Relationship Id="rId277" Type="http://schemas.openxmlformats.org/officeDocument/2006/relationships/image" Target="media/image226.png"/><Relationship Id="rId278" Type="http://schemas.openxmlformats.org/officeDocument/2006/relationships/image" Target="media/image227.png"/><Relationship Id="rId279" Type="http://schemas.openxmlformats.org/officeDocument/2006/relationships/image" Target="media/image228.png"/><Relationship Id="rId280" Type="http://schemas.openxmlformats.org/officeDocument/2006/relationships/image" Target="media/image229.png"/><Relationship Id="rId281" Type="http://schemas.openxmlformats.org/officeDocument/2006/relationships/image" Target="media/image230.png"/><Relationship Id="rId282" Type="http://schemas.openxmlformats.org/officeDocument/2006/relationships/image" Target="media/image231.png"/><Relationship Id="rId283" Type="http://schemas.openxmlformats.org/officeDocument/2006/relationships/image" Target="media/image232.png"/><Relationship Id="rId284" Type="http://schemas.openxmlformats.org/officeDocument/2006/relationships/image" Target="media/image233.png"/><Relationship Id="rId285" Type="http://schemas.openxmlformats.org/officeDocument/2006/relationships/image" Target="media/image234.png"/><Relationship Id="rId286" Type="http://schemas.openxmlformats.org/officeDocument/2006/relationships/image" Target="media/image235.png"/><Relationship Id="rId287" Type="http://schemas.openxmlformats.org/officeDocument/2006/relationships/image" Target="media/image236.png"/><Relationship Id="rId288" Type="http://schemas.openxmlformats.org/officeDocument/2006/relationships/image" Target="media/image237.png"/><Relationship Id="rId289" Type="http://schemas.openxmlformats.org/officeDocument/2006/relationships/image" Target="media/image238.png"/><Relationship Id="rId290" Type="http://schemas.openxmlformats.org/officeDocument/2006/relationships/image" Target="media/image239.png"/><Relationship Id="rId291" Type="http://schemas.openxmlformats.org/officeDocument/2006/relationships/image" Target="media/image240.png"/><Relationship Id="rId292" Type="http://schemas.openxmlformats.org/officeDocument/2006/relationships/image" Target="media/image241.png"/><Relationship Id="rId293" Type="http://schemas.openxmlformats.org/officeDocument/2006/relationships/image" Target="media/image242.png"/><Relationship Id="rId294" Type="http://schemas.openxmlformats.org/officeDocument/2006/relationships/image" Target="media/image243.png"/><Relationship Id="rId295" Type="http://schemas.openxmlformats.org/officeDocument/2006/relationships/image" Target="media/image244.png"/><Relationship Id="rId296" Type="http://schemas.openxmlformats.org/officeDocument/2006/relationships/image" Target="media/image245.png"/><Relationship Id="rId297" Type="http://schemas.openxmlformats.org/officeDocument/2006/relationships/image" Target="media/image246.png"/><Relationship Id="rId298" Type="http://schemas.openxmlformats.org/officeDocument/2006/relationships/image" Target="media/image247.png"/><Relationship Id="rId299" Type="http://schemas.openxmlformats.org/officeDocument/2006/relationships/image" Target="media/image248.png"/><Relationship Id="rId300" Type="http://schemas.openxmlformats.org/officeDocument/2006/relationships/image" Target="media/image249.png"/><Relationship Id="rId301" Type="http://schemas.openxmlformats.org/officeDocument/2006/relationships/image" Target="media/image250.png"/><Relationship Id="rId302" Type="http://schemas.openxmlformats.org/officeDocument/2006/relationships/image" Target="media/image251.png"/><Relationship Id="rId303" Type="http://schemas.openxmlformats.org/officeDocument/2006/relationships/image" Target="media/image252.png"/><Relationship Id="rId304" Type="http://schemas.openxmlformats.org/officeDocument/2006/relationships/image" Target="media/image253.png"/><Relationship Id="rId305" Type="http://schemas.openxmlformats.org/officeDocument/2006/relationships/image" Target="media/image254.png"/><Relationship Id="rId306" Type="http://schemas.openxmlformats.org/officeDocument/2006/relationships/image" Target="media/image255.png"/><Relationship Id="rId307" Type="http://schemas.openxmlformats.org/officeDocument/2006/relationships/image" Target="media/image256.png"/><Relationship Id="rId308" Type="http://schemas.openxmlformats.org/officeDocument/2006/relationships/image" Target="media/image257.png"/><Relationship Id="rId309" Type="http://schemas.openxmlformats.org/officeDocument/2006/relationships/image" Target="media/image258.png"/><Relationship Id="rId310" Type="http://schemas.openxmlformats.org/officeDocument/2006/relationships/image" Target="media/image259.png"/><Relationship Id="rId311" Type="http://schemas.openxmlformats.org/officeDocument/2006/relationships/image" Target="media/image260.png"/><Relationship Id="rId312" Type="http://schemas.openxmlformats.org/officeDocument/2006/relationships/image" Target="media/image261.png"/><Relationship Id="rId313" Type="http://schemas.openxmlformats.org/officeDocument/2006/relationships/image" Target="media/image262.png"/><Relationship Id="rId314" Type="http://schemas.openxmlformats.org/officeDocument/2006/relationships/image" Target="media/image263.png"/><Relationship Id="rId315" Type="http://schemas.openxmlformats.org/officeDocument/2006/relationships/image" Target="media/image264.png"/><Relationship Id="rId316" Type="http://schemas.openxmlformats.org/officeDocument/2006/relationships/image" Target="media/image265.png"/><Relationship Id="rId317" Type="http://schemas.openxmlformats.org/officeDocument/2006/relationships/image" Target="media/image266.png"/><Relationship Id="rId318" Type="http://schemas.openxmlformats.org/officeDocument/2006/relationships/image" Target="media/image267.png"/><Relationship Id="rId319" Type="http://schemas.openxmlformats.org/officeDocument/2006/relationships/image" Target="media/image268.png"/><Relationship Id="rId320" Type="http://schemas.openxmlformats.org/officeDocument/2006/relationships/image" Target="media/image269.png"/><Relationship Id="rId321" Type="http://schemas.openxmlformats.org/officeDocument/2006/relationships/image" Target="media/image270.png"/><Relationship Id="rId322" Type="http://schemas.openxmlformats.org/officeDocument/2006/relationships/image" Target="media/image271.png"/><Relationship Id="rId323" Type="http://schemas.openxmlformats.org/officeDocument/2006/relationships/image" Target="media/image272.png"/><Relationship Id="rId324" Type="http://schemas.openxmlformats.org/officeDocument/2006/relationships/image" Target="media/image273.png"/><Relationship Id="rId325" Type="http://schemas.openxmlformats.org/officeDocument/2006/relationships/image" Target="media/image274.png"/><Relationship Id="rId326" Type="http://schemas.openxmlformats.org/officeDocument/2006/relationships/image" Target="media/image275.png"/><Relationship Id="rId327" Type="http://schemas.openxmlformats.org/officeDocument/2006/relationships/image" Target="media/image276.png"/><Relationship Id="rId328" Type="http://schemas.openxmlformats.org/officeDocument/2006/relationships/image" Target="media/image277.png"/><Relationship Id="rId329" Type="http://schemas.openxmlformats.org/officeDocument/2006/relationships/image" Target="media/image278.png"/><Relationship Id="rId330" Type="http://schemas.openxmlformats.org/officeDocument/2006/relationships/image" Target="media/image279.png"/><Relationship Id="rId331" Type="http://schemas.openxmlformats.org/officeDocument/2006/relationships/image" Target="media/image280.png"/><Relationship Id="rId332" Type="http://schemas.openxmlformats.org/officeDocument/2006/relationships/image" Target="media/image281.png"/><Relationship Id="rId333" Type="http://schemas.openxmlformats.org/officeDocument/2006/relationships/image" Target="media/image282.png"/><Relationship Id="rId334" Type="http://schemas.openxmlformats.org/officeDocument/2006/relationships/image" Target="media/image283.png"/><Relationship Id="rId335" Type="http://schemas.openxmlformats.org/officeDocument/2006/relationships/image" Target="media/image284.png"/><Relationship Id="rId336" Type="http://schemas.openxmlformats.org/officeDocument/2006/relationships/image" Target="media/image285.png"/><Relationship Id="rId337" Type="http://schemas.openxmlformats.org/officeDocument/2006/relationships/image" Target="media/image286.png"/><Relationship Id="rId338" Type="http://schemas.openxmlformats.org/officeDocument/2006/relationships/image" Target="media/image287.png"/><Relationship Id="rId339" Type="http://schemas.openxmlformats.org/officeDocument/2006/relationships/image" Target="media/image288.png"/><Relationship Id="rId340" Type="http://schemas.openxmlformats.org/officeDocument/2006/relationships/image" Target="media/image289.png"/><Relationship Id="rId341" Type="http://schemas.openxmlformats.org/officeDocument/2006/relationships/image" Target="media/image290.png"/><Relationship Id="rId342" Type="http://schemas.openxmlformats.org/officeDocument/2006/relationships/image" Target="media/image291.png"/><Relationship Id="rId343" Type="http://schemas.openxmlformats.org/officeDocument/2006/relationships/image" Target="media/image292.png"/><Relationship Id="rId344" Type="http://schemas.openxmlformats.org/officeDocument/2006/relationships/image" Target="media/image293.png"/><Relationship Id="rId345" Type="http://schemas.openxmlformats.org/officeDocument/2006/relationships/image" Target="media/image294.png"/><Relationship Id="rId346" Type="http://schemas.openxmlformats.org/officeDocument/2006/relationships/image" Target="media/image295.png"/><Relationship Id="rId347" Type="http://schemas.openxmlformats.org/officeDocument/2006/relationships/image" Target="media/image296.png"/><Relationship Id="rId348" Type="http://schemas.openxmlformats.org/officeDocument/2006/relationships/image" Target="media/image297.png"/><Relationship Id="rId349" Type="http://schemas.openxmlformats.org/officeDocument/2006/relationships/image" Target="media/image298.png"/><Relationship Id="rId350" Type="http://schemas.openxmlformats.org/officeDocument/2006/relationships/image" Target="media/image299.png"/><Relationship Id="rId351" Type="http://schemas.openxmlformats.org/officeDocument/2006/relationships/image" Target="media/image300.png"/><Relationship Id="rId352" Type="http://schemas.openxmlformats.org/officeDocument/2006/relationships/image" Target="media/image301.png"/><Relationship Id="rId353" Type="http://schemas.openxmlformats.org/officeDocument/2006/relationships/image" Target="media/image302.png"/><Relationship Id="rId354" Type="http://schemas.openxmlformats.org/officeDocument/2006/relationships/image" Target="media/image303.png"/><Relationship Id="rId355" Type="http://schemas.openxmlformats.org/officeDocument/2006/relationships/image" Target="media/image304.png"/><Relationship Id="rId356" Type="http://schemas.openxmlformats.org/officeDocument/2006/relationships/image" Target="media/image305.png"/><Relationship Id="rId357" Type="http://schemas.openxmlformats.org/officeDocument/2006/relationships/image" Target="media/image306.png"/><Relationship Id="rId358" Type="http://schemas.openxmlformats.org/officeDocument/2006/relationships/image" Target="media/image307.png"/><Relationship Id="rId359" Type="http://schemas.openxmlformats.org/officeDocument/2006/relationships/image" Target="media/image308.png"/><Relationship Id="rId360" Type="http://schemas.openxmlformats.org/officeDocument/2006/relationships/image" Target="media/image309.png"/><Relationship Id="rId361" Type="http://schemas.openxmlformats.org/officeDocument/2006/relationships/image" Target="media/image310.png"/><Relationship Id="rId362" Type="http://schemas.openxmlformats.org/officeDocument/2006/relationships/image" Target="media/image311.png"/><Relationship Id="rId363" Type="http://schemas.openxmlformats.org/officeDocument/2006/relationships/image" Target="media/image312.png"/><Relationship Id="rId364" Type="http://schemas.openxmlformats.org/officeDocument/2006/relationships/image" Target="media/image313.png"/><Relationship Id="rId365" Type="http://schemas.openxmlformats.org/officeDocument/2006/relationships/image" Target="media/image314.png"/><Relationship Id="rId366" Type="http://schemas.openxmlformats.org/officeDocument/2006/relationships/image" Target="media/image315.png"/><Relationship Id="rId367" Type="http://schemas.openxmlformats.org/officeDocument/2006/relationships/image" Target="media/image316.png"/><Relationship Id="rId368" Type="http://schemas.openxmlformats.org/officeDocument/2006/relationships/image" Target="media/image317.png"/><Relationship Id="rId369" Type="http://schemas.openxmlformats.org/officeDocument/2006/relationships/image" Target="media/image318.png"/><Relationship Id="rId370" Type="http://schemas.openxmlformats.org/officeDocument/2006/relationships/image" Target="media/image319.png"/><Relationship Id="rId371" Type="http://schemas.openxmlformats.org/officeDocument/2006/relationships/image" Target="media/image320.png"/><Relationship Id="rId372" Type="http://schemas.openxmlformats.org/officeDocument/2006/relationships/image" Target="media/image321.png"/><Relationship Id="rId373" Type="http://schemas.openxmlformats.org/officeDocument/2006/relationships/image" Target="media/image322.png"/><Relationship Id="rId374" Type="http://schemas.openxmlformats.org/officeDocument/2006/relationships/image" Target="media/image323.png"/><Relationship Id="rId375" Type="http://schemas.openxmlformats.org/officeDocument/2006/relationships/image" Target="media/image324.png"/><Relationship Id="rId376" Type="http://schemas.openxmlformats.org/officeDocument/2006/relationships/image" Target="media/image325.png"/><Relationship Id="rId377" Type="http://schemas.openxmlformats.org/officeDocument/2006/relationships/image" Target="media/image326.png"/><Relationship Id="rId378" Type="http://schemas.openxmlformats.org/officeDocument/2006/relationships/image" Target="media/image327.png"/><Relationship Id="rId379" Type="http://schemas.openxmlformats.org/officeDocument/2006/relationships/image" Target="media/image328.png"/><Relationship Id="rId380" Type="http://schemas.openxmlformats.org/officeDocument/2006/relationships/image" Target="media/image329.png"/><Relationship Id="rId381" Type="http://schemas.openxmlformats.org/officeDocument/2006/relationships/image" Target="media/image330.png"/><Relationship Id="rId382" Type="http://schemas.openxmlformats.org/officeDocument/2006/relationships/image" Target="media/image331.png"/><Relationship Id="rId383" Type="http://schemas.openxmlformats.org/officeDocument/2006/relationships/image" Target="media/image332.png"/><Relationship Id="rId384" Type="http://schemas.openxmlformats.org/officeDocument/2006/relationships/image" Target="media/image333.png"/><Relationship Id="rId385" Type="http://schemas.openxmlformats.org/officeDocument/2006/relationships/image" Target="media/image334.png"/><Relationship Id="rId386" Type="http://schemas.openxmlformats.org/officeDocument/2006/relationships/image" Target="media/image335.png"/><Relationship Id="rId387" Type="http://schemas.openxmlformats.org/officeDocument/2006/relationships/image" Target="media/image336.png"/><Relationship Id="rId388" Type="http://schemas.openxmlformats.org/officeDocument/2006/relationships/image" Target="media/image337.png"/><Relationship Id="rId389" Type="http://schemas.openxmlformats.org/officeDocument/2006/relationships/image" Target="media/image338.png"/><Relationship Id="rId390" Type="http://schemas.openxmlformats.org/officeDocument/2006/relationships/image" Target="media/image339.png"/><Relationship Id="rId391" Type="http://schemas.openxmlformats.org/officeDocument/2006/relationships/image" Target="media/image340.png"/><Relationship Id="rId392" Type="http://schemas.openxmlformats.org/officeDocument/2006/relationships/image" Target="media/image341.png"/><Relationship Id="rId393" Type="http://schemas.openxmlformats.org/officeDocument/2006/relationships/image" Target="media/image342.png"/><Relationship Id="rId394" Type="http://schemas.openxmlformats.org/officeDocument/2006/relationships/image" Target="media/image343.png"/><Relationship Id="rId395" Type="http://schemas.openxmlformats.org/officeDocument/2006/relationships/image" Target="media/image344.png"/><Relationship Id="rId396" Type="http://schemas.openxmlformats.org/officeDocument/2006/relationships/image" Target="media/image345.png"/><Relationship Id="rId397" Type="http://schemas.openxmlformats.org/officeDocument/2006/relationships/image" Target="media/image346.png"/><Relationship Id="rId398" Type="http://schemas.openxmlformats.org/officeDocument/2006/relationships/image" Target="media/image347.png"/><Relationship Id="rId399" Type="http://schemas.openxmlformats.org/officeDocument/2006/relationships/image" Target="media/image348.png"/><Relationship Id="rId400" Type="http://schemas.openxmlformats.org/officeDocument/2006/relationships/image" Target="media/image349.png"/><Relationship Id="rId401" Type="http://schemas.openxmlformats.org/officeDocument/2006/relationships/image" Target="media/image350.png"/><Relationship Id="rId402" Type="http://schemas.openxmlformats.org/officeDocument/2006/relationships/image" Target="media/image351.png"/><Relationship Id="rId403" Type="http://schemas.openxmlformats.org/officeDocument/2006/relationships/image" Target="media/image352.png"/><Relationship Id="rId404" Type="http://schemas.openxmlformats.org/officeDocument/2006/relationships/image" Target="media/image353.png"/><Relationship Id="rId405" Type="http://schemas.openxmlformats.org/officeDocument/2006/relationships/image" Target="media/image354.png"/><Relationship Id="rId406" Type="http://schemas.openxmlformats.org/officeDocument/2006/relationships/image" Target="media/image355.jpeg"/><Relationship Id="rId407" Type="http://schemas.openxmlformats.org/officeDocument/2006/relationships/image" Target="media/image356.png"/><Relationship Id="rId408" Type="http://schemas.openxmlformats.org/officeDocument/2006/relationships/image" Target="media/image357.jpeg"/><Relationship Id="rId409" Type="http://schemas.openxmlformats.org/officeDocument/2006/relationships/image" Target="media/image358.png"/><Relationship Id="rId410" Type="http://schemas.openxmlformats.org/officeDocument/2006/relationships/image" Target="media/image359.png"/><Relationship Id="rId411" Type="http://schemas.openxmlformats.org/officeDocument/2006/relationships/image" Target="media/image360.png"/><Relationship Id="rId412" Type="http://schemas.openxmlformats.org/officeDocument/2006/relationships/image" Target="media/image361.jpeg"/><Relationship Id="rId413" Type="http://schemas.openxmlformats.org/officeDocument/2006/relationships/image" Target="media/image362.png"/><Relationship Id="rId414" Type="http://schemas.openxmlformats.org/officeDocument/2006/relationships/image" Target="media/image363.png"/><Relationship Id="rId415" Type="http://schemas.openxmlformats.org/officeDocument/2006/relationships/image" Target="media/image364.png"/><Relationship Id="rId416" Type="http://schemas.openxmlformats.org/officeDocument/2006/relationships/image" Target="media/image365.jpeg"/><Relationship Id="rId417" Type="http://schemas.openxmlformats.org/officeDocument/2006/relationships/image" Target="media/image366.png"/><Relationship Id="rId418" Type="http://schemas.openxmlformats.org/officeDocument/2006/relationships/image" Target="media/image367.png"/><Relationship Id="rId419" Type="http://schemas.openxmlformats.org/officeDocument/2006/relationships/image" Target="media/image368.png"/><Relationship Id="rId420" Type="http://schemas.openxmlformats.org/officeDocument/2006/relationships/image" Target="media/image369.jpeg"/><Relationship Id="rId421" Type="http://schemas.openxmlformats.org/officeDocument/2006/relationships/image" Target="media/image370.png"/><Relationship Id="rId422" Type="http://schemas.openxmlformats.org/officeDocument/2006/relationships/image" Target="media/image371.jpeg"/><Relationship Id="rId423" Type="http://schemas.openxmlformats.org/officeDocument/2006/relationships/image" Target="media/image372.png"/><Relationship Id="rId424" Type="http://schemas.openxmlformats.org/officeDocument/2006/relationships/image" Target="media/image373.png"/><Relationship Id="rId425" Type="http://schemas.openxmlformats.org/officeDocument/2006/relationships/image" Target="media/image374.png"/><Relationship Id="rId426" Type="http://schemas.openxmlformats.org/officeDocument/2006/relationships/image" Target="media/image375.jpeg"/><Relationship Id="rId427" Type="http://schemas.openxmlformats.org/officeDocument/2006/relationships/image" Target="media/image376.png"/><Relationship Id="rId428" Type="http://schemas.openxmlformats.org/officeDocument/2006/relationships/image" Target="media/image377.jpeg"/><Relationship Id="rId429" Type="http://schemas.openxmlformats.org/officeDocument/2006/relationships/image" Target="media/image378.png"/><Relationship Id="rId430" Type="http://schemas.openxmlformats.org/officeDocument/2006/relationships/image" Target="media/image379.png"/><Relationship Id="rId431" Type="http://schemas.openxmlformats.org/officeDocument/2006/relationships/image" Target="media/image380.png"/><Relationship Id="rId432" Type="http://schemas.openxmlformats.org/officeDocument/2006/relationships/image" Target="media/image381.jpeg"/><Relationship Id="rId433" Type="http://schemas.openxmlformats.org/officeDocument/2006/relationships/image" Target="media/image382.png"/><Relationship Id="rId434" Type="http://schemas.openxmlformats.org/officeDocument/2006/relationships/image" Target="media/image383.png"/><Relationship Id="rId435" Type="http://schemas.openxmlformats.org/officeDocument/2006/relationships/image" Target="media/image384.png"/><Relationship Id="rId436" Type="http://schemas.openxmlformats.org/officeDocument/2006/relationships/image" Target="media/image385.png"/><Relationship Id="rId437" Type="http://schemas.openxmlformats.org/officeDocument/2006/relationships/image" Target="media/image386.jpeg"/><Relationship Id="rId438" Type="http://schemas.openxmlformats.org/officeDocument/2006/relationships/image" Target="media/image387.png"/><Relationship Id="rId439" Type="http://schemas.openxmlformats.org/officeDocument/2006/relationships/image" Target="media/image388.jpeg"/><Relationship Id="rId440" Type="http://schemas.openxmlformats.org/officeDocument/2006/relationships/image" Target="media/image389.png"/><Relationship Id="rId441" Type="http://schemas.openxmlformats.org/officeDocument/2006/relationships/image" Target="media/image390.png"/><Relationship Id="rId442" Type="http://schemas.openxmlformats.org/officeDocument/2006/relationships/image" Target="media/image391.png"/><Relationship Id="rId443" Type="http://schemas.openxmlformats.org/officeDocument/2006/relationships/image" Target="media/image392.jpeg"/><Relationship Id="rId444" Type="http://schemas.openxmlformats.org/officeDocument/2006/relationships/image" Target="media/image393.png"/><Relationship Id="rId445" Type="http://schemas.openxmlformats.org/officeDocument/2006/relationships/image" Target="media/image394.jpeg"/><Relationship Id="rId446" Type="http://schemas.openxmlformats.org/officeDocument/2006/relationships/image" Target="media/image395.png"/><Relationship Id="rId447" Type="http://schemas.openxmlformats.org/officeDocument/2006/relationships/image" Target="media/image396.png"/><Relationship Id="rId448" Type="http://schemas.openxmlformats.org/officeDocument/2006/relationships/image" Target="media/image397.png"/><Relationship Id="rId449" Type="http://schemas.openxmlformats.org/officeDocument/2006/relationships/image" Target="media/image398.jpeg"/><Relationship Id="rId450" Type="http://schemas.openxmlformats.org/officeDocument/2006/relationships/image" Target="media/image399.png"/><Relationship Id="rId451" Type="http://schemas.openxmlformats.org/officeDocument/2006/relationships/image" Target="media/image400.jpeg"/><Relationship Id="rId452" Type="http://schemas.openxmlformats.org/officeDocument/2006/relationships/image" Target="media/image401.png"/><Relationship Id="rId453" Type="http://schemas.openxmlformats.org/officeDocument/2006/relationships/image" Target="media/image402.png"/><Relationship Id="rId454" Type="http://schemas.openxmlformats.org/officeDocument/2006/relationships/image" Target="media/image403.png"/><Relationship Id="rId455" Type="http://schemas.openxmlformats.org/officeDocument/2006/relationships/image" Target="media/image404.jpeg"/><Relationship Id="rId456" Type="http://schemas.openxmlformats.org/officeDocument/2006/relationships/image" Target="media/image405.png"/><Relationship Id="rId457" Type="http://schemas.openxmlformats.org/officeDocument/2006/relationships/image" Target="media/image406.jpeg"/><Relationship Id="rId458" Type="http://schemas.openxmlformats.org/officeDocument/2006/relationships/image" Target="media/image407.png"/><Relationship Id="rId459" Type="http://schemas.openxmlformats.org/officeDocument/2006/relationships/image" Target="media/image408.png"/><Relationship Id="rId460" Type="http://schemas.openxmlformats.org/officeDocument/2006/relationships/image" Target="media/image409.png"/><Relationship Id="rId461" Type="http://schemas.openxmlformats.org/officeDocument/2006/relationships/image" Target="media/image410.jpeg"/><Relationship Id="rId462" Type="http://schemas.openxmlformats.org/officeDocument/2006/relationships/image" Target="media/image411.png"/><Relationship Id="rId463" Type="http://schemas.openxmlformats.org/officeDocument/2006/relationships/image" Target="media/image412.jpeg"/><Relationship Id="rId464" Type="http://schemas.openxmlformats.org/officeDocument/2006/relationships/image" Target="media/image413.png"/><Relationship Id="rId465" Type="http://schemas.openxmlformats.org/officeDocument/2006/relationships/image" Target="media/image414.png"/><Relationship Id="rId466" Type="http://schemas.openxmlformats.org/officeDocument/2006/relationships/image" Target="media/image415.png"/><Relationship Id="rId467" Type="http://schemas.openxmlformats.org/officeDocument/2006/relationships/image" Target="media/image416.jpeg"/><Relationship Id="rId468" Type="http://schemas.openxmlformats.org/officeDocument/2006/relationships/image" Target="media/image417.png"/><Relationship Id="rId469" Type="http://schemas.openxmlformats.org/officeDocument/2006/relationships/image" Target="media/image418.jpeg"/><Relationship Id="rId470" Type="http://schemas.openxmlformats.org/officeDocument/2006/relationships/image" Target="media/image419.png"/><Relationship Id="rId471" Type="http://schemas.openxmlformats.org/officeDocument/2006/relationships/image" Target="media/image420.png"/><Relationship Id="rId472" Type="http://schemas.openxmlformats.org/officeDocument/2006/relationships/image" Target="media/image421.png"/><Relationship Id="rId473" Type="http://schemas.openxmlformats.org/officeDocument/2006/relationships/image" Target="media/image422.png"/><Relationship Id="rId474" Type="http://schemas.openxmlformats.org/officeDocument/2006/relationships/image" Target="media/image423.png"/><Relationship Id="rId475" Type="http://schemas.openxmlformats.org/officeDocument/2006/relationships/image" Target="media/image424.png"/><Relationship Id="rId476" Type="http://schemas.openxmlformats.org/officeDocument/2006/relationships/image" Target="media/image425.png"/><Relationship Id="rId477" Type="http://schemas.openxmlformats.org/officeDocument/2006/relationships/image" Target="media/image426.png"/><Relationship Id="rId478" Type="http://schemas.openxmlformats.org/officeDocument/2006/relationships/image" Target="media/image427.png"/><Relationship Id="rId479" Type="http://schemas.openxmlformats.org/officeDocument/2006/relationships/image" Target="media/image428.png"/><Relationship Id="rId480" Type="http://schemas.openxmlformats.org/officeDocument/2006/relationships/image" Target="media/image429.png"/><Relationship Id="rId481" Type="http://schemas.openxmlformats.org/officeDocument/2006/relationships/image" Target="media/image430.png"/><Relationship Id="rId482" Type="http://schemas.openxmlformats.org/officeDocument/2006/relationships/image" Target="media/image431.png"/><Relationship Id="rId483" Type="http://schemas.openxmlformats.org/officeDocument/2006/relationships/image" Target="media/image432.png"/><Relationship Id="rId484" Type="http://schemas.openxmlformats.org/officeDocument/2006/relationships/image" Target="media/image433.png"/><Relationship Id="rId485" Type="http://schemas.openxmlformats.org/officeDocument/2006/relationships/image" Target="media/image434.png"/><Relationship Id="rId486" Type="http://schemas.openxmlformats.org/officeDocument/2006/relationships/image" Target="media/image435.png"/><Relationship Id="rId487" Type="http://schemas.openxmlformats.org/officeDocument/2006/relationships/image" Target="media/image436.png"/><Relationship Id="rId111" Type="http://schemas.openxmlformats.org/officeDocument/2006/relationships/hyperlink" Target="http://www.sec.gov/Archives/edgar/data/275880/000119312519144517/d730409dex31.htm" TargetMode="External"/><Relationship Id="rId112" Type="http://schemas.openxmlformats.org/officeDocument/2006/relationships/hyperlink" Target="http://www.sec.gov/Archives/edgar/data/275880/000119312519144517/d730409dex32.htm" TargetMode="External"/><Relationship Id="rId113" Type="http://schemas.openxmlformats.org/officeDocument/2006/relationships/hyperlink" Target="http://www.sec.gov/Archives/edgar/data/275880/000156459020009791/psn-ex41_813.htm" TargetMode="External"/><Relationship Id="rId114" Type="http://schemas.openxmlformats.org/officeDocument/2006/relationships/hyperlink" Target="http://www.sec.gov/Archives/edgar/data/275880/000119312520225229/d51070dex41.htm" TargetMode="External"/><Relationship Id="rId115" Type="http://schemas.openxmlformats.org/officeDocument/2006/relationships/hyperlink" Target="http://www.sec.gov/Archives/edgar/data/275880/000119312519105051/d625480dex101.htm" TargetMode="External"/><Relationship Id="rId116" Type="http://schemas.openxmlformats.org/officeDocument/2006/relationships/hyperlink" Target="http://www.sec.gov/Archives/edgar/data/275880/000119312519123626/d625480dex102.htm" TargetMode="External"/><Relationship Id="rId117" Type="http://schemas.openxmlformats.org/officeDocument/2006/relationships/hyperlink" Target="http://www.sec.gov/Archives/edgar/data/275880/000156459021007800/psn-ex103_1470.htm" TargetMode="External"/><Relationship Id="rId118" Type="http://schemas.openxmlformats.org/officeDocument/2006/relationships/hyperlink" Target="http://www.sec.gov/Archives/edgar/data/275880/000156459020009791/psn-ex103_702.htm" TargetMode="External"/><Relationship Id="rId119" Type="http://schemas.openxmlformats.org/officeDocument/2006/relationships/hyperlink" Target="http://www.sec.gov/Archives/edgar/data/275880/000119312519105051/d625480dex103.htm" TargetMode="External"/><Relationship Id="rId120" Type="http://schemas.openxmlformats.org/officeDocument/2006/relationships/hyperlink" Target="http://www.sec.gov/Archives/edgar/data/275880/000119312519105051/d625480dex104.htm" TargetMode="External"/><Relationship Id="rId121" Type="http://schemas.openxmlformats.org/officeDocument/2006/relationships/hyperlink" Target="http://www.sec.gov/Archives/edgar/data/275880/000119312519105051/d625480dex105.htm" TargetMode="External"/><Relationship Id="rId122" Type="http://schemas.openxmlformats.org/officeDocument/2006/relationships/hyperlink" Target="http://www.sec.gov/Archives/edgar/data/275880/000156459021007800/psn-ex108_1472.htm" TargetMode="External"/><Relationship Id="rId123" Type="http://schemas.openxmlformats.org/officeDocument/2006/relationships/hyperlink" Target="http://www.sec.gov/Archives/edgar/data/275880/000156459021007800/psn-ex109_1471.htm" TargetMode="External"/><Relationship Id="rId124" Type="http://schemas.openxmlformats.org/officeDocument/2006/relationships/hyperlink" Target="http://www.sec.gov/Archives/edgar/data/275880/000119312519105051/d625480dex107.htm" TargetMode="External"/><Relationship Id="rId125" Type="http://schemas.openxmlformats.org/officeDocument/2006/relationships/hyperlink" Target="http://www.sec.gov/Archives/edgar/data/275880/000119312519105051/d625480dex108.htm" TargetMode="External"/><Relationship Id="rId126" Type="http://schemas.openxmlformats.org/officeDocument/2006/relationships/hyperlink" Target="http://www.sec.gov/Archives/edgar/data/275880/000119312519105051/d625480dex109.htm" TargetMode="External"/><Relationship Id="rId127" Type="http://schemas.openxmlformats.org/officeDocument/2006/relationships/hyperlink" Target="http://www.sec.gov/Archives/edgar/data/275880/000119312519123626/d625480dex1010.htm" TargetMode="External"/><Relationship Id="rId128" Type="http://schemas.openxmlformats.org/officeDocument/2006/relationships/hyperlink" Target="http://www.sec.gov/Archives/edgar/data/275880/000156459020009791/psn-ex1012_572.htm" TargetMode="External"/><Relationship Id="rId129" Type="http://schemas.openxmlformats.org/officeDocument/2006/relationships/hyperlink" Target="http://www.sec.gov/Archives/edgar/data/275880/000156459021007800/psn-ex1015_1473.htm" TargetMode="External"/><Relationship Id="rId130" Type="http://schemas.openxmlformats.org/officeDocument/2006/relationships/hyperlink" Target="http://www.sec.gov/Archives/edgar/data/275880/000156459020009791/psn-ex1014_571.htm" TargetMode="External"/><Relationship Id="rId131" Type="http://schemas.openxmlformats.org/officeDocument/2006/relationships/hyperlink" Target="http://www.sec.gov/Archives/edgar/data/275880/000156459020009791/psn-ex1015_570.htm" TargetMode="External"/><Relationship Id="rId132" Type="http://schemas.openxmlformats.org/officeDocument/2006/relationships/hyperlink" Target="http://www.sec.gov/Archives/edgar/data/275880/000156459020009791/psn-ex1017_568.htm" TargetMode="External"/><Relationship Id="rId133" Type="http://schemas.openxmlformats.org/officeDocument/2006/relationships/hyperlink" Target="http://www.sec.gov/Archives/edgar/data/275880/000156459021007800/psn-ex1019_2198.htm" TargetMode="External"/><Relationship Id="rId134" Type="http://schemas.openxmlformats.org/officeDocument/2006/relationships/hyperlink" Target="http://www.sec.gov/Archives/edgar/data/275880/000119312519123626/d625480dex1028.htm" TargetMode="External"/><Relationship Id="rId135" Type="http://schemas.openxmlformats.org/officeDocument/2006/relationships/hyperlink" Target="http://www.sec.gov/Archives/edgar/data/275880/000156459020009791/psn-ex1019_567.htm" TargetMode="External"/><Relationship Id="rId136" Type="http://schemas.openxmlformats.org/officeDocument/2006/relationships/hyperlink" Target="http://www.sec.gov/Archives/edgar/data/275880/000156459021007800/psn-ex1022_1474.htm" TargetMode="External"/><Relationship Id="rId139" Type="http://schemas.openxmlformats.org/officeDocument/2006/relationships/hyperlink" Target="http://www.sec.gov/Archives/edgar/data/275880/000156459021007800/psn-ex1023_1475.htm" TargetMode="External"/><Relationship Id="rId140" Type="http://schemas.openxmlformats.org/officeDocument/2006/relationships/hyperlink" Target="http://www.sec.gov/Archives/edgar/data/275880/000156459021007800/psn-ex1028_1385.htm" TargetMode="External"/><Relationship Id="rId141" Type="http://schemas.openxmlformats.org/officeDocument/2006/relationships/hyperlink" Target="http://www.sec.gov/Archives/edgar/data/275880/000156459021007800/psn-ex1029_1478.htm" TargetMode="External"/><Relationship Id="rId142" Type="http://schemas.openxmlformats.org/officeDocument/2006/relationships/hyperlink" Target="http://www.sec.gov/Archives/edgar/data/275880/000156459021007800/psn-ex1030_1479.htm" TargetMode="External"/><Relationship Id="rId143" Type="http://schemas.openxmlformats.org/officeDocument/2006/relationships/hyperlink" Target="http://www.sec.gov/Archives/edgar/data/275880/000156459021007800/psn-ex1031_1476.htm" TargetMode="External"/><Relationship Id="rId144" Type="http://schemas.openxmlformats.org/officeDocument/2006/relationships/hyperlink" Target="http://www.sec.gov/Archives/edgar/data/275880/000156459021007800/psn-ex1032_1477.htm" TargetMode="External"/><Relationship Id="rId145" Type="http://schemas.openxmlformats.org/officeDocument/2006/relationships/hyperlink" Target="http://www.sec.gov/Archives/edgar/data/275880/000119312519105051/d625480dex1018.htm" TargetMode="External"/><Relationship Id="rId148" Type="http://schemas.openxmlformats.org/officeDocument/2006/relationships/hyperlink" Target="http://www.sec.gov/Archives/edgar/data/275880/000119312519105051/d625480dex1019.htm" TargetMode="External"/><Relationship Id="rId149" Type="http://schemas.openxmlformats.org/officeDocument/2006/relationships/hyperlink" Target="http://www.sec.gov/Archives/edgar/data/275880/000119312519105051/d625480dex1020.htm" TargetMode="External"/><Relationship Id="rId150" Type="http://schemas.openxmlformats.org/officeDocument/2006/relationships/hyperlink" Target="http://www.sec.gov/Archives/edgar/data/275880/000119312519105051/d625480dex1021.htm" TargetMode="External"/><Relationship Id="rId151" Type="http://schemas.openxmlformats.org/officeDocument/2006/relationships/hyperlink" Target="http://www.sec.gov/Archives/edgar/data/275880/000119312519105051/d625480dex1022.htm" TargetMode="External"/><Relationship Id="rId152" Type="http://schemas.openxmlformats.org/officeDocument/2006/relationships/hyperlink" Target="http://www.sec.gov/Archives/edgar/data/0000275880/000156459021034854/psn-ex991_17.htm" TargetMode="External"/><Relationship Id="rId153" Type="http://schemas.openxmlformats.org/officeDocument/2006/relationships/hyperlink" Target="http://www.sec.gov/Archives/edgar/data/275880/000119312519105051/d625480dex1023.htm" TargetMode="External"/><Relationship Id="rId154" Type="http://schemas.openxmlformats.org/officeDocument/2006/relationships/hyperlink" Target="http://www.sec.gov/Archives/edgar/data/275880/000156459021007800/psn-ex1039_1753.htm" TargetMode="External"/><Relationship Id="rId155" Type="http://schemas.openxmlformats.org/officeDocument/2006/relationships/hyperlink" Target="http://www.sec.gov/Archives/edgar/data/275880/000119312519123626/d625480dex1026.htm" TargetMode="External"/><Relationship Id="rId156" Type="http://schemas.openxmlformats.org/officeDocument/2006/relationships/hyperlink" Target="http://www.sec.gov/Archives/edgar/data/275880/000156459021007800/psn-ex1041_1480.htm" TargetMode="External"/><Relationship Id="rId157" Type="http://schemas.openxmlformats.org/officeDocument/2006/relationships/hyperlink" Target="http://www.sec.gov/Archives/edgar/data/275880/000156459021007800/psn-ex1042_2855.htm" TargetMode="External"/><Relationship Id="rId158" Type="http://schemas.openxmlformats.org/officeDocument/2006/relationships/hyperlink" Target="http://www.sec.gov/Archives/edgar/data/275880/000119312519123626/d625480dex10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2022-02-23T05:45:00Z</dcterms:created>
  <dcterms:modified xsi:type="dcterms:W3CDTF">2022-02-23T05:45:00Z</dcterms:modified>
</cp:coreProperties>
</file>