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2045335</wp:posOffset>
            </wp:positionH>
            <wp:positionV relativeFrom="paragraph">
              <wp:posOffset>80010</wp:posOffset>
            </wp:positionV>
            <wp:extent cx="305181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18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8" w:lineRule="exact"/>
        <w:rPr>
          <w:sz w:val="24"/>
          <w:szCs w:val="24"/>
          <w:color w:val="auto"/>
        </w:rPr>
      </w:pPr>
    </w:p>
    <w:tbl>
      <w:tblPr>
        <w:tblLayout w:type="fixed"/>
        <w:tblInd w:w="600" w:type="dxa"/>
        <w:tblCellMar>
          <w:top w:w="0" w:type="dxa"/>
          <w:left w:w="0" w:type="dxa"/>
          <w:bottom w:w="0" w:type="dxa"/>
          <w:right w:w="0" w:type="dxa"/>
        </w:tblCellMar>
      </w:tblPr>
      <w:tr>
        <w:trPr>
          <w:trHeight w:val="209"/>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rPr>
              <w:t>Delaware</w:t>
            </w:r>
          </w:p>
        </w:tc>
        <w:tc>
          <w:tcPr>
            <w:tcW w:w="368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001-07782</w:t>
            </w:r>
          </w:p>
        </w:tc>
        <w:tc>
          <w:tcPr>
            <w:tcW w:w="2300" w:type="dxa"/>
            <w:vAlign w:val="bottom"/>
          </w:tcPr>
          <w:p>
            <w:pPr>
              <w:jc w:val="right"/>
              <w:ind w:right="24"/>
              <w:spacing w:after="0"/>
              <w:rPr>
                <w:sz w:val="20"/>
                <w:szCs w:val="20"/>
                <w:color w:val="auto"/>
              </w:rPr>
            </w:pPr>
            <w:r>
              <w:rPr>
                <w:rFonts w:ascii="Arial" w:cs="Arial" w:eastAsia="Arial" w:hAnsi="Arial"/>
                <w:sz w:val="18"/>
                <w:szCs w:val="18"/>
                <w:b w:val="1"/>
                <w:bCs w:val="1"/>
                <w:color w:val="auto"/>
              </w:rPr>
              <w:t>95-3232481</w:t>
            </w:r>
          </w:p>
        </w:tc>
      </w:tr>
      <w:tr>
        <w:trPr>
          <w:trHeight w:val="14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of Incorporation)</w:t>
            </w:r>
          </w:p>
        </w:tc>
        <w:tc>
          <w:tcPr>
            <w:tcW w:w="3680" w:type="dxa"/>
            <w:vAlign w:val="bottom"/>
          </w:tcPr>
          <w:p>
            <w:pPr>
              <w:jc w:val="center"/>
              <w:ind w:right="281"/>
              <w:spacing w:after="0"/>
              <w:rPr>
                <w:sz w:val="20"/>
                <w:szCs w:val="20"/>
                <w:color w:val="auto"/>
              </w:rPr>
            </w:pPr>
            <w:r>
              <w:rPr>
                <w:rFonts w:ascii="Arial" w:cs="Arial" w:eastAsia="Arial" w:hAnsi="Arial"/>
                <w:sz w:val="13"/>
                <w:szCs w:val="13"/>
                <w:b w:val="1"/>
                <w:bCs w:val="1"/>
                <w:color w:val="auto"/>
              </w:rPr>
              <w:t>(Commission File Number)</w:t>
            </w:r>
          </w:p>
        </w:tc>
        <w:tc>
          <w:tcPr>
            <w:tcW w:w="2300" w:type="dxa"/>
            <w:vAlign w:val="bottom"/>
          </w:tcPr>
          <w:p>
            <w:pPr>
              <w:jc w:val="center"/>
              <w:ind w:left="1084"/>
              <w:spacing w:after="0"/>
              <w:rPr>
                <w:sz w:val="20"/>
                <w:szCs w:val="20"/>
                <w:color w:val="auto"/>
              </w:rPr>
            </w:pPr>
            <w:r>
              <w:rPr>
                <w:rFonts w:ascii="Arial" w:cs="Arial" w:eastAsia="Arial" w:hAnsi="Arial"/>
                <w:sz w:val="13"/>
                <w:szCs w:val="13"/>
                <w:b w:val="1"/>
                <w:bCs w:val="1"/>
                <w:color w:val="auto"/>
              </w:rPr>
              <w:t>Identification No.)</w:t>
            </w:r>
          </w:p>
        </w:tc>
      </w:tr>
      <w:tr>
        <w:trPr>
          <w:trHeight w:val="410"/>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w w:val="99"/>
              </w:rPr>
              <w:t>5875 Trinity Parkway, #300,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9"/>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Centreville, VA</w:t>
            </w:r>
          </w:p>
        </w:tc>
        <w:tc>
          <w:tcPr>
            <w:tcW w:w="3680" w:type="dxa"/>
            <w:vAlign w:val="bottom"/>
          </w:tcPr>
          <w:p>
            <w:pPr>
              <w:spacing w:after="0"/>
              <w:rPr>
                <w:sz w:val="18"/>
                <w:szCs w:val="18"/>
                <w:color w:val="auto"/>
              </w:rPr>
            </w:pPr>
          </w:p>
        </w:tc>
        <w:tc>
          <w:tcPr>
            <w:tcW w:w="2300" w:type="dxa"/>
            <w:vAlign w:val="bottom"/>
          </w:tcPr>
          <w:p>
            <w:pPr>
              <w:jc w:val="right"/>
              <w:ind w:right="244"/>
              <w:spacing w:after="0"/>
              <w:rPr>
                <w:sz w:val="20"/>
                <w:szCs w:val="20"/>
                <w:color w:val="auto"/>
              </w:rPr>
            </w:pPr>
            <w:r>
              <w:rPr>
                <w:rFonts w:ascii="Arial" w:cs="Arial" w:eastAsia="Arial" w:hAnsi="Arial"/>
                <w:sz w:val="18"/>
                <w:szCs w:val="18"/>
                <w:b w:val="1"/>
                <w:bCs w:val="1"/>
                <w:color w:val="auto"/>
              </w:rPr>
              <w:t>20120</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(Zip Code)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8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line="169" w:lineRule="exact"/>
              <w:rPr>
                <w:sz w:val="20"/>
                <w:szCs w:val="20"/>
                <w:color w:val="auto"/>
              </w:rPr>
            </w:pPr>
            <w:r>
              <w:rPr>
                <w:rFonts w:ascii="Arial" w:cs="Arial" w:eastAsia="Arial" w:hAnsi="Arial"/>
                <w:sz w:val="16"/>
                <w:szCs w:val="16"/>
                <w:b w:val="1"/>
                <w:bCs w:val="1"/>
                <w:color w:val="auto"/>
              </w:rPr>
              <w:t>Trading</w:t>
            </w:r>
          </w:p>
        </w:tc>
        <w:tc>
          <w:tcPr>
            <w:tcW w:w="4480" w:type="dxa"/>
            <w:vAlign w:val="bottom"/>
          </w:tcPr>
          <w:p>
            <w:pPr>
              <w:spacing w:after="0"/>
              <w:rPr>
                <w:sz w:val="14"/>
                <w:szCs w:val="14"/>
                <w:color w:val="auto"/>
              </w:rPr>
            </w:pPr>
          </w:p>
        </w:tc>
      </w:tr>
      <w:tr>
        <w:trPr>
          <w:trHeight w:val="20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3"/>
        </w:trPr>
        <w:tc>
          <w:tcPr>
            <w:tcW w:w="462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Stock, $1 par value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PSN</w:t>
            </w: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2" w:lineRule="exact"/>
        <w:rPr>
          <w:sz w:val="24"/>
          <w:szCs w:val="24"/>
          <w:color w:val="auto"/>
        </w:rPr>
      </w:pPr>
    </w:p>
    <w:p>
      <w:pPr>
        <w:ind w:right="60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77" w:lineRule="exact"/>
        <w:rPr>
          <w:sz w:val="24"/>
          <w:szCs w:val="24"/>
          <w:color w:val="auto"/>
        </w:rPr>
      </w:pPr>
    </w:p>
    <w:p>
      <w:pPr>
        <w:ind w:right="14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2.02Result of Operations and Financial Condition</w:t>
      </w:r>
    </w:p>
    <w:p>
      <w:pPr>
        <w:spacing w:after="0" w:line="2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On November 3, 2021, Parson Corporation (the “Company”) issued a press release announcing its financial results for the quarter ended September 30, 2021 and certain other financial information. A copy of the press release is attached to this Form 8-K as Exhibit 99.1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exhibit is furnished as part of this Report pursuant to Item 2.02</w:t>
      </w:r>
    </w:p>
    <w:p>
      <w:pPr>
        <w:spacing w:after="0" w:line="236" w:lineRule="exact"/>
        <w:rPr>
          <w:sz w:val="20"/>
          <w:szCs w:val="20"/>
          <w:color w:val="auto"/>
        </w:rPr>
      </w:pPr>
    </w:p>
    <w:p>
      <w:pPr>
        <w:ind w:left="1160" w:right="640" w:hanging="863"/>
        <w:spacing w:after="0" w:line="236" w:lineRule="auto"/>
        <w:tabs>
          <w:tab w:leader="none" w:pos="1140" w:val="left"/>
        </w:tabs>
        <w:rPr>
          <w:rFonts w:ascii="Arial" w:cs="Arial" w:eastAsia="Arial" w:hAnsi="Arial"/>
          <w:sz w:val="20"/>
          <w:szCs w:val="20"/>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20"/>
            <w:szCs w:val="20"/>
            <w:u w:val="single" w:color="auto"/>
            <w:color w:val="0000EE"/>
          </w:rPr>
          <w:t>Press Release Dated November 3, 2021 announcing the Company’s financial results for the quarter ended</w:t>
        </w:r>
      </w:hyperlink>
      <w:r>
        <w:rPr>
          <w:rFonts w:ascii="Arial" w:cs="Arial" w:eastAsia="Arial" w:hAnsi="Arial"/>
          <w:sz w:val="20"/>
          <w:szCs w:val="20"/>
          <w:u w:val="single" w:color="auto"/>
          <w:color w:val="0000EE"/>
        </w:rPr>
        <w:t xml:space="preserve"> </w:t>
      </w:r>
      <w:hyperlink w:anchor="page3">
        <w:r>
          <w:rPr>
            <w:rFonts w:ascii="Arial" w:cs="Arial" w:eastAsia="Arial" w:hAnsi="Arial"/>
            <w:sz w:val="20"/>
            <w:szCs w:val="20"/>
            <w:u w:val="single" w:color="auto"/>
            <w:color w:val="0000EE"/>
          </w:rPr>
          <w:t>September 30, 2021.</w:t>
        </w:r>
      </w:hyperlink>
    </w:p>
    <w:p>
      <w:pPr>
        <w:spacing w:after="0" w:line="19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39"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information disclosed pursuant to Items 2.02 and 9.01 in this Current Report on Form 8-K, including the exhibit, shall not be deemed “filed” for the purposes of Section 18 of the Securities Act of 1934, as amended, or otherwise subject to the liabilities of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Furthermore, the information disclosed pursuant to Items 2.02 and 9.01 of this Current Report on Form 8-K, including the exhibit, shall not be deemed incorporated by reference in any filing under the Securities Act of 1933, as amended, of the Securities Exchange Act of 1934, as amended.</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Parsons Corporation</w:t>
      </w:r>
    </w:p>
    <w:p>
      <w:pPr>
        <w:spacing w:after="0" w:line="225" w:lineRule="exact"/>
        <w:rPr>
          <w:sz w:val="20"/>
          <w:szCs w:val="20"/>
          <w:color w:val="auto"/>
        </w:rPr>
      </w:pPr>
    </w:p>
    <w:p>
      <w:pPr>
        <w:spacing w:after="0"/>
        <w:tabs>
          <w:tab w:leader="none" w:pos="5720" w:val="left"/>
          <w:tab w:leader="none" w:pos="79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George L. Ball</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40"/>
          </w:cols>
          <w:pgMar w:left="320" w:top="549" w:right="439" w:bottom="1440" w:gutter="0" w:footer="0" w:header="0"/>
        </w:sectPr>
      </w:pPr>
    </w:p>
    <w:bookmarkStart w:id="2" w:name="page3"/>
    <w:bookmarkEnd w:id="2"/>
    <w:p>
      <w:pPr>
        <w:ind w:left="924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175260</wp:posOffset>
            </wp:positionV>
            <wp:extent cx="7174865" cy="7839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783907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097538"/>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Reports Third Quarter 2021 Results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color w:val="0052CC"/>
        </w:rPr>
        <w:t>Q3 2021 Financial Highlights</w:t>
      </w:r>
    </w:p>
    <w:p>
      <w:pPr>
        <w:spacing w:after="0" w:line="2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Revenue of $956 million, representing sequential total and organic growth of 9% and 7%, respectively</w:t>
      </w:r>
    </w:p>
    <w:p>
      <w:pPr>
        <w:spacing w:after="0" w:line="7" w:lineRule="exact"/>
        <w:rPr>
          <w:rFonts w:ascii="Arial" w:cs="Arial" w:eastAsia="Arial" w:hAnsi="Arial"/>
          <w:sz w:val="18"/>
          <w:szCs w:val="18"/>
          <w:color w:val="0052CC"/>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Net income of $19 million and margin of 2.0%</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Adjusted EBITDA of $84 million and margin of 8.8%</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Cash flow from operations of $77 million for the third quarter</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Book-to-bill ratio of 1.1x in Q3 2021 and 1.3x for the trailing twelve months</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2"/>
        </w:numPr>
        <w:rPr>
          <w:rFonts w:ascii="Arial" w:cs="Arial" w:eastAsia="Arial" w:hAnsi="Arial"/>
          <w:sz w:val="18"/>
          <w:szCs w:val="18"/>
          <w:color w:val="0052CC"/>
        </w:rPr>
      </w:pPr>
      <w:r>
        <w:rPr>
          <w:rFonts w:ascii="Arial" w:cs="Arial" w:eastAsia="Arial" w:hAnsi="Arial"/>
          <w:sz w:val="18"/>
          <w:szCs w:val="18"/>
          <w:color w:val="auto"/>
        </w:rPr>
        <w:t>Record total backlog of $8.6 billion, a 10% year-over-year increase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0052CC"/>
        </w:rPr>
        <w:t>Strategic Highlights</w:t>
      </w:r>
    </w:p>
    <w:p>
      <w:pPr>
        <w:spacing w:after="0" w:line="2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0052CC"/>
        </w:rPr>
      </w:pPr>
      <w:r>
        <w:rPr>
          <w:rFonts w:ascii="Arial" w:cs="Arial" w:eastAsia="Arial" w:hAnsi="Arial"/>
          <w:sz w:val="18"/>
          <w:szCs w:val="18"/>
          <w:color w:val="auto"/>
        </w:rPr>
        <w:t>Five contract wins over $100 million each</w:t>
      </w:r>
    </w:p>
    <w:p>
      <w:pPr>
        <w:spacing w:after="0" w:line="7" w:lineRule="exact"/>
        <w:rPr>
          <w:rFonts w:ascii="Arial" w:cs="Arial" w:eastAsia="Arial" w:hAnsi="Arial"/>
          <w:sz w:val="18"/>
          <w:szCs w:val="18"/>
          <w:color w:val="0052CC"/>
        </w:rPr>
      </w:pPr>
    </w:p>
    <w:p>
      <w:pPr>
        <w:ind w:left="400" w:hanging="392"/>
        <w:spacing w:after="0"/>
        <w:tabs>
          <w:tab w:leader="none" w:pos="400" w:val="left"/>
        </w:tabs>
        <w:numPr>
          <w:ilvl w:val="0"/>
          <w:numId w:val="3"/>
        </w:numPr>
        <w:rPr>
          <w:rFonts w:ascii="Arial" w:cs="Arial" w:eastAsia="Arial" w:hAnsi="Arial"/>
          <w:sz w:val="18"/>
          <w:szCs w:val="18"/>
          <w:color w:val="0052CC"/>
        </w:rPr>
      </w:pPr>
      <w:r>
        <w:rPr>
          <w:rFonts w:ascii="Arial" w:cs="Arial" w:eastAsia="Arial" w:hAnsi="Arial"/>
          <w:sz w:val="18"/>
          <w:szCs w:val="18"/>
          <w:color w:val="auto"/>
        </w:rPr>
        <w:t>Completed two strategic acquisitions, BlackHorse Solutions, Inc. and Echo Ridge, LLC</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3"/>
        </w:numPr>
        <w:rPr>
          <w:rFonts w:ascii="Arial" w:cs="Arial" w:eastAsia="Arial" w:hAnsi="Arial"/>
          <w:sz w:val="18"/>
          <w:szCs w:val="18"/>
          <w:color w:val="0052CC"/>
        </w:rPr>
      </w:pPr>
      <w:r>
        <w:rPr>
          <w:rFonts w:ascii="Arial" w:cs="Arial" w:eastAsia="Arial" w:hAnsi="Arial"/>
          <w:sz w:val="18"/>
          <w:szCs w:val="18"/>
          <w:color w:val="auto"/>
        </w:rPr>
        <w:t>Authorized and began executing on $100 million share repurchase program</w:t>
      </w:r>
    </w:p>
    <w:p>
      <w:pPr>
        <w:spacing w:after="0" w:line="9" w:lineRule="exact"/>
        <w:rPr>
          <w:rFonts w:ascii="Arial" w:cs="Arial" w:eastAsia="Arial" w:hAnsi="Arial"/>
          <w:sz w:val="18"/>
          <w:szCs w:val="18"/>
          <w:color w:val="0052CC"/>
        </w:rPr>
      </w:pPr>
    </w:p>
    <w:p>
      <w:pPr>
        <w:ind w:left="400" w:hanging="392"/>
        <w:spacing w:after="0"/>
        <w:tabs>
          <w:tab w:leader="none" w:pos="400" w:val="left"/>
        </w:tabs>
        <w:numPr>
          <w:ilvl w:val="0"/>
          <w:numId w:val="3"/>
        </w:numPr>
        <w:rPr>
          <w:rFonts w:ascii="Arial" w:cs="Arial" w:eastAsia="Arial" w:hAnsi="Arial"/>
          <w:sz w:val="18"/>
          <w:szCs w:val="18"/>
          <w:color w:val="0052CC"/>
        </w:rPr>
      </w:pPr>
      <w:r>
        <w:rPr>
          <w:rFonts w:ascii="Arial" w:cs="Arial" w:eastAsia="Arial" w:hAnsi="Arial"/>
          <w:sz w:val="18"/>
          <w:szCs w:val="18"/>
          <w:color w:val="auto"/>
        </w:rPr>
        <w:t>Reiterated fiscal year 2021 guidance</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CENTREVILLE, VA – November 3, 2021, Parsons Corporation (NYSE: PSN) today announced financial results for the third quarter ended September 30, 2021.</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0052CC"/>
        </w:rPr>
        <w:t>CEO Commentary</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“Overall, we had a good third quarter as we delivered on the strategic and financial objectives we established at the conclusion of the second quarter. We reported strong sequential total and organic revenue growth of 9% and 7%, respectively, won a number of significant contract awards, increased hiring activity, delivered strong program execution and reported solid margins in our core businesses. We also closed two key acquisitions and announced a $100 million dollar share repurchase program, which will enable us to continue to drive shareholder value while maintaining ample balance sheet flexibility,” said Carey Smith, president and chief executive officer of Parsons.</w:t>
      </w:r>
    </w:p>
    <w:p>
      <w:pPr>
        <w:spacing w:after="0" w:line="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I look forward, I remain excited about our prospects. We are well positioned across two large, attractive, and growing markets, as evidenced by our performance in the quarter. We have solidified our core business with recent recompete wins, hired key talent to drive future growth, and reported record backlog. We remain confident in our ability to achieve our 2021 guidance and believe the momentum we are seeing across both segments will continue to build as we move through Q4 and into 2022.”</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0052CC"/>
        </w:rPr>
        <w:t>Third Quarter 2021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Sequential Comparisons (Q3 2021 vs. Q2 2021)</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Total revenue for the third quarter of 2021 increased by $77 million, or 9%, to $956 million. Total revenue excluding $18 million from acquisitions increased 7% sequentially. Operating income increased 97% to $40 million primarily due to an increase in business volume on existing contracts and recent contract awards, and a reduction in write-downs. Net income increased to $19 million and net income margin increased to 2.0%. Diluted earnings per share (EPS) attributable to Parsons was $0.18 in the third quarter of 2021, compared to $0.06 in the second quarter of 2021.</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EBITDA including noncontrolling interests for the third quarter of 2021 was $84 million, a 28% increase over the second quarter of 2021. Adjusted EBITDA margin was 8.8% in the third quarter of 2021, compared to 7.5% in the second quarter of 2021. Adjusted EPS was $0.44 in the third quarter of 2021, compared to $0.32 in the second quarter of 2021. The sequential adjusted EBITDA and adjusted EPS increases were driven primarily by the items noted above.</w:t>
      </w:r>
    </w:p>
    <w:p>
      <w:pPr>
        <w:spacing w:after="0" w:line="200" w:lineRule="exact"/>
        <w:rPr>
          <w:sz w:val="20"/>
          <w:szCs w:val="20"/>
          <w:color w:val="auto"/>
        </w:rPr>
      </w:pPr>
    </w:p>
    <w:p>
      <w:pPr>
        <w:spacing w:after="0" w:line="349" w:lineRule="exact"/>
        <w:rPr>
          <w:sz w:val="20"/>
          <w:szCs w:val="20"/>
          <w:color w:val="auto"/>
        </w:rPr>
      </w:pP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Year-over-Year Comparisons (Q3 2021 vs. Q3 2020)</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Total revenue for the third quarter of 2021 decreased by $48 million, or 5%, to $956 million. Total revenue excluding $52 million from acquisitions decreased 10%. Operating income decreased 40% to $40 million primarily due to $12.2 million of write-downs taken on two legacy Critical Infrastructure programs and increased insurance costs. Net income decreased to $19 million and net income margin decreased to 2.0%. Diluted earnings per share (EPS) attributable to Parsons was $0.18 in the third quarter of 2021, compared to $0.40 in the prior year period.</w:t>
      </w:r>
    </w:p>
    <w:p>
      <w:pPr>
        <w:spacing w:after="0" w:line="6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Adjusted EBITDA including noncontrolling interests for the third quarter of 2021 was $84 million, a 16% decrease over the prior year period. Adjusted EBITDA margin was 8.8% in the third quarter of 2021, compared to 10.0% in the third quarter of 2020. Adjusted EPS was $0.44 in the third quarter of 2021, compared to $0.57 in the third quarter of 2020. The year-over-year adjusted EBITDA and adjusted EPS decreases were driven by the items noted above.</w:t>
      </w:r>
    </w:p>
    <w:p>
      <w:pPr>
        <w:spacing w:after="0" w:line="187" w:lineRule="exact"/>
        <w:rPr>
          <w:sz w:val="20"/>
          <w:szCs w:val="20"/>
          <w:color w:val="auto"/>
        </w:rPr>
      </w:pPr>
    </w:p>
    <w:p>
      <w:pPr>
        <w:spacing w:after="0"/>
        <w:rPr>
          <w:sz w:val="20"/>
          <w:szCs w:val="20"/>
          <w:color w:val="auto"/>
        </w:rPr>
      </w:pPr>
      <w:r>
        <w:rPr>
          <w:rFonts w:ascii="Arial" w:cs="Arial" w:eastAsia="Arial" w:hAnsi="Arial"/>
          <w:sz w:val="32"/>
          <w:szCs w:val="32"/>
          <w:b w:val="1"/>
          <w:bCs w:val="1"/>
          <w:color w:val="097538"/>
        </w:rPr>
        <w:t>Segment Results</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color w:val="0052CC"/>
        </w:rPr>
        <w:t>Federal Solutions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Solutions Sequential Comparisons (Q3 2021 vs. Q2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720" w:type="dxa"/>
            <w:vAlign w:val="bottom"/>
            <w:tcBorders>
              <w:right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gridSpan w:val="5"/>
          </w:tcPr>
          <w:p>
            <w:pPr>
              <w:jc w:val="right"/>
              <w:ind w:right="34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Growth</w:t>
            </w:r>
          </w:p>
        </w:tc>
        <w:tc>
          <w:tcPr>
            <w:tcW w:w="720" w:type="dxa"/>
            <w:vAlign w:val="bottom"/>
            <w:tcBorders>
              <w:top w:val="single" w:sz="8" w:color="auto"/>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136"/>
        </w:trPr>
        <w:tc>
          <w:tcPr>
            <w:tcW w:w="1720" w:type="dxa"/>
            <w:vAlign w:val="bottom"/>
            <w:tcBorders>
              <w:right w:val="single" w:sz="8" w:color="auto"/>
            </w:tcBorders>
          </w:tcPr>
          <w:p>
            <w:pPr>
              <w:spacing w:after="0"/>
              <w:rPr>
                <w:sz w:val="11"/>
                <w:szCs w:val="11"/>
                <w:color w:val="auto"/>
              </w:rPr>
            </w:pPr>
          </w:p>
        </w:tc>
        <w:tc>
          <w:tcPr>
            <w:tcW w:w="1200" w:type="dxa"/>
            <w:vAlign w:val="bottom"/>
            <w:gridSpan w:val="3"/>
          </w:tcPr>
          <w:p>
            <w:pPr>
              <w:ind w:left="20"/>
              <w:spacing w:after="0" w:line="13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1160" w:type="dxa"/>
            <w:vAlign w:val="bottom"/>
            <w:gridSpan w:val="3"/>
          </w:tcPr>
          <w:p>
            <w:pPr>
              <w:ind w:left="40"/>
              <w:spacing w:after="0" w:line="136" w:lineRule="exact"/>
              <w:rPr>
                <w:sz w:val="20"/>
                <w:szCs w:val="20"/>
                <w:color w:val="auto"/>
              </w:rPr>
            </w:pPr>
            <w:r>
              <w:rPr>
                <w:rFonts w:ascii="Arial" w:cs="Arial" w:eastAsia="Arial" w:hAnsi="Arial"/>
                <w:sz w:val="14"/>
                <w:szCs w:val="14"/>
                <w:b w:val="1"/>
                <w:bCs w:val="1"/>
                <w:color w:val="auto"/>
              </w:rPr>
              <w:t>Dollars/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1720" w:type="dxa"/>
            <w:vAlign w:val="bottom"/>
            <w:tcBorders>
              <w:bottom w:val="single" w:sz="8" w:color="CFF0FC"/>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r>
      <w:tr>
        <w:trPr>
          <w:trHeight w:val="196"/>
        </w:trPr>
        <w:tc>
          <w:tcPr>
            <w:tcW w:w="1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499,291</w:t>
            </w:r>
          </w:p>
        </w:tc>
        <w:tc>
          <w:tcPr>
            <w:tcW w:w="1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442,675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56,616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46,559</w:t>
            </w: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32,579</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13,980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4"/>
        </w:trPr>
        <w:tc>
          <w:tcPr>
            <w:tcW w:w="1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187"/>
        </w:trPr>
        <w:tc>
          <w:tcPr>
            <w:tcW w:w="1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margin</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w:t>
            </w:r>
          </w:p>
        </w:tc>
        <w:tc>
          <w:tcPr>
            <w:tcW w:w="1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Third quarter 2021 revenue increased $57 million, or 13%, from the second quarter of 2021 primarily due to an increase in business volume on existing contracts and recent contract awards, and $18 million of acquisition revenue. Federal Solutions revenue excluding $18 million from acquisitions increased 9%.</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Third quarter 2021 Federal Solutions adjusted EBITDA including noncontrolling interests increased by $14 million, or 43%, compared to the second quarter of 2021. Adjusted EBITDA margin increased to 9.3% from 7.4% in the second quarter of 2021. These increases were primarily driven by a $6.9 million reserve taken on a Federal Solutions program in Q2 2021, and increased business volume on existing contracts and recent contract awards, and acquisitions.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Solutions Year-over-Year Comparisons (Q3 2021 vs. Q3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980" w:type="dxa"/>
            <w:vAlign w:val="bottom"/>
            <w:tcBorders>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5"/>
          </w:tcPr>
          <w:p>
            <w:pPr>
              <w:jc w:val="right"/>
              <w:ind w:right="34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Growth</w:t>
            </w:r>
          </w:p>
        </w:tc>
        <w:tc>
          <w:tcPr>
            <w:tcW w:w="180" w:type="dxa"/>
            <w:vAlign w:val="bottom"/>
            <w:tcBorders>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5"/>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21"/>
                <w:szCs w:val="21"/>
                <w:color w:val="auto"/>
              </w:rPr>
            </w:pPr>
          </w:p>
        </w:tc>
      </w:tr>
      <w:tr>
        <w:trPr>
          <w:trHeight w:val="136"/>
        </w:trPr>
        <w:tc>
          <w:tcPr>
            <w:tcW w:w="2980" w:type="dxa"/>
            <w:vAlign w:val="bottom"/>
            <w:tcBorders>
              <w:right w:val="single" w:sz="8" w:color="auto"/>
            </w:tcBorders>
          </w:tcPr>
          <w:p>
            <w:pPr>
              <w:spacing w:after="0"/>
              <w:rPr>
                <w:sz w:val="11"/>
                <w:szCs w:val="11"/>
                <w:color w:val="auto"/>
              </w:rPr>
            </w:pPr>
          </w:p>
        </w:tc>
        <w:tc>
          <w:tcPr>
            <w:tcW w:w="114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right w:val="single" w:sz="8" w:color="auto"/>
            </w:tcBorders>
          </w:tcPr>
          <w:p>
            <w:pPr>
              <w:spacing w:after="0"/>
              <w:rPr>
                <w:sz w:val="11"/>
                <w:szCs w:val="11"/>
                <w:color w:val="auto"/>
              </w:rPr>
            </w:pPr>
          </w:p>
        </w:tc>
        <w:tc>
          <w:tcPr>
            <w:tcW w:w="114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ind w:left="100"/>
              <w:spacing w:after="0" w:line="136" w:lineRule="exact"/>
              <w:rPr>
                <w:sz w:val="20"/>
                <w:szCs w:val="20"/>
                <w:color w:val="auto"/>
              </w:rPr>
            </w:pPr>
            <w:r>
              <w:rPr>
                <w:rFonts w:ascii="Arial" w:cs="Arial" w:eastAsia="Arial" w:hAnsi="Arial"/>
                <w:sz w:val="14"/>
                <w:szCs w:val="14"/>
                <w:b w:val="1"/>
                <w:bCs w:val="1"/>
                <w:color w:val="auto"/>
              </w:rPr>
              <w:t>Dollars/</w:t>
            </w:r>
          </w:p>
        </w:tc>
        <w:tc>
          <w:tcPr>
            <w:tcW w:w="6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right w:val="single" w:sz="8" w:color="auto"/>
            </w:tcBorders>
          </w:tcPr>
          <w:p>
            <w:pPr>
              <w:spacing w:after="0"/>
              <w:rPr>
                <w:sz w:val="11"/>
                <w:szCs w:val="11"/>
                <w:color w:val="auto"/>
              </w:rPr>
            </w:pPr>
          </w:p>
        </w:tc>
        <w:tc>
          <w:tcPr>
            <w:tcW w:w="114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36" w:lineRule="exact"/>
              <w:rPr>
                <w:sz w:val="20"/>
                <w:szCs w:val="20"/>
                <w:color w:val="auto"/>
              </w:rPr>
            </w:pPr>
            <w:r>
              <w:rPr>
                <w:rFonts w:ascii="Arial" w:cs="Arial" w:eastAsia="Arial" w:hAnsi="Arial"/>
                <w:sz w:val="14"/>
                <w:szCs w:val="14"/>
                <w:b w:val="1"/>
                <w:bCs w:val="1"/>
                <w:color w:val="auto"/>
              </w:rPr>
              <w:t>Dollars/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2980" w:type="dxa"/>
            <w:vAlign w:val="bottom"/>
            <w:tcBorders>
              <w:bottom w:val="single" w:sz="8" w:color="CFF0FC"/>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r>
      <w:tr>
        <w:trPr>
          <w:trHeight w:val="196"/>
        </w:trPr>
        <w:tc>
          <w:tcPr>
            <w:tcW w:w="29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499,291</w:t>
            </w:r>
          </w:p>
        </w:tc>
        <w:tc>
          <w:tcPr>
            <w:tcW w:w="1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498,156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w:t>
            </w:r>
          </w:p>
        </w:tc>
        <w:tc>
          <w:tcPr>
            <w:tcW w:w="180" w:type="dxa"/>
            <w:vAlign w:val="bottom"/>
            <w:shd w:val="clear" w:color="auto" w:fill="CFF0FC"/>
          </w:tcPr>
          <w:p>
            <w:pPr>
              <w:spacing w:after="0"/>
              <w:rPr>
                <w:sz w:val="17"/>
                <w:szCs w:val="17"/>
                <w:color w:val="auto"/>
              </w:rPr>
            </w:pPr>
          </w:p>
        </w:tc>
        <w:tc>
          <w:tcPr>
            <w:tcW w:w="80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w:t>
            </w: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1,394,035</w:t>
            </w:r>
          </w:p>
        </w:tc>
        <w:tc>
          <w:tcPr>
            <w:tcW w:w="1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1,457,937</w:t>
            </w:r>
          </w:p>
        </w:tc>
        <w:tc>
          <w:tcPr>
            <w:tcW w:w="18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 (63,902)</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r>
      <w:tr>
        <w:trPr>
          <w:trHeight w:val="20"/>
        </w:trPr>
        <w:tc>
          <w:tcPr>
            <w:tcW w:w="29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9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46,559</w:t>
            </w:r>
          </w:p>
        </w:tc>
        <w:tc>
          <w:tcPr>
            <w:tcW w:w="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45,936</w:t>
            </w:r>
          </w:p>
        </w:tc>
        <w:tc>
          <w:tcPr>
            <w:tcW w:w="16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623</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111,195</w:t>
            </w:r>
          </w:p>
        </w:tc>
        <w:tc>
          <w:tcPr>
            <w:tcW w:w="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125,401</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 (14,206)</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3"/>
        </w:trPr>
        <w:tc>
          <w:tcPr>
            <w:tcW w:w="29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Adjusted EBITDA margin</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w:t>
            </w: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80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r>
      <w:tr>
        <w:trPr>
          <w:trHeight w:val="20"/>
        </w:trPr>
        <w:tc>
          <w:tcPr>
            <w:tcW w:w="29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Third quarter 2021 revenue increased $1 million, or 0%, compared to the prior year period primarily due to $52 million of acquisition revenue. Total revenue excluding acquisition revenue decreased 10% from the prior year period primarily due to program completions and wind-downs and lower pass-through revenue.</w:t>
      </w:r>
    </w:p>
    <w:p>
      <w:pPr>
        <w:spacing w:after="0" w:line="7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Third quarter 2021 Federal Solutions adjusted EBITDA including noncontrolling interests increased by $1 million, or 1%. Adjusted EBITDA margin increased to 9.3% from 9.2% in the prior year period. The increase was primarily related to acquisitions, offset by a decrease in business volume.</w:t>
      </w:r>
    </w:p>
    <w:p>
      <w:pPr>
        <w:spacing w:after="0" w:line="200" w:lineRule="exact"/>
        <w:rPr>
          <w:sz w:val="20"/>
          <w:szCs w:val="20"/>
          <w:color w:val="auto"/>
        </w:rPr>
      </w:pPr>
    </w:p>
    <w:p>
      <w:pPr>
        <w:spacing w:after="0" w:line="286" w:lineRule="exact"/>
        <w:rPr>
          <w:sz w:val="20"/>
          <w:szCs w:val="20"/>
          <w:color w:val="auto"/>
        </w:rPr>
      </w:pP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spacing w:after="0" w:line="3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Critical Infrastructure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Infrastructure Sequential Comparisons (Q3 2021 vs. Q2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Borders>
              <w:right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gridSpan w:val="5"/>
          </w:tcPr>
          <w:p>
            <w:pPr>
              <w:jc w:val="right"/>
              <w:ind w:right="30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Growth</w:t>
            </w:r>
          </w:p>
        </w:tc>
        <w:tc>
          <w:tcPr>
            <w:tcW w:w="7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7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Percent</w:t>
            </w: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Percent</w:t>
            </w:r>
          </w:p>
        </w:tc>
      </w:tr>
      <w:tr>
        <w:trPr>
          <w:trHeight w:val="196"/>
        </w:trPr>
        <w:tc>
          <w:tcPr>
            <w:tcW w:w="1720" w:type="dxa"/>
            <w:vAlign w:val="bottom"/>
            <w:tcBorders>
              <w:top w:val="single" w:sz="8" w:color="CFF0FC"/>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456,759</w:t>
            </w: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right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436,681</w:t>
            </w: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20,078</w:t>
            </w: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37,833</w:t>
            </w:r>
          </w:p>
        </w:tc>
        <w:tc>
          <w:tcPr>
            <w:tcW w:w="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33,148</w:t>
            </w:r>
          </w:p>
        </w:tc>
        <w:tc>
          <w:tcPr>
            <w:tcW w:w="1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4,685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14%</w:t>
            </w:r>
          </w:p>
        </w:tc>
      </w:tr>
      <w:tr>
        <w:trPr>
          <w:trHeight w:val="204"/>
        </w:trPr>
        <w:tc>
          <w:tcPr>
            <w:tcW w:w="1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87"/>
        </w:trPr>
        <w:tc>
          <w:tcPr>
            <w:tcW w:w="1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margin</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Third quarter 2021 revenue increased $20 million, or 5%, from the second quarter of 2021 primarily due to a reduction in write-downs, and increased revenue from recent contract awards.</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Third quarter 2021 Critical Infrastructure adjusted EBITDA including noncontrolling interests increased by $5 million, or 14%, compared to the second quarter of 2021. Adjusted EBITDA margin increased to 8.3% from 7.6% in the second quarter of 2021. These increases were primarily driven by a reduction in write-downs and an increase in business volume.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Infrastructure Year-over-Year Comparisons (Q3 2021 vs. Q3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20" w:type="dxa"/>
            <w:vAlign w:val="bottom"/>
            <w:tcBorders>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5"/>
          </w:tcPr>
          <w:p>
            <w:pPr>
              <w:jc w:val="right"/>
              <w:ind w:right="34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Growth</w:t>
            </w:r>
          </w:p>
        </w:tc>
        <w:tc>
          <w:tcPr>
            <w:tcW w:w="180" w:type="dxa"/>
            <w:vAlign w:val="bottom"/>
            <w:tcBorders>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gridSpan w:val="5"/>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7"/>
              </w:rPr>
              <w:t>Growth</w:t>
            </w:r>
          </w:p>
        </w:tc>
        <w:tc>
          <w:tcPr>
            <w:tcW w:w="5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36"/>
        </w:trPr>
        <w:tc>
          <w:tcPr>
            <w:tcW w:w="2720" w:type="dxa"/>
            <w:vAlign w:val="bottom"/>
            <w:tcBorders>
              <w:right w:val="single" w:sz="8" w:color="auto"/>
            </w:tcBorders>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right w:val="single" w:sz="8" w:color="auto"/>
            </w:tcBorders>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36" w:lineRule="exact"/>
              <w:rPr>
                <w:sz w:val="20"/>
                <w:szCs w:val="20"/>
                <w:color w:val="auto"/>
              </w:rPr>
            </w:pPr>
            <w:r>
              <w:rPr>
                <w:rFonts w:ascii="Arial" w:cs="Arial" w:eastAsia="Arial" w:hAnsi="Arial"/>
                <w:sz w:val="14"/>
                <w:szCs w:val="14"/>
                <w:b w:val="1"/>
                <w:bCs w:val="1"/>
                <w:color w:val="auto"/>
              </w:rPr>
              <w:t>Dollars/</w:t>
            </w:r>
          </w:p>
        </w:tc>
        <w:tc>
          <w:tcPr>
            <w:tcW w:w="6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14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right w:val="single" w:sz="8" w:color="auto"/>
            </w:tcBorders>
          </w:tcPr>
          <w:p>
            <w:pPr>
              <w:spacing w:after="0"/>
              <w:rPr>
                <w:sz w:val="11"/>
                <w:szCs w:val="11"/>
                <w:color w:val="auto"/>
              </w:rPr>
            </w:pPr>
          </w:p>
        </w:tc>
        <w:tc>
          <w:tcPr>
            <w:tcW w:w="116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Dollars/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2720" w:type="dxa"/>
            <w:vAlign w:val="bottom"/>
            <w:tcBorders>
              <w:bottom w:val="single" w:sz="8" w:color="CFF0FC"/>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r>
      <w:tr>
        <w:trPr>
          <w:trHeight w:val="196"/>
        </w:trPr>
        <w:tc>
          <w:tcPr>
            <w:tcW w:w="2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456,759</w:t>
            </w:r>
          </w:p>
        </w:tc>
        <w:tc>
          <w:tcPr>
            <w:tcW w:w="1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506,080</w:t>
            </w:r>
          </w:p>
        </w:tc>
        <w:tc>
          <w:tcPr>
            <w:tcW w:w="18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 (49,321)</w:t>
            </w:r>
          </w:p>
        </w:tc>
        <w:tc>
          <w:tcPr>
            <w:tcW w:w="82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1,316,068</w:t>
            </w:r>
          </w:p>
        </w:tc>
        <w:tc>
          <w:tcPr>
            <w:tcW w:w="1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1,496,751</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(180,683)</w:t>
            </w: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r>
      <w:tr>
        <w:trPr>
          <w:trHeight w:val="20"/>
        </w:trPr>
        <w:tc>
          <w:tcPr>
            <w:tcW w:w="2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37,833</w:t>
            </w:r>
          </w:p>
        </w:tc>
        <w:tc>
          <w:tcPr>
            <w:tcW w:w="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54,865</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 (17,032)</w:t>
            </w:r>
          </w:p>
        </w:tc>
        <w:tc>
          <w:tcPr>
            <w:tcW w:w="8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107,623</w:t>
            </w:r>
          </w:p>
        </w:tc>
        <w:tc>
          <w:tcPr>
            <w:tcW w:w="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127,057</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(19,434)</w:t>
            </w: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3"/>
        </w:trPr>
        <w:tc>
          <w:tcPr>
            <w:tcW w:w="272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c>
          <w:tcPr>
            <w:tcW w:w="820" w:type="dxa"/>
            <w:vAlign w:val="bottom"/>
            <w:tcBorders>
              <w:right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r>
      <w:tr>
        <w:trPr>
          <w:trHeight w:val="20"/>
        </w:trPr>
        <w:tc>
          <w:tcPr>
            <w:tcW w:w="27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 quarter 2021 Critical Infrastructure revenue decreased $49 million, or 10%, compared to the prior year period primarily due to program completions, lower pass-through revenue, and a $6.3 million impact from a write-down taken on a legacy Critical Infrastructure program.</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Third quarter 2021 adjusted EBITDA including noncontrolling interests decreased by $17 million, or 31%, compared to the prior year period. Adjusted EBITDA margin decreased to 8.3% from 10.8% in the prior year period. These decreases were driven by an $12.2 million impact from write-downs taken on two legacy Critical Infrastructure programs and an increase in insurance costs.</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0052CC"/>
        </w:rPr>
        <w:t>Third Quarter 2021 Key Performance Indicators</w:t>
      </w:r>
    </w:p>
    <w:p>
      <w:pPr>
        <w:spacing w:after="0" w:line="120" w:lineRule="exact"/>
        <w:rPr>
          <w:sz w:val="20"/>
          <w:szCs w:val="20"/>
          <w:color w:val="auto"/>
        </w:rPr>
      </w:pPr>
    </w:p>
    <w:p>
      <w:pPr>
        <w:ind w:left="400" w:right="540" w:hanging="392"/>
        <w:spacing w:after="0" w:line="258" w:lineRule="auto"/>
        <w:tabs>
          <w:tab w:leader="none" w:pos="400" w:val="left"/>
        </w:tabs>
        <w:numPr>
          <w:ilvl w:val="0"/>
          <w:numId w:val="4"/>
        </w:numPr>
        <w:rPr>
          <w:rFonts w:ascii="Arial" w:cs="Arial" w:eastAsia="Arial" w:hAnsi="Arial"/>
          <w:sz w:val="18"/>
          <w:szCs w:val="18"/>
          <w:color w:val="0052CC"/>
        </w:rPr>
      </w:pPr>
      <w:r>
        <w:rPr>
          <w:rFonts w:ascii="Arial" w:cs="Arial" w:eastAsia="Arial" w:hAnsi="Arial"/>
          <w:sz w:val="18"/>
          <w:szCs w:val="18"/>
          <w:color w:val="auto"/>
        </w:rPr>
        <w:t>Book-to-bill ratio (third quarter): 1.1x on net bookings of $1.0 billion. Book-to-bill ratio (trailing twelve-months): 1.3x on net bookings of $4.8 billion.</w:t>
      </w:r>
    </w:p>
    <w:p>
      <w:pPr>
        <w:spacing w:after="0" w:line="1" w:lineRule="exact"/>
        <w:rPr>
          <w:rFonts w:ascii="Arial" w:cs="Arial" w:eastAsia="Arial" w:hAnsi="Arial"/>
          <w:sz w:val="18"/>
          <w:szCs w:val="18"/>
          <w:color w:val="0052CC"/>
        </w:rPr>
      </w:pPr>
    </w:p>
    <w:p>
      <w:pPr>
        <w:ind w:left="400" w:hanging="392"/>
        <w:spacing w:after="0"/>
        <w:tabs>
          <w:tab w:leader="none" w:pos="400" w:val="left"/>
        </w:tabs>
        <w:numPr>
          <w:ilvl w:val="0"/>
          <w:numId w:val="4"/>
        </w:numPr>
        <w:rPr>
          <w:rFonts w:ascii="Arial" w:cs="Arial" w:eastAsia="Arial" w:hAnsi="Arial"/>
          <w:sz w:val="18"/>
          <w:szCs w:val="18"/>
          <w:color w:val="0052CC"/>
        </w:rPr>
      </w:pPr>
      <w:r>
        <w:rPr>
          <w:rFonts w:ascii="Arial" w:cs="Arial" w:eastAsia="Arial" w:hAnsi="Arial"/>
          <w:sz w:val="18"/>
          <w:szCs w:val="18"/>
          <w:color w:val="auto"/>
        </w:rPr>
        <w:t>Total backlog: $8.6 billion, a 10.4% increase from the third quarter of 2020.</w:t>
      </w:r>
    </w:p>
    <w:p>
      <w:pPr>
        <w:spacing w:after="0" w:line="9" w:lineRule="exact"/>
        <w:rPr>
          <w:rFonts w:ascii="Arial" w:cs="Arial" w:eastAsia="Arial" w:hAnsi="Arial"/>
          <w:sz w:val="18"/>
          <w:szCs w:val="18"/>
          <w:color w:val="0052CC"/>
        </w:rPr>
      </w:pPr>
    </w:p>
    <w:p>
      <w:pPr>
        <w:ind w:left="400" w:right="500" w:hanging="392"/>
        <w:spacing w:after="0" w:line="250" w:lineRule="auto"/>
        <w:tabs>
          <w:tab w:leader="none" w:pos="400" w:val="left"/>
        </w:tabs>
        <w:numPr>
          <w:ilvl w:val="0"/>
          <w:numId w:val="4"/>
        </w:numPr>
        <w:rPr>
          <w:rFonts w:ascii="Arial" w:cs="Arial" w:eastAsia="Arial" w:hAnsi="Arial"/>
          <w:sz w:val="18"/>
          <w:szCs w:val="18"/>
          <w:color w:val="0052CC"/>
        </w:rPr>
      </w:pPr>
      <w:r>
        <w:rPr>
          <w:rFonts w:ascii="Arial" w:cs="Arial" w:eastAsia="Arial" w:hAnsi="Arial"/>
          <w:sz w:val="18"/>
          <w:szCs w:val="18"/>
          <w:color w:val="auto"/>
        </w:rPr>
        <w:t>Cash flow from operating activities: Third quarter 2021: $77 million. For the nine months ended September 30, 2021, cash flow from operating activities was $116 million, compared to $113 million in the prior year period.</w:t>
      </w:r>
    </w:p>
    <w:p>
      <w:pPr>
        <w:jc w:val="both"/>
        <w:ind w:left="400" w:right="260" w:hanging="392"/>
        <w:spacing w:after="0" w:line="323" w:lineRule="auto"/>
        <w:tabs>
          <w:tab w:leader="none" w:pos="400" w:val="left"/>
        </w:tabs>
        <w:numPr>
          <w:ilvl w:val="0"/>
          <w:numId w:val="4"/>
        </w:numPr>
        <w:rPr>
          <w:rFonts w:ascii="Arial" w:cs="Arial" w:eastAsia="Arial" w:hAnsi="Arial"/>
          <w:sz w:val="16"/>
          <w:szCs w:val="16"/>
          <w:color w:val="0052CC"/>
        </w:rPr>
      </w:pPr>
      <w:r>
        <w:rPr>
          <w:rFonts w:ascii="Arial" w:cs="Arial" w:eastAsia="Arial" w:hAnsi="Arial"/>
          <w:sz w:val="16"/>
          <w:szCs w:val="16"/>
          <w:color w:val="auto"/>
        </w:rPr>
        <w:t>Net Debt: Cash and cash equivalents were $276 million and total debt was $591 million. The company’s net debt to trailing twelve-month adjusted EBITDA leverage ratio at the end of the third quarter of 2021 was 1.0x. The company defines net debt as total debt less cash and cash equivalents.</w:t>
      </w:r>
    </w:p>
    <w:p>
      <w:pPr>
        <w:spacing w:after="0" w:line="200" w:lineRule="exact"/>
        <w:rPr>
          <w:sz w:val="20"/>
          <w:szCs w:val="20"/>
          <w:color w:val="auto"/>
        </w:rPr>
      </w:pPr>
    </w:p>
    <w:p>
      <w:pPr>
        <w:spacing w:after="0" w:line="354" w:lineRule="exact"/>
        <w:rPr>
          <w:sz w:val="20"/>
          <w:szCs w:val="20"/>
          <w:color w:val="auto"/>
        </w:rPr>
      </w:pP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Significant Contract Wins in the Third Quarter of 2021</w:t>
      </w:r>
    </w:p>
    <w:p>
      <w:pPr>
        <w:spacing w:after="0" w:line="12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Parsons continues to win large strategic contracts in markets of national security and ESG importance. During the third quarter of 2021, the company won five single-award contracts worth more than $100 million each, a company record. In addition, Parsons continues to win meaningful multiple-award IDIQ contract with significant ceiling values.</w:t>
      </w:r>
    </w:p>
    <w:p>
      <w:pPr>
        <w:spacing w:after="0" w:line="76" w:lineRule="exact"/>
        <w:rPr>
          <w:sz w:val="20"/>
          <w:szCs w:val="20"/>
          <w:color w:val="auto"/>
        </w:rPr>
      </w:pPr>
    </w:p>
    <w:p>
      <w:pPr>
        <w:ind w:left="400" w:right="60" w:hanging="392"/>
        <w:spacing w:after="0" w:line="255" w:lineRule="auto"/>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new single-award contract with a $953 million ceiling value. Parsons’ will lead a talented industry team that will design, mature, procure, integrate, operate, and maintain Air Base Air Defense (ABAD) systems across the European and African continent areas of responsibility for the U.S. Air Forces.</w:t>
      </w:r>
    </w:p>
    <w:p>
      <w:pPr>
        <w:spacing w:after="0" w:line="2" w:lineRule="exact"/>
        <w:rPr>
          <w:rFonts w:ascii="Arial" w:cs="Arial" w:eastAsia="Arial" w:hAnsi="Arial"/>
          <w:sz w:val="18"/>
          <w:szCs w:val="18"/>
          <w:color w:val="0052CC"/>
        </w:rPr>
      </w:pPr>
    </w:p>
    <w:p>
      <w:pPr>
        <w:ind w:left="400" w:hanging="392"/>
        <w:spacing w:after="0"/>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$556 million recompete contract with a classified customer, securing a critical recompete.</w:t>
      </w:r>
    </w:p>
    <w:p>
      <w:pPr>
        <w:spacing w:after="0" w:line="9" w:lineRule="exact"/>
        <w:rPr>
          <w:rFonts w:ascii="Arial" w:cs="Arial" w:eastAsia="Arial" w:hAnsi="Arial"/>
          <w:sz w:val="18"/>
          <w:szCs w:val="18"/>
          <w:color w:val="0052CC"/>
        </w:rPr>
      </w:pPr>
    </w:p>
    <w:p>
      <w:pPr>
        <w:ind w:left="400" w:right="340" w:hanging="392"/>
        <w:spacing w:after="0" w:line="250" w:lineRule="auto"/>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new $145 million contract by the Department of the Army, US Army Corps of Engineers Norfolk District, to develop a facility to treat hazardous energetic waste streams from the Radford Army Ammunition Plant.</w:t>
      </w:r>
    </w:p>
    <w:p>
      <w:pPr>
        <w:ind w:left="400" w:right="60" w:hanging="392"/>
        <w:spacing w:after="0" w:line="250" w:lineRule="auto"/>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$139 million option year contract by the Space and Missile Systems Center for satellite operations, prototyping and integration for support and delivery, network, infrastructure, hardware, and architecture solutions.</w:t>
      </w:r>
    </w:p>
    <w:p>
      <w:pPr>
        <w:ind w:left="400" w:right="440" w:hanging="392"/>
        <w:spacing w:after="0" w:line="250" w:lineRule="auto"/>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new $126 million contract with Saudi Arabia’s Ministry of Housing to provide program management services for the development of affordable housing in that country.</w:t>
      </w:r>
    </w:p>
    <w:p>
      <w:pPr>
        <w:ind w:left="400" w:right="160" w:hanging="392"/>
        <w:spacing w:after="0" w:line="281" w:lineRule="auto"/>
        <w:tabs>
          <w:tab w:leader="none" w:pos="400" w:val="left"/>
        </w:tabs>
        <w:numPr>
          <w:ilvl w:val="0"/>
          <w:numId w:val="5"/>
        </w:numPr>
        <w:rPr>
          <w:rFonts w:ascii="Arial" w:cs="Arial" w:eastAsia="Arial" w:hAnsi="Arial"/>
          <w:sz w:val="16"/>
          <w:szCs w:val="16"/>
          <w:color w:val="0052CC"/>
        </w:rPr>
      </w:pPr>
      <w:r>
        <w:rPr>
          <w:rFonts w:ascii="Arial" w:cs="Arial" w:eastAsia="Arial" w:hAnsi="Arial"/>
          <w:sz w:val="16"/>
          <w:szCs w:val="16"/>
          <w:color w:val="auto"/>
        </w:rPr>
        <w:t>Awarded a prime position on the General Services Administration‘s multiple-award ASTRO indefinite-delivery, indefinite-quantity (IDIQ) contract. The contract has a potential value in the multi-billions with no defined ceiling value and a 10-year ordering period. This new contract focuses on providing innovative, future technology, products, solutions, and capabilities to the Department of Defense across the all-domain battlespace.</w:t>
      </w:r>
    </w:p>
    <w:p>
      <w:pPr>
        <w:spacing w:after="0" w:line="1" w:lineRule="exact"/>
        <w:rPr>
          <w:rFonts w:ascii="Arial" w:cs="Arial" w:eastAsia="Arial" w:hAnsi="Arial"/>
          <w:sz w:val="16"/>
          <w:szCs w:val="16"/>
          <w:color w:val="0052CC"/>
        </w:rPr>
      </w:pPr>
    </w:p>
    <w:p>
      <w:pPr>
        <w:ind w:left="400" w:hanging="392"/>
        <w:spacing w:after="0" w:line="255" w:lineRule="auto"/>
        <w:tabs>
          <w:tab w:leader="none" w:pos="400" w:val="left"/>
        </w:tabs>
        <w:numPr>
          <w:ilvl w:val="0"/>
          <w:numId w:val="5"/>
        </w:numPr>
        <w:rPr>
          <w:rFonts w:ascii="Arial" w:cs="Arial" w:eastAsia="Arial" w:hAnsi="Arial"/>
          <w:sz w:val="18"/>
          <w:szCs w:val="18"/>
          <w:color w:val="0052CC"/>
        </w:rPr>
      </w:pPr>
      <w:r>
        <w:rPr>
          <w:rFonts w:ascii="Arial" w:cs="Arial" w:eastAsia="Arial" w:hAnsi="Arial"/>
          <w:sz w:val="18"/>
          <w:szCs w:val="18"/>
          <w:color w:val="auto"/>
        </w:rPr>
        <w:t>Awarded a prime position on the U.S. Air Force’s multiple-award IDIQ Eglin Wide Agile Acquisition Contract (EWAAC). The new contract has a 10-year ordering period with a ceiling value of $46 billion and will provide digital and model-based systems engineering, agile processes, open systems architectures, weapons integration and data analytics for Eglin AFB, Florida, and its mission partners.</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0052CC"/>
        </w:rPr>
        <w:t>Additional Third Quarter 2021 Corporate Highlights</w:t>
      </w:r>
    </w:p>
    <w:p>
      <w:pPr>
        <w:spacing w:after="0" w:line="120"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Parsons continues to build on its long-standing commitment to environmental, social, and governance (ESG) initiatives and Delivering a Better World. During the quarter, Parsons’ employees continued to support families of U.S. fallen military men and women, as well as minority groups and small businesses. The company also continues to have projects recognized for their superior performance and positive impacts on society. In addition, the company made several new strategic hires in the quarter, closed two acquisitions and its Board authorized a $100 million share repurchase program.</w:t>
      </w:r>
    </w:p>
    <w:p>
      <w:pPr>
        <w:spacing w:after="0" w:line="49" w:lineRule="exact"/>
        <w:rPr>
          <w:sz w:val="20"/>
          <w:szCs w:val="20"/>
          <w:color w:val="auto"/>
        </w:rPr>
      </w:pPr>
    </w:p>
    <w:p>
      <w:pPr>
        <w:ind w:left="400" w:right="80" w:hanging="392"/>
        <w:spacing w:after="0" w:line="291" w:lineRule="auto"/>
        <w:tabs>
          <w:tab w:leader="none" w:pos="400" w:val="left"/>
        </w:tabs>
        <w:numPr>
          <w:ilvl w:val="0"/>
          <w:numId w:val="6"/>
        </w:numPr>
        <w:rPr>
          <w:rFonts w:ascii="Arial" w:cs="Arial" w:eastAsia="Arial" w:hAnsi="Arial"/>
          <w:sz w:val="16"/>
          <w:szCs w:val="16"/>
          <w:color w:val="0052CC"/>
        </w:rPr>
      </w:pPr>
      <w:r>
        <w:rPr>
          <w:rFonts w:ascii="Arial" w:cs="Arial" w:eastAsia="Arial" w:hAnsi="Arial"/>
          <w:sz w:val="16"/>
          <w:szCs w:val="16"/>
          <w:color w:val="auto"/>
        </w:rPr>
        <w:t>For the 14th consecutive year, Parsons hosted an event to raise money to support the families of U.S. fallen military men and women. The company’s employees also created web sites for the 48in48 social justice event for nonprofits founded and run by black, indigenous, and people of color.</w:t>
      </w:r>
    </w:p>
    <w:p>
      <w:pPr>
        <w:ind w:left="400" w:right="180" w:hanging="392"/>
        <w:spacing w:after="0" w:line="250" w:lineRule="auto"/>
        <w:tabs>
          <w:tab w:leader="none" w:pos="400" w:val="left"/>
        </w:tabs>
        <w:numPr>
          <w:ilvl w:val="0"/>
          <w:numId w:val="6"/>
        </w:numPr>
        <w:rPr>
          <w:rFonts w:ascii="Arial" w:cs="Arial" w:eastAsia="Arial" w:hAnsi="Arial"/>
          <w:sz w:val="18"/>
          <w:szCs w:val="18"/>
          <w:color w:val="0052CC"/>
        </w:rPr>
      </w:pPr>
      <w:r>
        <w:rPr>
          <w:rFonts w:ascii="Arial" w:cs="Arial" w:eastAsia="Arial" w:hAnsi="Arial"/>
          <w:sz w:val="18"/>
          <w:szCs w:val="18"/>
          <w:color w:val="auto"/>
        </w:rPr>
        <w:t>Parsons officially opened the National Intelligence Small Business Center in Annapolis Junction, Maryland to continue to strengthen the company’s support for small businesses, foster our mentor/protégé programs and more.</w:t>
      </w:r>
    </w:p>
    <w:p>
      <w:pPr>
        <w:ind w:left="400" w:right="300" w:hanging="392"/>
        <w:spacing w:after="0" w:line="281" w:lineRule="auto"/>
        <w:tabs>
          <w:tab w:leader="none" w:pos="400" w:val="left"/>
        </w:tabs>
        <w:numPr>
          <w:ilvl w:val="0"/>
          <w:numId w:val="6"/>
        </w:numPr>
        <w:rPr>
          <w:rFonts w:ascii="Arial" w:cs="Arial" w:eastAsia="Arial" w:hAnsi="Arial"/>
          <w:sz w:val="16"/>
          <w:szCs w:val="16"/>
          <w:color w:val="0052CC"/>
        </w:rPr>
      </w:pPr>
      <w:r>
        <w:rPr>
          <w:rFonts w:ascii="Arial" w:cs="Arial" w:eastAsia="Arial" w:hAnsi="Arial"/>
          <w:sz w:val="16"/>
          <w:szCs w:val="16"/>
          <w:color w:val="auto"/>
        </w:rPr>
        <w:t>Announced that the company’s Salt Waste Processing Facility program was recognized as a finalist for 2021 project of the year by the Project Management Institute. The PMI Project of the Year Award recognizes large and complex projects that best deliver superior performance of project management practices, superior organizational results, and positive impacts on society for projects greater than $75 million.</w:t>
      </w:r>
    </w:p>
    <w:p>
      <w:pPr>
        <w:spacing w:after="0" w:line="1" w:lineRule="exact"/>
        <w:rPr>
          <w:rFonts w:ascii="Arial" w:cs="Arial" w:eastAsia="Arial" w:hAnsi="Arial"/>
          <w:sz w:val="16"/>
          <w:szCs w:val="16"/>
          <w:color w:val="0052CC"/>
        </w:rPr>
      </w:pPr>
    </w:p>
    <w:p>
      <w:pPr>
        <w:ind w:left="400" w:right="80" w:hanging="392"/>
        <w:spacing w:after="0" w:line="281" w:lineRule="auto"/>
        <w:tabs>
          <w:tab w:leader="none" w:pos="400" w:val="left"/>
        </w:tabs>
        <w:numPr>
          <w:ilvl w:val="0"/>
          <w:numId w:val="6"/>
        </w:numPr>
        <w:rPr>
          <w:rFonts w:ascii="Arial" w:cs="Arial" w:eastAsia="Arial" w:hAnsi="Arial"/>
          <w:sz w:val="16"/>
          <w:szCs w:val="16"/>
          <w:color w:val="0052CC"/>
        </w:rPr>
      </w:pPr>
      <w:r>
        <w:rPr>
          <w:rFonts w:ascii="Arial" w:cs="Arial" w:eastAsia="Arial" w:hAnsi="Arial"/>
          <w:sz w:val="16"/>
          <w:szCs w:val="16"/>
          <w:color w:val="auto"/>
        </w:rPr>
        <w:t>Added several strategic hires to the company’s executive leadership team including a talented Chief Human Resources Officer with over three decades of experience as a successful HR leader, a recognized growth executive to run the company’s Critical Infrastructure Connected Communities business unit, and a proven performer in driving organic growth to run Parsons’ Federal Solutions Engineered Systems business unit.</w:t>
      </w:r>
    </w:p>
    <w:p>
      <w:pPr>
        <w:spacing w:after="0" w:line="1" w:lineRule="exact"/>
        <w:rPr>
          <w:rFonts w:ascii="Arial" w:cs="Arial" w:eastAsia="Arial" w:hAnsi="Arial"/>
          <w:sz w:val="16"/>
          <w:szCs w:val="16"/>
          <w:color w:val="0052CC"/>
        </w:rPr>
      </w:pPr>
    </w:p>
    <w:p>
      <w:pPr>
        <w:ind w:left="400" w:right="480" w:hanging="392"/>
        <w:spacing w:after="0" w:line="260" w:lineRule="auto"/>
        <w:tabs>
          <w:tab w:leader="none" w:pos="400" w:val="left"/>
        </w:tabs>
        <w:numPr>
          <w:ilvl w:val="0"/>
          <w:numId w:val="6"/>
        </w:numPr>
        <w:rPr>
          <w:rFonts w:ascii="Arial" w:cs="Arial" w:eastAsia="Arial" w:hAnsi="Arial"/>
          <w:sz w:val="18"/>
          <w:szCs w:val="18"/>
          <w:color w:val="0052CC"/>
        </w:rPr>
      </w:pPr>
      <w:r>
        <w:rPr>
          <w:rFonts w:ascii="Arial" w:cs="Arial" w:eastAsia="Arial" w:hAnsi="Arial"/>
          <w:sz w:val="18"/>
          <w:szCs w:val="18"/>
          <w:color w:val="auto"/>
        </w:rPr>
        <w:t>Closed the BlackHorse Solutions, Inc. and Echo Ridge, LLC acquisitions. BlackHorse expands Parsons’ customer base and capabilities in next-generation military, intelligence, and space operations, specifically in cyber, electronic warfare,</w:t>
      </w:r>
    </w:p>
    <w:p>
      <w:pPr>
        <w:spacing w:after="0" w:line="304" w:lineRule="exact"/>
        <w:rPr>
          <w:sz w:val="20"/>
          <w:szCs w:val="20"/>
          <w:color w:val="auto"/>
        </w:rPr>
      </w:pP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8" w:name="page9"/>
    <w:bookmarkEnd w:id="8"/>
    <w:p>
      <w:pPr>
        <w:ind w:left="400" w:right="56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and information dominance. Echo Ridge adds position, navigation, and timing devices; modeling, simulation, test, and measurement tools; and deployable software defined radio products and signal processing services to Parsons’ space portfolio.</w:t>
      </w:r>
    </w:p>
    <w:p>
      <w:pPr>
        <w:spacing w:after="0" w:line="1" w:lineRule="exact"/>
        <w:rPr>
          <w:sz w:val="20"/>
          <w:szCs w:val="20"/>
          <w:color w:val="auto"/>
        </w:rPr>
      </w:pPr>
    </w:p>
    <w:p>
      <w:pPr>
        <w:ind w:left="400" w:right="20" w:hanging="392"/>
        <w:spacing w:after="0" w:line="260" w:lineRule="auto"/>
        <w:tabs>
          <w:tab w:leader="none" w:pos="400" w:val="left"/>
        </w:tabs>
        <w:numPr>
          <w:ilvl w:val="0"/>
          <w:numId w:val="7"/>
        </w:numPr>
        <w:rPr>
          <w:rFonts w:ascii="Arial" w:cs="Arial" w:eastAsia="Arial" w:hAnsi="Arial"/>
          <w:sz w:val="18"/>
          <w:szCs w:val="18"/>
          <w:color w:val="0052CC"/>
        </w:rPr>
      </w:pPr>
      <w:r>
        <w:rPr>
          <w:rFonts w:ascii="Arial" w:cs="Arial" w:eastAsia="Arial" w:hAnsi="Arial"/>
          <w:sz w:val="18"/>
          <w:szCs w:val="18"/>
          <w:color w:val="auto"/>
        </w:rPr>
        <w:t>Announced the company’s Board of Directors authorized the repurchase of up to $100 million of the company’s common stock. During the 2021 third quarter, the company repurchased approximately 245,000 shares for an aggregate purchase price of $8.7 million.</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0052CC"/>
        </w:rPr>
        <w:t>Fiscal Year 2021 Guidance</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reiterating the fiscal year 2021 guidance it issued on August 4, 2021, based on its financial results for the first nine months of 2021 and its current outlook for the remainder of year. The table below summarizes the company’s fiscal year 2021 guidance.</w:t>
      </w:r>
    </w:p>
    <w:p>
      <w:pPr>
        <w:spacing w:after="0" w:line="165" w:lineRule="exact"/>
        <w:rPr>
          <w:sz w:val="20"/>
          <w:szCs w:val="20"/>
          <w:color w:val="auto"/>
        </w:rPr>
      </w:pPr>
    </w:p>
    <w:tbl>
      <w:tblPr>
        <w:tblLayout w:type="fixed"/>
        <w:tblInd w:w="2180" w:type="dxa"/>
        <w:tblCellMar>
          <w:top w:w="0" w:type="dxa"/>
          <w:left w:w="0" w:type="dxa"/>
          <w:bottom w:w="0" w:type="dxa"/>
          <w:right w:w="0" w:type="dxa"/>
        </w:tblCellMar>
      </w:tblPr>
      <w:tr>
        <w:trPr>
          <w:trHeight w:val="270"/>
        </w:trPr>
        <w:tc>
          <w:tcPr>
            <w:tcW w:w="4220" w:type="dxa"/>
            <w:vAlign w:val="bottom"/>
          </w:tcPr>
          <w:p>
            <w:pPr>
              <w:spacing w:after="0"/>
              <w:rPr>
                <w:sz w:val="23"/>
                <w:szCs w:val="23"/>
                <w:color w:val="auto"/>
              </w:rPr>
            </w:pPr>
          </w:p>
        </w:tc>
        <w:tc>
          <w:tcPr>
            <w:tcW w:w="2660" w:type="dxa"/>
            <w:vAlign w:val="bottom"/>
            <w:tcBorders>
              <w:top w:val="single" w:sz="8" w:color="auto"/>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90"/>
              </w:rPr>
              <w:t>Fiscal Year</w:t>
            </w:r>
          </w:p>
        </w:tc>
      </w:tr>
      <w:tr>
        <w:trPr>
          <w:trHeight w:val="283"/>
        </w:trPr>
        <w:tc>
          <w:tcPr>
            <w:tcW w:w="4220" w:type="dxa"/>
            <w:vAlign w:val="bottom"/>
          </w:tcPr>
          <w:p>
            <w:pPr>
              <w:spacing w:after="0"/>
              <w:rPr>
                <w:sz w:val="24"/>
                <w:szCs w:val="24"/>
                <w:color w:val="auto"/>
              </w:rPr>
            </w:pPr>
          </w:p>
        </w:tc>
        <w:tc>
          <w:tcPr>
            <w:tcW w:w="2660" w:type="dxa"/>
            <w:vAlign w:val="bottom"/>
            <w:tcBorders>
              <w:bottom w:val="single" w:sz="8" w:color="0052CC"/>
            </w:tcBorders>
            <w:shd w:val="clear" w:color="auto" w:fill="0052CC"/>
          </w:tcPr>
          <w:p>
            <w:pPr>
              <w:jc w:val="center"/>
              <w:spacing w:after="0"/>
              <w:rPr>
                <w:sz w:val="20"/>
                <w:szCs w:val="20"/>
                <w:color w:val="auto"/>
              </w:rPr>
            </w:pPr>
            <w:r>
              <w:rPr>
                <w:rFonts w:ascii="Arial" w:cs="Arial" w:eastAsia="Arial" w:hAnsi="Arial"/>
                <w:sz w:val="18"/>
                <w:szCs w:val="18"/>
                <w:b w:val="1"/>
                <w:bCs w:val="1"/>
                <w:color w:val="FFFFFF"/>
                <w:w w:val="89"/>
              </w:rPr>
              <w:t>2021 Guidance</w:t>
            </w:r>
          </w:p>
        </w:tc>
      </w:tr>
      <w:tr>
        <w:trPr>
          <w:trHeight w:val="277"/>
        </w:trPr>
        <w:tc>
          <w:tcPr>
            <w:tcW w:w="4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Revenue</w:t>
            </w: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$3.6 billion - $3.7 billion</w:t>
            </w:r>
          </w:p>
        </w:tc>
      </w:tr>
      <w:tr>
        <w:trPr>
          <w:trHeight w:val="297"/>
        </w:trPr>
        <w:tc>
          <w:tcPr>
            <w:tcW w:w="4220" w:type="dxa"/>
            <w:vAlign w:val="bottom"/>
          </w:tcPr>
          <w:p>
            <w:pPr>
              <w:ind w:left="60"/>
              <w:spacing w:after="0"/>
              <w:rPr>
                <w:sz w:val="20"/>
                <w:szCs w:val="20"/>
                <w:color w:val="auto"/>
              </w:rPr>
            </w:pPr>
            <w:r>
              <w:rPr>
                <w:rFonts w:ascii="Arial" w:cs="Arial" w:eastAsia="Arial" w:hAnsi="Arial"/>
                <w:sz w:val="18"/>
                <w:szCs w:val="18"/>
                <w:color w:val="auto"/>
              </w:rPr>
              <w:t>Adjusted EBITDA including non-controlling interest</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$295 million - $315 million</w:t>
            </w:r>
          </w:p>
        </w:tc>
      </w:tr>
      <w:tr>
        <w:trPr>
          <w:trHeight w:val="284"/>
        </w:trPr>
        <w:tc>
          <w:tcPr>
            <w:tcW w:w="4220" w:type="dxa"/>
            <w:vAlign w:val="bottom"/>
          </w:tcPr>
          <w:p>
            <w:pPr>
              <w:ind w:left="60"/>
              <w:spacing w:after="0"/>
              <w:rPr>
                <w:sz w:val="20"/>
                <w:szCs w:val="20"/>
                <w:color w:val="auto"/>
              </w:rPr>
            </w:pPr>
            <w:r>
              <w:rPr>
                <w:rFonts w:ascii="Arial" w:cs="Arial" w:eastAsia="Arial" w:hAnsi="Arial"/>
                <w:sz w:val="18"/>
                <w:szCs w:val="18"/>
                <w:color w:val="auto"/>
              </w:rPr>
              <w:t>Cash Flow from Operating Activities</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$195 million - $215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137160</wp:posOffset>
            </wp:positionV>
            <wp:extent cx="4371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303"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Net income guidance is not presented as the company believes volatility associated with interest, taxes, depreciation, amortization and other matters affecting net income, including but not limited to one-time and nonrecurring events and impact of M&amp;A, will preclude the company from providing accurate net income guidance for fiscal year 2021.</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0052CC"/>
        </w:rPr>
        <w:t>Conference Call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Parsons will host a conference call today, November 3, 2021, at 8:00 a.m. ET to discuss the financial results for its third quarter 2021.</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Listeners may access a webcast of the live conference call from the Investor Relations section of the company's website at www.Parsons.com. Listeners may also access a slide presentation on the website, which summarizes the company’s third quarter 2021 results. Listeners should go to the website 15 minutes before the live event to download and install any necessary audio software.</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Listeners may also participate in the conference call by dialing +1 866-987-6581 (domestic) or +1 602-563-8686 (international) and entering passcode 7562048.</w:t>
      </w:r>
    </w:p>
    <w:p>
      <w:pPr>
        <w:spacing w:after="0" w:line="62"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A replay will be available on the company's website approximately two hours after the conference call and continuing for one year. A telephonic replay also will be available through November 10, 2021, at +1 855-859-2056 (domestic) or +1 404-537-3406 (international) and entering passcode 7562048.</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color w:val="0052CC"/>
        </w:rPr>
        <w:t>About Parsons Corporation</w:t>
      </w:r>
    </w:p>
    <w:p>
      <w:pPr>
        <w:spacing w:after="0" w:line="12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Parsons (NYSE: PSN) is a leading disruptive technology provider in the global security, intelligence, and critical infrastructure markets, with capabilities across cybersecurity, missile defense, space, connected infrastructure, and smart cities. Please visit parsons.com, and follow us on LinkedIn and Facebook to learn how we’re making an impact</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0052CC"/>
        </w:rPr>
        <w:t>Forward-Looking Statements</w:t>
      </w:r>
    </w:p>
    <w:p>
      <w:pPr>
        <w:spacing w:after="0" w:line="1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Earnings Release and materials included therewith contains forward-looking statements within the meaning of the Private Securities Litigation Reform Act of 1995, Section 27A of the Securities Act of 1933, as amended, and Section 21E of</w:t>
      </w:r>
    </w:p>
    <w:p>
      <w:pPr>
        <w:spacing w:after="0" w:line="289" w:lineRule="exact"/>
        <w:rPr>
          <w:sz w:val="20"/>
          <w:szCs w:val="20"/>
          <w:color w:val="auto"/>
        </w:rPr>
      </w:pPr>
    </w:p>
    <w:p>
      <w:pPr>
        <w:spacing w:after="0"/>
        <w:tabs>
          <w:tab w:leader="none" w:pos="8100" w:val="left"/>
          <w:tab w:leader="none" w:pos="11120" w:val="left"/>
        </w:tabs>
        <w:rPr>
          <w:sz w:val="20"/>
          <w:szCs w:val="20"/>
          <w:color w:val="auto"/>
        </w:rPr>
      </w:pPr>
      <w:r>
        <w:rPr>
          <w:rFonts w:ascii="Arial" w:cs="Arial" w:eastAsia="Arial" w:hAnsi="Arial"/>
          <w:sz w:val="15"/>
          <w:szCs w:val="15"/>
          <w:color w:val="auto"/>
        </w:rPr>
        <w:t>parsons.com</w:t>
      </w:r>
      <w:r>
        <w:rPr>
          <w:sz w:val="20"/>
          <w:szCs w:val="20"/>
          <w:color w:val="auto"/>
        </w:rPr>
        <w:tab/>
      </w:r>
      <w:r>
        <w:rPr>
          <w:rFonts w:ascii="Arial" w:cs="Arial" w:eastAsia="Arial" w:hAnsi="Arial"/>
          <w:sz w:val="15"/>
          <w:szCs w:val="15"/>
          <w:color w:val="auto"/>
        </w:rPr>
        <w:t>©Parsons Corporation. All Rights Reserved.</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the Securities Exchange Act of 1934, as amended. Forward-looking statements are based on our current expectations, beliefs, and assumptions, and are not guarantees of future performance. Forward-looking statements are inherently subject to uncertainties, risks, changes in circumstances, trends and factors that are difficult to predict, many of which are outside of our control. Accordingly, actual performance, results and events may vary materially from those indicated in the forward-looking statements, and you should not rely on the forward-looking statements as predictions of future performance, results or events. Numerous factors could cause actual future performance, results and events to differ materially from those indicated in the forward-looking statements, including, among others: the impact of COVID-19; any issue that compromises our relationships with the U.S. federal government or its agencies or other state, local or foreign governments or agencies; any issues that damage our professional reputation; changes in governmental priorities that shift expenditures away from agencies or programs that we support; our dependence on long-term government contracts, which are subject to the government’s budgetary approval process; the size of addressable markets and the amount of government spending on private contractors; failure by us or our employees to obtain and maintain necessary security clearances or certifications; failure to comply with numerous laws and regulations; changes in government procurement, contract or other practices or the adoption by governments of new laws, rules, regulations and programs in a manner adverse to us; the termination or nonrenewal of our government contracts, particularly our contracts with the U.S. government; our ability to compete effectively in the competitive bidding process and delays, contract terminations or cancellations caused by competitors’ protests of major contract awards received by us; our ability to generate revenue under certain of our contracts; any inability to attract, train or retain employees with the requisite skills, experience and security clearances; the loss of members of senior management or failure to develop new leaders; misconduct or other improper activities from our employees or subcontractors; our ability to realize the full value of our backlog and the timing of our receipt of revenue under contracts included in backlog; changes in the mix of our contracts and our ability to accurately estimate or otherwise recover expenses, time and resources for our contracts; changes in estimates used in recognizing revenue; internal system or service failures and security breaches; and inherent uncertainties and potential adverse developments in legal proceedings including litigation, audits, reviews and investigations, which may result in material adverse judgments, settlements or other unfavorable outcomes. These factors are not exhaustive and additional factors could adversely affect our business and financial performance. For a discussion of additional factors that could materially adversely affect our business and financial performance, see the factors including under the caption “Risk Factors” in our Annual Report with the Securities and Exchange Commission pursuant to Section 13 or 15(d) of the Securities Exchange Act of 1934 for the fiscal year ended December 31, 2020 on Form 10-K, filed on February 24, 2021, and our other filings with the Securities and Exchange Commission.</w:t>
      </w:r>
    </w:p>
    <w:p>
      <w:pPr>
        <w:spacing w:after="0" w:line="393"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All forward-looking statements are based on currently available information and speak only as of the date on which they are made. We assume no obligation to update any forward-looking statements made in this presentation that becomes untrue because of subsequent events, new information or otherwise, except to the extent we are required to do so in connection with our ongoing requirements under federal securities laws.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Media:</w:t>
            </w:r>
          </w:p>
        </w:tc>
        <w:tc>
          <w:tcPr>
            <w:tcW w:w="37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Investor Relations:</w:t>
            </w:r>
          </w:p>
        </w:tc>
        <w:tc>
          <w:tcPr>
            <w:tcW w:w="3520" w:type="dxa"/>
            <w:vAlign w:val="bottom"/>
          </w:tcPr>
          <w:p>
            <w:pPr>
              <w:spacing w:after="0"/>
              <w:rPr>
                <w:sz w:val="18"/>
                <w:szCs w:val="18"/>
                <w:color w:val="auto"/>
              </w:rPr>
            </w:pPr>
          </w:p>
        </w:tc>
      </w:tr>
      <w:tr>
        <w:trPr>
          <w:trHeight w:val="345"/>
        </w:trPr>
        <w:tc>
          <w:tcPr>
            <w:tcW w:w="4300" w:type="dxa"/>
            <w:vAlign w:val="bottom"/>
            <w:gridSpan w:val="2"/>
          </w:tcPr>
          <w:p>
            <w:pPr>
              <w:spacing w:after="0"/>
              <w:rPr>
                <w:sz w:val="20"/>
                <w:szCs w:val="20"/>
                <w:color w:val="auto"/>
              </w:rPr>
            </w:pPr>
            <w:r>
              <w:rPr>
                <w:rFonts w:ascii="Arial" w:cs="Arial" w:eastAsia="Arial" w:hAnsi="Arial"/>
                <w:sz w:val="18"/>
                <w:szCs w:val="18"/>
                <w:color w:val="auto"/>
              </w:rPr>
              <w:t>Bryce McDevitt</w:t>
            </w:r>
          </w:p>
        </w:tc>
        <w:tc>
          <w:tcPr>
            <w:tcW w:w="6960" w:type="dxa"/>
            <w:vAlign w:val="bottom"/>
            <w:gridSpan w:val="3"/>
          </w:tcPr>
          <w:p>
            <w:pPr>
              <w:ind w:left="2060"/>
              <w:spacing w:after="0"/>
              <w:rPr>
                <w:sz w:val="20"/>
                <w:szCs w:val="20"/>
                <w:color w:val="auto"/>
              </w:rPr>
            </w:pPr>
            <w:r>
              <w:rPr>
                <w:rFonts w:ascii="Arial" w:cs="Arial" w:eastAsia="Arial" w:hAnsi="Arial"/>
                <w:sz w:val="18"/>
                <w:szCs w:val="18"/>
                <w:color w:val="auto"/>
              </w:rPr>
              <w:t>Dave Spille</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6960" w:type="dxa"/>
            <w:vAlign w:val="bottom"/>
            <w:gridSpan w:val="3"/>
          </w:tcPr>
          <w:p>
            <w:pPr>
              <w:ind w:left="2060"/>
              <w:spacing w:after="0"/>
              <w:rPr>
                <w:sz w:val="20"/>
                <w:szCs w:val="20"/>
                <w:color w:val="auto"/>
              </w:rPr>
            </w:pPr>
            <w:r>
              <w:rPr>
                <w:rFonts w:ascii="Arial" w:cs="Arial" w:eastAsia="Arial" w:hAnsi="Arial"/>
                <w:sz w:val="18"/>
                <w:szCs w:val="18"/>
                <w:color w:val="auto"/>
              </w:rPr>
              <w:t>Parsons Corporation</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(703) 851-4425</w:t>
            </w:r>
          </w:p>
        </w:tc>
        <w:tc>
          <w:tcPr>
            <w:tcW w:w="3440" w:type="dxa"/>
            <w:vAlign w:val="bottom"/>
            <w:gridSpan w:val="2"/>
          </w:tcPr>
          <w:p>
            <w:pPr>
              <w:ind w:left="2060"/>
              <w:spacing w:after="0"/>
              <w:rPr>
                <w:sz w:val="20"/>
                <w:szCs w:val="20"/>
                <w:color w:val="auto"/>
              </w:rPr>
            </w:pPr>
            <w:r>
              <w:rPr>
                <w:rFonts w:ascii="Arial" w:cs="Arial" w:eastAsia="Arial" w:hAnsi="Arial"/>
                <w:sz w:val="18"/>
                <w:szCs w:val="18"/>
                <w:color w:val="auto"/>
              </w:rPr>
              <w:t>(571) 655-8264</w:t>
            </w:r>
          </w:p>
        </w:tc>
        <w:tc>
          <w:tcPr>
            <w:tcW w:w="3520" w:type="dxa"/>
            <w:vAlign w:val="bottom"/>
          </w:tcPr>
          <w:p>
            <w:pPr>
              <w:spacing w:after="0"/>
              <w:rPr>
                <w:sz w:val="24"/>
                <w:szCs w:val="24"/>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Bryce.McDevitt@Parsons.com</w:t>
            </w:r>
          </w:p>
        </w:tc>
        <w:tc>
          <w:tcPr>
            <w:tcW w:w="6960" w:type="dxa"/>
            <w:vAlign w:val="bottom"/>
            <w:gridSpan w:val="3"/>
          </w:tcPr>
          <w:p>
            <w:pPr>
              <w:ind w:left="2060"/>
              <w:spacing w:after="0"/>
              <w:rPr>
                <w:sz w:val="20"/>
                <w:szCs w:val="20"/>
                <w:color w:val="auto"/>
              </w:rPr>
            </w:pPr>
            <w:r>
              <w:rPr>
                <w:rFonts w:ascii="Arial" w:cs="Arial" w:eastAsia="Arial" w:hAnsi="Arial"/>
                <w:sz w:val="18"/>
                <w:szCs w:val="18"/>
                <w:color w:val="auto"/>
              </w:rPr>
              <w:t>Dave.Spille@Parsons.com</w:t>
            </w:r>
          </w:p>
        </w:tc>
      </w:tr>
      <w:tr>
        <w:trPr>
          <w:trHeight w:val="922"/>
        </w:trPr>
        <w:tc>
          <w:tcPr>
            <w:tcW w:w="4300" w:type="dxa"/>
            <w:vAlign w:val="bottom"/>
            <w:gridSpan w:val="2"/>
          </w:tcPr>
          <w:p>
            <w:pPr>
              <w:spacing w:after="0"/>
              <w:rPr>
                <w:sz w:val="20"/>
                <w:szCs w:val="20"/>
                <w:color w:val="auto"/>
              </w:rPr>
            </w:pPr>
            <w:r>
              <w:rPr>
                <w:rFonts w:ascii="Arial" w:cs="Arial" w:eastAsia="Arial" w:hAnsi="Arial"/>
                <w:sz w:val="16"/>
                <w:szCs w:val="16"/>
                <w:color w:val="auto"/>
              </w:rPr>
              <w:t>parsons.com</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20" w:type="dxa"/>
            <w:vAlign w:val="bottom"/>
          </w:tcPr>
          <w:p>
            <w:pPr>
              <w:ind w:left="380"/>
              <w:spacing w:after="0"/>
              <w:rPr>
                <w:sz w:val="20"/>
                <w:szCs w:val="20"/>
                <w:color w:val="auto"/>
              </w:rPr>
            </w:pPr>
            <w:r>
              <w:rPr>
                <w:rFonts w:ascii="Arial" w:cs="Arial" w:eastAsia="Arial" w:hAnsi="Arial"/>
                <w:sz w:val="16"/>
                <w:szCs w:val="16"/>
                <w:color w:val="auto"/>
                <w:w w:val="94"/>
              </w:rPr>
              <w:t xml:space="preserve">©Parsons Corporation. All Rights Reserved.  </w:t>
            </w:r>
            <w:r>
              <w:rPr>
                <w:rFonts w:ascii="Arial" w:cs="Arial" w:eastAsia="Arial" w:hAnsi="Arial"/>
                <w:sz w:val="19"/>
                <w:szCs w:val="19"/>
                <w:color w:val="auto"/>
                <w:w w:val="94"/>
              </w:rPr>
              <w:t>8</w:t>
            </w:r>
          </w:p>
        </w:tc>
      </w:tr>
      <w:tr>
        <w:trPr>
          <w:trHeight w:val="233"/>
        </w:trPr>
        <w:tc>
          <w:tcPr>
            <w:tcW w:w="520" w:type="dxa"/>
            <w:vAlign w:val="bottom"/>
            <w:tcBorders>
              <w:bottom w:val="single" w:sz="8" w:color="9A9A9A"/>
            </w:tcBorders>
          </w:tcPr>
          <w:p>
            <w:pPr>
              <w:spacing w:after="0"/>
              <w:rPr>
                <w:sz w:val="20"/>
                <w:szCs w:val="20"/>
                <w:color w:val="auto"/>
              </w:rPr>
            </w:pPr>
          </w:p>
        </w:tc>
        <w:tc>
          <w:tcPr>
            <w:tcW w:w="3780" w:type="dxa"/>
            <w:vAlign w:val="bottom"/>
            <w:tcBorders>
              <w:bottom w:val="single" w:sz="8" w:color="9A9A9A"/>
            </w:tcBorders>
          </w:tcPr>
          <w:p>
            <w:pPr>
              <w:spacing w:after="0"/>
              <w:rPr>
                <w:sz w:val="20"/>
                <w:szCs w:val="20"/>
                <w:color w:val="auto"/>
              </w:rPr>
            </w:pPr>
          </w:p>
        </w:tc>
        <w:tc>
          <w:tcPr>
            <w:tcW w:w="206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35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10" w:name="page11"/>
    <w:bookmarkEnd w:id="10"/>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For the Nine Months Ended</w:t>
            </w:r>
          </w:p>
        </w:tc>
      </w:tr>
      <w:tr>
        <w:trPr>
          <w:trHeight w:val="187"/>
        </w:trPr>
        <w:tc>
          <w:tcPr>
            <w:tcW w:w="4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8"/>
                <w:szCs w:val="18"/>
                <w:b w:val="1"/>
                <w:bCs w:val="1"/>
                <w:color w:val="auto"/>
              </w:rPr>
              <w:t>September 30,</w:t>
            </w:r>
          </w:p>
        </w:tc>
        <w:tc>
          <w:tcPr>
            <w:tcW w:w="124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8"/>
                <w:szCs w:val="18"/>
                <w:b w:val="1"/>
                <w:bCs w:val="1"/>
                <w:color w:val="auto"/>
              </w:rPr>
              <w:t>September 30,</w:t>
            </w:r>
          </w:p>
        </w:tc>
        <w:tc>
          <w:tcPr>
            <w:tcW w:w="1260" w:type="dxa"/>
            <w:vAlign w:val="bottom"/>
            <w:tcBorders>
              <w:top w:val="single" w:sz="8" w:color="auto"/>
            </w:tcBorders>
            <w:gridSpan w:val="2"/>
          </w:tcPr>
          <w:p>
            <w:pPr>
              <w:ind w:left="20"/>
              <w:spacing w:after="0" w:line="187"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6"/>
                <w:szCs w:val="16"/>
                <w:color w:val="auto"/>
              </w:rPr>
            </w:pPr>
          </w:p>
        </w:tc>
      </w:tr>
      <w:tr>
        <w:trPr>
          <w:trHeight w:val="225"/>
        </w:trPr>
        <w:tc>
          <w:tcPr>
            <w:tcW w:w="47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2,710,103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734,652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2,084,062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2,307,725</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191,231</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566,991</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537,351</w:t>
            </w:r>
          </w:p>
        </w:tc>
        <w:tc>
          <w:tcPr>
            <w:tcW w:w="100" w:type="dxa"/>
            <w:vAlign w:val="bottom"/>
            <w:tcBorders>
              <w:bottom w:val="single" w:sz="8" w:color="CFF0FC"/>
            </w:tcBorders>
          </w:tcPr>
          <w:p>
            <w:pPr>
              <w:spacing w:after="0"/>
              <w:rPr>
                <w:sz w:val="18"/>
                <w:szCs w:val="18"/>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39,737</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85,578</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136,236</w:t>
            </w:r>
          </w:p>
        </w:tc>
        <w:tc>
          <w:tcPr>
            <w:tcW w:w="100" w:type="dxa"/>
            <w:vAlign w:val="bottom"/>
            <w:shd w:val="clear" w:color="auto" w:fill="CFF0FC"/>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(4,052)</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(5,475)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(13,503)</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(13,656)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(3,803)</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(3,734)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(14,390)</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(11,228)</w:t>
            </w: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71,188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125,008</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(9,165)</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(18,378)</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(32,992)</w:t>
            </w: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92,016</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(7,411)</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(17,711)</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(15,086)</w:t>
            </w:r>
          </w:p>
        </w:tc>
      </w:tr>
      <w:tr>
        <w:trPr>
          <w:trHeight w:val="20"/>
        </w:trPr>
        <w:tc>
          <w:tcPr>
            <w:tcW w:w="4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19,358</w:t>
            </w:r>
          </w:p>
        </w:tc>
        <w:tc>
          <w:tcPr>
            <w:tcW w:w="2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40,658</w:t>
            </w:r>
          </w:p>
        </w:tc>
        <w:tc>
          <w:tcPr>
            <w:tcW w:w="16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35,099</w:t>
            </w:r>
          </w:p>
        </w:tc>
        <w:tc>
          <w:tcPr>
            <w:tcW w:w="2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tcPr>
          <w:p>
            <w:pPr>
              <w:spacing w:after="0"/>
              <w:rPr>
                <w:sz w:val="21"/>
                <w:szCs w:val="21"/>
                <w:color w:val="auto"/>
              </w:rPr>
            </w:pPr>
          </w:p>
        </w:tc>
      </w:tr>
      <w:tr>
        <w:trPr>
          <w:trHeight w:val="197"/>
        </w:trPr>
        <w:tc>
          <w:tcPr>
            <w:tcW w:w="4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7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740" w:type="dxa"/>
            <w:vAlign w:val="bottom"/>
          </w:tcPr>
          <w:p>
            <w:pPr>
              <w:ind w:left="26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color w:val="0052CC"/>
        </w:rPr>
        <w:t>Weighted average number shares used to compute basic and diluted EPS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thousands) </w:t>
      </w:r>
      <w:r>
        <w:rPr>
          <w:rFonts w:ascii="Arial" w:cs="Arial" w:eastAsia="Arial" w:hAnsi="Arial"/>
          <w:sz w:val="18"/>
          <w:szCs w:val="18"/>
          <w:i w:val="1"/>
          <w:i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8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102,478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102,464</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100,700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Stock-based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4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112,147</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105,574</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112,018</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101,022</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right="600"/>
        <w:spacing w:after="0" w:line="255" w:lineRule="auto"/>
        <w:rPr>
          <w:sz w:val="20"/>
          <w:szCs w:val="20"/>
          <w:color w:val="auto"/>
        </w:rPr>
      </w:pPr>
      <w:r>
        <w:rPr>
          <w:rFonts w:ascii="Arial" w:cs="Arial" w:eastAsia="Arial" w:hAnsi="Arial"/>
          <w:sz w:val="25"/>
          <w:szCs w:val="25"/>
          <w:color w:val="0052CC"/>
        </w:rPr>
        <w:t>Net income available to shareholders used to compute diluted EPS as a result of adopting the if-converted method in connection with the Convertible Senior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thousands) (</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gridSpan w:val="2"/>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3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8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 if-converted method interest adjustment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4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41,822</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51"/>
        </w:trPr>
        <w:tc>
          <w:tcPr>
            <w:tcW w:w="5840" w:type="dxa"/>
            <w:vAlign w:val="bottom"/>
          </w:tcPr>
          <w:p>
            <w:pPr>
              <w:spacing w:after="0"/>
              <w:rPr>
                <w:sz w:val="20"/>
                <w:szCs w:val="20"/>
                <w:color w:val="auto"/>
              </w:rPr>
            </w:pPr>
            <w:r>
              <w:rPr>
                <w:rFonts w:ascii="Arial" w:cs="Arial" w:eastAsia="Arial" w:hAnsi="Arial"/>
                <w:sz w:val="16"/>
                <w:szCs w:val="16"/>
                <w:color w:val="auto"/>
              </w:rPr>
              <w:t>parsons.com</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7"/>
          </w:tcPr>
          <w:p>
            <w:pPr>
              <w:ind w:left="900"/>
              <w:spacing w:after="0"/>
              <w:rPr>
                <w:sz w:val="20"/>
                <w:szCs w:val="20"/>
                <w:color w:val="auto"/>
              </w:rPr>
            </w:pPr>
            <w:r>
              <w:rPr>
                <w:rFonts w:ascii="Arial" w:cs="Arial" w:eastAsia="Arial" w:hAnsi="Arial"/>
                <w:sz w:val="16"/>
                <w:szCs w:val="16"/>
                <w:color w:val="auto"/>
                <w:w w:val="94"/>
              </w:rPr>
              <w:t xml:space="preserve">©Parsons Corporation. All Rights Reserved.  </w:t>
            </w:r>
            <w:r>
              <w:rPr>
                <w:rFonts w:ascii="Arial" w:cs="Arial" w:eastAsia="Arial" w:hAnsi="Arial"/>
                <w:sz w:val="19"/>
                <w:szCs w:val="19"/>
                <w:color w:val="auto"/>
                <w:w w:val="94"/>
              </w:rPr>
              <w:t>9</w:t>
            </w:r>
          </w:p>
        </w:tc>
      </w:tr>
      <w:tr>
        <w:trPr>
          <w:trHeight w:val="233"/>
        </w:trPr>
        <w:tc>
          <w:tcPr>
            <w:tcW w:w="584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08" w:right="319" w:bottom="1440" w:gutter="0" w:footer="0" w:header="0"/>
        </w:sectPr>
      </w:pPr>
    </w:p>
    <w:bookmarkStart w:id="11" w:name="page12"/>
    <w:bookmarkEnd w:id="11"/>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$51,516 and $75,220 Cash of consolidated joint ventures)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275,506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483,609</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1,197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$152,471 and $190,643 Accounts receivable of consolidated joint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627,445</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698,578</w:t>
            </w:r>
          </w:p>
        </w:tc>
        <w:tc>
          <w:tcPr>
            <w:tcW w:w="100" w:type="dxa"/>
            <w:vAlign w:val="bottom"/>
            <w:shd w:val="clear" w:color="auto" w:fill="CFF0FC"/>
          </w:tcPr>
          <w:p>
            <w:pPr>
              <w:spacing w:after="0"/>
              <w:rPr>
                <w:sz w:val="13"/>
                <w:szCs w:val="13"/>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Contract assets (including $27,354 and $23,498 Contract assets of consolidated joint ventures)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569,294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576,568</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$21,764 and $3,045 Prepaid expenses and other current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assets of consolidated joint ventures)</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113,129</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80,769</w:t>
            </w:r>
          </w:p>
        </w:tc>
        <w:tc>
          <w:tcPr>
            <w:tcW w:w="100" w:type="dxa"/>
            <w:vAlign w:val="bottom"/>
            <w:shd w:val="clear" w:color="auto" w:fill="CFF0FC"/>
          </w:tcPr>
          <w:p>
            <w:pPr>
              <w:spacing w:after="0"/>
              <w:rPr>
                <w:sz w:val="13"/>
                <w:szCs w:val="13"/>
                <w:color w:val="auto"/>
              </w:rPr>
            </w:pPr>
          </w:p>
        </w:tc>
      </w:tr>
      <w:tr>
        <w:trPr>
          <w:trHeight w:val="169"/>
        </w:trPr>
        <w:tc>
          <w:tcPr>
            <w:tcW w:w="740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1,586,571</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1,843,130</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Property and equipment, net (including $1,499 and $2,629 Property and equipment of consolidated joint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105,895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121,027</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188,519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210,398</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1,411,465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1,261,978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102,677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68,975</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235,927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245,958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147,260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130,200</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45,619</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56,038</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3,823,933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$93,697 and $97,810 Accounts payable of consolidated joint ventures)</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188,761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225,679</w:t>
            </w:r>
          </w:p>
        </w:tc>
        <w:tc>
          <w:tcPr>
            <w:tcW w:w="100" w:type="dxa"/>
            <w:vAlign w:val="bottom"/>
            <w:shd w:val="clear" w:color="auto" w:fill="CFF0FC"/>
          </w:tcPr>
          <w:p>
            <w:pPr>
              <w:spacing w:after="0"/>
              <w:rPr>
                <w:sz w:val="15"/>
                <w:szCs w:val="15"/>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$81,336 and $68,801 Accrued expenses and 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current liabilities of consolidated joint ventures)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626,171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650,753</w:t>
            </w:r>
          </w:p>
        </w:tc>
        <w:tc>
          <w:tcPr>
            <w:tcW w:w="100" w:type="dxa"/>
            <w:vAlign w:val="bottom"/>
          </w:tcPr>
          <w:p>
            <w:pPr>
              <w:spacing w:after="0"/>
              <w:rPr>
                <w:sz w:val="13"/>
                <w:szCs w:val="13"/>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$18,720 and $33,922 Contract liabilities of consolidated joint ventures)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186,789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201,864</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54,466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54,133</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1,060,659</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1,187,409</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19,486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21,828</w:t>
            </w:r>
          </w:p>
        </w:tc>
        <w:tc>
          <w:tcPr>
            <w:tcW w:w="100" w:type="dxa"/>
            <w:vAlign w:val="bottom"/>
          </w:tcPr>
          <w:p>
            <w:pPr>
              <w:spacing w:after="0"/>
              <w:rPr>
                <w:sz w:val="14"/>
                <w:szCs w:val="14"/>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591,399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157,590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117,369</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132,300</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1,970,057</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2,076,287</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spacing w:after="0"/>
              <w:rPr>
                <w:sz w:val="20"/>
                <w:szCs w:val="20"/>
                <w:color w:val="auto"/>
              </w:rPr>
            </w:pPr>
            <w:r>
              <w:rPr>
                <w:rFonts w:ascii="Arial" w:cs="Arial" w:eastAsia="Arial" w:hAnsi="Arial"/>
                <w:sz w:val="14"/>
                <w:szCs w:val="14"/>
                <w:color w:val="auto"/>
              </w:rPr>
              <w:t>Contingencies (Note 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40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146,506,406 and 146,609,288 shares issued;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32,538,566 and 25,719,350 public shares outstanding; 69,719,214 and 76,641,312 ESOP shares outstanding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146,507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146,609</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44,248,626 shares at cost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(899,328)</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(899,328)</w:t>
            </w: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2,669,692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2,700,925</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(82,661)</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(120,569)</w:t>
            </w: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(10,132)</w:t>
            </w:r>
          </w:p>
        </w:tc>
        <w:tc>
          <w:tcPr>
            <w:tcW w:w="12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(13,865)</w:t>
            </w:r>
          </w:p>
        </w:tc>
      </w:tr>
      <w:tr>
        <w:trPr>
          <w:trHeight w:val="169"/>
        </w:trPr>
        <w:tc>
          <w:tcPr>
            <w:tcW w:w="74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1,824,078</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1,813,772</w:t>
            </w:r>
          </w:p>
        </w:tc>
        <w:tc>
          <w:tcPr>
            <w:tcW w:w="100" w:type="dxa"/>
            <w:vAlign w:val="bottom"/>
            <w:tcBorders>
              <w:top w:val="single" w:sz="8" w:color="CFF0FC"/>
            </w:tcBorders>
            <w:shd w:val="clear" w:color="auto" w:fill="CFF0FC"/>
          </w:tcPr>
          <w:p>
            <w:pPr>
              <w:spacing w:after="0"/>
              <w:rPr>
                <w:sz w:val="14"/>
                <w:szCs w:val="14"/>
                <w:color w:val="auto"/>
              </w:rPr>
            </w:pPr>
          </w:p>
        </w:tc>
      </w:tr>
      <w:tr>
        <w:trPr>
          <w:trHeight w:val="176"/>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29,798</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47,645</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shareholders' equity</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1,853,876</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1,861,417</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3,823,933</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tabs>
          <w:tab w:leader="none" w:pos="8000" w:val="left"/>
          <w:tab w:leader="none" w:pos="1102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gridSpan w:val="2"/>
          </w:tcPr>
          <w:p>
            <w:pPr>
              <w:spacing w:after="0"/>
              <w:rPr>
                <w:sz w:val="15"/>
                <w:szCs w:val="15"/>
                <w:color w:val="auto"/>
              </w:rPr>
            </w:pPr>
          </w:p>
        </w:tc>
      </w:tr>
      <w:tr>
        <w:trPr>
          <w:trHeight w:val="196"/>
        </w:trPr>
        <w:tc>
          <w:tcPr>
            <w:tcW w:w="6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r>
      <w:tr>
        <w:trPr>
          <w:trHeight w:val="196"/>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52,810</w:t>
            </w:r>
          </w:p>
        </w:tc>
        <w:tc>
          <w:tcPr>
            <w:tcW w:w="28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92,016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106,540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95,442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Amortization of convertible notes discount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Loss (gain) on disposal of property and equipment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taxes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(4,369)</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(763)</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(26,528)</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(26,624)</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20,547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Contributions of treasury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41,312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42,006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joint ventures:</w:t>
            </w: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70,355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(106,487)</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assets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(34,931)</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Prepaid expenses and other assets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(19,596)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payable</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(39,341)</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(8,074)</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(86,402)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48,901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(16,294)</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(18,094)</w:t>
            </w:r>
          </w:p>
        </w:tc>
        <w:tc>
          <w:tcPr>
            <w:tcW w:w="20" w:type="dxa"/>
            <w:vAlign w:val="bottom"/>
          </w:tcPr>
          <w:p>
            <w:pPr>
              <w:spacing w:after="0"/>
              <w:rPr>
                <w:sz w:val="17"/>
                <w:szCs w:val="17"/>
                <w:color w:val="auto"/>
              </w:rPr>
            </w:pPr>
          </w:p>
        </w:tc>
      </w:tr>
      <w:tr>
        <w:trPr>
          <w:trHeight w:val="203"/>
        </w:trPr>
        <w:tc>
          <w:tcPr>
            <w:tcW w:w="688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(6,761)</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long-term liabilities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(17,273)</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(15,574)</w:t>
            </w:r>
          </w:p>
        </w:tc>
        <w:tc>
          <w:tcPr>
            <w:tcW w:w="20" w:type="dxa"/>
            <w:vAlign w:val="bottom"/>
          </w:tcPr>
          <w:p>
            <w:pPr>
              <w:spacing w:after="0"/>
              <w:rPr>
                <w:sz w:val="17"/>
                <w:szCs w:val="17"/>
                <w:color w:val="auto"/>
              </w:rPr>
            </w:pPr>
          </w:p>
        </w:tc>
      </w:tr>
      <w:tr>
        <w:trPr>
          <w:trHeight w:val="196"/>
        </w:trPr>
        <w:tc>
          <w:tcPr>
            <w:tcW w:w="6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115,714</w:t>
            </w:r>
          </w:p>
        </w:tc>
        <w:tc>
          <w:tcPr>
            <w:tcW w:w="2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113,439</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(12,803)</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(29,178)</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(197,672)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(36,102)</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(7,969)</w:t>
            </w: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8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14,335</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8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(230,464)</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(36,077)</w:t>
            </w:r>
          </w:p>
        </w:tc>
        <w:tc>
          <w:tcPr>
            <w:tcW w:w="20" w:type="dxa"/>
            <w:vAlign w:val="bottom"/>
          </w:tcPr>
          <w:p>
            <w:pPr>
              <w:spacing w:after="0"/>
              <w:rPr>
                <w:sz w:val="17"/>
                <w:szCs w:val="17"/>
                <w:color w:val="auto"/>
              </w:rPr>
            </w:pPr>
          </w:p>
        </w:tc>
      </w:tr>
      <w:tr>
        <w:trPr>
          <w:trHeight w:val="196"/>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880" w:type="dxa"/>
            <w:vAlign w:val="bottom"/>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212,900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(212,900)</w:t>
            </w: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convertible notes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Payments for purchase of bond hedges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(54,968)</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warrants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Transaction costs paid in connection with convertible notes issuance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(10,307)</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(37,246)</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(4,469)</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(8,701)</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86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80" w:type="dxa"/>
            <w:vAlign w:val="bottom"/>
          </w:tcPr>
          <w:p>
            <w:pPr>
              <w:ind w:left="300"/>
              <w:spacing w:after="0"/>
              <w:rPr>
                <w:sz w:val="20"/>
                <w:szCs w:val="20"/>
                <w:color w:val="auto"/>
              </w:rPr>
            </w:pPr>
            <w:r>
              <w:rPr>
                <w:rFonts w:ascii="Arial" w:cs="Arial" w:eastAsia="Arial" w:hAnsi="Arial"/>
                <w:sz w:val="16"/>
                <w:szCs w:val="16"/>
                <w:color w:val="auto"/>
              </w:rPr>
              <w:t>Net cash (used in) provided by financing activities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(95,665)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345,090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203"/>
        </w:trPr>
        <w:tc>
          <w:tcPr>
            <w:tcW w:w="688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(210,512)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422,383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8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487,215</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195,374</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8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276,703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617,757</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51"/>
        </w:trPr>
        <w:tc>
          <w:tcPr>
            <w:tcW w:w="6880" w:type="dxa"/>
            <w:vAlign w:val="bottom"/>
          </w:tcPr>
          <w:p>
            <w:pPr>
              <w:spacing w:after="0"/>
              <w:rPr>
                <w:sz w:val="20"/>
                <w:szCs w:val="20"/>
                <w:color w:val="auto"/>
              </w:rPr>
            </w:pPr>
            <w:r>
              <w:rPr>
                <w:rFonts w:ascii="Arial" w:cs="Arial" w:eastAsia="Arial" w:hAnsi="Arial"/>
                <w:sz w:val="16"/>
                <w:szCs w:val="16"/>
                <w:color w:val="auto"/>
              </w:rPr>
              <w:t>parsons.com</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6"/>
          </w:tcPr>
          <w:p>
            <w:pPr>
              <w:jc w:val="center"/>
              <w:ind w:left="79"/>
              <w:spacing w:after="0"/>
              <w:rPr>
                <w:sz w:val="20"/>
                <w:szCs w:val="20"/>
                <w:color w:val="auto"/>
              </w:rPr>
            </w:pPr>
            <w:r>
              <w:rPr>
                <w:rFonts w:ascii="Arial" w:cs="Arial" w:eastAsia="Arial" w:hAnsi="Arial"/>
                <w:sz w:val="16"/>
                <w:szCs w:val="16"/>
                <w:color w:val="auto"/>
                <w:w w:val="94"/>
              </w:rPr>
              <w:t xml:space="preserve">©Parsons Corporation. All Rights Reserved.  </w:t>
            </w:r>
            <w:r>
              <w:rPr>
                <w:rFonts w:ascii="Arial" w:cs="Arial" w:eastAsia="Arial" w:hAnsi="Arial"/>
                <w:sz w:val="19"/>
                <w:szCs w:val="19"/>
                <w:color w:val="auto"/>
                <w:w w:val="94"/>
              </w:rPr>
              <w:t>11</w:t>
            </w:r>
          </w:p>
        </w:tc>
      </w:tr>
      <w:tr>
        <w:trPr>
          <w:trHeight w:val="233"/>
        </w:trPr>
        <w:tc>
          <w:tcPr>
            <w:tcW w:w="68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08" w:right="319" w:bottom="1440" w:gutter="0" w:footer="0" w:header="0"/>
        </w:sectPr>
      </w:pPr>
    </w:p>
    <w:bookmarkStart w:id="13" w:name="page14"/>
    <w:bookmarkEnd w:id="13"/>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Contract Awards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140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35"/>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7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560,733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737,643</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2,203,767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1,786,473</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482,836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1,532,359</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1,355,272</w:t>
            </w:r>
          </w:p>
        </w:tc>
        <w:tc>
          <w:tcPr>
            <w:tcW w:w="100" w:type="dxa"/>
            <w:vAlign w:val="bottom"/>
            <w:tcBorders>
              <w:bottom w:val="single" w:sz="8" w:color="CFF0FC"/>
            </w:tcBorders>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1,043,569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1,170,559</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3,736,126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3,141,745</w:t>
            </w:r>
          </w:p>
        </w:tc>
        <w:tc>
          <w:tcPr>
            <w:tcW w:w="100" w:type="dxa"/>
            <w:vAlign w:val="bottom"/>
            <w:shd w:val="clear" w:color="auto" w:fill="CFF0FC"/>
          </w:tcPr>
          <w:p>
            <w:pPr>
              <w:spacing w:after="0"/>
              <w:rPr>
                <w:sz w:val="18"/>
                <w:szCs w:val="18"/>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5"/>
          <w:szCs w:val="25"/>
          <w:color w:val="0052CC"/>
        </w:rPr>
        <w:t>Backlog</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73025</wp:posOffset>
            </wp:positionV>
            <wp:extent cx="2228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Funded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1,471,631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1,175,924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Unfunded</w:t>
            </w: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4,149,903</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3,901,231</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Federal Solutions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5,621,534</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5,077,155</w:t>
            </w:r>
          </w:p>
        </w:tc>
        <w:tc>
          <w:tcPr>
            <w:tcW w:w="100" w:type="dxa"/>
            <w:vAlign w:val="bottom"/>
            <w:tcBorders>
              <w:bottom w:val="single" w:sz="8" w:color="CFF0FC"/>
            </w:tcBorders>
          </w:tcPr>
          <w:p>
            <w:pPr>
              <w:spacing w:after="0"/>
              <w:rPr>
                <w:sz w:val="18"/>
                <w:szCs w:val="18"/>
                <w:color w:val="auto"/>
              </w:rPr>
            </w:pPr>
          </w:p>
        </w:tc>
      </w:tr>
      <w:tr>
        <w:trPr>
          <w:trHeight w:val="20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Funded</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2,893,008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2,619,454</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Unfunded</w:t>
            </w: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69,997</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80,001</w:t>
            </w:r>
          </w:p>
        </w:tc>
        <w:tc>
          <w:tcPr>
            <w:tcW w:w="100" w:type="dxa"/>
            <w:vAlign w:val="bottom"/>
            <w:shd w:val="clear" w:color="auto" w:fill="CFF0FC"/>
          </w:tcPr>
          <w:p>
            <w:pPr>
              <w:spacing w:after="0"/>
              <w:rPr>
                <w:sz w:val="18"/>
                <w:szCs w:val="18"/>
                <w:color w:val="auto"/>
              </w:rPr>
            </w:pPr>
          </w:p>
        </w:tc>
      </w:tr>
      <w:tr>
        <w:trPr>
          <w:trHeight w:val="21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Critical Infrastructure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2,963,005</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2,699,455</w:t>
            </w:r>
          </w:p>
        </w:tc>
        <w:tc>
          <w:tcPr>
            <w:tcW w:w="100" w:type="dxa"/>
            <w:vAlign w:val="bottom"/>
            <w:tcBorders>
              <w:bottom w:val="single" w:sz="8" w:color="CFF0FC"/>
            </w:tcBorders>
          </w:tcPr>
          <w:p>
            <w:pPr>
              <w:spacing w:after="0"/>
              <w:rPr>
                <w:sz w:val="18"/>
                <w:szCs w:val="18"/>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8,584,539</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7,776,610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52CC"/>
        </w:rPr>
        <w:t>Book-To-Bill Ratio</w:t>
      </w:r>
      <w:r>
        <w:rPr>
          <w:rFonts w:ascii="Arial" w:cs="Arial" w:eastAsia="Arial" w:hAnsi="Arial"/>
          <w:sz w:val="21"/>
          <w:szCs w:val="21"/>
          <w:color w:val="0052CC"/>
        </w:rPr>
        <w:t>1</w:t>
      </w:r>
      <w:r>
        <w:rPr>
          <w:rFonts w:ascii="Arial" w:cs="Arial" w:eastAsia="Arial" w:hAnsi="Arial"/>
          <w:sz w:val="25"/>
          <w:szCs w:val="25"/>
          <w:color w:val="0052CC"/>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740" w:type="dxa"/>
            <w:vAlign w:val="bottom"/>
          </w:tcPr>
          <w:p>
            <w:pPr>
              <w:spacing w:after="0"/>
              <w:rPr>
                <w:sz w:val="13"/>
                <w:szCs w:val="13"/>
                <w:color w:val="auto"/>
              </w:rPr>
            </w:pPr>
          </w:p>
        </w:tc>
        <w:tc>
          <w:tcPr>
            <w:tcW w:w="14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7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16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160" w:type="dxa"/>
            <w:vAlign w:val="bottom"/>
          </w:tcPr>
          <w:p>
            <w:pPr>
              <w:jc w:val="right"/>
              <w:ind w:right="319"/>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180" w:type="dxa"/>
            <w:vAlign w:val="bottom"/>
          </w:tcPr>
          <w:p>
            <w:pPr>
              <w:jc w:val="right"/>
              <w:ind w:right="337"/>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180" w:type="dxa"/>
            <w:vAlign w:val="bottom"/>
          </w:tcPr>
          <w:p>
            <w:pPr>
              <w:jc w:val="right"/>
              <w:ind w:right="339"/>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0" w:type="dxa"/>
            <w:vAlign w:val="bottom"/>
          </w:tcPr>
          <w:p>
            <w:pPr>
              <w:jc w:val="right"/>
              <w:ind w:right="3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16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0052CC"/>
        </w:rPr>
        <w:t>Non-GAAP Financial Information</w:t>
      </w:r>
    </w:p>
    <w:p>
      <w:pPr>
        <w:spacing w:after="0" w:line="2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tables under "Parsons Corporation Inc. Reconciliation of Non-GAAP Measures" present Adjusted Net Income attributable to Parsons Corporation, Adjusted Earnings per Share, Earnings before Interest, Taxes, Depreciation, and Amortization (“EBITDA”), Adjusted EBITDA, EBITDA Margin, and Adjusted EBITDA Margin, reconciled to their most directly comparable GAAP measure. These financial measures are calculated and presented on the basis of methodologies other than in accordance with U.S. generally accepted accounting principles ("Non-GAAP Measures"). Parsons has provided these Non-GAAP Measures to adjust for, among other things, the impact of amortization expenses related to our acquisitions, costs associated with a loss or gain on the disposal or sale of property, plant and equipment, restructuring and related expenses, costs associated with mergers and acquisitions, software implementation costs, legal and settlement costs, and other costs considered non-operational in nature. These items have been Adjusted because they are not considered core to the company’s business or otherwise not considered operational or because these charges are non-cash or non-recurring. The company presents these Non-GAAP Measures because management believes that they are meaningful to understanding Parsons’s performance during the periods presented and the company’s ongoing business. Non-GAAP Measures are not prepared in accordance with GAAP and therefore are not necessarily comparable to similarly titled metrics or the financial results of other companies. These Non-GAAP Measures should be considered a supplement to, not a substitute for, or superior to, the corresponding financial measures calculated in accordance with GAAP.</w:t>
      </w:r>
    </w:p>
    <w:p>
      <w:pPr>
        <w:spacing w:after="0" w:line="116"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5"/>
          <w:szCs w:val="15"/>
          <w:color w:val="auto"/>
        </w:rPr>
      </w:pPr>
      <w:r>
        <w:rPr>
          <w:rFonts w:ascii="Arial" w:cs="Arial" w:eastAsia="Arial" w:hAnsi="Arial"/>
          <w:sz w:val="18"/>
          <w:szCs w:val="18"/>
          <w:color w:val="auto"/>
        </w:rPr>
        <w:t>Book-to-Bill ratio is calculated as total contract awards divided by total revenue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0"/>
          <w:szCs w:val="20"/>
          <w:color w:val="auto"/>
        </w:rPr>
      </w:pPr>
    </w:p>
    <w:p>
      <w:pPr>
        <w:spacing w:after="0"/>
        <w:tabs>
          <w:tab w:leader="none" w:pos="8000" w:val="left"/>
          <w:tab w:leader="none" w:pos="1102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Non-GAAP Financial Information</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52CC"/>
        </w:rPr>
        <w:t>Reconciliation of Net Income to Adjusted EBITDA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140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2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7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Depreciation and amortization (a)</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95,442</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Equity-based compensation (b)</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Transaction-related costs (c)</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Restructuring (d)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18"/>
                <w:szCs w:val="18"/>
                <w:color w:val="auto"/>
              </w:rPr>
            </w:pPr>
          </w:p>
        </w:tc>
      </w:tr>
      <w:tr>
        <w:trPr>
          <w:trHeight w:val="210"/>
        </w:trPr>
        <w:tc>
          <w:tcPr>
            <w:tcW w:w="570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84,392</w:t>
            </w:r>
          </w:p>
        </w:tc>
        <w:tc>
          <w:tcPr>
            <w:tcW w:w="2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100,801</w:t>
            </w:r>
          </w:p>
        </w:tc>
        <w:tc>
          <w:tcPr>
            <w:tcW w:w="140" w:type="dxa"/>
            <w:vAlign w:val="bottom"/>
          </w:tcPr>
          <w:p>
            <w:pPr>
              <w:spacing w:after="0"/>
              <w:rPr>
                <w:sz w:val="18"/>
                <w:szCs w:val="18"/>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218,818</w:t>
            </w:r>
          </w:p>
        </w:tc>
        <w:tc>
          <w:tcPr>
            <w:tcW w:w="2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252,458</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0" w:hanging="652"/>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and amortization for the three and nine months ended September 30, 2021 is $32.4 million and $92.6 million, respectively, in the Federal Solutions Segment and $4.8 million and $14.0 million, respectively in the Critical Infrastructure Segment. Depreciation and amortization for the three and nine months ended September 30, 2020 is $25.7 million and $80.1 million, respectively in the Federal Solutions Segment and $5.3 million and $15.4 million, respectively in the Critical Infrastructure Segment.</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compensation related to cash-settled awards.</w:t>
      </w:r>
    </w:p>
    <w:p>
      <w:pPr>
        <w:spacing w:after="0" w:line="9"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initial public offering, and other non-recurring transaction costs, primarily fees paid for professional services and employee retention.</w:t>
      </w: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9" w:lineRule="exact"/>
        <w:rPr>
          <w:rFonts w:ascii="Arial" w:cs="Arial" w:eastAsia="Arial" w:hAnsi="Arial"/>
          <w:sz w:val="18"/>
          <w:szCs w:val="18"/>
          <w:color w:val="auto"/>
        </w:rPr>
      </w:pPr>
    </w:p>
    <w:p>
      <w:pPr>
        <w:ind w:left="660" w:right="240" w:hanging="652"/>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304" w:lineRule="exact"/>
        <w:rPr>
          <w:sz w:val="20"/>
          <w:szCs w:val="20"/>
          <w:color w:val="auto"/>
        </w:rPr>
      </w:pPr>
    </w:p>
    <w:p>
      <w:pPr>
        <w:spacing w:after="0"/>
        <w:tabs>
          <w:tab w:leader="none" w:pos="8000" w:val="left"/>
          <w:tab w:leader="none" w:pos="1102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Non-GAAP Financial Information</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0052CC"/>
        </w:rPr>
        <w:t>Computation of Adjusted EBITDA Attributable to Noncontrolling Interests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gridSpan w:val="2"/>
          </w:tcPr>
          <w:p>
            <w:pPr>
              <w:spacing w:after="0"/>
              <w:rPr>
                <w:sz w:val="15"/>
                <w:szCs w:val="15"/>
                <w:color w:val="auto"/>
              </w:rPr>
            </w:pPr>
          </w:p>
        </w:tc>
      </w:tr>
      <w:tr>
        <w:trPr>
          <w:trHeight w:val="156"/>
        </w:trPr>
        <w:tc>
          <w:tcPr>
            <w:tcW w:w="5820" w:type="dxa"/>
            <w:vAlign w:val="bottom"/>
          </w:tcPr>
          <w:p>
            <w:pPr>
              <w:spacing w:after="0"/>
              <w:rPr>
                <w:sz w:val="13"/>
                <w:szCs w:val="13"/>
                <w:color w:val="auto"/>
              </w:rPr>
            </w:pPr>
          </w:p>
        </w:tc>
        <w:tc>
          <w:tcPr>
            <w:tcW w:w="11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80" w:type="dxa"/>
            <w:vAlign w:val="bottom"/>
            <w:gridSpan w:val="4"/>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8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240" w:type="dxa"/>
            <w:vAlign w:val="bottom"/>
            <w:shd w:val="clear" w:color="auto" w:fill="CFF0FC"/>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46,481</w:t>
            </w:r>
          </w:p>
        </w:tc>
        <w:tc>
          <w:tcPr>
            <w:tcW w:w="500" w:type="dxa"/>
            <w:vAlign w:val="bottom"/>
            <w:gridSpan w:val="2"/>
            <w:shd w:val="clear" w:color="auto" w:fill="CFF0FC"/>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45,874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110,963</w:t>
            </w:r>
          </w:p>
        </w:tc>
        <w:tc>
          <w:tcPr>
            <w:tcW w:w="500" w:type="dxa"/>
            <w:vAlign w:val="bottom"/>
            <w:gridSpan w:val="2"/>
            <w:shd w:val="clear" w:color="auto" w:fill="CFF0FC"/>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125,191</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Federal Solutions Adjusted EBITDA attributable to noncontrolling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8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Adjusted EBITDA including noncontrolling interests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46,559</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111,195</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30,371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48,856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89,845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111,732</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noncontrolling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820" w:type="dxa"/>
            <w:vAlign w:val="bottom"/>
            <w:tcBorders>
              <w:bottom w:val="single" w:sz="8" w:color="CFF0FC"/>
            </w:tcBorders>
          </w:tcPr>
          <w:p>
            <w:pPr>
              <w:spacing w:after="0" w:line="203" w:lineRule="exact"/>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7,462</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6,009</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17,778</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15,325</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 EBITDA including noncontrolling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8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interests</w:t>
            </w:r>
          </w:p>
        </w:tc>
        <w:tc>
          <w:tcPr>
            <w:tcW w:w="240" w:type="dxa"/>
            <w:vAlign w:val="bottom"/>
            <w:shd w:val="clear" w:color="auto" w:fill="CFF0FC"/>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37,833</w:t>
            </w:r>
          </w:p>
        </w:tc>
        <w:tc>
          <w:tcPr>
            <w:tcW w:w="500" w:type="dxa"/>
            <w:vAlign w:val="bottom"/>
            <w:gridSpan w:val="2"/>
            <w:shd w:val="clear" w:color="auto" w:fill="CFF0FC"/>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54,865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107,623</w:t>
            </w:r>
          </w:p>
        </w:tc>
        <w:tc>
          <w:tcPr>
            <w:tcW w:w="500" w:type="dxa"/>
            <w:vAlign w:val="bottom"/>
            <w:gridSpan w:val="2"/>
            <w:shd w:val="clear" w:color="auto" w:fill="CFF0FC"/>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127,057</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58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Adjusted EBITDA including noncontrolling interests</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218,818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252,458</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795"/>
        </w:trPr>
        <w:tc>
          <w:tcPr>
            <w:tcW w:w="5820" w:type="dxa"/>
            <w:vAlign w:val="bottom"/>
          </w:tcPr>
          <w:p>
            <w:pPr>
              <w:spacing w:after="0"/>
              <w:rPr>
                <w:sz w:val="20"/>
                <w:szCs w:val="20"/>
                <w:color w:val="auto"/>
              </w:rPr>
            </w:pPr>
            <w:r>
              <w:rPr>
                <w:rFonts w:ascii="Arial" w:cs="Arial" w:eastAsia="Arial" w:hAnsi="Arial"/>
                <w:sz w:val="16"/>
                <w:szCs w:val="16"/>
                <w:color w:val="auto"/>
              </w:rPr>
              <w:t>parsons.com</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9"/>
          </w:tcPr>
          <w:p>
            <w:pPr>
              <w:ind w:left="560"/>
              <w:spacing w:after="0"/>
              <w:rPr>
                <w:sz w:val="20"/>
                <w:szCs w:val="20"/>
                <w:color w:val="auto"/>
              </w:rPr>
            </w:pPr>
            <w:r>
              <w:rPr>
                <w:rFonts w:ascii="Arial" w:cs="Arial" w:eastAsia="Arial" w:hAnsi="Arial"/>
                <w:sz w:val="16"/>
                <w:szCs w:val="16"/>
                <w:color w:val="auto"/>
                <w:w w:val="94"/>
              </w:rPr>
              <w:t xml:space="preserve">©Parsons Corporation. All Rights Reserved.  </w:t>
            </w:r>
            <w:r>
              <w:rPr>
                <w:rFonts w:ascii="Arial" w:cs="Arial" w:eastAsia="Arial" w:hAnsi="Arial"/>
                <w:sz w:val="19"/>
                <w:szCs w:val="19"/>
                <w:color w:val="auto"/>
                <w:w w:val="94"/>
              </w:rPr>
              <w:t>14</w:t>
            </w:r>
          </w:p>
        </w:tc>
      </w:tr>
      <w:tr>
        <w:trPr>
          <w:trHeight w:val="233"/>
        </w:trPr>
        <w:tc>
          <w:tcPr>
            <w:tcW w:w="58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92" w:right="319" w:bottom="1440" w:gutter="0" w:footer="0" w:header="0"/>
        </w:sectPr>
      </w:pPr>
    </w:p>
    <w:bookmarkStart w:id="16" w:name="page17"/>
    <w:bookmarkEnd w:id="16"/>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Non-GAAP Financial Information</w:t>
      </w: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color w:val="0052CC"/>
        </w:rPr>
        <w:t>Reconciliation of Net Income Attributable to Parsons Corporation to Adjusted Net Income Attributable to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140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2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7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Acquisition related intangible asset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65,707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(a)</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Transaction-related costs (b)</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Tax effect on adjustments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(8,595)</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(6,660)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(25,967)</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(22,251)</w:t>
            </w:r>
          </w:p>
        </w:tc>
      </w:tr>
      <w:tr>
        <w:trPr>
          <w:trHeight w:val="25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income attributable to Parsons Corporation</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45,041</w:t>
            </w:r>
          </w:p>
        </w:tc>
        <w:tc>
          <w:tcPr>
            <w:tcW w:w="2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113,082</w:t>
            </w:r>
          </w:p>
        </w:tc>
        <w:tc>
          <w:tcPr>
            <w:tcW w:w="2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139,987</w:t>
            </w:r>
          </w:p>
        </w:tc>
        <w:tc>
          <w:tcPr>
            <w:tcW w:w="100" w:type="dxa"/>
            <w:vAlign w:val="bottom"/>
            <w:tcBorders>
              <w:bottom w:val="single" w:sz="8" w:color="CFF0FC"/>
            </w:tcBorders>
          </w:tcPr>
          <w:p>
            <w:pPr>
              <w:spacing w:after="0"/>
              <w:rPr>
                <w:sz w:val="21"/>
                <w:szCs w:val="2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Adjusted earnings per share: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700" w:type="dxa"/>
            <w:vAlign w:val="bottom"/>
          </w:tcPr>
          <w:p>
            <w:pPr>
              <w:ind w:left="260"/>
              <w:spacing w:after="0"/>
              <w:rPr>
                <w:sz w:val="20"/>
                <w:szCs w:val="20"/>
                <w:color w:val="auto"/>
              </w:rPr>
            </w:pPr>
            <w:r>
              <w:rPr>
                <w:rFonts w:ascii="Arial" w:cs="Arial" w:eastAsia="Arial" w:hAnsi="Arial"/>
                <w:sz w:val="18"/>
                <w:szCs w:val="18"/>
                <w:color w:val="auto"/>
              </w:rPr>
              <w:t>Weighted-average number of basic shares outstanding</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100,700</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number of diluted shares outstanding (e)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103,230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101,115</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103,101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101,022</w:t>
            </w:r>
          </w:p>
        </w:tc>
        <w:tc>
          <w:tcPr>
            <w:tcW w:w="100" w:type="dxa"/>
            <w:vAlign w:val="bottom"/>
            <w:shd w:val="clear" w:color="auto" w:fill="CFF0FC"/>
          </w:tcPr>
          <w:p>
            <w:pPr>
              <w:spacing w:after="0"/>
              <w:rPr>
                <w:sz w:val="21"/>
                <w:szCs w:val="21"/>
                <w:color w:val="auto"/>
              </w:rPr>
            </w:pPr>
          </w:p>
        </w:tc>
      </w:tr>
      <w:tr>
        <w:trPr>
          <w:trHeight w:val="215"/>
        </w:trPr>
        <w:tc>
          <w:tcPr>
            <w:tcW w:w="5700" w:type="dxa"/>
            <w:vAlign w:val="bottom"/>
          </w:tcPr>
          <w:p>
            <w:pPr>
              <w:ind w:left="260"/>
              <w:spacing w:after="0"/>
              <w:rPr>
                <w:sz w:val="20"/>
                <w:szCs w:val="20"/>
                <w:color w:val="auto"/>
              </w:rPr>
            </w:pPr>
            <w:r>
              <w:rPr>
                <w:rFonts w:ascii="Arial" w:cs="Arial" w:eastAsia="Arial" w:hAnsi="Arial"/>
                <w:sz w:val="18"/>
                <w:szCs w:val="18"/>
                <w:color w:val="auto"/>
              </w:rPr>
              <w:t>Adjusted net income attributable to Parsons Corporation per basic</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700" w:type="dxa"/>
            <w:vAlign w:val="bottom"/>
          </w:tcPr>
          <w:p>
            <w:pPr>
              <w:ind w:left="260"/>
              <w:spacing w:after="0" w:line="203" w:lineRule="exact"/>
              <w:rPr>
                <w:sz w:val="20"/>
                <w:szCs w:val="20"/>
                <w:color w:val="auto"/>
              </w:rPr>
            </w:pPr>
            <w:r>
              <w:rPr>
                <w:rFonts w:ascii="Arial" w:cs="Arial" w:eastAsia="Arial" w:hAnsi="Arial"/>
                <w:sz w:val="18"/>
                <w:szCs w:val="18"/>
                <w:color w:val="auto"/>
              </w:rPr>
              <w:t>share</w:t>
            </w:r>
          </w:p>
        </w:tc>
        <w:tc>
          <w:tcPr>
            <w:tcW w:w="260" w:type="dxa"/>
            <w:vAlign w:val="bottom"/>
          </w:tcPr>
          <w:p>
            <w:pPr>
              <w:jc w:val="right"/>
              <w:ind w:right="75"/>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220" w:type="dxa"/>
            <w:vAlign w:val="bottom"/>
          </w:tcPr>
          <w:p>
            <w:pPr>
              <w:spacing w:after="0"/>
              <w:rPr>
                <w:sz w:val="17"/>
                <w:szCs w:val="17"/>
                <w:color w:val="auto"/>
              </w:rPr>
            </w:pPr>
          </w:p>
        </w:tc>
        <w:tc>
          <w:tcPr>
            <w:tcW w:w="280" w:type="dxa"/>
            <w:vAlign w:val="bottom"/>
          </w:tcPr>
          <w:p>
            <w:pPr>
              <w:jc w:val="right"/>
              <w:ind w:right="95"/>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0.57</w:t>
            </w:r>
          </w:p>
        </w:tc>
        <w:tc>
          <w:tcPr>
            <w:tcW w:w="140" w:type="dxa"/>
            <w:vAlign w:val="bottom"/>
          </w:tcPr>
          <w:p>
            <w:pPr>
              <w:spacing w:after="0"/>
              <w:rPr>
                <w:sz w:val="17"/>
                <w:szCs w:val="17"/>
                <w:color w:val="auto"/>
              </w:rPr>
            </w:pPr>
          </w:p>
        </w:tc>
        <w:tc>
          <w:tcPr>
            <w:tcW w:w="360" w:type="dxa"/>
            <w:vAlign w:val="bottom"/>
            <w:gridSpan w:val="2"/>
          </w:tcPr>
          <w:p>
            <w:pPr>
              <w:jc w:val="right"/>
              <w:ind w:right="99"/>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260" w:type="dxa"/>
            <w:vAlign w:val="bottom"/>
          </w:tcPr>
          <w:p>
            <w:pPr>
              <w:jc w:val="right"/>
              <w:ind w:right="75"/>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net income attributable to Parsons Corporation per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70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diluted share</w:t>
            </w:r>
          </w:p>
        </w:tc>
        <w:tc>
          <w:tcPr>
            <w:tcW w:w="260" w:type="dxa"/>
            <w:vAlign w:val="bottom"/>
            <w:tcBorders>
              <w:bottom w:val="single" w:sz="8" w:color="auto"/>
            </w:tcBorders>
            <w:shd w:val="clear" w:color="auto" w:fill="CFF0FC"/>
          </w:tcPr>
          <w:p>
            <w:pPr>
              <w:jc w:val="right"/>
              <w:ind w:right="75"/>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0.44</w:t>
            </w:r>
          </w:p>
        </w:tc>
        <w:tc>
          <w:tcPr>
            <w:tcW w:w="2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5"/>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0.57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5"/>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7"/>
                <w:szCs w:val="17"/>
                <w:color w:val="auto"/>
              </w:rPr>
            </w:pPr>
          </w:p>
        </w:tc>
      </w:tr>
    </w:tbl>
    <w:p>
      <w:pPr>
        <w:spacing w:after="0" w:line="28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compensation related to cash-settled awards.</w:t>
      </w:r>
    </w:p>
    <w:p>
      <w:pPr>
        <w:spacing w:after="0" w:line="23"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9" w:lineRule="exact"/>
        <w:rPr>
          <w:rFonts w:ascii="Arial" w:cs="Arial" w:eastAsia="Arial" w:hAnsi="Arial"/>
          <w:sz w:val="18"/>
          <w:szCs w:val="18"/>
          <w:color w:val="auto"/>
        </w:rPr>
      </w:pPr>
    </w:p>
    <w:p>
      <w:pPr>
        <w:ind w:left="660" w:right="24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dilutive effect of convertible senior notes due to bond hedge.</w:t>
      </w:r>
    </w:p>
    <w:p>
      <w:pPr>
        <w:spacing w:after="0" w:line="200" w:lineRule="exact"/>
        <w:rPr>
          <w:sz w:val="20"/>
          <w:szCs w:val="20"/>
          <w:color w:val="auto"/>
        </w:rPr>
      </w:pPr>
    </w:p>
    <w:p>
      <w:pPr>
        <w:spacing w:after="0" w:line="332" w:lineRule="exact"/>
        <w:rPr>
          <w:sz w:val="20"/>
          <w:szCs w:val="20"/>
          <w:color w:val="auto"/>
        </w:rPr>
      </w:pPr>
    </w:p>
    <w:p>
      <w:pPr>
        <w:spacing w:after="0"/>
        <w:tabs>
          <w:tab w:leader="none" w:pos="8000" w:val="left"/>
          <w:tab w:leader="none" w:pos="1102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color w:val="0052CC"/>
        </w:rPr>
        <w:drawing>
          <wp:anchor simplePos="0" relativeHeight="251657728" behindDoc="1" locked="0" layoutInCell="0" allowOverlap="1">
            <wp:simplePos x="0" y="0"/>
            <wp:positionH relativeFrom="page">
              <wp:posOffset>850900</wp:posOffset>
            </wp:positionH>
            <wp:positionV relativeFrom="page">
              <wp:posOffset>226060</wp:posOffset>
            </wp:positionV>
            <wp:extent cx="585470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14630"/>
                    </a:xfrm>
                    <a:prstGeom prst="rect">
                      <a:avLst/>
                    </a:prstGeom>
                    <a:noFill/>
                  </pic:spPr>
                </pic:pic>
              </a:graphicData>
            </a:graphic>
          </wp:anchor>
        </w:drawing>
        <w:t>PARSONS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0052CC"/>
        </w:rPr>
        <w:t>Historical Quarterly Revenue by New Business Units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82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14"/>
                <w:szCs w:val="14"/>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0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rPr>
              <w:t>31, 2020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30, 2020</w:t>
            </w:r>
          </w:p>
        </w:tc>
        <w:tc>
          <w:tcPr>
            <w:tcW w:w="102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Defense &amp; Intelligence</w:t>
            </w:r>
          </w:p>
        </w:tc>
        <w:tc>
          <w:tcPr>
            <w:tcW w:w="8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$ 308,389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$ 311,102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$ 297,549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333,289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$ 315,727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$ 304,739</w:t>
            </w:r>
          </w:p>
        </w:tc>
        <w:tc>
          <w:tcPr>
            <w:tcW w:w="60" w:type="dxa"/>
            <w:vAlign w:val="bottom"/>
            <w:shd w:val="clear" w:color="auto" w:fill="CFF0FC"/>
          </w:tcPr>
          <w:p>
            <w:pPr>
              <w:spacing w:after="0"/>
              <w:rPr>
                <w:sz w:val="18"/>
                <w:szCs w:val="18"/>
                <w:color w:val="auto"/>
              </w:rPr>
            </w:pPr>
          </w:p>
        </w:tc>
      </w:tr>
      <w:tr>
        <w:trPr>
          <w:trHeight w:val="216"/>
        </w:trPr>
        <w:tc>
          <w:tcPr>
            <w:tcW w:w="3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Engineered Systems</w:t>
            </w:r>
          </w:p>
        </w:tc>
        <w:tc>
          <w:tcPr>
            <w:tcW w:w="6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156,140</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134,286</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140,967</w:t>
            </w: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164,867</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166,483</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172,832</w:t>
            </w:r>
          </w:p>
        </w:tc>
        <w:tc>
          <w:tcPr>
            <w:tcW w:w="60" w:type="dxa"/>
            <w:vAlign w:val="bottom"/>
            <w:tcBorders>
              <w:bottom w:val="single" w:sz="8" w:color="CFF0FC"/>
            </w:tcBorders>
          </w:tcPr>
          <w:p>
            <w:pPr>
              <w:spacing w:after="0"/>
              <w:rPr>
                <w:sz w:val="18"/>
                <w:szCs w:val="18"/>
                <w:color w:val="auto"/>
              </w:rPr>
            </w:pPr>
          </w:p>
        </w:tc>
      </w:tr>
      <w:tr>
        <w:trPr>
          <w:trHeight w:val="209"/>
        </w:trPr>
        <w:tc>
          <w:tcPr>
            <w:tcW w:w="3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Solutions revenues</w:t>
            </w:r>
          </w:p>
        </w:tc>
        <w:tc>
          <w:tcPr>
            <w:tcW w:w="6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499,291</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452,069</w:t>
            </w: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453,973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477,571</w:t>
            </w:r>
          </w:p>
        </w:tc>
        <w:tc>
          <w:tcPr>
            <w:tcW w:w="60" w:type="dxa"/>
            <w:vAlign w:val="bottom"/>
            <w:shd w:val="clear" w:color="auto" w:fill="CFF0FC"/>
          </w:tcPr>
          <w:p>
            <w:pPr>
              <w:spacing w:after="0"/>
              <w:rPr>
                <w:sz w:val="18"/>
                <w:szCs w:val="18"/>
                <w:color w:val="auto"/>
              </w:rPr>
            </w:pPr>
          </w:p>
        </w:tc>
      </w:tr>
      <w:tr>
        <w:trPr>
          <w:trHeight w:val="209"/>
        </w:trPr>
        <w:tc>
          <w:tcPr>
            <w:tcW w:w="3340" w:type="dxa"/>
            <w:vAlign w:val="bottom"/>
          </w:tcPr>
          <w:p>
            <w:pPr>
              <w:ind w:left="500"/>
              <w:spacing w:after="0"/>
              <w:rPr>
                <w:sz w:val="20"/>
                <w:szCs w:val="20"/>
                <w:color w:val="auto"/>
              </w:rPr>
            </w:pPr>
            <w:r>
              <w:rPr>
                <w:rFonts w:ascii="Arial" w:cs="Arial" w:eastAsia="Arial" w:hAnsi="Arial"/>
                <w:sz w:val="18"/>
                <w:szCs w:val="18"/>
                <w:color w:val="auto"/>
              </w:rPr>
              <w:t>Connected Communities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91,902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89,883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114,871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116,366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98,359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101,901</w:t>
            </w:r>
          </w:p>
        </w:tc>
        <w:tc>
          <w:tcPr>
            <w:tcW w:w="60" w:type="dxa"/>
            <w:vAlign w:val="bottom"/>
          </w:tcPr>
          <w:p>
            <w:pPr>
              <w:spacing w:after="0"/>
              <w:rPr>
                <w:sz w:val="18"/>
                <w:szCs w:val="18"/>
                <w:color w:val="auto"/>
              </w:rPr>
            </w:pPr>
          </w:p>
        </w:tc>
      </w:tr>
      <w:tr>
        <w:trPr>
          <w:trHeight w:val="216"/>
        </w:trPr>
        <w:tc>
          <w:tcPr>
            <w:tcW w:w="3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Mobility Solutions</w:t>
            </w:r>
          </w:p>
        </w:tc>
        <w:tc>
          <w:tcPr>
            <w:tcW w:w="6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364,857</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355,360</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332,745</w:t>
            </w: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395,414</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389,714</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398,890</w:t>
            </w: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391,521</w:t>
            </w:r>
          </w:p>
        </w:tc>
        <w:tc>
          <w:tcPr>
            <w:tcW w:w="60" w:type="dxa"/>
            <w:vAlign w:val="bottom"/>
            <w:shd w:val="clear" w:color="auto" w:fill="CFF0FC"/>
          </w:tcPr>
          <w:p>
            <w:pPr>
              <w:spacing w:after="0"/>
              <w:rPr>
                <w:sz w:val="18"/>
                <w:szCs w:val="18"/>
                <w:color w:val="auto"/>
              </w:rPr>
            </w:pPr>
          </w:p>
        </w:tc>
      </w:tr>
      <w:tr>
        <w:trPr>
          <w:trHeight w:val="210"/>
        </w:trPr>
        <w:tc>
          <w:tcPr>
            <w:tcW w:w="3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Critical Infrastructure revenues</w:t>
            </w:r>
          </w:p>
        </w:tc>
        <w:tc>
          <w:tcPr>
            <w:tcW w:w="6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456,759</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436,681</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422,628</w:t>
            </w: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510,285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506,080</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497,249</w:t>
            </w: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493,422</w:t>
            </w:r>
          </w:p>
        </w:tc>
        <w:tc>
          <w:tcPr>
            <w:tcW w:w="60" w:type="dxa"/>
            <w:vAlign w:val="bottom"/>
            <w:tcBorders>
              <w:bottom w:val="single" w:sz="8" w:color="CFF0FC"/>
            </w:tcBorders>
          </w:tcPr>
          <w:p>
            <w:pPr>
              <w:spacing w:after="0"/>
              <w:rPr>
                <w:sz w:val="18"/>
                <w:szCs w:val="18"/>
                <w:color w:val="auto"/>
              </w:rPr>
            </w:pP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8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956,050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$ 879,356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$ 874,697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$ 964,258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1,004,236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$ 979,459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$ 970,993</w:t>
            </w:r>
          </w:p>
        </w:tc>
        <w:tc>
          <w:tcPr>
            <w:tcW w:w="60" w:type="dxa"/>
            <w:vAlign w:val="bottom"/>
            <w:shd w:val="clear" w:color="auto" w:fill="CFF0FC"/>
          </w:tcPr>
          <w:p>
            <w:pPr>
              <w:spacing w:after="0"/>
              <w:rPr>
                <w:sz w:val="18"/>
                <w:szCs w:val="18"/>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8000" w:val="left"/>
          <w:tab w:leader="none" w:pos="11020" w:val="left"/>
        </w:tabs>
        <w:rPr>
          <w:sz w:val="20"/>
          <w:szCs w:val="20"/>
          <w:color w:val="auto"/>
        </w:rPr>
      </w:pPr>
      <w:r>
        <w:rPr>
          <w:rFonts w:ascii="Arial" w:cs="Arial" w:eastAsia="Arial" w:hAnsi="Arial"/>
          <w:sz w:val="16"/>
          <w:szCs w:val="16"/>
          <w:color w:val="auto"/>
        </w:rPr>
        <w:t>parsons.com</w:t>
      </w:r>
      <w:r>
        <w:rPr>
          <w:sz w:val="20"/>
          <w:szCs w:val="20"/>
          <w:color w:val="auto"/>
        </w:rPr>
        <w:tab/>
      </w:r>
      <w:r>
        <w:rPr>
          <w:rFonts w:ascii="Arial" w:cs="Arial" w:eastAsia="Arial" w:hAnsi="Arial"/>
          <w:sz w:val="16"/>
          <w:szCs w:val="16"/>
          <w:color w:val="auto"/>
        </w:rPr>
        <w:t>©Parsons Corporation. All Rights Reserved.</w:t>
      </w:r>
      <w:r>
        <w:rPr>
          <w:sz w:val="20"/>
          <w:szCs w:val="20"/>
          <w:color w:val="auto"/>
        </w:rPr>
        <w:tab/>
      </w:r>
      <w:r>
        <w:rPr>
          <w:rFonts w:ascii="Arial" w:cs="Arial" w:eastAsia="Arial" w:hAnsi="Arial"/>
          <w:sz w:val="16"/>
          <w:szCs w:val="16"/>
          <w:color w:val="auto"/>
        </w:rPr>
        <w:t>16</w:t>
      </w:r>
    </w:p>
    <w:sectPr>
      <w:pgSz w:w="11900" w:h="16838" w:orient="portrait"/>
      <w:cols w:equalWidth="0" w:num="1">
        <w:col w:w="11240"/>
      </w:cols>
      <w:pgMar w:left="320" w:top="1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2021-11-03T05:33:34Z</dcterms:created>
  <dcterms:modified xsi:type="dcterms:W3CDTF">2021-11-03T05:33:34Z</dcterms:modified>
</cp:coreProperties>
</file>