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 w:lineRule="exact"/>
        <w:rPr>
          <w:sz w:val="24"/>
          <w:szCs w:val="24"/>
          <w:color w:val="auto"/>
        </w:rPr>
      </w:pPr>
    </w:p>
    <w:p>
      <w:pPr>
        <w:ind w:left="3860" w:right="1260" w:hanging="2599"/>
        <w:spacing w:after="0" w:line="326" w:lineRule="auto"/>
        <w:tabs>
          <w:tab w:leader="none" w:pos="167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March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660" w:hanging="370"/>
        <w:spacing w:after="0"/>
        <w:tabs>
          <w:tab w:leader="none" w:pos="1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68" w:lineRule="exact"/>
        <w:rPr>
          <w:sz w:val="24"/>
          <w:szCs w:val="24"/>
          <w:color w:val="auto"/>
        </w:rPr>
      </w:pPr>
    </w:p>
    <w:p>
      <w:pPr>
        <w:ind w:left="412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2405380</wp:posOffset>
            </wp:positionH>
            <wp:positionV relativeFrom="paragraph">
              <wp:posOffset>77470</wp:posOffset>
            </wp:positionV>
            <wp:extent cx="2339975" cy="539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3997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0"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rPr>
              <w:t>Delaware</w:t>
            </w:r>
          </w:p>
        </w:tc>
        <w:tc>
          <w:tcPr>
            <w:tcW w:w="29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(State or other jurisdiction of</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820" w:type="dxa"/>
            <w:vAlign w:val="bottom"/>
          </w:tcPr>
          <w:p>
            <w:pPr>
              <w:jc w:val="center"/>
              <w:ind w:right="1679"/>
              <w:spacing w:after="0"/>
              <w:rPr>
                <w:sz w:val="20"/>
                <w:szCs w:val="20"/>
                <w:color w:val="auto"/>
              </w:rPr>
            </w:pPr>
            <w:r>
              <w:rPr>
                <w:rFonts w:ascii="Arial" w:cs="Arial" w:eastAsia="Arial" w:hAnsi="Arial"/>
                <w:sz w:val="14"/>
                <w:szCs w:val="14"/>
                <w:b w:val="1"/>
                <w:bCs w:val="1"/>
                <w:color w:val="auto"/>
              </w:rPr>
              <w:t>incorporation or organization)</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14291 Park Meadow Drive, Suite 100</w:t>
            </w:r>
          </w:p>
        </w:tc>
        <w:tc>
          <w:tcPr>
            <w:tcW w:w="2940" w:type="dxa"/>
            <w:vAlign w:val="bottom"/>
          </w:tcPr>
          <w:p>
            <w:pPr>
              <w:spacing w:after="0"/>
              <w:rPr>
                <w:sz w:val="24"/>
                <w:szCs w:val="24"/>
                <w:color w:val="auto"/>
              </w:rPr>
            </w:pPr>
          </w:p>
        </w:tc>
      </w:tr>
      <w:tr>
        <w:trPr>
          <w:trHeight w:val="212"/>
        </w:trPr>
        <w:tc>
          <w:tcPr>
            <w:tcW w:w="4820" w:type="dxa"/>
            <w:vAlign w:val="bottom"/>
          </w:tcPr>
          <w:p>
            <w:pPr>
              <w:jc w:val="center"/>
              <w:ind w:right="1659"/>
              <w:spacing w:after="0"/>
              <w:rPr>
                <w:sz w:val="20"/>
                <w:szCs w:val="20"/>
                <w:color w:val="auto"/>
              </w:rPr>
            </w:pPr>
            <w:r>
              <w:rPr>
                <w:rFonts w:ascii="Arial" w:cs="Arial" w:eastAsia="Arial" w:hAnsi="Arial"/>
                <w:sz w:val="18"/>
                <w:szCs w:val="18"/>
                <w:b w:val="1"/>
                <w:bCs w:val="1"/>
                <w:color w:val="auto"/>
                <w:w w:val="99"/>
              </w:rPr>
              <w:t>Chantilly, Virginia</w:t>
            </w:r>
          </w:p>
        </w:tc>
        <w:tc>
          <w:tcPr>
            <w:tcW w:w="29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20151</w:t>
            </w:r>
          </w:p>
        </w:tc>
      </w:tr>
      <w:tr>
        <w:trPr>
          <w:trHeight w:val="196"/>
        </w:trPr>
        <w:tc>
          <w:tcPr>
            <w:tcW w:w="4820" w:type="dxa"/>
            <w:vAlign w:val="bottom"/>
          </w:tcPr>
          <w:p>
            <w:pPr>
              <w:jc w:val="center"/>
              <w:ind w:right="1659"/>
              <w:spacing w:after="0"/>
              <w:rPr>
                <w:sz w:val="20"/>
                <w:szCs w:val="20"/>
                <w:color w:val="auto"/>
              </w:rPr>
            </w:pPr>
            <w:r>
              <w:rPr>
                <w:rFonts w:ascii="Arial" w:cs="Arial" w:eastAsia="Arial" w:hAnsi="Arial"/>
                <w:sz w:val="14"/>
                <w:szCs w:val="14"/>
                <w:b w:val="1"/>
                <w:bCs w:val="1"/>
                <w:color w:val="auto"/>
              </w:rPr>
              <w:t>(Address of principal executive offices)</w:t>
            </w:r>
          </w:p>
        </w:tc>
        <w:tc>
          <w:tcPr>
            <w:tcW w:w="294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PSN</w:t>
            </w:r>
          </w:p>
        </w:tc>
        <w:tc>
          <w:tcPr>
            <w:tcW w:w="120" w:type="dxa"/>
            <w:vAlign w:val="bottom"/>
          </w:tcPr>
          <w:p>
            <w:pPr>
              <w:spacing w:after="0"/>
              <w:rPr>
                <w:sz w:val="22"/>
                <w:szCs w:val="22"/>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1" w:lineRule="exact"/>
        <w:rPr>
          <w:sz w:val="24"/>
          <w:szCs w:val="24"/>
          <w:color w:val="auto"/>
        </w:rPr>
      </w:pPr>
    </w:p>
    <w:p>
      <w:pPr>
        <w:jc w:val="both"/>
        <w:ind w:right="300"/>
        <w:spacing w:after="0" w:line="21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
        <w:spacing w:after="0" w:line="21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jc w:val="both"/>
        <w:ind w:right="500" w:firstLine="599"/>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2"/>
        </w:trPr>
        <w:tc>
          <w:tcPr>
            <w:tcW w:w="238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20"/>
              <w:spacing w:after="0" w:line="202" w:lineRule="exact"/>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ind w:right="140" w:firstLine="599"/>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600" w:right="1300" w:hanging="598"/>
        <w:spacing w:after="0" w:line="251"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16, 2025, the registrant had 106,874,985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00" w:type="dxa"/>
            <w:vAlign w:val="bottom"/>
            <w:gridSpan w:val="7"/>
          </w:tcPr>
          <w:p>
            <w:pPr>
              <w:ind w:left="200"/>
              <w:spacing w:after="0"/>
              <w:rPr>
                <w:sz w:val="20"/>
                <w:szCs w:val="20"/>
                <w:color w:val="auto"/>
              </w:rPr>
            </w:pPr>
            <w:r>
              <w:rPr>
                <w:rFonts w:ascii="Arial" w:cs="Arial" w:eastAsia="Arial" w:hAnsi="Arial"/>
                <w:sz w:val="25"/>
                <w:szCs w:val="25"/>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1"/>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060" w:type="dxa"/>
            <w:vAlign w:val="bottom"/>
            <w:gridSpan w:val="15"/>
            <w:vMerge w:val="restart"/>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4"/>
                <w:szCs w:val="14"/>
                <w:color w:val="auto"/>
              </w:rPr>
            </w:pPr>
          </w:p>
        </w:tc>
        <w:tc>
          <w:tcPr>
            <w:tcW w:w="2260" w:type="dxa"/>
            <w:vAlign w:val="bottom"/>
            <w:tcBorders>
              <w:bottom w:val="single" w:sz="8" w:color="0000FF"/>
            </w:tcBorders>
            <w:gridSpan w:val="11"/>
            <w:vMerge w:val="continue"/>
          </w:tcPr>
          <w:p>
            <w:pPr>
              <w:spacing w:after="0"/>
              <w:rPr>
                <w:sz w:val="14"/>
                <w:szCs w:val="14"/>
                <w:color w:val="auto"/>
              </w:rPr>
            </w:pPr>
          </w:p>
        </w:tc>
        <w:tc>
          <w:tcPr>
            <w:tcW w:w="7060" w:type="dxa"/>
            <w:vAlign w:val="bottom"/>
            <w:gridSpan w:val="15"/>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6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Consolidated Balance Sheets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Consolidated Statements of</w:t>
            </w:r>
          </w:p>
        </w:tc>
        <w:tc>
          <w:tcPr>
            <w:tcW w:w="20" w:type="dxa"/>
            <w:vAlign w:val="bottom"/>
            <w:tcBorders>
              <w:top w:val="single" w:sz="8" w:color="0000EE"/>
              <w:bottom w:val="single" w:sz="8" w:color="0000FF"/>
            </w:tcBorders>
          </w:tcPr>
          <w:p>
            <w:pPr>
              <w:spacing w:after="0"/>
              <w:rPr>
                <w:sz w:val="15"/>
                <w:szCs w:val="15"/>
                <w:color w:val="auto"/>
              </w:rPr>
            </w:pPr>
          </w:p>
        </w:tc>
        <w:tc>
          <w:tcPr>
            <w:tcW w:w="48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77"/>
              </w:rPr>
              <w:t>Income</w:t>
            </w:r>
          </w:p>
        </w:tc>
        <w:tc>
          <w:tcPr>
            <w:tcW w:w="40" w:type="dxa"/>
            <w:vAlign w:val="bottom"/>
            <w:tcBorders>
              <w:bottom w:val="single" w:sz="8" w:color="0000EE"/>
            </w:tcBorders>
          </w:tcPr>
          <w:p>
            <w:pPr>
              <w:spacing w:after="0"/>
              <w:rPr>
                <w:sz w:val="15"/>
                <w:szCs w:val="15"/>
                <w:color w:val="auto"/>
              </w:rPr>
            </w:pPr>
          </w:p>
        </w:tc>
        <w:tc>
          <w:tcPr>
            <w:tcW w:w="642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Consolidated Statements of Comprehensive Income</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16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Consolidated Statements of Cash Flows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2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4"/>
              </w:rPr>
              <w:t>Consolidated Statements of Shareholders’</w:t>
            </w:r>
          </w:p>
        </w:tc>
        <w:tc>
          <w:tcPr>
            <w:tcW w:w="20" w:type="dxa"/>
            <w:vAlign w:val="bottom"/>
            <w:tcBorders>
              <w:top w:val="single" w:sz="8" w:color="0000EE"/>
            </w:tcBorders>
          </w:tcPr>
          <w:p>
            <w:pPr>
              <w:spacing w:after="0"/>
              <w:rPr>
                <w:sz w:val="15"/>
                <w:szCs w:val="15"/>
                <w:color w:val="auto"/>
              </w:rPr>
            </w:pPr>
          </w:p>
        </w:tc>
        <w:tc>
          <w:tcPr>
            <w:tcW w:w="6100" w:type="dxa"/>
            <w:vAlign w:val="bottom"/>
            <w:gridSpan w:val="7"/>
          </w:tcPr>
          <w:p>
            <w:pPr>
              <w:ind w:left="200"/>
              <w:spacing w:after="0" w:line="182" w:lineRule="exact"/>
              <w:rPr>
                <w:sz w:val="20"/>
                <w:szCs w:val="20"/>
                <w:color w:val="auto"/>
              </w:rPr>
            </w:pPr>
            <w:r>
              <w:rPr>
                <w:rFonts w:ascii="Arial" w:cs="Arial" w:eastAsia="Arial" w:hAnsi="Arial"/>
                <w:sz w:val="18"/>
                <w:szCs w:val="18"/>
                <w:color w:val="0000FF"/>
              </w:rPr>
              <w:t>Equity</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Notes to Unaudited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4380" w:type="dxa"/>
            <w:vAlign w:val="bottom"/>
            <w:tcBorders>
              <w:top w:val="single" w:sz="8" w:color="0000FF"/>
            </w:tcBorders>
            <w:gridSpan w:val="22"/>
          </w:tcPr>
          <w:p>
            <w:pPr>
              <w:spacing w:after="0" w:line="182" w:lineRule="exact"/>
              <w:rPr>
                <w:sz w:val="20"/>
                <w:szCs w:val="20"/>
                <w:color w:val="auto"/>
              </w:rPr>
            </w:pPr>
            <w:r>
              <w:rPr>
                <w:rFonts w:ascii="Arial" w:cs="Arial" w:eastAsia="Arial" w:hAnsi="Arial"/>
                <w:sz w:val="18"/>
                <w:szCs w:val="18"/>
                <w:color w:val="0000FF"/>
              </w:rPr>
              <w:t>Management’s Discussion and Analysis of Financial</w:t>
            </w:r>
          </w:p>
        </w:tc>
        <w:tc>
          <w:tcPr>
            <w:tcW w:w="4940" w:type="dxa"/>
            <w:vAlign w:val="bottom"/>
            <w:gridSpan w:val="4"/>
          </w:tcPr>
          <w:p>
            <w:pPr>
              <w:spacing w:after="0" w:line="182" w:lineRule="exact"/>
              <w:rPr>
                <w:sz w:val="20"/>
                <w:szCs w:val="20"/>
                <w:color w:val="auto"/>
              </w:rPr>
            </w:pPr>
            <w:r>
              <w:rPr>
                <w:rFonts w:ascii="Arial" w:cs="Arial" w:eastAsia="Arial" w:hAnsi="Arial"/>
                <w:sz w:val="18"/>
                <w:szCs w:val="18"/>
                <w:color w:val="0000FF"/>
              </w:rPr>
              <w:t>Condition and 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47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Controls and Procedures</w:t>
            </w:r>
          </w:p>
        </w:tc>
        <w:tc>
          <w:tcPr>
            <w:tcW w:w="140" w:type="dxa"/>
            <w:vAlign w:val="bottom"/>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OTHER INFORMATION</w:t>
            </w:r>
          </w:p>
        </w:tc>
        <w:tc>
          <w:tcPr>
            <w:tcW w:w="560" w:type="dxa"/>
            <w:vAlign w:val="bottom"/>
            <w:gridSpan w:val="4"/>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w:t>
            </w:r>
          </w:p>
        </w:tc>
        <w:tc>
          <w:tcPr>
            <w:tcW w:w="196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600" w:type="dxa"/>
            <w:vAlign w:val="bottom"/>
            <w:gridSpan w:val="5"/>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Risk Factors</w:t>
            </w:r>
          </w:p>
        </w:tc>
        <w:tc>
          <w:tcPr>
            <w:tcW w:w="440" w:type="dxa"/>
            <w:vAlign w:val="bottom"/>
          </w:tcPr>
          <w:p>
            <w:pPr>
              <w:spacing w:after="0"/>
              <w:rPr>
                <w:sz w:val="15"/>
                <w:szCs w:val="15"/>
                <w:color w:val="auto"/>
              </w:rPr>
            </w:pPr>
          </w:p>
        </w:tc>
        <w:tc>
          <w:tcPr>
            <w:tcW w:w="620" w:type="dxa"/>
            <w:vAlign w:val="bottom"/>
            <w:gridSpan w:val="6"/>
          </w:tcPr>
          <w:p>
            <w:pPr>
              <w:spacing w:after="0"/>
              <w:rPr>
                <w:sz w:val="15"/>
                <w:szCs w:val="15"/>
                <w:color w:val="auto"/>
              </w:rPr>
            </w:pPr>
          </w:p>
        </w:tc>
        <w:tc>
          <w:tcPr>
            <w:tcW w:w="2300" w:type="dxa"/>
            <w:vAlign w:val="bottom"/>
            <w:gridSpan w:val="10"/>
          </w:tcPr>
          <w:p>
            <w:pPr>
              <w:spacing w:after="0"/>
              <w:rPr>
                <w:sz w:val="15"/>
                <w:szCs w:val="15"/>
                <w:color w:val="auto"/>
              </w:rPr>
            </w:pP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300" w:type="dxa"/>
            <w:vAlign w:val="bottom"/>
            <w:gridSpan w:val="21"/>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4860" w:type="dxa"/>
            <w:vAlign w:val="bottom"/>
            <w:tcBorders>
              <w:top w:val="single" w:sz="8" w:color="0000FF"/>
            </w:tcBorders>
            <w:gridSpan w:val="24"/>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46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256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Mine Safety Disclosures</w:t>
            </w:r>
          </w:p>
        </w:tc>
        <w:tc>
          <w:tcPr>
            <w:tcW w:w="67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5.</w:t>
            </w:r>
          </w:p>
        </w:tc>
        <w:tc>
          <w:tcPr>
            <w:tcW w:w="19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7380" w:type="dxa"/>
            <w:vAlign w:val="bottom"/>
            <w:gridSpan w:val="1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5"/>
                <w:szCs w:val="15"/>
                <w:color w:val="auto"/>
              </w:rPr>
            </w:pPr>
          </w:p>
        </w:tc>
        <w:tc>
          <w:tcPr>
            <w:tcW w:w="740" w:type="dxa"/>
            <w:vAlign w:val="bottom"/>
            <w:tcBorders>
              <w:top w:val="single" w:sz="8" w:color="0000FF"/>
            </w:tcBorders>
            <w:gridSpan w:val="4"/>
          </w:tcPr>
          <w:p>
            <w:pPr>
              <w:spacing w:after="0"/>
              <w:rPr>
                <w:sz w:val="15"/>
                <w:szCs w:val="15"/>
                <w:color w:val="auto"/>
              </w:rPr>
            </w:pPr>
          </w:p>
        </w:tc>
        <w:tc>
          <w:tcPr>
            <w:tcW w:w="7920" w:type="dxa"/>
            <w:vAlign w:val="bottom"/>
            <w:gridSpan w:val="20"/>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9320" w:type="dxa"/>
            <w:vAlign w:val="bottom"/>
            <w:gridSpan w:val="26"/>
          </w:tcPr>
          <w:p>
            <w:pPr>
              <w:spacing w:after="0" w:line="182"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7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$78,952 and $202,121 Cash of consolidated joint ventures)</w:t>
            </w: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269,745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220"/>
              <w:spacing w:after="0"/>
              <w:rPr>
                <w:sz w:val="20"/>
                <w:szCs w:val="20"/>
                <w:color w:val="auto"/>
              </w:rPr>
            </w:pPr>
            <w:r>
              <w:rPr>
                <w:rFonts w:ascii="Arial" w:cs="Arial" w:eastAsia="Arial" w:hAnsi="Arial"/>
                <w:sz w:val="14"/>
                <w:szCs w:val="14"/>
                <w:color w:val="auto"/>
              </w:rPr>
              <w:t>Accounts receivable, net (including $394,220 and $294,700 Accounts receivable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1,124,951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1,100,396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assets (including $8,485 and $7,906 Contract assets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822,781</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741,504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220"/>
              <w:spacing w:after="0" w:line="153" w:lineRule="exact"/>
              <w:rPr>
                <w:sz w:val="20"/>
                <w:szCs w:val="20"/>
                <w:color w:val="auto"/>
              </w:rPr>
            </w:pPr>
            <w:r>
              <w:rPr>
                <w:rFonts w:ascii="Arial" w:cs="Arial" w:eastAsia="Arial" w:hAnsi="Arial"/>
                <w:sz w:val="14"/>
                <w:szCs w:val="14"/>
                <w:color w:val="auto"/>
              </w:rPr>
              <w:t>Prepaid expenses and other current assets (including $15,697 and $14,723 Prepaid expenses and other current assets of</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183,694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166,952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40" w:type="dxa"/>
            <w:vAlign w:val="bottom"/>
          </w:tcPr>
          <w:p>
            <w:pPr>
              <w:ind w:left="180"/>
              <w:spacing w:after="0" w:line="158" w:lineRule="exact"/>
              <w:rPr>
                <w:sz w:val="20"/>
                <w:szCs w:val="20"/>
                <w:color w:val="auto"/>
              </w:rPr>
            </w:pPr>
            <w:r>
              <w:rPr>
                <w:rFonts w:ascii="Arial" w:cs="Arial" w:eastAsia="Arial" w:hAnsi="Arial"/>
                <w:sz w:val="14"/>
                <w:szCs w:val="14"/>
                <w:color w:val="auto"/>
              </w:rPr>
              <w:t>consolidated joint ventures)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current assets</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2,401,171</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2,462,400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Property and Equipment, net (including $2,489 and $2,971 Property and equipment of 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121,753</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Right of use assets, operating leases (including $5,050 and $5,726 Right of use assets, operating leases of consolidated joint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148,715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Goodwill</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2,107,072</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2,082,680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Investments in and advances to unconsolidated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142,248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138,759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Intangible assets, net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339,655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349,937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Deferred tax assets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131,963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56,567</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56,113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5,449,144</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Accounts payable (including $52,267 and $28,214 Accounts payable of consolidated joint ventures)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288,519</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207,589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Accrued expenses and other current liabilities (including $196,814 and $198,797 Accrued expenses and other current liabilities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783,686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894,425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Contract liabilities (including $68,462 and $66,144 Contract liabilities of 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297,511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289,799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shd w:val="clear" w:color="auto" w:fill="CFF0FC"/>
          </w:tcPr>
          <w:p>
            <w:pPr>
              <w:ind w:left="180"/>
              <w:spacing w:after="0" w:line="153" w:lineRule="exact"/>
              <w:rPr>
                <w:sz w:val="20"/>
                <w:szCs w:val="20"/>
                <w:color w:val="auto"/>
              </w:rPr>
            </w:pPr>
            <w:r>
              <w:rPr>
                <w:rFonts w:ascii="Arial" w:cs="Arial" w:eastAsia="Arial" w:hAnsi="Arial"/>
                <w:sz w:val="14"/>
                <w:szCs w:val="14"/>
                <w:color w:val="auto"/>
              </w:rPr>
              <w:t>Short-term lease liabilities, operating leases (including $3,104 and $3,522 Short-term lease liabilities, operating leases of</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53,137</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7,692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4"/>
                <w:szCs w:val="14"/>
                <w:color w:val="auto"/>
              </w:rPr>
              <w:t>Short Term Debt</w:t>
            </w: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434,925</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463,405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current liabilities</w:t>
            </w: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1,865,470</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1,915,644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Long-term employee incentives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26,479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785,198</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784,096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Long-term lease liabilities, operating leases (including $1,944 and $2,203 Long-term lease liabilities, operating leases of</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consolidated joint ventures)</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108,336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114,386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11,229</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Other long-term liabilities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106,700</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740" w:type="dxa"/>
            <w:vAlign w:val="bottom"/>
            <w:tcBorders>
              <w:bottom w:val="single" w:sz="8" w:color="CFF0FC"/>
            </w:tcBorders>
            <w:shd w:val="clear" w:color="auto" w:fill="CFF0FC"/>
          </w:tcPr>
          <w:p>
            <w:pPr>
              <w:ind w:left="340"/>
              <w:spacing w:after="0" w:line="155" w:lineRule="exact"/>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2,903,412</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2,953,473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740" w:type="dxa"/>
            <w:vAlign w:val="bottom"/>
          </w:tcPr>
          <w:p>
            <w:pPr>
              <w:spacing w:after="0" w:line="143" w:lineRule="exact"/>
              <w:rPr>
                <w:sz w:val="20"/>
                <w:szCs w:val="20"/>
                <w:color w:val="auto"/>
              </w:rPr>
            </w:pPr>
            <w:r>
              <w:rPr>
                <w:rFonts w:ascii="Arial" w:cs="Arial" w:eastAsia="Arial" w:hAnsi="Arial"/>
                <w:sz w:val="14"/>
                <w:szCs w:val="14"/>
                <w:color w:val="auto"/>
              </w:rPr>
              <w:t>Contingencies (Note 12)</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40" w:type="dxa"/>
            <w:vAlign w:val="bottom"/>
          </w:tcPr>
          <w:p>
            <w:pPr>
              <w:ind w:left="180"/>
              <w:spacing w:after="0" w:line="153" w:lineRule="exact"/>
              <w:rPr>
                <w:sz w:val="20"/>
                <w:szCs w:val="20"/>
                <w:color w:val="auto"/>
              </w:rPr>
            </w:pPr>
            <w:r>
              <w:rPr>
                <w:rFonts w:ascii="Arial" w:cs="Arial" w:eastAsia="Arial" w:hAnsi="Arial"/>
                <w:sz w:val="14"/>
                <w:szCs w:val="14"/>
                <w:color w:val="auto"/>
              </w:rPr>
              <w:t>Common stock, $1 par value; authorized 1,000,000,000 shares; 146,704,037 and 146,656,225 shares issued; 53,922,339 and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740" w:type="dxa"/>
            <w:vAlign w:val="bottom"/>
          </w:tcPr>
          <w:p>
            <w:pPr>
              <w:ind w:left="180"/>
              <w:spacing w:after="0"/>
              <w:rPr>
                <w:sz w:val="20"/>
                <w:szCs w:val="20"/>
                <w:color w:val="auto"/>
              </w:rPr>
            </w:pPr>
            <w:r>
              <w:rPr>
                <w:rFonts w:ascii="Arial" w:cs="Arial" w:eastAsia="Arial" w:hAnsi="Arial"/>
                <w:sz w:val="14"/>
                <w:szCs w:val="14"/>
                <w:color w:val="auto"/>
              </w:rPr>
              <w:t>52,657,447 public shares outstanding; 52,900,764 and 54,117,904 ESOP shares outstanding</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146,704</w:t>
            </w:r>
          </w:p>
        </w:tc>
        <w:tc>
          <w:tcPr>
            <w:tcW w:w="22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146,655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Treasury stock, 39,880,875 shares at cost</w:t>
            </w: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(815,282)</w:t>
            </w:r>
          </w:p>
        </w:tc>
        <w:tc>
          <w:tcPr>
            <w:tcW w:w="2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(815,282)</w:t>
            </w: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2,660,487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2,684,829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FF0FC"/>
          </w:tcPr>
          <w:p>
            <w:pPr>
              <w:ind w:left="180"/>
              <w:spacing w:after="0"/>
              <w:rPr>
                <w:sz w:val="20"/>
                <w:szCs w:val="20"/>
                <w:color w:val="auto"/>
              </w:rPr>
            </w:pPr>
            <w:r>
              <w:rPr>
                <w:rFonts w:ascii="Arial" w:cs="Arial" w:eastAsia="Arial" w:hAnsi="Arial"/>
                <w:sz w:val="14"/>
                <w:szCs w:val="14"/>
                <w:color w:val="auto"/>
              </w:rPr>
              <w:t>Retained earnings</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487,625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426,781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(25,740)</w:t>
            </w: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(26,594)</w:t>
            </w:r>
          </w:p>
        </w:tc>
        <w:tc>
          <w:tcPr>
            <w:tcW w:w="0" w:type="dxa"/>
            <w:vAlign w:val="bottom"/>
          </w:tcPr>
          <w:p>
            <w:pPr>
              <w:spacing w:after="0"/>
              <w:rPr>
                <w:sz w:val="1"/>
                <w:szCs w:val="1"/>
                <w:color w:val="auto"/>
              </w:rPr>
            </w:pPr>
          </w:p>
        </w:tc>
      </w:tr>
      <w:tr>
        <w:trPr>
          <w:trHeight w:val="155"/>
        </w:trPr>
        <w:tc>
          <w:tcPr>
            <w:tcW w:w="8740" w:type="dxa"/>
            <w:vAlign w:val="bottom"/>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Parsons Corporation shareholders' equity</w:t>
            </w: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2,453,794</w:t>
            </w: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2,416,389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740" w:type="dxa"/>
            <w:vAlign w:val="bottom"/>
          </w:tcPr>
          <w:p>
            <w:pPr>
              <w:ind w:left="180"/>
              <w:spacing w:after="0"/>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91,938</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740" w:type="dxa"/>
            <w:vAlign w:val="bottom"/>
            <w:tcBorders>
              <w:bottom w:val="single" w:sz="8" w:color="CFF0FC"/>
            </w:tcBorders>
            <w:shd w:val="clear" w:color="auto" w:fill="CFF0FC"/>
          </w:tcPr>
          <w:p>
            <w:pPr>
              <w:ind w:left="180"/>
              <w:spacing w:after="0" w:line="155" w:lineRule="exact"/>
              <w:rPr>
                <w:sz w:val="20"/>
                <w:szCs w:val="20"/>
                <w:color w:val="auto"/>
              </w:rPr>
            </w:pPr>
            <w:r>
              <w:rPr>
                <w:rFonts w:ascii="Arial" w:cs="Arial" w:eastAsia="Arial" w:hAnsi="Arial"/>
                <w:sz w:val="14"/>
                <w:szCs w:val="14"/>
                <w:color w:val="auto"/>
              </w:rPr>
              <w:t>Total shareholders' equity</w:t>
            </w:r>
          </w:p>
        </w:tc>
        <w:tc>
          <w:tcPr>
            <w:tcW w:w="10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2,545,732</w:t>
            </w:r>
          </w:p>
        </w:tc>
        <w:tc>
          <w:tcPr>
            <w:tcW w:w="22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2,534,489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40" w:type="dxa"/>
            <w:vAlign w:val="bottom"/>
          </w:tcPr>
          <w:p>
            <w:pPr>
              <w:ind w:left="340"/>
              <w:spacing w:after="0" w:line="155" w:lineRule="exact"/>
              <w:rPr>
                <w:sz w:val="20"/>
                <w:szCs w:val="20"/>
                <w:color w:val="auto"/>
              </w:rPr>
            </w:pPr>
            <w:r>
              <w:rPr>
                <w:rFonts w:ascii="Arial" w:cs="Arial" w:eastAsia="Arial" w:hAnsi="Arial"/>
                <w:sz w:val="14"/>
                <w:szCs w:val="14"/>
                <w:color w:val="auto"/>
              </w:rPr>
              <w:t>Total liabilities and shareholders' equity</w:t>
            </w: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5,449,144</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5,487,962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-4482465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-3548380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-2279650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-1310640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-1293495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-136525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196"/>
        </w:trPr>
        <w:tc>
          <w:tcPr>
            <w:tcW w:w="6720" w:type="dxa"/>
            <w:vAlign w:val="bottom"/>
          </w:tcPr>
          <w:p>
            <w:pPr>
              <w:spacing w:after="0"/>
              <w:rPr>
                <w:sz w:val="17"/>
                <w:szCs w:val="17"/>
                <w:color w:val="auto"/>
              </w:rPr>
            </w:pPr>
          </w:p>
        </w:tc>
        <w:tc>
          <w:tcPr>
            <w:tcW w:w="1660" w:type="dxa"/>
            <w:vAlign w:val="bottom"/>
            <w:tcBorders>
              <w:top w:val="single" w:sz="8" w:color="auto"/>
            </w:tcBorders>
            <w:gridSpan w:val="3"/>
          </w:tcPr>
          <w:p>
            <w:pPr>
              <w:jc w:val="right"/>
              <w:ind w:right="300"/>
              <w:spacing w:after="0" w:line="196" w:lineRule="exact"/>
              <w:rPr>
                <w:sz w:val="20"/>
                <w:szCs w:val="20"/>
                <w:color w:val="auto"/>
              </w:rPr>
            </w:pPr>
            <w:r>
              <w:rPr>
                <w:rFonts w:ascii="Arial" w:cs="Arial" w:eastAsia="Arial" w:hAnsi="Arial"/>
                <w:sz w:val="18"/>
                <w:szCs w:val="18"/>
                <w:b w:val="1"/>
                <w:bCs w:val="1"/>
                <w:color w:val="auto"/>
              </w:rPr>
              <w:t>March 31, 2025</w:t>
            </w: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March 31, 2024</w:t>
            </w:r>
          </w:p>
        </w:tc>
        <w:tc>
          <w:tcPr>
            <w:tcW w:w="100" w:type="dxa"/>
            <w:vAlign w:val="bottom"/>
          </w:tcPr>
          <w:p>
            <w:pPr>
              <w:spacing w:after="0"/>
              <w:rPr>
                <w:sz w:val="17"/>
                <w:szCs w:val="17"/>
                <w:color w:val="auto"/>
              </w:rPr>
            </w:pPr>
          </w:p>
        </w:tc>
      </w:tr>
      <w:tr>
        <w:trPr>
          <w:trHeight w:val="196"/>
        </w:trPr>
        <w:tc>
          <w:tcPr>
            <w:tcW w:w="67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1,554,360</w:t>
            </w:r>
          </w:p>
        </w:tc>
        <w:tc>
          <w:tcPr>
            <w:tcW w:w="2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1,535,676</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1,200,377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1,210,827</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(687)</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(2,060)</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244,063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220,945</w:t>
            </w:r>
          </w:p>
        </w:tc>
        <w:tc>
          <w:tcPr>
            <w:tcW w:w="100" w:type="dxa"/>
            <w:vAlign w:val="bottom"/>
          </w:tcPr>
          <w:p>
            <w:pPr>
              <w:spacing w:after="0"/>
              <w:rPr>
                <w:sz w:val="17"/>
                <w:szCs w:val="17"/>
                <w:color w:val="auto"/>
              </w:rPr>
            </w:pPr>
          </w:p>
        </w:tc>
      </w:tr>
      <w:tr>
        <w:trPr>
          <w:trHeight w:val="196"/>
        </w:trPr>
        <w:tc>
          <w:tcPr>
            <w:tcW w:w="6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109,233</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101,844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2,142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1,152</w:t>
            </w:r>
          </w:p>
        </w:tc>
        <w:tc>
          <w:tcPr>
            <w:tcW w:w="10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(12,246)</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(12,998)</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3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(3,326)</w:t>
            </w:r>
          </w:p>
        </w:tc>
      </w:tr>
      <w:tr>
        <w:trPr>
          <w:trHeight w:val="20"/>
        </w:trPr>
        <w:tc>
          <w:tcPr>
            <w:tcW w:w="6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20" w:type="dxa"/>
            <w:vAlign w:val="bottom"/>
          </w:tcPr>
          <w:p>
            <w:pPr>
              <w:spacing w:after="0" w:line="196" w:lineRule="exact"/>
              <w:rPr>
                <w:sz w:val="20"/>
                <w:szCs w:val="20"/>
                <w:color w:val="auto"/>
              </w:rPr>
            </w:pPr>
            <w:r>
              <w:rPr>
                <w:rFonts w:ascii="Arial" w:cs="Arial" w:eastAsia="Arial" w:hAnsi="Arial"/>
                <w:sz w:val="18"/>
                <w:szCs w:val="18"/>
                <w:color w:val="auto"/>
              </w:rPr>
              <w:t>Total other income (expense)</w:t>
            </w:r>
          </w:p>
        </w:tc>
        <w:tc>
          <w:tcPr>
            <w:tcW w:w="380" w:type="dxa"/>
            <w:vAlign w:val="bottom"/>
          </w:tcPr>
          <w:p>
            <w:pPr>
              <w:spacing w:after="0"/>
              <w:rPr>
                <w:sz w:val="17"/>
                <w:szCs w:val="17"/>
                <w:color w:val="auto"/>
              </w:rPr>
            </w:pP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(8,469)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(33,527)</w:t>
            </w: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 expense</w:t>
            </w:r>
          </w:p>
        </w:tc>
        <w:tc>
          <w:tcPr>
            <w:tcW w:w="3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100,764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68,317</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(18,977)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(13,324)</w:t>
            </w: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81,787</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54,993</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(15,584)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(15,243)</w:t>
            </w:r>
          </w:p>
        </w:tc>
      </w:tr>
      <w:tr>
        <w:trPr>
          <w:trHeight w:val="236"/>
        </w:trPr>
        <w:tc>
          <w:tcPr>
            <w:tcW w:w="6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income attributable to Parsons Corporation</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66,203</w:t>
            </w:r>
          </w:p>
        </w:tc>
        <w:tc>
          <w:tcPr>
            <w:tcW w:w="2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39,750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720" w:type="dxa"/>
            <w:vAlign w:val="bottom"/>
          </w:tcPr>
          <w:p>
            <w:pPr>
              <w:spacing w:after="0" w:line="183" w:lineRule="exact"/>
              <w:rPr>
                <w:sz w:val="20"/>
                <w:szCs w:val="20"/>
                <w:color w:val="auto"/>
              </w:rPr>
            </w:pPr>
            <w:r>
              <w:rPr>
                <w:rFonts w:ascii="Arial" w:cs="Arial" w:eastAsia="Arial" w:hAnsi="Arial"/>
                <w:sz w:val="18"/>
                <w:szCs w:val="18"/>
                <w:color w:val="auto"/>
              </w:rPr>
              <w:t>Earnings per share: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7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0.62</w:t>
            </w:r>
          </w:p>
        </w:tc>
        <w:tc>
          <w:tcPr>
            <w:tcW w:w="20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7"/>
                <w:szCs w:val="17"/>
                <w:color w:val="auto"/>
              </w:rPr>
            </w:pPr>
          </w:p>
        </w:tc>
      </w:tr>
      <w:tr>
        <w:trPr>
          <w:trHeight w:val="239"/>
        </w:trPr>
        <w:tc>
          <w:tcPr>
            <w:tcW w:w="6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20"/>
                <w:szCs w:val="20"/>
                <w:color w:val="auto"/>
              </w:rPr>
            </w:pP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-1762760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-1762760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-1239520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-1239520</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-433705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-416560</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-433705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-416560</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5"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203"/>
        </w:trPr>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including noncontrolling interests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81,787</w:t>
            </w:r>
          </w:p>
        </w:tc>
        <w:tc>
          <w:tcPr>
            <w:tcW w:w="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54,993</w:t>
            </w: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847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(1,927)</w:t>
            </w:r>
          </w:p>
        </w:tc>
      </w:tr>
      <w:tr>
        <w:trPr>
          <w:trHeight w:val="203"/>
        </w:trPr>
        <w:tc>
          <w:tcPr>
            <w:tcW w:w="6940" w:type="dxa"/>
            <w:vAlign w:val="bottom"/>
          </w:tcPr>
          <w:p>
            <w:pPr>
              <w:ind w:left="180"/>
              <w:spacing w:after="0" w:line="202" w:lineRule="exact"/>
              <w:rPr>
                <w:sz w:val="20"/>
                <w:szCs w:val="20"/>
                <w:color w:val="auto"/>
              </w:rPr>
            </w:pPr>
            <w:r>
              <w:rPr>
                <w:rFonts w:ascii="Arial" w:cs="Arial" w:eastAsia="Arial" w:hAnsi="Arial"/>
                <w:sz w:val="18"/>
                <w:szCs w:val="18"/>
                <w:color w:val="auto"/>
              </w:rPr>
              <w:t>Pension adjustments, net of tax</w:t>
            </w: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w:t>
            </w:r>
          </w:p>
        </w:tc>
      </w:tr>
      <w:tr>
        <w:trPr>
          <w:trHeight w:val="196"/>
        </w:trPr>
        <w:tc>
          <w:tcPr>
            <w:tcW w:w="694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rPr>
              <w:t>Comprehensive income including noncontrolling interests, net of tax</w:t>
            </w:r>
          </w:p>
        </w:tc>
        <w:tc>
          <w:tcPr>
            <w:tcW w:w="1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82,641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53,035</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Comprehensive income attributable to noncontrolling interests, net of tax</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(15,243)</w:t>
            </w:r>
          </w:p>
        </w:tc>
      </w:tr>
      <w:tr>
        <w:trPr>
          <w:trHeight w:val="20"/>
        </w:trPr>
        <w:tc>
          <w:tcPr>
            <w:tcW w:w="6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Comprehensive income attributable to Parsons Corporation, net of tax</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67,057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37,792</w:t>
            </w: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-24765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-7620</wp:posOffset>
            </wp:positionV>
            <wp:extent cx="596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5"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r>
      <w:tr>
        <w:trPr>
          <w:trHeight w:val="155"/>
        </w:trPr>
        <w:tc>
          <w:tcPr>
            <w:tcW w:w="7680" w:type="dxa"/>
            <w:vAlign w:val="bottom"/>
          </w:tcPr>
          <w:p>
            <w:pPr>
              <w:spacing w:after="0"/>
              <w:rPr>
                <w:sz w:val="13"/>
                <w:szCs w:val="13"/>
                <w:color w:val="auto"/>
              </w:rPr>
            </w:pPr>
          </w:p>
        </w:tc>
        <w:tc>
          <w:tcPr>
            <w:tcW w:w="1920" w:type="dxa"/>
            <w:vAlign w:val="bottom"/>
            <w:tcBorders>
              <w:top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b w:val="1"/>
                <w:bCs w:val="1"/>
                <w:color w:val="auto"/>
              </w:rPr>
              <w:t>March 31, 2025</w:t>
            </w: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56"/>
        </w:trPr>
        <w:tc>
          <w:tcPr>
            <w:tcW w:w="76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620" w:type="dxa"/>
            <w:vAlign w:val="bottom"/>
            <w:tcBorders>
              <w:top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Net income including noncontrolling interests</w:t>
            </w:r>
          </w:p>
        </w:tc>
        <w:tc>
          <w:tcPr>
            <w:tcW w:w="1620" w:type="dxa"/>
            <w:vAlign w:val="bottom"/>
          </w:tcPr>
          <w:p>
            <w:pPr>
              <w:jc w:val="right"/>
              <w:spacing w:after="0"/>
              <w:rPr>
                <w:sz w:val="20"/>
                <w:szCs w:val="20"/>
                <w:color w:val="auto"/>
              </w:rPr>
            </w:pPr>
            <w:r>
              <w:rPr>
                <w:rFonts w:ascii="Arial" w:cs="Arial" w:eastAsia="Arial" w:hAnsi="Arial"/>
                <w:sz w:val="14"/>
                <w:szCs w:val="14"/>
                <w:color w:val="auto"/>
              </w:rPr>
              <w:t>81,787</w:t>
            </w:r>
          </w:p>
        </w:tc>
        <w:tc>
          <w:tcPr>
            <w:tcW w:w="3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54,993</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(loss) income to net cash used in operating activities</w:t>
            </w:r>
          </w:p>
        </w:tc>
        <w:tc>
          <w:tcPr>
            <w:tcW w:w="16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620" w:type="dxa"/>
            <w:vAlign w:val="bottom"/>
          </w:tcPr>
          <w:p>
            <w:pPr>
              <w:jc w:val="right"/>
              <w:spacing w:after="0"/>
              <w:rPr>
                <w:sz w:val="20"/>
                <w:szCs w:val="20"/>
                <w:color w:val="auto"/>
              </w:rPr>
            </w:pPr>
            <w:r>
              <w:rPr>
                <w:rFonts w:ascii="Arial" w:cs="Arial" w:eastAsia="Arial" w:hAnsi="Arial"/>
                <w:sz w:val="14"/>
                <w:szCs w:val="14"/>
                <w:color w:val="auto"/>
              </w:rPr>
              <w:t>27,403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24,531</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debt issue costs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4,099</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Loss (gain) on disposal of property and equipment</w:t>
            </w:r>
          </w:p>
        </w:tc>
        <w:tc>
          <w:tcPr>
            <w:tcW w:w="162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Convertible debt repurchase loss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18,355</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Deferred taxes</w:t>
            </w:r>
          </w:p>
        </w:tc>
        <w:tc>
          <w:tcPr>
            <w:tcW w:w="1620" w:type="dxa"/>
            <w:vAlign w:val="bottom"/>
          </w:tcPr>
          <w:p>
            <w:pPr>
              <w:jc w:val="right"/>
              <w:spacing w:after="0"/>
              <w:rPr>
                <w:sz w:val="20"/>
                <w:szCs w:val="20"/>
                <w:color w:val="auto"/>
              </w:rPr>
            </w:pPr>
            <w:r>
              <w:rPr>
                <w:rFonts w:ascii="Arial" w:cs="Arial" w:eastAsia="Arial" w:hAnsi="Arial"/>
                <w:sz w:val="14"/>
                <w:szCs w:val="14"/>
                <w:color w:val="auto"/>
              </w:rPr>
              <w:t>1,555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4,796</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Foreign currency transaction gains and losses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(786)</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2,311</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Equity in losses of unconsolidated joint ventures</w:t>
            </w:r>
          </w:p>
        </w:tc>
        <w:tc>
          <w:tcPr>
            <w:tcW w:w="1620" w:type="dxa"/>
            <w:vAlign w:val="bottom"/>
          </w:tcPr>
          <w:p>
            <w:pPr>
              <w:jc w:val="right"/>
              <w:spacing w:after="0"/>
              <w:rPr>
                <w:sz w:val="20"/>
                <w:szCs w:val="20"/>
                <w:color w:val="auto"/>
              </w:rPr>
            </w:pPr>
            <w:r>
              <w:rPr>
                <w:rFonts w:ascii="Arial" w:cs="Arial" w:eastAsia="Arial" w:hAnsi="Arial"/>
                <w:sz w:val="14"/>
                <w:szCs w:val="14"/>
                <w:color w:val="auto"/>
              </w:rPr>
              <w:t>687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Return on investments in unconsolidated joint ventures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12,963</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16,106</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620" w:type="dxa"/>
            <w:vAlign w:val="bottom"/>
          </w:tcPr>
          <w:p>
            <w:pPr>
              <w:jc w:val="right"/>
              <w:spacing w:after="0"/>
              <w:rPr>
                <w:sz w:val="20"/>
                <w:szCs w:val="20"/>
                <w:color w:val="auto"/>
              </w:rPr>
            </w:pPr>
            <w:r>
              <w:rPr>
                <w:rFonts w:ascii="Arial" w:cs="Arial" w:eastAsia="Arial" w:hAnsi="Arial"/>
                <w:sz w:val="14"/>
                <w:szCs w:val="14"/>
                <w:color w:val="auto"/>
              </w:rPr>
              <w:t>10,979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10,523</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Contributions of treasury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17,764</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15,030</w:t>
            </w:r>
          </w:p>
        </w:tc>
        <w:tc>
          <w:tcPr>
            <w:tcW w:w="100" w:type="dxa"/>
            <w:vAlign w:val="bottom"/>
            <w:shd w:val="clear" w:color="auto" w:fill="CFF0FC"/>
          </w:tcPr>
          <w:p>
            <w:pPr>
              <w:spacing w:after="0"/>
              <w:rPr>
                <w:sz w:val="14"/>
                <w:szCs w:val="14"/>
                <w:color w:val="auto"/>
              </w:rPr>
            </w:pPr>
          </w:p>
        </w:tc>
      </w:tr>
      <w:tr>
        <w:trPr>
          <w:trHeight w:val="153"/>
        </w:trPr>
        <w:tc>
          <w:tcPr>
            <w:tcW w:w="7680" w:type="dxa"/>
            <w:vAlign w:val="bottom"/>
          </w:tcPr>
          <w:p>
            <w:pPr>
              <w:ind w:left="300"/>
              <w:spacing w:after="0" w:line="153" w:lineRule="exact"/>
              <w:rPr>
                <w:sz w:val="20"/>
                <w:szCs w:val="20"/>
                <w:color w:val="auto"/>
              </w:rPr>
            </w:pPr>
            <w:r>
              <w:rPr>
                <w:rFonts w:ascii="Arial" w:cs="Arial" w:eastAsia="Arial" w:hAnsi="Arial"/>
                <w:sz w:val="14"/>
                <w:szCs w:val="14"/>
                <w:color w:val="auto"/>
              </w:rPr>
              <w:t>Changes in assets and liabilities, net of acquisitions and consolidated</w:t>
            </w: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7680" w:type="dxa"/>
            <w:vAlign w:val="bottom"/>
          </w:tcPr>
          <w:p>
            <w:pPr>
              <w:ind w:left="420"/>
              <w:spacing w:after="0"/>
              <w:rPr>
                <w:sz w:val="20"/>
                <w:szCs w:val="20"/>
                <w:color w:val="auto"/>
              </w:rPr>
            </w:pPr>
            <w:r>
              <w:rPr>
                <w:rFonts w:ascii="Arial" w:cs="Arial" w:eastAsia="Arial" w:hAnsi="Arial"/>
                <w:sz w:val="14"/>
                <w:szCs w:val="14"/>
                <w:color w:val="auto"/>
              </w:rPr>
              <w:t>joint ventures:</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(21,015)</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(110,066)</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Contract assets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(78,015)</w:t>
            </w: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(11,715)</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Prepaid expenses and other assets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(17,171)</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(21,602)</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620" w:type="dxa"/>
            <w:vAlign w:val="bottom"/>
          </w:tcPr>
          <w:p>
            <w:pPr>
              <w:jc w:val="right"/>
              <w:spacing w:after="0"/>
              <w:rPr>
                <w:sz w:val="20"/>
                <w:szCs w:val="20"/>
                <w:color w:val="auto"/>
              </w:rPr>
            </w:pPr>
            <w:r>
              <w:rPr>
                <w:rFonts w:ascii="Arial" w:cs="Arial" w:eastAsia="Arial" w:hAnsi="Arial"/>
                <w:sz w:val="14"/>
                <w:szCs w:val="14"/>
                <w:color w:val="auto"/>
              </w:rPr>
              <w:t>79,659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31,685</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(132,892)</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(77,591)</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Contract liabilities</w:t>
            </w:r>
          </w:p>
        </w:tc>
        <w:tc>
          <w:tcPr>
            <w:tcW w:w="1620" w:type="dxa"/>
            <w:vAlign w:val="bottom"/>
          </w:tcPr>
          <w:p>
            <w:pPr>
              <w:jc w:val="right"/>
              <w:spacing w:after="0"/>
              <w:rPr>
                <w:sz w:val="20"/>
                <w:szCs w:val="20"/>
                <w:color w:val="auto"/>
              </w:rPr>
            </w:pPr>
            <w:r>
              <w:rPr>
                <w:rFonts w:ascii="Arial" w:cs="Arial" w:eastAsia="Arial" w:hAnsi="Arial"/>
                <w:sz w:val="14"/>
                <w:szCs w:val="14"/>
                <w:color w:val="auto"/>
              </w:rPr>
              <w:t>3,153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(17,090)</w:t>
            </w:r>
          </w:p>
        </w:tc>
      </w:tr>
      <w:tr>
        <w:trPr>
          <w:trHeight w:val="162"/>
        </w:trPr>
        <w:tc>
          <w:tcPr>
            <w:tcW w:w="76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taxes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(5,521)</w:t>
            </w:r>
          </w:p>
        </w:tc>
      </w:tr>
      <w:tr>
        <w:trPr>
          <w:trHeight w:val="162"/>
        </w:trPr>
        <w:tc>
          <w:tcPr>
            <w:tcW w:w="7680" w:type="dxa"/>
            <w:vAlign w:val="bottom"/>
          </w:tcPr>
          <w:p>
            <w:pPr>
              <w:ind w:left="380"/>
              <w:spacing w:after="0"/>
              <w:rPr>
                <w:sz w:val="20"/>
                <w:szCs w:val="20"/>
                <w:color w:val="auto"/>
              </w:rPr>
            </w:pPr>
            <w:r>
              <w:rPr>
                <w:rFonts w:ascii="Arial" w:cs="Arial" w:eastAsia="Arial" w:hAnsi="Arial"/>
                <w:sz w:val="14"/>
                <w:szCs w:val="14"/>
                <w:color w:val="auto"/>
              </w:rPr>
              <w:t>Other long-term liabilities</w:t>
            </w:r>
          </w:p>
        </w:tc>
        <w:tc>
          <w:tcPr>
            <w:tcW w:w="1620" w:type="dxa"/>
            <w:vAlign w:val="bottom"/>
          </w:tcPr>
          <w:p>
            <w:pPr>
              <w:jc w:val="right"/>
              <w:spacing w:after="0"/>
              <w:rPr>
                <w:sz w:val="20"/>
                <w:szCs w:val="20"/>
                <w:color w:val="auto"/>
              </w:rPr>
            </w:pPr>
            <w:r>
              <w:rPr>
                <w:rFonts w:ascii="Arial" w:cs="Arial" w:eastAsia="Arial" w:hAnsi="Arial"/>
                <w:sz w:val="14"/>
                <w:szCs w:val="14"/>
                <w:color w:val="auto"/>
              </w:rPr>
              <w:t>906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(4,521)</w:t>
            </w: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68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operating activities</w:t>
            </w:r>
          </w:p>
        </w:tc>
        <w:tc>
          <w:tcPr>
            <w:tcW w:w="1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(11,787)</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(63,420)</w:t>
            </w:r>
          </w:p>
        </w:tc>
      </w:tr>
      <w:tr>
        <w:trPr>
          <w:trHeight w:val="156"/>
        </w:trPr>
        <w:tc>
          <w:tcPr>
            <w:tcW w:w="768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620" w:type="dxa"/>
            <w:vAlign w:val="bottom"/>
            <w:tcBorders>
              <w:top w:val="single" w:sz="8" w:color="auto"/>
            </w:tcBorders>
          </w:tcPr>
          <w:p>
            <w:pPr>
              <w:spacing w:after="0"/>
              <w:rPr>
                <w:sz w:val="13"/>
                <w:szCs w:val="13"/>
                <w:color w:val="auto"/>
              </w:rPr>
            </w:pPr>
          </w:p>
        </w:tc>
        <w:tc>
          <w:tcPr>
            <w:tcW w:w="3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Capital expenditures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(13,473)</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(9,436)</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Proceeds from sale of property and equipment</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for acquisitions, net of cash acquired</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(31,612)</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Investments in unconsolidated joint ventures</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(16,585)</w:t>
            </w: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(36,076)</w:t>
            </w:r>
          </w:p>
        </w:tc>
      </w:tr>
      <w:tr>
        <w:trPr>
          <w:trHeight w:val="156"/>
        </w:trPr>
        <w:tc>
          <w:tcPr>
            <w:tcW w:w="7680" w:type="dxa"/>
            <w:vAlign w:val="bottom"/>
            <w:tcBorders>
              <w:top w:val="single" w:sz="8" w:color="CFF0FC"/>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investing activities</w:t>
            </w:r>
          </w:p>
        </w:tc>
        <w:tc>
          <w:tcPr>
            <w:tcW w:w="1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(61,670)</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(45,510)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76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borrowings under credit agreement</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145,900</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153,200</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Repayments of borrowings under credit agreement</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(145,900)</w:t>
            </w: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(153,200)</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issuance of convertible notes due 2029</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Repurchases of convertible notes due 2025</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(28,480)</w:t>
            </w: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(495,575)</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for debt issuance costs</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(18,941)</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Contributions by noncontrolling interests</w:t>
            </w:r>
          </w:p>
        </w:tc>
        <w:tc>
          <w:tcPr>
            <w:tcW w:w="1620" w:type="dxa"/>
            <w:vAlign w:val="bottom"/>
          </w:tcPr>
          <w:p>
            <w:pPr>
              <w:jc w:val="right"/>
              <w:spacing w:after="0"/>
              <w:rPr>
                <w:sz w:val="20"/>
                <w:szCs w:val="20"/>
                <w:color w:val="auto"/>
              </w:rPr>
            </w:pPr>
            <w:r>
              <w:rPr>
                <w:rFonts w:ascii="Arial" w:cs="Arial" w:eastAsia="Arial" w:hAnsi="Arial"/>
                <w:sz w:val="14"/>
                <w:szCs w:val="14"/>
                <w:color w:val="auto"/>
              </w:rPr>
              <w:t>260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Distributions to noncontrolling interests</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(42,009)</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(11,258)</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Repurchases of common stock</w:t>
            </w:r>
          </w:p>
        </w:tc>
        <w:tc>
          <w:tcPr>
            <w:tcW w:w="1920" w:type="dxa"/>
            <w:vAlign w:val="bottom"/>
            <w:gridSpan w:val="2"/>
          </w:tcPr>
          <w:p>
            <w:pPr>
              <w:jc w:val="right"/>
              <w:ind w:right="240"/>
              <w:spacing w:after="0"/>
              <w:rPr>
                <w:sz w:val="20"/>
                <w:szCs w:val="20"/>
                <w:color w:val="auto"/>
              </w:rPr>
            </w:pPr>
            <w:r>
              <w:rPr>
                <w:rFonts w:ascii="Arial" w:cs="Arial" w:eastAsia="Arial" w:hAnsi="Arial"/>
                <w:sz w:val="14"/>
                <w:szCs w:val="14"/>
                <w:color w:val="auto"/>
              </w:rPr>
              <w:t>(24,995)</w:t>
            </w: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Taxes paid on vested stock</w:t>
            </w:r>
          </w:p>
        </w:tc>
        <w:tc>
          <w:tcPr>
            <w:tcW w:w="1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(15,640)</w:t>
            </w:r>
          </w:p>
        </w:tc>
        <w:tc>
          <w:tcPr>
            <w:tcW w:w="1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(16,914)</w:t>
            </w: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Capped call transactions</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(88,400)</w:t>
            </w:r>
          </w:p>
        </w:tc>
      </w:tr>
      <w:tr>
        <w:trPr>
          <w:trHeight w:val="162"/>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Bond hedge termination</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195,549</w:t>
            </w:r>
          </w:p>
        </w:tc>
        <w:tc>
          <w:tcPr>
            <w:tcW w:w="100" w:type="dxa"/>
            <w:vAlign w:val="bottom"/>
            <w:shd w:val="clear" w:color="auto" w:fill="CFF0FC"/>
          </w:tcPr>
          <w:p>
            <w:pPr>
              <w:spacing w:after="0"/>
              <w:rPr>
                <w:sz w:val="14"/>
                <w:szCs w:val="14"/>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Redemption of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(104,952)</w:t>
            </w:r>
          </w:p>
        </w:tc>
      </w:tr>
      <w:tr>
        <w:trPr>
          <w:trHeight w:val="155"/>
        </w:trPr>
        <w:tc>
          <w:tcPr>
            <w:tcW w:w="7680" w:type="dxa"/>
            <w:vAlign w:val="bottom"/>
            <w:tcBorders>
              <w:top w:val="single" w:sz="8" w:color="CFF0FC"/>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1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(110,864)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259,509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7680" w:type="dxa"/>
            <w:vAlign w:val="bottom"/>
          </w:tcPr>
          <w:p>
            <w:pPr>
              <w:ind w:left="300"/>
              <w:spacing w:after="0" w:line="155" w:lineRule="exact"/>
              <w:rPr>
                <w:sz w:val="20"/>
                <w:szCs w:val="20"/>
                <w:color w:val="auto"/>
              </w:rPr>
            </w:pPr>
            <w:r>
              <w:rPr>
                <w:rFonts w:ascii="Arial" w:cs="Arial" w:eastAsia="Arial" w:hAnsi="Arial"/>
                <w:sz w:val="14"/>
                <w:szCs w:val="14"/>
                <w:color w:val="auto"/>
              </w:rPr>
              <w:t>Effect of exchange rate changes</w:t>
            </w:r>
          </w:p>
        </w:tc>
        <w:tc>
          <w:tcPr>
            <w:tcW w:w="1620" w:type="dxa"/>
            <w:vAlign w:val="bottom"/>
          </w:tcPr>
          <w:p>
            <w:pPr>
              <w:jc w:val="right"/>
              <w:spacing w:after="0" w:line="155" w:lineRule="exact"/>
              <w:rPr>
                <w:sz w:val="20"/>
                <w:szCs w:val="20"/>
                <w:color w:val="auto"/>
              </w:rPr>
            </w:pPr>
            <w:r>
              <w:rPr>
                <w:rFonts w:ascii="Arial" w:cs="Arial" w:eastAsia="Arial" w:hAnsi="Arial"/>
                <w:sz w:val="14"/>
                <w:szCs w:val="14"/>
                <w:color w:val="auto"/>
              </w:rPr>
              <w:t>518</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(402)</w:t>
            </w: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68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920" w:type="dxa"/>
            <w:vAlign w:val="bottom"/>
            <w:gridSpan w:val="2"/>
            <w:shd w:val="clear" w:color="auto" w:fill="CFF0FC"/>
          </w:tcPr>
          <w:p>
            <w:pPr>
              <w:jc w:val="right"/>
              <w:ind w:right="240"/>
              <w:spacing w:after="0" w:line="155" w:lineRule="exact"/>
              <w:rPr>
                <w:sz w:val="20"/>
                <w:szCs w:val="20"/>
                <w:color w:val="auto"/>
              </w:rPr>
            </w:pPr>
            <w:r>
              <w:rPr>
                <w:rFonts w:ascii="Arial" w:cs="Arial" w:eastAsia="Arial" w:hAnsi="Arial"/>
                <w:sz w:val="14"/>
                <w:szCs w:val="14"/>
                <w:color w:val="auto"/>
              </w:rPr>
              <w:t>(183,803)</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150,177</w:t>
            </w:r>
          </w:p>
        </w:tc>
        <w:tc>
          <w:tcPr>
            <w:tcW w:w="100" w:type="dxa"/>
            <w:vAlign w:val="bottom"/>
            <w:shd w:val="clear" w:color="auto" w:fill="CFF0FC"/>
          </w:tcPr>
          <w:p>
            <w:pPr>
              <w:spacing w:after="0"/>
              <w:rPr>
                <w:sz w:val="13"/>
                <w:szCs w:val="13"/>
                <w:color w:val="auto"/>
              </w:rPr>
            </w:pPr>
          </w:p>
        </w:tc>
      </w:tr>
      <w:tr>
        <w:trPr>
          <w:trHeight w:val="162"/>
        </w:trPr>
        <w:tc>
          <w:tcPr>
            <w:tcW w:w="7680" w:type="dxa"/>
            <w:vAlign w:val="bottom"/>
          </w:tcPr>
          <w:p>
            <w:pPr>
              <w:ind w:left="300"/>
              <w:spacing w:after="0"/>
              <w:rPr>
                <w:sz w:val="20"/>
                <w:szCs w:val="20"/>
                <w:color w:val="auto"/>
              </w:rPr>
            </w:pPr>
            <w:r>
              <w:rPr>
                <w:rFonts w:ascii="Arial" w:cs="Arial" w:eastAsia="Arial" w:hAnsi="Arial"/>
                <w:sz w:val="14"/>
                <w:szCs w:val="14"/>
                <w:color w:val="auto"/>
              </w:rPr>
              <w:t>Cash, cash equivalents and restricted cash:</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Beginning of year</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453,548</w:t>
            </w:r>
          </w:p>
        </w:tc>
        <w:tc>
          <w:tcPr>
            <w:tcW w:w="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272,943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80" w:type="dxa"/>
            <w:vAlign w:val="bottom"/>
          </w:tcPr>
          <w:p>
            <w:pPr>
              <w:ind w:left="300"/>
              <w:spacing w:after="0" w:line="155" w:lineRule="exact"/>
              <w:rPr>
                <w:sz w:val="20"/>
                <w:szCs w:val="20"/>
                <w:color w:val="auto"/>
              </w:rPr>
            </w:pPr>
            <w:r>
              <w:rPr>
                <w:rFonts w:ascii="Arial" w:cs="Arial" w:eastAsia="Arial" w:hAnsi="Arial"/>
                <w:sz w:val="14"/>
                <w:szCs w:val="14"/>
                <w:color w:val="auto"/>
              </w:rPr>
              <w:t>End of period</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269,745</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423,120</w:t>
            </w:r>
          </w:p>
        </w:tc>
        <w:tc>
          <w:tcPr>
            <w:tcW w:w="100" w:type="dxa"/>
            <w:vAlign w:val="bottom"/>
          </w:tcPr>
          <w:p>
            <w:pPr>
              <w:spacing w:after="0"/>
              <w:rPr>
                <w:sz w:val="13"/>
                <w:szCs w:val="13"/>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-2656840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-2146300</wp:posOffset>
            </wp:positionV>
            <wp:extent cx="10287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-2146300</wp:posOffset>
            </wp:positionV>
            <wp:extent cx="939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-688975</wp:posOffset>
            </wp:positionV>
            <wp:extent cx="1028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-688975</wp:posOffset>
            </wp:positionV>
            <wp:extent cx="939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-136525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March 31, 2025 and March 31, 2024</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Parsons</w:t>
            </w: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1"/>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Income (Loss)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69"/>
        </w:trPr>
        <w:tc>
          <w:tcPr>
            <w:tcW w:w="2280" w:type="dxa"/>
            <w:vAlign w:val="bottom"/>
            <w:tcBorders>
              <w:top w:val="single" w:sz="8" w:color="CFF0FC"/>
            </w:tcBorders>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Balance at December 31, 2024</w:t>
            </w:r>
          </w:p>
        </w:tc>
        <w:tc>
          <w:tcPr>
            <w:tcW w:w="12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146,655</w:t>
            </w:r>
          </w:p>
        </w:tc>
        <w:tc>
          <w:tcPr>
            <w:tcW w:w="2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CFF0FC"/>
            </w:tcBorders>
            <w:gridSpan w:val="2"/>
            <w:shd w:val="clear" w:color="auto" w:fill="CFF0FC"/>
          </w:tcPr>
          <w:p>
            <w:pPr>
              <w:jc w:val="right"/>
              <w:ind w:right="139"/>
              <w:spacing w:after="0" w:line="149" w:lineRule="exact"/>
              <w:rPr>
                <w:sz w:val="20"/>
                <w:szCs w:val="20"/>
                <w:color w:val="auto"/>
              </w:rPr>
            </w:pPr>
            <w:r>
              <w:rPr>
                <w:rFonts w:ascii="Arial" w:cs="Arial" w:eastAsia="Arial" w:hAnsi="Arial"/>
                <w:sz w:val="14"/>
                <w:szCs w:val="14"/>
                <w:color w:val="auto"/>
              </w:rPr>
              <w:t>$ (815,282)</w:t>
            </w:r>
          </w:p>
        </w:tc>
        <w:tc>
          <w:tcPr>
            <w:tcW w:w="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2,684,829</w:t>
            </w:r>
          </w:p>
        </w:tc>
        <w:tc>
          <w:tcPr>
            <w:tcW w:w="14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CFF0FC"/>
            </w:tcBorders>
            <w:gridSpan w:val="2"/>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426,781</w:t>
            </w:r>
          </w:p>
        </w:tc>
        <w:tc>
          <w:tcPr>
            <w:tcW w:w="2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CFF0FC"/>
            </w:tcBorders>
            <w:gridSpan w:val="2"/>
            <w:shd w:val="clear" w:color="auto" w:fill="CFF0FC"/>
          </w:tcPr>
          <w:p>
            <w:pPr>
              <w:jc w:val="right"/>
              <w:ind w:right="160"/>
              <w:spacing w:after="0" w:line="149" w:lineRule="exact"/>
              <w:rPr>
                <w:sz w:val="20"/>
                <w:szCs w:val="20"/>
                <w:color w:val="auto"/>
              </w:rPr>
            </w:pPr>
            <w:r>
              <w:rPr>
                <w:rFonts w:ascii="Arial" w:cs="Arial" w:eastAsia="Arial" w:hAnsi="Arial"/>
                <w:sz w:val="14"/>
                <w:szCs w:val="14"/>
                <w:color w:val="auto"/>
              </w:rPr>
              <w:t>(26,594)</w:t>
            </w:r>
          </w:p>
        </w:tc>
        <w:tc>
          <w:tcPr>
            <w:tcW w:w="1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2,416,389</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118,100</w:t>
            </w:r>
          </w:p>
        </w:tc>
        <w:tc>
          <w:tcPr>
            <w:tcW w:w="12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CFF0FC"/>
            </w:tcBorders>
            <w:gridSpan w:val="2"/>
            <w:shd w:val="clear" w:color="auto" w:fill="CFF0FC"/>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CFF0FC"/>
            </w:tcBorders>
            <w:shd w:val="clear" w:color="auto" w:fill="CFF0FC"/>
          </w:tcPr>
          <w:p>
            <w:pPr>
              <w:jc w:val="right"/>
              <w:spacing w:after="0" w:line="149" w:lineRule="exact"/>
              <w:rPr>
                <w:sz w:val="20"/>
                <w:szCs w:val="20"/>
                <w:color w:val="auto"/>
              </w:rPr>
            </w:pPr>
            <w:r>
              <w:rPr>
                <w:rFonts w:ascii="Arial" w:cs="Arial" w:eastAsia="Arial" w:hAnsi="Arial"/>
                <w:sz w:val="14"/>
                <w:szCs w:val="14"/>
                <w:color w:val="auto"/>
              </w:rPr>
              <w:t>2,534,489</w:t>
            </w:r>
          </w:p>
        </w:tc>
        <w:tc>
          <w:tcPr>
            <w:tcW w:w="100" w:type="dxa"/>
            <w:vAlign w:val="bottom"/>
            <w:tcBorders>
              <w:top w:val="single" w:sz="8" w:color="CFF0FC"/>
            </w:tcBorders>
            <w:shd w:val="clear" w:color="auto" w:fill="CFF0FC"/>
          </w:tcPr>
          <w:p>
            <w:pPr>
              <w:spacing w:after="0"/>
              <w:rPr>
                <w:sz w:val="14"/>
                <w:szCs w:val="14"/>
                <w:color w:val="auto"/>
              </w:rPr>
            </w:pPr>
          </w:p>
        </w:tc>
      </w:tr>
      <w:tr>
        <w:trPr>
          <w:trHeight w:val="162"/>
        </w:trPr>
        <w:tc>
          <w:tcPr>
            <w:tcW w:w="2280" w:type="dxa"/>
            <w:vAlign w:val="bottom"/>
            <w:tcBorders>
              <w:top w:val="single" w:sz="8" w:color="CFF0FC"/>
            </w:tcBorders>
          </w:tcPr>
          <w:p>
            <w:pPr>
              <w:ind w:left="40"/>
              <w:spacing w:after="0"/>
              <w:rPr>
                <w:sz w:val="20"/>
                <w:szCs w:val="20"/>
                <w:color w:val="auto"/>
              </w:rPr>
            </w:pPr>
            <w:r>
              <w:rPr>
                <w:rFonts w:ascii="Arial" w:cs="Arial" w:eastAsia="Arial" w:hAnsi="Arial"/>
                <w:sz w:val="14"/>
                <w:szCs w:val="14"/>
                <w:color w:val="auto"/>
              </w:rPr>
              <w:t>Net income</w:t>
            </w: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66,203</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66,203</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15,584</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tcBorders>
              <w:top w:val="single" w:sz="8" w:color="CFF0FC"/>
            </w:tcBorders>
          </w:tcPr>
          <w:p>
            <w:pPr>
              <w:spacing w:after="0"/>
              <w:rPr>
                <w:sz w:val="14"/>
                <w:szCs w:val="14"/>
                <w:color w:val="auto"/>
              </w:rPr>
            </w:pPr>
          </w:p>
        </w:tc>
      </w:tr>
      <w:tr>
        <w:trPr>
          <w:trHeight w:val="153"/>
        </w:trPr>
        <w:tc>
          <w:tcPr>
            <w:tcW w:w="2280" w:type="dxa"/>
            <w:vAlign w:val="bottom"/>
            <w:shd w:val="clear" w:color="auto" w:fill="CFF0FC"/>
          </w:tcPr>
          <w:p>
            <w:pPr>
              <w:ind w:left="40"/>
              <w:spacing w:after="0" w:line="153" w:lineRule="exact"/>
              <w:rPr>
                <w:sz w:val="20"/>
                <w:szCs w:val="20"/>
                <w:color w:val="auto"/>
              </w:rPr>
            </w:pPr>
            <w:r>
              <w:rPr>
                <w:rFonts w:ascii="Arial" w:cs="Arial" w:eastAsia="Arial" w:hAnsi="Arial"/>
                <w:sz w:val="14"/>
                <w:szCs w:val="14"/>
                <w:color w:val="auto"/>
              </w:rPr>
              <w:t>Foreign currency translation</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gain, net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FF0FC"/>
          </w:tcPr>
          <w:p>
            <w:pPr>
              <w:spacing w:after="0"/>
              <w:rPr>
                <w:sz w:val="14"/>
                <w:szCs w:val="14"/>
                <w:color w:val="auto"/>
              </w:rPr>
            </w:pPr>
          </w:p>
        </w:tc>
      </w:tr>
      <w:tr>
        <w:trPr>
          <w:trHeight w:val="153"/>
        </w:trPr>
        <w:tc>
          <w:tcPr>
            <w:tcW w:w="2280" w:type="dxa"/>
            <w:vAlign w:val="bottom"/>
          </w:tcPr>
          <w:p>
            <w:pPr>
              <w:ind w:left="40"/>
              <w:spacing w:after="0" w:line="153" w:lineRule="exact"/>
              <w:rPr>
                <w:sz w:val="20"/>
                <w:szCs w:val="20"/>
                <w:color w:val="auto"/>
              </w:rPr>
            </w:pPr>
            <w:r>
              <w:rPr>
                <w:rFonts w:ascii="Arial" w:cs="Arial" w:eastAsia="Arial" w:hAnsi="Arial"/>
                <w:sz w:val="14"/>
                <w:szCs w:val="14"/>
                <w:color w:val="auto"/>
              </w:rPr>
              <w:t>Pension adjustments,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280" w:type="dxa"/>
            <w:vAlign w:val="bottom"/>
          </w:tcPr>
          <w:p>
            <w:pPr>
              <w:ind w:left="12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FF0FC"/>
          </w:tcPr>
          <w:p>
            <w:pPr>
              <w:spacing w:after="0"/>
              <w:rPr>
                <w:sz w:val="14"/>
                <w:szCs w:val="14"/>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(42,009)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(42,009)</w:t>
            </w:r>
          </w:p>
        </w:tc>
      </w:tr>
      <w:tr>
        <w:trPr>
          <w:trHeight w:val="153"/>
        </w:trPr>
        <w:tc>
          <w:tcPr>
            <w:tcW w:w="22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80" w:type="dxa"/>
            <w:vAlign w:val="bottom"/>
            <w:shd w:val="clear" w:color="auto" w:fill="CFF0FC"/>
          </w:tcPr>
          <w:p>
            <w:pPr>
              <w:ind w:left="80"/>
              <w:spacing w:after="0"/>
              <w:rPr>
                <w:sz w:val="20"/>
                <w:szCs w:val="20"/>
                <w:color w:val="auto"/>
              </w:rPr>
            </w:pPr>
            <w:r>
              <w:rPr>
                <w:rFonts w:ascii="Arial" w:cs="Arial" w:eastAsia="Arial" w:hAnsi="Arial"/>
                <w:sz w:val="14"/>
                <w:szCs w:val="14"/>
                <w:color w:val="auto"/>
              </w:rPr>
              <w:t>net of retirement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(10,750)</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(5,359)</w:t>
            </w: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(15,636)</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(15,636)</w:t>
            </w: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(424)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(24,571)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(24,995)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(24,995)</w:t>
            </w:r>
          </w:p>
        </w:tc>
      </w:tr>
      <w:tr>
        <w:trPr>
          <w:trHeight w:val="162"/>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10,979</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10,979</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10,979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2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2025</w:t>
            </w: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146,704</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(815,282</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2,660,487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487,625</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(25,740)</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2,453,794</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91,938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2,545,732</w:t>
            </w:r>
          </w:p>
        </w:tc>
        <w:tc>
          <w:tcPr>
            <w:tcW w:w="100" w:type="dxa"/>
            <w:vAlign w:val="bottom"/>
          </w:tcPr>
          <w:p>
            <w:pPr>
              <w:spacing w:after="0"/>
              <w:rPr>
                <w:sz w:val="13"/>
                <w:szCs w:val="13"/>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22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146,341</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39"/>
              <w:spacing w:after="0" w:line="155" w:lineRule="exact"/>
              <w:rPr>
                <w:sz w:val="20"/>
                <w:szCs w:val="20"/>
                <w:color w:val="auto"/>
              </w:rPr>
            </w:pPr>
            <w:r>
              <w:rPr>
                <w:rFonts w:ascii="Arial" w:cs="Arial" w:eastAsia="Arial" w:hAnsi="Arial"/>
                <w:sz w:val="14"/>
                <w:szCs w:val="14"/>
                <w:color w:val="auto"/>
              </w:rPr>
              <w:t>$ (827,311)</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2,779,365</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203,724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(14,908)</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2,287,211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89,504</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2,376,715</w:t>
            </w:r>
          </w:p>
        </w:tc>
        <w:tc>
          <w:tcPr>
            <w:tcW w:w="100" w:type="dxa"/>
            <w:vAlign w:val="bottom"/>
            <w:shd w:val="clear" w:color="auto" w:fill="CFF0FC"/>
          </w:tcPr>
          <w:p>
            <w:pPr>
              <w:spacing w:after="0"/>
              <w:rPr>
                <w:sz w:val="15"/>
                <w:szCs w:val="15"/>
                <w:color w:val="auto"/>
              </w:rPr>
            </w:pPr>
          </w:p>
        </w:tc>
      </w:tr>
      <w:tr>
        <w:trPr>
          <w:trHeight w:val="162"/>
        </w:trPr>
        <w:tc>
          <w:tcPr>
            <w:tcW w:w="2280" w:type="dxa"/>
            <w:vAlign w:val="bottom"/>
            <w:tcBorders>
              <w:top w:val="single" w:sz="8" w:color="CFF0FC"/>
            </w:tcBorders>
          </w:tcPr>
          <w:p>
            <w:pPr>
              <w:spacing w:after="0"/>
              <w:rPr>
                <w:sz w:val="20"/>
                <w:szCs w:val="20"/>
                <w:color w:val="auto"/>
              </w:rPr>
            </w:pPr>
            <w:r>
              <w:rPr>
                <w:rFonts w:ascii="Arial" w:cs="Arial" w:eastAsia="Arial" w:hAnsi="Arial"/>
                <w:sz w:val="14"/>
                <w:szCs w:val="14"/>
                <w:color w:val="auto"/>
              </w:rPr>
              <w:t>Net income</w:t>
            </w:r>
          </w:p>
        </w:tc>
        <w:tc>
          <w:tcPr>
            <w:tcW w:w="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39,750</w:t>
            </w:r>
          </w:p>
        </w:tc>
        <w:tc>
          <w:tcPr>
            <w:tcW w:w="22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39,750</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15,243</w:t>
            </w:r>
          </w:p>
        </w:tc>
        <w:tc>
          <w:tcPr>
            <w:tcW w:w="1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54,993</w:t>
            </w:r>
          </w:p>
        </w:tc>
        <w:tc>
          <w:tcPr>
            <w:tcW w:w="100" w:type="dxa"/>
            <w:vAlign w:val="bottom"/>
            <w:tcBorders>
              <w:top w:val="single" w:sz="8" w:color="CFF0FC"/>
            </w:tcBorders>
          </w:tcPr>
          <w:p>
            <w:pPr>
              <w:spacing w:after="0"/>
              <w:rPr>
                <w:sz w:val="14"/>
                <w:szCs w:val="14"/>
                <w:color w:val="auto"/>
              </w:rPr>
            </w:pPr>
          </w:p>
        </w:tc>
      </w:tr>
      <w:tr>
        <w:trPr>
          <w:trHeight w:val="153"/>
        </w:trPr>
        <w:tc>
          <w:tcPr>
            <w:tcW w:w="228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Foreign currency translation</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1"/>
        </w:trPr>
        <w:tc>
          <w:tcPr>
            <w:tcW w:w="2280" w:type="dxa"/>
            <w:vAlign w:val="bottom"/>
            <w:shd w:val="clear" w:color="auto" w:fill="CFF0FC"/>
          </w:tcPr>
          <w:p>
            <w:pPr>
              <w:ind w:left="80"/>
              <w:spacing w:after="0"/>
              <w:rPr>
                <w:sz w:val="20"/>
                <w:szCs w:val="20"/>
                <w:color w:val="auto"/>
              </w:rPr>
            </w:pPr>
            <w:r>
              <w:rPr>
                <w:rFonts w:ascii="Arial" w:cs="Arial" w:eastAsia="Arial" w:hAnsi="Arial"/>
                <w:sz w:val="14"/>
                <w:szCs w:val="14"/>
                <w:color w:val="auto"/>
              </w:rPr>
              <w:t>loss, net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(1,927)</w:t>
            </w: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(1,927)</w:t>
            </w: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Pension adjustments,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(11,258)</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(11,258)</w:t>
            </w: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Capped call transactions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(66,121)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(66,121)</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(66,121)</w:t>
            </w: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Repurchase of warrants</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(104,952)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(104,952)</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(104,952)</w:t>
            </w: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Bond hedge termination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149,308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149,308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149,308</w:t>
            </w:r>
          </w:p>
        </w:tc>
        <w:tc>
          <w:tcPr>
            <w:tcW w:w="100" w:type="dxa"/>
            <w:vAlign w:val="bottom"/>
          </w:tcPr>
          <w:p>
            <w:pPr>
              <w:spacing w:after="0"/>
              <w:rPr>
                <w:sz w:val="14"/>
                <w:szCs w:val="14"/>
                <w:color w:val="auto"/>
              </w:rPr>
            </w:pP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Convertible debt inducement</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(147,105)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(147,105)</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(147,105)</w:t>
            </w:r>
          </w:p>
        </w:tc>
      </w:tr>
      <w:tr>
        <w:trPr>
          <w:trHeight w:val="153"/>
        </w:trPr>
        <w:tc>
          <w:tcPr>
            <w:tcW w:w="2280" w:type="dxa"/>
            <w:vAlign w:val="bottom"/>
          </w:tcPr>
          <w:p>
            <w:pPr>
              <w:spacing w:after="0" w:line="153" w:lineRule="exact"/>
              <w:rPr>
                <w:sz w:val="20"/>
                <w:szCs w:val="20"/>
                <w:color w:val="auto"/>
              </w:rPr>
            </w:pPr>
            <w:r>
              <w:rPr>
                <w:rFonts w:ascii="Arial" w:cs="Arial" w:eastAsia="Arial" w:hAnsi="Arial"/>
                <w:sz w:val="14"/>
                <w:szCs w:val="14"/>
                <w:color w:val="auto"/>
              </w:rPr>
              <w:t>Issuance of equity 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280" w:type="dxa"/>
            <w:vAlign w:val="bottom"/>
          </w:tcPr>
          <w:p>
            <w:pPr>
              <w:ind w:left="80"/>
              <w:spacing w:after="0"/>
              <w:rPr>
                <w:sz w:val="20"/>
                <w:szCs w:val="20"/>
                <w:color w:val="auto"/>
              </w:rPr>
            </w:pPr>
            <w:r>
              <w:rPr>
                <w:rFonts w:ascii="Arial" w:cs="Arial" w:eastAsia="Arial" w:hAnsi="Arial"/>
                <w:sz w:val="14"/>
                <w:szCs w:val="14"/>
                <w:color w:val="auto"/>
              </w:rPr>
              <w:t>net of retirements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(8,256)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(9,108)</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(16,988)</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(16,988)</w:t>
            </w:r>
          </w:p>
        </w:tc>
      </w:tr>
      <w:tr>
        <w:trPr>
          <w:trHeight w:val="162"/>
        </w:trPr>
        <w:tc>
          <w:tcPr>
            <w:tcW w:w="2280" w:type="dxa"/>
            <w:vAlign w:val="bottom"/>
            <w:shd w:val="clear" w:color="auto" w:fill="CFF0FC"/>
          </w:tcPr>
          <w:p>
            <w:pPr>
              <w:spacing w:after="0"/>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2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10,523</w:t>
            </w:r>
          </w:p>
        </w:tc>
        <w:tc>
          <w:tcPr>
            <w:tcW w:w="100" w:type="dxa"/>
            <w:vAlign w:val="bottom"/>
            <w:shd w:val="clear" w:color="auto" w:fill="CFF0FC"/>
          </w:tcPr>
          <w:p>
            <w:pPr>
              <w:spacing w:after="0"/>
              <w:rPr>
                <w:sz w:val="14"/>
                <w:szCs w:val="14"/>
                <w:color w:val="auto"/>
              </w:rPr>
            </w:pPr>
          </w:p>
        </w:tc>
      </w:tr>
      <w:tr>
        <w:trPr>
          <w:trHeight w:val="155"/>
        </w:trPr>
        <w:tc>
          <w:tcPr>
            <w:tcW w:w="2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2024</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146,717</w:t>
            </w:r>
          </w:p>
        </w:tc>
        <w:tc>
          <w:tcPr>
            <w:tcW w:w="2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 (827,311</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2,612,762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234,366</w:t>
            </w:r>
          </w:p>
        </w:tc>
        <w:tc>
          <w:tcPr>
            <w:tcW w:w="22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(16,866)</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2,149,668</w:t>
            </w: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93,489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2,243,157</w:t>
            </w:r>
          </w:p>
        </w:tc>
        <w:tc>
          <w:tcPr>
            <w:tcW w:w="100" w:type="dxa"/>
            <w:vAlign w:val="bottom"/>
          </w:tcPr>
          <w:p>
            <w:pPr>
              <w:spacing w:after="0"/>
              <w:rPr>
                <w:sz w:val="13"/>
                <w:szCs w:val="13"/>
                <w:color w:val="auto"/>
              </w:rPr>
            </w:pPr>
          </w:p>
        </w:tc>
      </w:tr>
      <w:tr>
        <w:trPr>
          <w:trHeight w:val="20"/>
        </w:trPr>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-3110865</wp:posOffset>
            </wp:positionV>
            <wp:extent cx="6858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-3110865</wp:posOffset>
            </wp:positionV>
            <wp:extent cx="6858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-3110865</wp:posOffset>
            </wp:positionV>
            <wp:extent cx="6858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-3110865</wp:posOffset>
            </wp:positionV>
            <wp:extent cx="6858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-3110865</wp:posOffset>
            </wp:positionV>
            <wp:extent cx="6858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-3235325</wp:posOffset>
            </wp:positionV>
            <wp:extent cx="9398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-3110865</wp:posOffset>
            </wp:positionV>
            <wp:extent cx="6858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-1953895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-1953895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-1953895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-1953895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-1953895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-1953895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-1953895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-1499235</wp:posOffset>
            </wp:positionV>
            <wp:extent cx="6858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-1499235</wp:posOffset>
            </wp:positionV>
            <wp:extent cx="6858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-1499235</wp:posOffset>
            </wp:positionV>
            <wp:extent cx="6858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-1499235</wp:posOffset>
            </wp:positionV>
            <wp:extent cx="6858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-1499235</wp:posOffset>
            </wp:positionV>
            <wp:extent cx="6858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-1499235</wp:posOffset>
            </wp:positionV>
            <wp:extent cx="6858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-1499235</wp:posOffset>
            </wp:positionV>
            <wp:extent cx="6858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96" w:lineRule="exact"/>
        <w:rPr>
          <w:sz w:val="20"/>
          <w:szCs w:val="20"/>
          <w:color w:val="auto"/>
        </w:rPr>
      </w:pPr>
    </w:p>
    <w:p>
      <w:pPr>
        <w:ind w:left="660" w:right="8380" w:hanging="652"/>
        <w:spacing w:after="0" w:line="485"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ind w:right="160" w:firstLine="636"/>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6"/>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2024.</w:t>
      </w:r>
    </w:p>
    <w:p>
      <w:pPr>
        <w:spacing w:after="0" w:line="176"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 Certain amounts may not foot due to rounding.</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Adoption of Accounting Standards Update 2024-04</w:t>
      </w:r>
    </w:p>
    <w:p>
      <w:pPr>
        <w:spacing w:after="0" w:line="212" w:lineRule="exact"/>
        <w:rPr>
          <w:sz w:val="20"/>
          <w:szCs w:val="20"/>
          <w:color w:val="auto"/>
        </w:rPr>
      </w:pPr>
    </w:p>
    <w:p>
      <w:pPr>
        <w:ind w:right="100" w:firstLine="636"/>
        <w:spacing w:after="0" w:line="253" w:lineRule="auto"/>
        <w:rPr>
          <w:sz w:val="20"/>
          <w:szCs w:val="20"/>
          <w:color w:val="auto"/>
        </w:rPr>
      </w:pPr>
      <w:r>
        <w:rPr>
          <w:rFonts w:ascii="Arial" w:cs="Arial" w:eastAsia="Arial" w:hAnsi="Arial"/>
          <w:sz w:val="18"/>
          <w:szCs w:val="18"/>
          <w:color w:val="auto"/>
        </w:rPr>
        <w:t>As discussed in the Company's Form 10-K for the year ended December 31, 2024, in the fourth quarter of fiscal 2024, the Company adopted Accounting Standards Update (“ASU”) 2024-04, "Debt—Debt with Conversion and Other Options (Subtopic 470-20)" ("ASU 2024-04"). The Company elected to early adopt ASU 2024-04 as of January 1, 2024 on a prospective basis.</w:t>
      </w:r>
    </w:p>
    <w:p>
      <w:pPr>
        <w:spacing w:after="0" w:line="169" w:lineRule="exact"/>
        <w:rPr>
          <w:sz w:val="20"/>
          <w:szCs w:val="20"/>
          <w:color w:val="auto"/>
        </w:rPr>
      </w:pPr>
    </w:p>
    <w:p>
      <w:pPr>
        <w:ind w:right="20" w:firstLine="636"/>
        <w:spacing w:after="0" w:line="244" w:lineRule="auto"/>
        <w:rPr>
          <w:sz w:val="20"/>
          <w:szCs w:val="20"/>
          <w:color w:val="auto"/>
        </w:rPr>
      </w:pPr>
      <w:r>
        <w:rPr>
          <w:rFonts w:ascii="Arial" w:cs="Arial" w:eastAsia="Arial" w:hAnsi="Arial"/>
          <w:sz w:val="18"/>
          <w:szCs w:val="18"/>
          <w:color w:val="auto"/>
        </w:rPr>
        <w:t>In the first quarter of 2024, the Company took an extinguishment charge related to the partial repurchase of Convertible Senior Notes due 2025. This repurchase was recorded in the Company's financial statements as a loss on debt extinguishment according to the applicable guidance prior to ASU 2024-04. With the early adoption of ASU 2024-04, the Company reassessed the accounting conclusion of the first quarter 2024 partial repurchase of Convertible Senior Notes due 2025 and concluded the partial repurchase is subject to inducement accounting under ASU 2024-04.</w:t>
      </w:r>
    </w:p>
    <w:p>
      <w:pPr>
        <w:spacing w:after="0" w:line="176" w:lineRule="exact"/>
        <w:rPr>
          <w:sz w:val="20"/>
          <w:szCs w:val="20"/>
          <w:color w:val="auto"/>
        </w:rPr>
      </w:pPr>
    </w:p>
    <w:p>
      <w:pPr>
        <w:ind w:right="200" w:firstLine="636"/>
        <w:spacing w:after="0" w:line="247" w:lineRule="auto"/>
        <w:rPr>
          <w:sz w:val="20"/>
          <w:szCs w:val="20"/>
          <w:color w:val="auto"/>
        </w:rPr>
      </w:pPr>
      <w:r>
        <w:rPr>
          <w:rFonts w:ascii="Arial" w:cs="Arial" w:eastAsia="Arial" w:hAnsi="Arial"/>
          <w:sz w:val="18"/>
          <w:szCs w:val="18"/>
          <w:color w:val="auto"/>
        </w:rPr>
        <w:t>Under inducement accounting, the difference in the fair value of the securities issuable pursuant to conversion privileges compared to the fair value of the consideration paid on the date of the acceptance of the inducement offer is recorded to inducement expense. The difference in the consideration paid to note holders, less inducement expenses, less the fair value of the notes repurchased is charged to equity.</w:t>
      </w:r>
    </w:p>
    <w:p>
      <w:pPr>
        <w:spacing w:after="0" w:line="174"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For the three months ended March 31, 2024, the Company reversed the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10— Debt and Credit Facilities" for a further discussion of the first quarter 2024 extinguishment accounting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right="560"/>
        <w:spacing w:after="0" w:line="271" w:lineRule="auto"/>
        <w:rPr>
          <w:sz w:val="20"/>
          <w:szCs w:val="20"/>
          <w:color w:val="auto"/>
        </w:rPr>
      </w:pPr>
      <w:r>
        <w:rPr>
          <w:rFonts w:ascii="Arial" w:cs="Arial" w:eastAsia="Arial" w:hAnsi="Arial"/>
          <w:sz w:val="18"/>
          <w:szCs w:val="18"/>
          <w:color w:val="auto"/>
        </w:rPr>
        <w:t>subsequent change to inducement accounting. Also see "Note 20—Quarterly Information" for the quarterly financial statement impacts related to this accounting change.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6"/>
        <w:spacing w:after="0" w:line="238"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See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 contract profit, the Company records a positive or negative adjustment to the consolidated statement of income.</w:t>
      </w:r>
    </w:p>
    <w:p>
      <w:pPr>
        <w:spacing w:after="0" w:line="29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right="120" w:firstLine="636"/>
        <w:spacing w:after="0" w:line="238" w:lineRule="auto"/>
        <w:rPr>
          <w:sz w:val="20"/>
          <w:szCs w:val="20"/>
          <w:color w:val="auto"/>
        </w:rPr>
      </w:pPr>
      <w:r>
        <w:rPr>
          <w:rFonts w:ascii="Arial" w:cs="Arial" w:eastAsia="Arial" w:hAnsi="Arial"/>
          <w:sz w:val="18"/>
          <w:szCs w:val="18"/>
          <w:color w:val="auto"/>
        </w:rPr>
        <w:t>In the fourth quarter of 2024, The Financial Accounting Standards Board ("FASB") Issued Accounting Standards Update (“ASU”) 2024-04, "Debt—Debt with Conversion and Other Options (Subtopic 470-20)" ("ASU 2024-04"). ASU 2024-04 improves the relevance and consistency in application of the induced conversion guidance in Subtopic 470-20, Debt–Debt with Conversion and Other Options. The amendments in ASU 2024-04 clarify the requirements for determining whether certain settlements of convertible debt instruments should be accounted for as an induced conversion. Under the amendments, to account for a settlement of a convertible debt instrument as an induced conversion, an inducement offer is required to provide the debt holder with, at a minimum, the consideration (in form and amount) issuable under the conversion privileges provided in the terms of the instrument. The amendments in this Update are effective for all entities for annual reporting periods beginning after December 15, 2025, and interim reporting periods within those annual reporting periods. Early adoption is permitted for all entities that have adopted the amendments in ASU 2020-06. The Company adopted ASU 2020-06 in the first quarter of 2021. The Company early adopted ASU 2024-04 as of January 1, 2024 on a prospective basis. The adoption of this ASU had a material impact on the Company's consolidated financial statements. See the Company's Form 10-K for the year ended December 31, 2024 for further details regarding the adoption of ASU 2024-04.</w:t>
      </w:r>
    </w:p>
    <w:p>
      <w:pPr>
        <w:spacing w:after="0" w:line="183"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In the fourth quarter of 2024, The FASB Issued ASU 2024-03 "Income Statement—Reporting Comprehensive Income—Expense Disaggregation Disclosures (Subtopic 220-40)" (ASU 2024-03"). ASU 2024-03 requires disclosure, in the notes to financial statements, of specified information about certain costs and expenses. ASU 2024-03 is effective for annual reporting periods beginning after December 15, 2026, and interim reporting periods beginning after December 15, 2027. Early adoption is permitted. The adoption of this ASU will not have a material impact on the Company's consolidated financial statements.</w:t>
      </w:r>
    </w:p>
    <w:p>
      <w:pPr>
        <w:spacing w:after="0" w:line="176"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In December 2023, the FASB issued ASU No. 2023-09, Income Taxes (Topic 740): Improvements to Income Tax Disclosures (“ASU 2023-09”), to improve the transparency of income tax disclosures. ASU 2023-09 requires a public business entity (“PBE”) to disclose, on an annual basis, specific categories in its income tax rate reconciliation and provide additional information for reconciling items that meet a quantitative threshold. ASU 2023-09 also requires all entities to disclose its income taxes paid, net of refunds received, disaggregated by federal, state and foreign taxes, with further disaggregation required for significant individual jurisdictions. For public business entities, the new standard is effective for annual periods beginning after December 15, 2024. The Company will adopt ASU 2023-09 in its fourth quarter of 2025 for the period ending December 31, 2025, and the adoption will impact only our disclosures with no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TRS Group, Inc.</w:t>
      </w:r>
    </w:p>
    <w:p>
      <w:pPr>
        <w:spacing w:after="0" w:line="212"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202124"/>
        </w:rPr>
        <w:t>On January 31, 2025, the Company acquired a 100% ownership interest in TRS Group, Inc. ("TRS") a privately owned company, for $36.6 million from cash on hand (of which $3.8 million will be paid in July 2026). TRS is an environmental solutions firm that specializes in remediation technology.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20" w:type="dxa"/>
            <w:vAlign w:val="bottom"/>
            <w:tcBorders>
              <w:top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3,390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Income taxes receivable</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5,832</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22,972</w:t>
            </w:r>
          </w:p>
        </w:tc>
        <w:tc>
          <w:tcPr>
            <w:tcW w:w="120" w:type="dxa"/>
            <w:vAlign w:val="bottom"/>
            <w:shd w:val="clear" w:color="auto" w:fill="CFF0FC"/>
          </w:tcPr>
          <w:p>
            <w:pPr>
              <w:spacing w:after="0"/>
              <w:rPr>
                <w:sz w:val="17"/>
                <w:szCs w:val="17"/>
                <w:color w:val="auto"/>
              </w:rPr>
            </w:pP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120" w:type="dxa"/>
            <w:vAlign w:val="bottom"/>
          </w:tcPr>
          <w:p>
            <w:pPr>
              <w:spacing w:after="0"/>
              <w:rPr>
                <w:sz w:val="17"/>
                <w:szCs w:val="17"/>
                <w:color w:val="auto"/>
              </w:rPr>
            </w:pP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(1,095)</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(3,270)</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(4,222)</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9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196"/>
        </w:trPr>
        <w:tc>
          <w:tcPr>
            <w:tcW w:w="9140" w:type="dxa"/>
            <w:vAlign w:val="bottom"/>
            <w:tcBorders>
              <w:top w:val="single" w:sz="8" w:color="CFF0FC"/>
            </w:tcBorders>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36,566</w:t>
            </w:r>
          </w:p>
        </w:tc>
        <w:tc>
          <w:tcPr>
            <w:tcW w:w="120" w:type="dxa"/>
            <w:vAlign w:val="bottom"/>
            <w:tcBorders>
              <w:top w:val="single" w:sz="8" w:color="CFF0FC"/>
            </w:tcBorders>
          </w:tcPr>
          <w:p>
            <w:pPr>
              <w:spacing w:after="0"/>
              <w:rPr>
                <w:sz w:val="17"/>
                <w:szCs w:val="17"/>
                <w:color w:val="auto"/>
              </w:rPr>
            </w:pPr>
          </w:p>
        </w:tc>
      </w:tr>
      <w:tr>
        <w:trPr>
          <w:trHeight w:val="20"/>
        </w:trPr>
        <w:tc>
          <w:tcPr>
            <w:tcW w:w="9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7560" w:type="dxa"/>
            <w:vAlign w:val="bottom"/>
          </w:tcPr>
          <w:p>
            <w:pPr>
              <w:spacing w:after="0"/>
              <w:rPr>
                <w:sz w:val="14"/>
                <w:szCs w:val="14"/>
                <w:color w:val="auto"/>
              </w:rPr>
            </w:pPr>
          </w:p>
        </w:tc>
        <w:tc>
          <w:tcPr>
            <w:tcW w:w="1180" w:type="dxa"/>
            <w:vAlign w:val="bottom"/>
          </w:tcPr>
          <w:p>
            <w:pPr>
              <w:jc w:val="center"/>
              <w:ind w:left="428"/>
              <w:spacing w:after="0"/>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7560" w:type="dxa"/>
            <w:vAlign w:val="bottom"/>
          </w:tcPr>
          <w:p>
            <w:pPr>
              <w:spacing w:after="0"/>
              <w:rPr>
                <w:sz w:val="14"/>
                <w:szCs w:val="14"/>
                <w:color w:val="auto"/>
              </w:rPr>
            </w:pPr>
          </w:p>
        </w:tc>
        <w:tc>
          <w:tcPr>
            <w:tcW w:w="118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rPr>
              <w:t>Amount</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7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8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Backlog</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874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technologies</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87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Trade name</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Amortization expense of $0.2 million related to these intangible assets was recorded for the three months ended March 31, 2025. The entire value of goodwill was assigned to the Critical Infrastructure reporting unit and represents synergies expected to be realized from this business combination. The entire value of goodwill is deductible for tax purposes.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120" w:firstLine="509"/>
        <w:spacing w:after="0" w:line="253" w:lineRule="auto"/>
        <w:rPr>
          <w:sz w:val="20"/>
          <w:szCs w:val="20"/>
          <w:color w:val="auto"/>
        </w:rPr>
      </w:pPr>
      <w:r>
        <w:rPr>
          <w:rFonts w:ascii="Arial" w:cs="Arial" w:eastAsia="Arial" w:hAnsi="Arial"/>
          <w:sz w:val="18"/>
          <w:szCs w:val="18"/>
          <w:color w:val="auto"/>
        </w:rPr>
        <w:t>The amount of revenue generated by TRS and included within consolidated revenue is $4.1 million for the three months ended March 31, 2025.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assets and liabilities acquired.</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TRS acquisition had been consummated as of the beginning of fiscal year 2024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8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March 31, 2025</w:t>
            </w:r>
          </w:p>
        </w:tc>
        <w:tc>
          <w:tcPr>
            <w:tcW w:w="34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70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1,556,383</w:t>
            </w:r>
          </w:p>
        </w:tc>
        <w:tc>
          <w:tcPr>
            <w:tcW w:w="62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1,542,514</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82,047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54,610</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202124"/>
        </w:rPr>
        <w:t>BCC Engineering, LLC</w:t>
      </w:r>
    </w:p>
    <w:p>
      <w:pPr>
        <w:spacing w:after="0" w:line="21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202124"/>
        </w:rPr>
        <w:t>On November 1, 2024, the Company acquired a 100% ownership interest in BCC Engineering, LLC ("BCC") a privately owned company, for $233.5 million from cash on hand. BCC is a full-service engineering firm that provides planning, design, and 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In connection with this acquisition, the Company recognized $4.2 million of acquisition-related expenses in “Selling, general and administrative expense” in the consolidated statements of income for the year ended December 31, 2024, including legal fees, consulting fees, and other miscellaneous direct expenses associated with the acquisition.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202124"/>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960" w:type="dxa"/>
            <w:vAlign w:val="bottom"/>
            <w:gridSpan w:val="2"/>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2,839</w:t>
            </w:r>
          </w:p>
        </w:tc>
        <w:tc>
          <w:tcPr>
            <w:tcW w:w="1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24,142</w:t>
            </w:r>
          </w:p>
        </w:tc>
        <w:tc>
          <w:tcPr>
            <w:tcW w:w="12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16,649</w:t>
            </w:r>
          </w:p>
        </w:tc>
        <w:tc>
          <w:tcPr>
            <w:tcW w:w="1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12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9,438</w:t>
            </w:r>
          </w:p>
        </w:tc>
        <w:tc>
          <w:tcPr>
            <w:tcW w:w="1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1,586</w:t>
            </w:r>
          </w:p>
        </w:tc>
        <w:tc>
          <w:tcPr>
            <w:tcW w:w="12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175,680</w:t>
            </w:r>
          </w:p>
        </w:tc>
        <w:tc>
          <w:tcPr>
            <w:tcW w:w="120" w:type="dxa"/>
            <w:vAlign w:val="bottom"/>
          </w:tcPr>
          <w:p>
            <w:pPr>
              <w:spacing w:after="0"/>
              <w:rPr>
                <w:sz w:val="17"/>
                <w:szCs w:val="17"/>
                <w:color w:val="auto"/>
              </w:rPr>
            </w:pP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32,400</w:t>
            </w:r>
          </w:p>
        </w:tc>
        <w:tc>
          <w:tcPr>
            <w:tcW w:w="120" w:type="dxa"/>
            <w:vAlign w:val="bottom"/>
            <w:shd w:val="clear" w:color="auto" w:fill="CFF0FC"/>
          </w:tcPr>
          <w:p>
            <w:pPr>
              <w:spacing w:after="0"/>
              <w:rPr>
                <w:sz w:val="17"/>
                <w:szCs w:val="17"/>
                <w:color w:val="auto"/>
              </w:rPr>
            </w:pP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(8,668)</w:t>
            </w: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(7,296)</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(4,446)</w:t>
            </w: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(2,090)</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(2,299)</w:t>
            </w:r>
          </w:p>
        </w:tc>
      </w:tr>
      <w:tr>
        <w:trPr>
          <w:trHeight w:val="203"/>
        </w:trPr>
        <w:tc>
          <w:tcPr>
            <w:tcW w:w="4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5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(7,462)</w:t>
            </w:r>
          </w:p>
        </w:tc>
      </w:tr>
      <w:tr>
        <w:trPr>
          <w:trHeight w:val="202"/>
        </w:trPr>
        <w:tc>
          <w:tcPr>
            <w:tcW w:w="460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(1,183)</w:t>
            </w:r>
          </w:p>
        </w:tc>
      </w:tr>
      <w:tr>
        <w:trPr>
          <w:trHeight w:val="236"/>
        </w:trPr>
        <w:tc>
          <w:tcPr>
            <w:tcW w:w="460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5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233,517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633"/>
        </w:trPr>
        <w:tc>
          <w:tcPr>
            <w:tcW w:w="4600" w:type="dxa"/>
            <w:vAlign w:val="bottom"/>
          </w:tcPr>
          <w:p>
            <w:pPr>
              <w:spacing w:after="0"/>
              <w:rPr>
                <w:sz w:val="24"/>
                <w:szCs w:val="24"/>
                <w:color w:val="auto"/>
              </w:rPr>
            </w:pPr>
          </w:p>
        </w:tc>
        <w:tc>
          <w:tcPr>
            <w:tcW w:w="4560" w:type="dxa"/>
            <w:vAlign w:val="bottom"/>
          </w:tcPr>
          <w:p>
            <w:pPr>
              <w:jc w:val="right"/>
              <w:ind w:right="339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8"/>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23,400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3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Amortization expense of $2.2 million related to these intangible assets was recorded for the three months ended March 31, 2025. The entire value of goodwill was assigned to the Critical Infrastructure reporting unit and represents synergies expected to be realized from this business combination. $45.8 million of goodwill is deductible for tax purposes.</w:t>
      </w:r>
    </w:p>
    <w:p>
      <w:pPr>
        <w:spacing w:after="0" w:line="16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amount of revenue generated by BCC and included within consolidated revenue is $27.6 million for the three months ended March 31, 2025.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BCC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8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March 31, 2025</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6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1,559,327</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82,768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51,378</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 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BlackSignal Technologies, LLC.</w:t>
      </w:r>
    </w:p>
    <w:p>
      <w:pPr>
        <w:spacing w:after="0" w:line="21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from cash on hand.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In connection with this acquisition, the Company recognized $2.5 million of acquisition-related expenses in “Selling, general and administrative expense” in the consolidated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80"/>
        <w:spacing w:after="0" w:line="271" w:lineRule="auto"/>
        <w:rPr>
          <w:sz w:val="20"/>
          <w:szCs w:val="20"/>
          <w:color w:val="auto"/>
        </w:rPr>
      </w:pPr>
      <w:r>
        <w:rPr>
          <w:rFonts w:ascii="Arial" w:cs="Arial" w:eastAsia="Arial" w:hAnsi="Arial"/>
          <w:sz w:val="18"/>
          <w:szCs w:val="18"/>
          <w:color w:val="auto"/>
        </w:rPr>
        <w:t>statements of income for the year ended December 31, 2024, including legal fees, consulting fees, and other miscellaneous direct expenses associated with the acquisition.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acquisition date fair value of the purchase consideration transferred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4,917</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5,171</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3,209</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447</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 of use assets, operating leases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5,370</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119,663</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97,600</w:t>
            </w:r>
          </w:p>
        </w:tc>
        <w:tc>
          <w:tcPr>
            <w:tcW w:w="120" w:type="dxa"/>
            <w:vAlign w:val="bottom"/>
          </w:tcPr>
          <w:p>
            <w:pPr>
              <w:spacing w:after="0"/>
              <w:rPr>
                <w:sz w:val="17"/>
                <w:szCs w:val="17"/>
                <w:color w:val="auto"/>
              </w:rPr>
            </w:pP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4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7"/>
                <w:szCs w:val="17"/>
                <w:color w:val="auto"/>
              </w:rPr>
            </w:pP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(951)</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(4,999)</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Short-term lease liabilities, operating leases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w:t>
            </w:r>
          </w:p>
        </w:tc>
      </w:tr>
      <w:tr>
        <w:trPr>
          <w:trHeight w:val="203"/>
        </w:trPr>
        <w:tc>
          <w:tcPr>
            <w:tcW w:w="9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(22,461)</w:t>
            </w:r>
          </w:p>
        </w:tc>
      </w:tr>
      <w:tr>
        <w:trPr>
          <w:trHeight w:val="203"/>
        </w:trPr>
        <w:tc>
          <w:tcPr>
            <w:tcW w:w="9160" w:type="dxa"/>
            <w:vAlign w:val="bottom"/>
          </w:tcPr>
          <w:p>
            <w:pPr>
              <w:spacing w:after="0" w:line="202" w:lineRule="exact"/>
              <w:rPr>
                <w:sz w:val="20"/>
                <w:szCs w:val="20"/>
                <w:color w:val="auto"/>
              </w:rPr>
            </w:pPr>
            <w:r>
              <w:rPr>
                <w:rFonts w:ascii="Arial" w:cs="Arial" w:eastAsia="Arial" w:hAnsi="Arial"/>
                <w:sz w:val="18"/>
                <w:szCs w:val="18"/>
                <w:color w:val="auto"/>
              </w:rPr>
              <w:t>Long-term lease liabilities, operating leases</w:t>
            </w:r>
          </w:p>
        </w:tc>
        <w:tc>
          <w:tcPr>
            <w:tcW w:w="40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(4,570)</w:t>
            </w:r>
          </w:p>
        </w:tc>
      </w:tr>
      <w:tr>
        <w:trPr>
          <w:trHeight w:val="236"/>
        </w:trPr>
        <w:tc>
          <w:tcPr>
            <w:tcW w:w="916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203,738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2"/>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196"/>
        </w:trPr>
        <w:tc>
          <w:tcPr>
            <w:tcW w:w="48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rPr>
              <w:t>(in years)</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73,900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Backlog</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11,700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Developed technologies</w:t>
            </w:r>
          </w:p>
        </w:tc>
        <w:tc>
          <w:tcPr>
            <w:tcW w:w="2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Non-compete agreements</w:t>
            </w:r>
          </w:p>
        </w:tc>
        <w:tc>
          <w:tcPr>
            <w:tcW w:w="2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6,100</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r>
    </w:tbl>
    <w:p>
      <w:pPr>
        <w:spacing w:after="0" w:line="197"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Amortization expense of $3.2 million related to these intangible assets was recorded for the three months ended March 31, 2025. The entire value of goodwill was assigned to the Federal Solutions reporting unit and represents synergies expected to be realized from this business combination. $15.7 million of goodwill is deductible for tax purposes.</w:t>
      </w:r>
    </w:p>
    <w:p>
      <w:pPr>
        <w:spacing w:after="0" w:line="169"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The amount of revenue generated by BlackSignal and included within consolidated revenue is $13.1 million for the three months March 31, 2025. The Company has determined that the presentation of net income from the date of acquisition is impracticable due to the integration of general corporate functions upon acquisition.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BlackSignal acquisition had been consummated as of the beginning of fiscal year 2023 (in thousands)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20" w:type="dxa"/>
            <w:vAlign w:val="bottom"/>
            <w:gridSpan w:val="5"/>
          </w:tcPr>
          <w:p>
            <w:pPr>
              <w:ind w:left="114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84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March 31, 2025</w:t>
            </w:r>
          </w:p>
        </w:tc>
        <w:tc>
          <w:tcPr>
            <w:tcW w:w="34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 forma Revenue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6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1,547,742</w:t>
            </w:r>
          </w:p>
        </w:tc>
        <w:tc>
          <w:tcPr>
            <w:tcW w:w="120" w:type="dxa"/>
            <w:vAlign w:val="bottom"/>
            <w:shd w:val="clear" w:color="auto" w:fill="CFF0FC"/>
          </w:tcPr>
          <w:p>
            <w:pPr>
              <w:spacing w:after="0"/>
              <w:rPr>
                <w:sz w:val="17"/>
                <w:szCs w:val="17"/>
                <w:color w:val="auto"/>
              </w:rPr>
            </w:pPr>
          </w:p>
        </w:tc>
      </w:tr>
      <w:tr>
        <w:trPr>
          <w:trHeight w:val="239"/>
        </w:trPr>
        <w:tc>
          <w:tcPr>
            <w:tcW w:w="6840" w:type="dxa"/>
            <w:vAlign w:val="bottom"/>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82,742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51,382</w:t>
            </w:r>
          </w:p>
        </w:tc>
        <w:tc>
          <w:tcPr>
            <w:tcW w:w="120" w:type="dxa"/>
            <w:vAlign w:val="bottom"/>
          </w:tcPr>
          <w:p>
            <w:pPr>
              <w:spacing w:after="0"/>
              <w:rPr>
                <w:sz w:val="20"/>
                <w:szCs w:val="20"/>
                <w:color w:val="auto"/>
              </w:rPr>
            </w:pPr>
          </w:p>
        </w:tc>
      </w:tr>
    </w:tbl>
    <w:p>
      <w:pPr>
        <w:spacing w:after="0" w:line="161" w:lineRule="exact"/>
        <w:rPr>
          <w:sz w:val="20"/>
          <w:szCs w:val="20"/>
          <w:color w:val="auto"/>
        </w:rPr>
      </w:pPr>
    </w:p>
    <w:p>
      <w:pPr>
        <w:ind w:right="840" w:firstLine="509"/>
        <w:spacing w:after="0" w:line="271"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reflects the pro forma impact of additional amortization related to the fair value of acquired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right="340"/>
        <w:spacing w:after="0" w:line="253" w:lineRule="auto"/>
        <w:rPr>
          <w:sz w:val="20"/>
          <w:szCs w:val="20"/>
          <w:color w:val="auto"/>
        </w:rPr>
      </w:pPr>
      <w:r>
        <w:rPr>
          <w:rFonts w:ascii="Arial" w:cs="Arial" w:eastAsia="Arial" w:hAnsi="Arial"/>
          <w:sz w:val="18"/>
          <w:szCs w:val="18"/>
          <w:color w:val="auto"/>
        </w:rPr>
        <w:t>intangible assets, and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371" w:lineRule="exact"/>
        <w:rPr>
          <w:sz w:val="20"/>
          <w:szCs w:val="20"/>
          <w:color w:val="auto"/>
        </w:rPr>
      </w:pPr>
    </w:p>
    <w:p>
      <w:pPr>
        <w:ind w:left="640" w:right="8260" w:hanging="632"/>
        <w:spacing w:after="0" w:line="360" w:lineRule="auto"/>
        <w:tabs>
          <w:tab w:leader="none" w:pos="647"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6"/>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March 31, 2025</w:t>
            </w:r>
          </w:p>
        </w:tc>
        <w:tc>
          <w:tcPr>
            <w:tcW w:w="34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574,573</w:t>
            </w:r>
          </w:p>
        </w:tc>
        <w:tc>
          <w:tcPr>
            <w:tcW w:w="940" w:type="dxa"/>
            <w:vAlign w:val="bottom"/>
            <w:gridSpan w:val="2"/>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631,219</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38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347,090</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350,651</w:t>
            </w:r>
          </w:p>
        </w:tc>
        <w:tc>
          <w:tcPr>
            <w:tcW w:w="100" w:type="dxa"/>
            <w:vAlign w:val="bottom"/>
          </w:tcPr>
          <w:p>
            <w:pPr>
              <w:spacing w:after="0"/>
              <w:rPr>
                <w:sz w:val="17"/>
                <w:szCs w:val="17"/>
                <w:color w:val="auto"/>
              </w:rPr>
            </w:pPr>
          </w:p>
        </w:tc>
      </w:tr>
      <w:tr>
        <w:trPr>
          <w:trHeight w:val="20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38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632,697</w:t>
            </w:r>
          </w:p>
        </w:tc>
        <w:tc>
          <w:tcPr>
            <w:tcW w:w="34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553,806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1,554,360</w:t>
            </w:r>
          </w:p>
        </w:tc>
        <w:tc>
          <w:tcPr>
            <w:tcW w:w="34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1,535,676</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-144780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March 31, 2025 and December 31, 2024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2025</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Pr>
          <w:p>
            <w:pPr>
              <w:spacing w:after="0"/>
              <w:rPr>
                <w:sz w:val="14"/>
                <w:szCs w:val="14"/>
                <w:color w:val="auto"/>
              </w:rPr>
            </w:pPr>
          </w:p>
        </w:tc>
      </w:tr>
      <w:tr>
        <w:trPr>
          <w:trHeight w:val="196"/>
        </w:trPr>
        <w:tc>
          <w:tcPr>
            <w:tcW w:w="6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Contract assets</w:t>
            </w:r>
          </w:p>
        </w:tc>
        <w:tc>
          <w:tcPr>
            <w:tcW w:w="1680" w:type="dxa"/>
            <w:vAlign w:val="bottom"/>
            <w:shd w:val="clear" w:color="auto" w:fill="CFF0FC"/>
          </w:tcPr>
          <w:p>
            <w:pPr>
              <w:jc w:val="right"/>
              <w:ind w:right="1496"/>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8"/>
              </w:rPr>
              <w:t>822,781</w:t>
            </w:r>
          </w:p>
        </w:tc>
        <w:tc>
          <w:tcPr>
            <w:tcW w:w="660" w:type="dxa"/>
            <w:vAlign w:val="bottom"/>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741,504</w:t>
            </w:r>
          </w:p>
        </w:tc>
        <w:tc>
          <w:tcPr>
            <w:tcW w:w="100" w:type="dxa"/>
            <w:vAlign w:val="bottom"/>
            <w:shd w:val="clear" w:color="auto" w:fill="CFF0FC"/>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16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297,511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289,799</w:t>
            </w:r>
          </w:p>
        </w:tc>
        <w:tc>
          <w:tcPr>
            <w:tcW w:w="100" w:type="dxa"/>
            <w:vAlign w:val="bottom"/>
          </w:tcPr>
          <w:p>
            <w:pPr>
              <w:spacing w:after="0"/>
              <w:rPr>
                <w:sz w:val="17"/>
                <w:szCs w:val="17"/>
                <w:color w:val="auto"/>
              </w:rPr>
            </w:pPr>
          </w:p>
        </w:tc>
      </w:tr>
      <w:tr>
        <w:trPr>
          <w:trHeight w:val="243"/>
        </w:trPr>
        <w:tc>
          <w:tcPr>
            <w:tcW w:w="6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contract assets (liabilities) (1)</w:t>
            </w:r>
          </w:p>
        </w:tc>
        <w:tc>
          <w:tcPr>
            <w:tcW w:w="1680" w:type="dxa"/>
            <w:vAlign w:val="bottom"/>
            <w:tcBorders>
              <w:bottom w:val="single" w:sz="8" w:color="auto"/>
            </w:tcBorders>
            <w:shd w:val="clear" w:color="auto" w:fill="CFF0FC"/>
          </w:tcPr>
          <w:p>
            <w:pPr>
              <w:jc w:val="right"/>
              <w:ind w:right="1496"/>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525,270</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451,705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660" w:right="40" w:hanging="652"/>
        <w:spacing w:after="0" w:line="24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$95.3 million as of March 31, 2025, of which $40.0 million are not expected to be paid in the next 12 months. Total contract retentions included in net contract assets (liabilities) were $89.8 million as of December 31, 2024. Contract assets at March 31, 2025 and December 31, 2024 include $70.0 million and $70.7 million, respectively, related to net claim recoveries. For the three months ended March 31, 2025 and March 31, 2024, there were no material losses recognized related to the collectability of claims, unapproved change orders, and requests for equitable adjustment.</w:t>
      </w:r>
    </w:p>
    <w:p>
      <w:pPr>
        <w:spacing w:after="0" w:line="176" w:lineRule="exact"/>
        <w:rPr>
          <w:sz w:val="20"/>
          <w:szCs w:val="20"/>
          <w:color w:val="auto"/>
        </w:rPr>
      </w:pPr>
    </w:p>
    <w:p>
      <w:pPr>
        <w:ind w:right="60" w:firstLine="636"/>
        <w:spacing w:after="0" w:line="276" w:lineRule="auto"/>
        <w:rPr>
          <w:sz w:val="20"/>
          <w:szCs w:val="20"/>
          <w:color w:val="auto"/>
        </w:rPr>
      </w:pPr>
      <w:r>
        <w:rPr>
          <w:rFonts w:ascii="Arial" w:cs="Arial" w:eastAsia="Arial" w:hAnsi="Arial"/>
          <w:sz w:val="18"/>
          <w:szCs w:val="18"/>
          <w:color w:val="auto"/>
        </w:rPr>
        <w:t>During the three months ended March 31, 2025 and March 31, 2024, the Company recognized revenue of $117.3 million and $138.3 million, respectively, that was included in the corresponding contract liability balances at December 31, 2024 and December 31, 2023, respectively.</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was no significant impairment of contract assets recognized during the three months ended March 31, 2025 and March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4"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There have been no revisions in estimates, such as changes in estimated claims or incentives, related to performance obligations partially satisfied in previous periods that individually had an impact of $5 million or more on revenue during the three months ended March 31, 2025 and March 31, 2024.</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March 31, 2025 and December 31, 2024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r>
      <w:tr>
        <w:trPr>
          <w:trHeight w:val="196"/>
        </w:trPr>
        <w:tc>
          <w:tcPr>
            <w:tcW w:w="7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Billed</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714,688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712,046</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Unbilled</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414,149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392,236</w:t>
            </w:r>
          </w:p>
        </w:tc>
        <w:tc>
          <w:tcPr>
            <w:tcW w:w="120" w:type="dxa"/>
            <w:vAlign w:val="bottom"/>
          </w:tcPr>
          <w:p>
            <w:pPr>
              <w:spacing w:after="0"/>
              <w:rPr>
                <w:sz w:val="17"/>
                <w:szCs w:val="17"/>
                <w:color w:val="auto"/>
              </w:rPr>
            </w:pPr>
          </w:p>
        </w:tc>
      </w:tr>
      <w:tr>
        <w:trPr>
          <w:trHeight w:val="196"/>
        </w:trPr>
        <w:tc>
          <w:tcPr>
            <w:tcW w:w="73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gross</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1,128,837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1,104,282</w:t>
            </w:r>
          </w:p>
        </w:tc>
        <w:tc>
          <w:tcPr>
            <w:tcW w:w="120" w:type="dxa"/>
            <w:vAlign w:val="bottom"/>
            <w:shd w:val="clear" w:color="auto" w:fill="CFF0FC"/>
          </w:tcPr>
          <w:p>
            <w:pPr>
              <w:spacing w:after="0"/>
              <w:rPr>
                <w:sz w:val="17"/>
                <w:szCs w:val="17"/>
                <w:color w:val="auto"/>
              </w:rPr>
            </w:pPr>
          </w:p>
        </w:tc>
      </w:tr>
      <w:tr>
        <w:trPr>
          <w:trHeight w:val="203"/>
        </w:trPr>
        <w:tc>
          <w:tcPr>
            <w:tcW w:w="73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420" w:type="dxa"/>
            <w:vAlign w:val="bottom"/>
          </w:tcPr>
          <w:p>
            <w:pPr>
              <w:spacing w:after="0"/>
              <w:rPr>
                <w:sz w:val="17"/>
                <w:szCs w:val="17"/>
                <w:color w:val="auto"/>
              </w:rPr>
            </w:pPr>
          </w:p>
        </w:tc>
        <w:tc>
          <w:tcPr>
            <w:tcW w:w="14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(3,886)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(3,886)</w:t>
            </w:r>
          </w:p>
        </w:tc>
      </w:tr>
      <w:tr>
        <w:trPr>
          <w:trHeight w:val="236"/>
        </w:trPr>
        <w:tc>
          <w:tcPr>
            <w:tcW w:w="730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accounts receivable, net</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1,124,951</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1,100,396</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 Receivables from contracts with the U.S. federal government and its agencies were 14% and 23% as of March 31, 2025 and December 31, 2024, respectively.</w:t>
      </w:r>
    </w:p>
    <w:p>
      <w:pPr>
        <w:spacing w:after="0" w:line="174" w:lineRule="exact"/>
        <w:rPr>
          <w:sz w:val="20"/>
          <w:szCs w:val="20"/>
          <w:color w:val="auto"/>
        </w:rPr>
      </w:pPr>
    </w:p>
    <w:p>
      <w:pPr>
        <w:ind w:right="380" w:firstLine="636"/>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260" w:firstLine="636"/>
        <w:spacing w:after="0" w:line="301" w:lineRule="auto"/>
        <w:rPr>
          <w:sz w:val="20"/>
          <w:szCs w:val="20"/>
          <w:color w:val="auto"/>
        </w:rPr>
      </w:pPr>
      <w:r>
        <w:rPr>
          <w:rFonts w:ascii="Arial" w:cs="Arial" w:eastAsia="Arial" w:hAnsi="Arial"/>
          <w:sz w:val="17"/>
          <w:szCs w:val="17"/>
          <w:color w:val="auto"/>
        </w:rPr>
        <w:t>The Company’s remaining unsatisfied performance obligations (“RUPO”) as of March 31, 2025 represent a measure of the total dollar value of work to be performed on contracts awarded and in-progress. The Company had $6.8 billion in RUPO as of March 31, 2025.</w:t>
      </w:r>
    </w:p>
    <w:p>
      <w:pPr>
        <w:spacing w:after="0" w:line="131" w:lineRule="exact"/>
        <w:rPr>
          <w:sz w:val="20"/>
          <w:szCs w:val="20"/>
          <w:color w:val="auto"/>
        </w:rPr>
      </w:pPr>
    </w:p>
    <w:p>
      <w:pPr>
        <w:ind w:right="120" w:firstLine="636"/>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6"/>
        <w:spacing w:after="0" w:line="247"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March 31, 2025 over the following periods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One to</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820" w:type="dxa"/>
            <w:vAlign w:val="bottom"/>
          </w:tcPr>
          <w:p>
            <w:pPr>
              <w:ind w:left="40"/>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Within One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382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Federal Solutions</w:t>
            </w:r>
          </w:p>
        </w:tc>
        <w:tc>
          <w:tcPr>
            <w:tcW w:w="2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1,842,826</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284,453</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45,480</w:t>
            </w:r>
          </w:p>
        </w:tc>
      </w:tr>
      <w:tr>
        <w:trPr>
          <w:trHeight w:val="203"/>
        </w:trPr>
        <w:tc>
          <w:tcPr>
            <w:tcW w:w="3820" w:type="dxa"/>
            <w:vAlign w:val="bottom"/>
          </w:tcPr>
          <w:p>
            <w:pPr>
              <w:ind w:left="60"/>
              <w:spacing w:after="0" w:line="202" w:lineRule="exact"/>
              <w:rPr>
                <w:sz w:val="20"/>
                <w:szCs w:val="20"/>
                <w:color w:val="auto"/>
              </w:rPr>
            </w:pPr>
            <w:r>
              <w:rPr>
                <w:rFonts w:ascii="Arial" w:cs="Arial" w:eastAsia="Arial" w:hAnsi="Arial"/>
                <w:sz w:val="18"/>
                <w:szCs w:val="18"/>
                <w:color w:val="auto"/>
              </w:rPr>
              <w:t>Critical Infrastructure</w:t>
            </w:r>
          </w:p>
        </w:tc>
        <w:tc>
          <w:tcPr>
            <w:tcW w:w="19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2,491,757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1,214,470</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932,299</w:t>
            </w:r>
          </w:p>
        </w:tc>
        <w:tc>
          <w:tcPr>
            <w:tcW w:w="100" w:type="dxa"/>
            <w:vAlign w:val="bottom"/>
          </w:tcPr>
          <w:p>
            <w:pPr>
              <w:spacing w:after="0"/>
              <w:rPr>
                <w:sz w:val="17"/>
                <w:szCs w:val="17"/>
                <w:color w:val="auto"/>
              </w:rPr>
            </w:pPr>
          </w:p>
        </w:tc>
      </w:tr>
      <w:tr>
        <w:trPr>
          <w:trHeight w:val="236"/>
        </w:trPr>
        <w:tc>
          <w:tcPr>
            <w:tcW w:w="3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4,334,583</w:t>
            </w: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1,498,923</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977,779</w:t>
            </w:r>
          </w:p>
        </w:tc>
      </w:tr>
      <w:tr>
        <w:trPr>
          <w:trHeight w:val="632"/>
        </w:trPr>
        <w:tc>
          <w:tcPr>
            <w:tcW w:w="3820" w:type="dxa"/>
            <w:vAlign w:val="bottom"/>
            <w:tcBorders>
              <w:top w:val="single" w:sz="8" w:color="CFF0FC"/>
            </w:tcBorders>
          </w:tcPr>
          <w:p>
            <w:pPr>
              <w:spacing w:after="0"/>
              <w:rPr>
                <w:sz w:val="24"/>
                <w:szCs w:val="24"/>
                <w:color w:val="auto"/>
              </w:rPr>
            </w:pPr>
          </w:p>
        </w:tc>
        <w:tc>
          <w:tcPr>
            <w:tcW w:w="19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6"/>
        </w:trPr>
        <w:tc>
          <w:tcPr>
            <w:tcW w:w="38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-908050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-908050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firstLine="690"/>
        <w:spacing w:after="0" w:line="261"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eight years, some of which may include options to extend the leases for up to five years, and some of which may include options to terminate the leases after the third year.</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months ended March 31, 2025 and March 31, 2024 are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March 31, 2025</w:t>
            </w: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642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Operating lease cost</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16,555</w:t>
            </w: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16,677</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line="202" w:lineRule="exact"/>
              <w:rPr>
                <w:sz w:val="20"/>
                <w:szCs w:val="20"/>
                <w:color w:val="auto"/>
              </w:rPr>
            </w:pPr>
            <w:r>
              <w:rPr>
                <w:rFonts w:ascii="Arial" w:cs="Arial" w:eastAsia="Arial" w:hAnsi="Arial"/>
                <w:sz w:val="18"/>
                <w:szCs w:val="18"/>
                <w:color w:val="auto"/>
              </w:rPr>
              <w:t>Short-term lease cost</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3,378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3,652</w:t>
            </w: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Amortization of right-of-use assets</w:t>
            </w: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17"/>
                <w:szCs w:val="17"/>
                <w:color w:val="auto"/>
              </w:rPr>
            </w:pPr>
          </w:p>
        </w:tc>
      </w:tr>
      <w:tr>
        <w:trPr>
          <w:trHeight w:val="203"/>
        </w:trPr>
        <w:tc>
          <w:tcPr>
            <w:tcW w:w="6420" w:type="dxa"/>
            <w:vAlign w:val="bottom"/>
          </w:tcPr>
          <w:p>
            <w:pPr>
              <w:ind w:left="160"/>
              <w:spacing w:after="0" w:line="202" w:lineRule="exact"/>
              <w:rPr>
                <w:sz w:val="20"/>
                <w:szCs w:val="20"/>
                <w:color w:val="auto"/>
              </w:rPr>
            </w:pPr>
            <w:r>
              <w:rPr>
                <w:rFonts w:ascii="Arial" w:cs="Arial" w:eastAsia="Arial" w:hAnsi="Arial"/>
                <w:sz w:val="18"/>
                <w:szCs w:val="18"/>
                <w:color w:val="auto"/>
              </w:rPr>
              <w:t>Interest on lease liabilities</w:t>
            </w: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r>
      <w:tr>
        <w:trPr>
          <w:trHeight w:val="203"/>
        </w:trPr>
        <w:tc>
          <w:tcPr>
            <w:tcW w:w="64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Sublease income</w:t>
            </w:r>
          </w:p>
        </w:tc>
        <w:tc>
          <w:tcPr>
            <w:tcW w:w="20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(924)</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(1,119)</w:t>
            </w:r>
          </w:p>
        </w:tc>
      </w:tr>
      <w:tr>
        <w:trPr>
          <w:trHeight w:val="196"/>
        </w:trPr>
        <w:tc>
          <w:tcPr>
            <w:tcW w:w="64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lease cost</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20,245</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20,081</w:t>
            </w:r>
          </w:p>
        </w:tc>
        <w:tc>
          <w:tcPr>
            <w:tcW w:w="100" w:type="dxa"/>
            <w:vAlign w:val="bottom"/>
            <w:tcBorders>
              <w:top w:val="single" w:sz="8" w:color="CFF0FC"/>
            </w:tcBorders>
          </w:tcPr>
          <w:p>
            <w:pPr>
              <w:spacing w:after="0"/>
              <w:rPr>
                <w:sz w:val="17"/>
                <w:szCs w:val="17"/>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-162560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4"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March 31, 2025 and March 31, 2024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gridSpan w:val="5"/>
          </w:tcPr>
          <w:p>
            <w:pPr>
              <w:ind w:left="86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cash flows for operating leases</w:t>
            </w:r>
          </w:p>
        </w:tc>
        <w:tc>
          <w:tcPr>
            <w:tcW w:w="4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17,088</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17,525</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128</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w:t>
            </w: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1,073</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740</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4,694</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1,994</w:t>
            </w:r>
          </w:p>
        </w:tc>
      </w:tr>
      <w:tr>
        <w:trPr>
          <w:trHeight w:val="202"/>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new finance lease liabilities</w:t>
            </w:r>
          </w:p>
        </w:tc>
        <w:tc>
          <w:tcPr>
            <w:tcW w:w="4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548</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1,380</w:t>
            </w:r>
          </w:p>
        </w:tc>
      </w:tr>
    </w:tbl>
    <w:p>
      <w:pPr>
        <w:spacing w:after="0" w:line="224" w:lineRule="exact"/>
        <w:rPr>
          <w:sz w:val="20"/>
          <w:szCs w:val="20"/>
          <w:color w:val="auto"/>
        </w:rPr>
      </w:pPr>
    </w:p>
    <w:p>
      <w:pPr>
        <w:ind w:right="60" w:firstLine="636"/>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March 31, 2025 and December 31, 2024 are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4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Right-of-use assets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148,715</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153,048</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 liabilities: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Current</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53,137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52,725</w:t>
            </w:r>
          </w:p>
        </w:tc>
        <w:tc>
          <w:tcPr>
            <w:tcW w:w="180" w:type="dxa"/>
            <w:vAlign w:val="bottom"/>
          </w:tcPr>
          <w:p>
            <w:pPr>
              <w:spacing w:after="0"/>
              <w:rPr>
                <w:sz w:val="17"/>
                <w:szCs w:val="17"/>
                <w:color w:val="auto"/>
              </w:rPr>
            </w:pPr>
          </w:p>
        </w:tc>
      </w:tr>
      <w:tr>
        <w:trPr>
          <w:trHeight w:val="203"/>
        </w:trPr>
        <w:tc>
          <w:tcPr>
            <w:tcW w:w="49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Long-term</w:t>
            </w:r>
          </w:p>
        </w:tc>
        <w:tc>
          <w:tcPr>
            <w:tcW w:w="13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108,336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114,386</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line="196" w:lineRule="exact"/>
              <w:rPr>
                <w:sz w:val="20"/>
                <w:szCs w:val="20"/>
                <w:color w:val="auto"/>
              </w:rPr>
            </w:pPr>
            <w:r>
              <w:rPr>
                <w:rFonts w:ascii="Arial" w:cs="Arial" w:eastAsia="Arial" w:hAnsi="Arial"/>
                <w:sz w:val="18"/>
                <w:szCs w:val="18"/>
                <w:color w:val="auto"/>
              </w:rPr>
              <w:t>Total operating lease liabilities</w:t>
            </w:r>
          </w:p>
        </w:tc>
        <w:tc>
          <w:tcPr>
            <w:tcW w:w="15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161,473</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167,111</w:t>
            </w:r>
          </w:p>
        </w:tc>
        <w:tc>
          <w:tcPr>
            <w:tcW w:w="18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10,157</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9,864</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3,967</w:t>
            </w:r>
          </w:p>
        </w:tc>
        <w:tc>
          <w:tcPr>
            <w:tcW w:w="2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3,645</w:t>
            </w: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6,475</w:t>
            </w:r>
          </w:p>
        </w:tc>
        <w:tc>
          <w:tcPr>
            <w:tcW w:w="240" w:type="dxa"/>
            <w:vAlign w:val="bottom"/>
          </w:tcPr>
          <w:p>
            <w:pPr>
              <w:spacing w:after="0"/>
              <w:rPr>
                <w:sz w:val="17"/>
                <w:szCs w:val="17"/>
                <w:color w:val="auto"/>
              </w:rPr>
            </w:pPr>
          </w:p>
        </w:tc>
        <w:tc>
          <w:tcPr>
            <w:tcW w:w="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6,441</w:t>
            </w: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3.8 Years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3.9 Years</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 Years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 Years</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leases</w:t>
            </w:r>
          </w:p>
        </w:tc>
        <w:tc>
          <w:tcPr>
            <w:tcW w:w="1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-1576705</wp:posOffset>
            </wp:positionV>
            <wp:extent cx="1111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-1576705</wp:posOffset>
            </wp:positionV>
            <wp:extent cx="1117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2025, the Company has no operating leases that have not yet commenced.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2025 is as follows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Operating Leases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 (remaining)</w:t>
            </w:r>
          </w:p>
        </w:tc>
        <w:tc>
          <w:tcPr>
            <w:tcW w:w="19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46,423</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3,349</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44,723</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3,838</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31,584</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2,581</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26,182</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1,237</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19,348</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8,058</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176,318</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11,122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(14,845)</w:t>
            </w:r>
          </w:p>
        </w:tc>
        <w:tc>
          <w:tcPr>
            <w:tcW w:w="200" w:type="dxa"/>
            <w:vAlign w:val="bottom"/>
          </w:tcPr>
          <w:p>
            <w:pPr>
              <w:spacing w:after="0"/>
              <w:rPr>
                <w:sz w:val="17"/>
                <w:szCs w:val="17"/>
                <w:color w:val="auto"/>
              </w:rPr>
            </w:pP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(680)</w:t>
            </w: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present value of lease liabilities</w:t>
            </w:r>
          </w:p>
        </w:tc>
        <w:tc>
          <w:tcPr>
            <w:tcW w:w="1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161,473</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10,442</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2024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2025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Exchange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4"/>
                <w:szCs w:val="14"/>
                <w:color w:val="auto"/>
              </w:rPr>
            </w:pPr>
          </w:p>
        </w:tc>
      </w:tr>
      <w:tr>
        <w:trPr>
          <w:trHeight w:val="19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1,806,564</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1,806,564</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32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276,116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24,118</w:t>
            </w:r>
          </w:p>
        </w:tc>
        <w:tc>
          <w:tcPr>
            <w:tcW w:w="1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300,508</w:t>
            </w:r>
          </w:p>
        </w:tc>
      </w:tr>
      <w:tr>
        <w:trPr>
          <w:trHeight w:val="20"/>
        </w:trPr>
        <w:tc>
          <w:tcPr>
            <w:tcW w:w="5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6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w:t>
            </w:r>
          </w:p>
        </w:tc>
        <w:tc>
          <w:tcPr>
            <w:tcW w:w="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2,082,680</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24,118</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274</w:t>
            </w:r>
          </w:p>
        </w:tc>
        <w:tc>
          <w:tcPr>
            <w:tcW w:w="340" w:type="dxa"/>
            <w:vAlign w:val="bottom"/>
            <w:gridSpan w:val="2"/>
            <w:shd w:val="clear" w:color="auto" w:fill="CFF0FC"/>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2,107,072</w:t>
            </w:r>
          </w:p>
        </w:tc>
      </w:tr>
      <w:tr>
        <w:trPr>
          <w:trHeight w:val="20"/>
        </w:trPr>
        <w:tc>
          <w:tcPr>
            <w:tcW w:w="56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12"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March 31, 2025 and concluded there has not been an impairment.</w:t>
      </w:r>
    </w:p>
    <w:p>
      <w:pPr>
        <w:spacing w:after="0" w:line="262"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March 31, 2025</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3"/>
            <w:vMerge w:val="restart"/>
          </w:tcPr>
          <w:p>
            <w:pPr>
              <w:jc w:val="right"/>
              <w:ind w:right="60"/>
              <w:spacing w:after="0"/>
              <w:rPr>
                <w:sz w:val="20"/>
                <w:szCs w:val="20"/>
                <w:color w:val="auto"/>
              </w:rPr>
            </w:pPr>
            <w:r>
              <w:rPr>
                <w:rFonts w:ascii="Arial" w:cs="Arial" w:eastAsia="Arial" w:hAnsi="Arial"/>
                <w:sz w:val="13"/>
                <w:szCs w:val="13"/>
                <w:b w:val="1"/>
                <w:bCs w:val="1"/>
                <w:color w:val="auto"/>
                <w:w w:val="99"/>
              </w:rPr>
              <w:t>December 31, 2024</w:t>
            </w: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11"/>
        </w:trPr>
        <w:tc>
          <w:tcPr>
            <w:tcW w:w="386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Gross</w:t>
            </w:r>
          </w:p>
        </w:tc>
        <w:tc>
          <w:tcPr>
            <w:tcW w:w="200" w:type="dxa"/>
            <w:vAlign w:val="bottom"/>
          </w:tcPr>
          <w:p>
            <w:pPr>
              <w:spacing w:after="0"/>
              <w:rPr>
                <w:sz w:val="9"/>
                <w:szCs w:val="9"/>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9"/>
                <w:szCs w:val="9"/>
                <w:color w:val="auto"/>
              </w:rPr>
            </w:pPr>
          </w:p>
        </w:tc>
        <w:tc>
          <w:tcPr>
            <w:tcW w:w="8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right="51"/>
              <w:spacing w:after="0" w:line="111"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7"/>
              </w:rPr>
              <w:t>Accumulated</w:t>
            </w:r>
          </w:p>
        </w:tc>
        <w:tc>
          <w:tcPr>
            <w:tcW w:w="40" w:type="dxa"/>
            <w:vAlign w:val="bottom"/>
          </w:tcPr>
          <w:p>
            <w:pPr>
              <w:spacing w:after="0"/>
              <w:rPr>
                <w:sz w:val="9"/>
                <w:szCs w:val="9"/>
                <w:color w:val="auto"/>
              </w:rPr>
            </w:pPr>
          </w:p>
        </w:tc>
        <w:tc>
          <w:tcPr>
            <w:tcW w:w="80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Net</w:t>
            </w:r>
          </w:p>
        </w:tc>
        <w:tc>
          <w:tcPr>
            <w:tcW w:w="220" w:type="dxa"/>
            <w:vAlign w:val="bottom"/>
          </w:tcPr>
          <w:p>
            <w:pPr>
              <w:spacing w:after="0"/>
              <w:rPr>
                <w:sz w:val="9"/>
                <w:szCs w:val="9"/>
                <w:color w:val="auto"/>
              </w:rPr>
            </w:pPr>
          </w:p>
        </w:tc>
        <w:tc>
          <w:tcPr>
            <w:tcW w:w="1080" w:type="dxa"/>
            <w:vAlign w:val="bottom"/>
            <w:gridSpan w:val="2"/>
          </w:tcPr>
          <w:p>
            <w:pPr>
              <w:jc w:val="center"/>
              <w:ind w:right="140"/>
              <w:spacing w:after="0" w:line="111"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Carrying</w:t>
            </w:r>
          </w:p>
        </w:tc>
        <w:tc>
          <w:tcPr>
            <w:tcW w:w="2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3"/>
              </w:rPr>
              <w:t>Period</w:t>
            </w: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Amortization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Amortization</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96"/>
              </w:rPr>
              <w:t>(in years)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Backlog</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144,000</w:t>
            </w:r>
          </w:p>
        </w:tc>
        <w:tc>
          <w:tcPr>
            <w:tcW w:w="1180" w:type="dxa"/>
            <w:vAlign w:val="bottom"/>
            <w:gridSpan w:val="3"/>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(58,890)</w:t>
            </w:r>
          </w:p>
        </w:tc>
        <w:tc>
          <w:tcPr>
            <w:tcW w:w="9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85,110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142,100</w:t>
            </w:r>
          </w:p>
        </w:tc>
        <w:tc>
          <w:tcPr>
            <w:tcW w:w="1240" w:type="dxa"/>
            <w:vAlign w:val="bottom"/>
            <w:gridSpan w:val="3"/>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(51,322)</w:t>
            </w:r>
          </w:p>
        </w:tc>
        <w:tc>
          <w:tcPr>
            <w:tcW w:w="8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90,778</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Customer relationships</w:t>
            </w:r>
          </w:p>
        </w:tc>
        <w:tc>
          <w:tcPr>
            <w:tcW w:w="840" w:type="dxa"/>
            <w:vAlign w:val="bottom"/>
          </w:tcPr>
          <w:p>
            <w:pPr>
              <w:jc w:val="right"/>
              <w:spacing w:after="0"/>
              <w:rPr>
                <w:sz w:val="20"/>
                <w:szCs w:val="20"/>
                <w:color w:val="auto"/>
              </w:rPr>
            </w:pPr>
            <w:r>
              <w:rPr>
                <w:rFonts w:ascii="Arial" w:cs="Arial" w:eastAsia="Arial" w:hAnsi="Arial"/>
                <w:sz w:val="14"/>
                <w:szCs w:val="14"/>
                <w:color w:val="auto"/>
              </w:rPr>
              <w:t>372,930</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(146,063)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226,867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372,930</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(139,568)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233,362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Developed technology</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27,100</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(8,710)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18,390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23,200</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(7,458)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15,742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Trade name</w:t>
            </w:r>
          </w:p>
        </w:tc>
        <w:tc>
          <w:tcPr>
            <w:tcW w:w="840" w:type="dxa"/>
            <w:vAlign w:val="bottom"/>
          </w:tcPr>
          <w:p>
            <w:pPr>
              <w:jc w:val="right"/>
              <w:spacing w:after="0"/>
              <w:rPr>
                <w:sz w:val="20"/>
                <w:szCs w:val="20"/>
                <w:color w:val="auto"/>
              </w:rPr>
            </w:pPr>
            <w:r>
              <w:rPr>
                <w:rFonts w:ascii="Arial" w:cs="Arial" w:eastAsia="Arial" w:hAnsi="Arial"/>
                <w:sz w:val="14"/>
                <w:szCs w:val="14"/>
                <w:color w:val="auto"/>
              </w:rPr>
              <w:t>1,800</w:t>
            </w:r>
          </w:p>
        </w:tc>
        <w:tc>
          <w:tcPr>
            <w:tcW w:w="1180" w:type="dxa"/>
            <w:vAlign w:val="bottom"/>
            <w:gridSpan w:val="3"/>
          </w:tcPr>
          <w:p>
            <w:pPr>
              <w:jc w:val="right"/>
              <w:ind w:right="80"/>
              <w:spacing w:after="0"/>
              <w:rPr>
                <w:sz w:val="20"/>
                <w:szCs w:val="20"/>
                <w:color w:val="auto"/>
              </w:rPr>
            </w:pPr>
            <w:r>
              <w:rPr>
                <w:rFonts w:ascii="Arial" w:cs="Arial" w:eastAsia="Arial" w:hAnsi="Arial"/>
                <w:sz w:val="14"/>
                <w:szCs w:val="14"/>
                <w:color w:val="auto"/>
              </w:rPr>
              <w:t>(742)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1,058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1,500</w:t>
            </w: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(367)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FF0FC"/>
          </w:tcPr>
          <w:p>
            <w:pPr>
              <w:spacing w:after="0"/>
              <w:rPr>
                <w:sz w:val="20"/>
                <w:szCs w:val="20"/>
                <w:color w:val="auto"/>
              </w:rPr>
            </w:pPr>
            <w:r>
              <w:rPr>
                <w:rFonts w:ascii="Arial" w:cs="Arial" w:eastAsia="Arial" w:hAnsi="Arial"/>
                <w:sz w:val="14"/>
                <w:szCs w:val="14"/>
                <w:color w:val="auto"/>
              </w:rPr>
              <w:t>Non-compete agreements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11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(1,895)</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6,405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8,300</w:t>
            </w: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(1,203)</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7,097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In process research and development</w:t>
            </w:r>
          </w:p>
        </w:tc>
        <w:tc>
          <w:tcPr>
            <w:tcW w:w="840" w:type="dxa"/>
            <w:vAlign w:val="bottom"/>
          </w:tcPr>
          <w:p>
            <w:pPr>
              <w:jc w:val="right"/>
              <w:spacing w:after="0"/>
              <w:rPr>
                <w:sz w:val="20"/>
                <w:szCs w:val="20"/>
                <w:color w:val="auto"/>
              </w:rPr>
            </w:pPr>
            <w:r>
              <w:rPr>
                <w:rFonts w:ascii="Arial" w:cs="Arial" w:eastAsia="Arial" w:hAnsi="Arial"/>
                <w:sz w:val="14"/>
                <w:szCs w:val="14"/>
                <w:color w:val="auto"/>
              </w:rPr>
              <w:t>1,800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1,800</w:t>
            </w:r>
          </w:p>
        </w:tc>
        <w:tc>
          <w:tcPr>
            <w:tcW w:w="220" w:type="dxa"/>
            <w:vAlign w:val="bottom"/>
          </w:tcPr>
          <w:p>
            <w:pPr>
              <w:spacing w:after="0"/>
              <w:rPr>
                <w:sz w:val="14"/>
                <w:szCs w:val="14"/>
                <w:color w:val="auto"/>
              </w:rPr>
            </w:pPr>
          </w:p>
        </w:tc>
        <w:tc>
          <w:tcPr>
            <w:tcW w:w="1080" w:type="dxa"/>
            <w:vAlign w:val="bottom"/>
            <w:gridSpan w:val="2"/>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 intangibles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gridSpan w:val="2"/>
            <w:shd w:val="clear" w:color="auto" w:fill="CFF0FC"/>
          </w:tcPr>
          <w:p>
            <w:pPr>
              <w:ind w:left="7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3860" w:type="dxa"/>
            <w:vAlign w:val="bottom"/>
          </w:tcPr>
          <w:p>
            <w:pPr>
              <w:ind w:left="80"/>
              <w:spacing w:after="0" w:line="155" w:lineRule="exact"/>
              <w:rPr>
                <w:sz w:val="20"/>
                <w:szCs w:val="20"/>
                <w:color w:val="auto"/>
              </w:rPr>
            </w:pPr>
            <w:r>
              <w:rPr>
                <w:rFonts w:ascii="Arial" w:cs="Arial" w:eastAsia="Arial" w:hAnsi="Arial"/>
                <w:sz w:val="14"/>
                <w:szCs w:val="14"/>
                <w:color w:val="auto"/>
              </w:rPr>
              <w:t>Total intangible assets</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   555,955</w:t>
            </w:r>
          </w:p>
        </w:tc>
        <w:tc>
          <w:tcPr>
            <w:tcW w:w="200" w:type="dxa"/>
            <w:vAlign w:val="bottom"/>
          </w:tcPr>
          <w:p>
            <w:pPr>
              <w:spacing w:after="0"/>
              <w:rPr>
                <w:sz w:val="13"/>
                <w:szCs w:val="13"/>
                <w:color w:val="auto"/>
              </w:rPr>
            </w:pPr>
          </w:p>
        </w:tc>
        <w:tc>
          <w:tcPr>
            <w:tcW w:w="9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  (216,300)</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339,655</w:t>
            </w:r>
          </w:p>
        </w:tc>
        <w:tc>
          <w:tcPr>
            <w:tcW w:w="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549,855</w:t>
            </w:r>
          </w:p>
        </w:tc>
        <w:tc>
          <w:tcPr>
            <w:tcW w:w="124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   (199,918)</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   349,937</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-119380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-119380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-119380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-119380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-119380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4" w:lineRule="exact"/>
        <w:rPr>
          <w:sz w:val="20"/>
          <w:szCs w:val="20"/>
          <w:color w:val="auto"/>
        </w:rPr>
      </w:pPr>
    </w:p>
    <w:p>
      <w:pPr>
        <w:ind w:right="40" w:firstLine="636"/>
        <w:spacing w:after="0" w:line="303" w:lineRule="auto"/>
        <w:rPr>
          <w:sz w:val="20"/>
          <w:szCs w:val="20"/>
          <w:color w:val="auto"/>
        </w:rPr>
      </w:pPr>
      <w:r>
        <w:rPr>
          <w:rFonts w:ascii="Arial" w:cs="Arial" w:eastAsia="Arial" w:hAnsi="Arial"/>
          <w:sz w:val="18"/>
          <w:szCs w:val="18"/>
          <w:color w:val="auto"/>
        </w:rPr>
        <w:t>The aggregate amortization expense of intangible assets for the three months ended March 31, 2025 and March 31, 2024 was $16.4 million and $13.7 million,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right="520" w:firstLine="636"/>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49,582</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280" w:type="dxa"/>
            <w:vAlign w:val="bottom"/>
          </w:tcPr>
          <w:p>
            <w:pPr>
              <w:spacing w:after="0"/>
              <w:rPr>
                <w:sz w:val="17"/>
                <w:szCs w:val="17"/>
                <w:color w:val="auto"/>
              </w:rPr>
            </w:pP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58,231</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2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51,652</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280" w:type="dxa"/>
            <w:vAlign w:val="bottom"/>
          </w:tcPr>
          <w:p>
            <w:pPr>
              <w:spacing w:after="0"/>
              <w:rPr>
                <w:sz w:val="17"/>
                <w:szCs w:val="17"/>
                <w:color w:val="auto"/>
              </w:rPr>
            </w:pPr>
          </w:p>
        </w:tc>
        <w:tc>
          <w:tcPr>
            <w:tcW w:w="1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37,184</w:t>
            </w: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28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22,918</w:t>
            </w: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118,288</w:t>
            </w:r>
          </w:p>
        </w:tc>
        <w:tc>
          <w:tcPr>
            <w:tcW w:w="10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337,855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March 31, 2025 and December 31, 2024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Pr>
          <w:p>
            <w:pPr>
              <w:spacing w:after="0"/>
              <w:rPr>
                <w:sz w:val="14"/>
                <w:szCs w:val="14"/>
                <w:color w:val="auto"/>
              </w:rPr>
            </w:pPr>
          </w:p>
        </w:tc>
        <w:tc>
          <w:tcPr>
            <w:tcW w:w="16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(years)</w:t>
            </w:r>
          </w:p>
        </w:tc>
        <w:tc>
          <w:tcPr>
            <w:tcW w:w="20" w:type="dxa"/>
            <w:vAlign w:val="bottom"/>
          </w:tcPr>
          <w:p>
            <w:pPr>
              <w:spacing w:after="0"/>
              <w:rPr>
                <w:sz w:val="14"/>
                <w:szCs w:val="14"/>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Buildings and leasehold improvements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108,460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103,945</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86,722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84,720</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2"/>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Computer systems and equipment</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175,743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172,437</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Construction equipment</w:t>
            </w:r>
          </w:p>
        </w:tc>
        <w:tc>
          <w:tcPr>
            <w:tcW w:w="18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12,093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6,463</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32,208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30,342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415,226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397,907</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depreciation</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(293,473)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(286,332)</w:t>
            </w:r>
          </w:p>
        </w:tc>
        <w:tc>
          <w:tcPr>
            <w:tcW w:w="16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40" w:type="dxa"/>
            <w:vAlign w:val="bottom"/>
          </w:tcPr>
          <w:p>
            <w:pPr>
              <w:ind w:left="16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121,753</w:t>
            </w:r>
          </w:p>
        </w:tc>
        <w:tc>
          <w:tcPr>
            <w:tcW w:w="16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111,575</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-427990</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-161925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1000" w:firstLine="636"/>
        <w:spacing w:after="0" w:line="271" w:lineRule="auto"/>
        <w:rPr>
          <w:sz w:val="20"/>
          <w:szCs w:val="20"/>
          <w:color w:val="auto"/>
        </w:rPr>
      </w:pPr>
      <w:r>
        <w:rPr>
          <w:rFonts w:ascii="Arial" w:cs="Arial" w:eastAsia="Arial" w:hAnsi="Arial"/>
          <w:sz w:val="18"/>
          <w:szCs w:val="18"/>
          <w:color w:val="auto"/>
        </w:rPr>
        <w:t>Depreciation expense for the three months ended March 31, 2025 and March 31, 2024 was $9.1 million and $9.4 million, respectively.</w:t>
      </w:r>
    </w:p>
    <w:p>
      <w:pPr>
        <w:spacing w:after="0" w:line="4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2024</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4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ind w:left="80"/>
              <w:spacing w:after="0"/>
              <w:rPr>
                <w:sz w:val="20"/>
                <w:szCs w:val="20"/>
                <w:color w:val="auto"/>
              </w:rPr>
            </w:pPr>
            <w:r>
              <w:rPr>
                <w:rFonts w:ascii="Arial" w:cs="Arial" w:eastAsia="Arial" w:hAnsi="Arial"/>
                <w:sz w:val="18"/>
                <w:szCs w:val="18"/>
                <w:color w:val="auto"/>
              </w:rPr>
              <w:t>Delayed draw term loan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r>
      <w:tr>
        <w:trPr>
          <w:trHeight w:val="203"/>
        </w:trPr>
        <w:tc>
          <w:tcPr>
            <w:tcW w:w="6160" w:type="dxa"/>
            <w:vAlign w:val="bottom"/>
            <w:tcBorders>
              <w:bottom w:val="single" w:sz="8" w:color="CFF0FC"/>
            </w:tcBorders>
            <w:shd w:val="clear" w:color="auto" w:fill="CFF0FC"/>
          </w:tcPr>
          <w:p>
            <w:pPr>
              <w:ind w:left="80"/>
              <w:spacing w:after="0" w:line="202" w:lineRule="exact"/>
              <w:rPr>
                <w:sz w:val="20"/>
                <w:szCs w:val="20"/>
                <w:color w:val="auto"/>
              </w:rPr>
            </w:pPr>
            <w:r>
              <w:rPr>
                <w:rFonts w:ascii="Arial" w:cs="Arial" w:eastAsia="Arial" w:hAnsi="Arial"/>
                <w:sz w:val="18"/>
                <w:szCs w:val="18"/>
                <w:color w:val="auto"/>
              </w:rPr>
              <w:t>Convertible senior notes due 2025</w:t>
            </w:r>
          </w:p>
        </w:tc>
        <w:tc>
          <w:tcPr>
            <w:tcW w:w="24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84,925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113,405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463,405</w:t>
            </w:r>
          </w:p>
        </w:tc>
        <w:tc>
          <w:tcPr>
            <w:tcW w:w="100" w:type="dxa"/>
            <w:vAlign w:val="bottom"/>
          </w:tcPr>
          <w:p>
            <w:pPr>
              <w:spacing w:after="0"/>
              <w:rPr>
                <w:sz w:val="18"/>
                <w:szCs w:val="18"/>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Convertible senior notes due 2029</w:t>
            </w:r>
          </w:p>
        </w:tc>
        <w:tc>
          <w:tcPr>
            <w:tcW w:w="24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80"/>
              <w:spacing w:after="0" w:line="202" w:lineRule="exact"/>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(14,802)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(15,904)</w:t>
            </w:r>
          </w:p>
        </w:tc>
      </w:tr>
      <w:tr>
        <w:trPr>
          <w:trHeight w:val="196"/>
        </w:trPr>
        <w:tc>
          <w:tcPr>
            <w:tcW w:w="6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785,198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784,096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spacing w:after="0" w:line="196" w:lineRule="exact"/>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1,220,123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1,247,501</w:t>
            </w:r>
          </w:p>
        </w:tc>
        <w:tc>
          <w:tcPr>
            <w:tcW w:w="100" w:type="dxa"/>
            <w:vAlign w:val="bottom"/>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-984885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-161925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-161925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Delayed Draw Term Loan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2022, the Company entered into a $350 million unsecured Delayed Draw Term Loan with an increase option of up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million (the “2022 Delayed Draw Term Loan”). Proceeds of the 2022 Delayed Draw Term Loan Agreement may be used (a) to pay off in</w:t>
      </w:r>
    </w:p>
    <w:p>
      <w:pPr>
        <w:spacing w:after="0" w:line="234" w:lineRule="auto"/>
        <w:rPr>
          <w:sz w:val="20"/>
          <w:szCs w:val="20"/>
          <w:color w:val="auto"/>
        </w:rPr>
      </w:pPr>
      <w:r>
        <w:rPr>
          <w:rFonts w:ascii="Arial" w:cs="Arial" w:eastAsia="Arial" w:hAnsi="Arial"/>
          <w:sz w:val="18"/>
          <w:szCs w:val="18"/>
          <w:color w:val="auto"/>
        </w:rPr>
        <w:t>full, or partially payoff, the Company’s existing Senior Notes, (b) to prepay revolving loans outstanding under the Revolving Credit Agreement</w:t>
      </w:r>
    </w:p>
    <w:p>
      <w:pPr>
        <w:spacing w:after="0" w:line="235" w:lineRule="auto"/>
        <w:rPr>
          <w:sz w:val="20"/>
          <w:szCs w:val="20"/>
          <w:color w:val="auto"/>
        </w:rPr>
      </w:pPr>
      <w:r>
        <w:rPr>
          <w:rFonts w:ascii="Arial" w:cs="Arial" w:eastAsia="Arial" w:hAnsi="Arial"/>
          <w:sz w:val="18"/>
          <w:szCs w:val="18"/>
          <w:color w:val="auto"/>
        </w:rPr>
        <w:t>(as defined below), or (c) for working capital, capital expenditures and other lawful corporate purposes. The Company incurred $0.9 million of</w:t>
      </w:r>
    </w:p>
    <w:p>
      <w:pPr>
        <w:spacing w:after="0" w:line="235" w:lineRule="auto"/>
        <w:rPr>
          <w:sz w:val="20"/>
          <w:szCs w:val="20"/>
          <w:color w:val="auto"/>
        </w:rPr>
      </w:pPr>
      <w:r>
        <w:rPr>
          <w:rFonts w:ascii="Arial" w:cs="Arial" w:eastAsia="Arial" w:hAnsi="Arial"/>
          <w:sz w:val="18"/>
          <w:szCs w:val="18"/>
          <w:color w:val="auto"/>
        </w:rPr>
        <w:t>debt issuance costs in connection with the delayed draw term loan. These costs are presented as a direct deduction from long-term debt on</w:t>
      </w:r>
    </w:p>
    <w:p>
      <w:pPr>
        <w:spacing w:after="0" w:line="235" w:lineRule="auto"/>
        <w:rPr>
          <w:sz w:val="20"/>
          <w:szCs w:val="20"/>
          <w:color w:val="auto"/>
        </w:rPr>
      </w:pPr>
      <w:r>
        <w:rPr>
          <w:rFonts w:ascii="Arial" w:cs="Arial" w:eastAsia="Arial" w:hAnsi="Arial"/>
          <w:sz w:val="18"/>
          <w:szCs w:val="18"/>
          <w:color w:val="auto"/>
        </w:rPr>
        <w:t>the face of the balance sheet. Interest expense related to the Delayed Draw Term Loan for the three months ended March 31, 2025 and</w:t>
      </w:r>
    </w:p>
    <w:p>
      <w:pPr>
        <w:spacing w:after="0" w:line="235" w:lineRule="auto"/>
        <w:rPr>
          <w:sz w:val="20"/>
          <w:szCs w:val="20"/>
          <w:color w:val="auto"/>
        </w:rPr>
      </w:pPr>
      <w:r>
        <w:rPr>
          <w:rFonts w:ascii="Arial" w:cs="Arial" w:eastAsia="Arial" w:hAnsi="Arial"/>
          <w:sz w:val="18"/>
          <w:szCs w:val="18"/>
          <w:color w:val="auto"/>
        </w:rPr>
        <w:t>March 31, 2024 were $4.9 million and $6.0 million, respectively. The amortization of debt issuance costs and interest expense is recorded in</w:t>
      </w:r>
    </w:p>
    <w:p>
      <w:pPr>
        <w:spacing w:after="0" w:line="234" w:lineRule="auto"/>
        <w:rPr>
          <w:sz w:val="20"/>
          <w:szCs w:val="20"/>
          <w:color w:val="auto"/>
        </w:rPr>
      </w:pPr>
      <w:r>
        <w:rPr>
          <w:rFonts w:ascii="Arial" w:cs="Arial" w:eastAsia="Arial" w:hAnsi="Arial"/>
          <w:sz w:val="18"/>
          <w:szCs w:val="18"/>
          <w:color w:val="auto"/>
        </w:rPr>
        <w:t>“Interest expense” on the consolidated statements of income. As of March 31, 2025 and December 31, 2024, there was $350.0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the Delayed Draw Term Loan.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firstLine="509"/>
        <w:spacing w:after="0" w:line="239" w:lineRule="auto"/>
        <w:rPr>
          <w:sz w:val="20"/>
          <w:szCs w:val="20"/>
          <w:color w:val="auto"/>
        </w:rPr>
      </w:pPr>
      <w:r>
        <w:rPr>
          <w:rFonts w:ascii="Arial" w:cs="Arial" w:eastAsia="Arial" w:hAnsi="Arial"/>
          <w:sz w:val="18"/>
          <w:szCs w:val="18"/>
          <w:color w:val="auto"/>
        </w:rPr>
        <w:t>The 2022 Delayed Draw Term Loan has a three-year maturity and permits the Company to borrow in U.S. dollars. The 2022 Delayed Draw Term Loan does not require any amortization payments by the Company. Depending on the Company’s consolidated leverage ratio (or debt rating after such time as the Company has such rating),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Amounts outstanding under the 2022 Delayed Draw Term Loan Agreement may be prepaid at the option of the Company without premium or penalty, subject to customary breakage fees in connection with the prepayment of benchmark rate loans. The interest rates on March 31, 2025 and December 31, 2024 were 5.5% and 5.6%, respectively.</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Convertible Senior Notes due 2025</w:t>
      </w:r>
    </w:p>
    <w:p>
      <w:pPr>
        <w:spacing w:after="0" w:line="102"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76" w:lineRule="exact"/>
        <w:rPr>
          <w:sz w:val="20"/>
          <w:szCs w:val="20"/>
          <w:color w:val="auto"/>
        </w:rPr>
      </w:pPr>
    </w:p>
    <w:p>
      <w:pPr>
        <w:ind w:right="10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400" w:right="6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hanging="374"/>
        <w:spacing w:after="0" w:line="246" w:lineRule="auto"/>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9" w:name="page20"/>
    <w:bookmarkEnd w:id="19"/>
    <w:p>
      <w:pPr>
        <w:ind w:right="60" w:firstLine="644"/>
        <w:spacing w:after="0" w:line="231"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83"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jc w:val="both"/>
        <w:ind w:right="180" w:firstLine="644"/>
        <w:spacing w:after="0" w:line="253" w:lineRule="auto"/>
        <w:rPr>
          <w:sz w:val="20"/>
          <w:szCs w:val="20"/>
          <w:color w:val="auto"/>
        </w:rPr>
      </w:pPr>
      <w:r>
        <w:rPr>
          <w:rFonts w:ascii="Arial" w:cs="Arial" w:eastAsia="Arial" w:hAnsi="Arial"/>
          <w:sz w:val="18"/>
          <w:szCs w:val="18"/>
          <w:color w:val="auto"/>
        </w:rPr>
        <w:t>The Company recognized interest expense of $0.07 million and $3.7 million for the three months ended March 31, 2025 and March 31, 2024, respectively. The net, carrying value of the Convertible Senior Notes were $84.9 million and $113.4 million as of March 31, 2025 and December 31, 2024, respectively.</w:t>
      </w:r>
    </w:p>
    <w:p>
      <w:pPr>
        <w:spacing w:after="0" w:line="169" w:lineRule="exact"/>
        <w:rPr>
          <w:sz w:val="20"/>
          <w:szCs w:val="20"/>
          <w:color w:val="auto"/>
        </w:rPr>
      </w:pPr>
    </w:p>
    <w:p>
      <w:pPr>
        <w:ind w:right="360" w:firstLine="644"/>
        <w:spacing w:after="0" w:line="271" w:lineRule="auto"/>
        <w:rPr>
          <w:sz w:val="20"/>
          <w:szCs w:val="20"/>
          <w:color w:val="auto"/>
        </w:rPr>
      </w:pPr>
      <w:r>
        <w:rPr>
          <w:rFonts w:ascii="Arial" w:cs="Arial" w:eastAsia="Arial" w:hAnsi="Arial"/>
          <w:sz w:val="18"/>
          <w:szCs w:val="18"/>
          <w:color w:val="auto"/>
        </w:rPr>
        <w:t>See the discussion of the partial repurchase of Convertible Senior Notes due 2025 and the unwind of the related note hedge and warrants below.</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 Hedge and Warrant - Convertible Senior Notes due 2025</w:t>
      </w:r>
    </w:p>
    <w:p>
      <w:pPr>
        <w:spacing w:after="0" w:line="210"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2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8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8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10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b w:val="1"/>
          <w:bCs w:val="1"/>
          <w:i w:val="1"/>
          <w:iCs w:val="1"/>
          <w:color w:val="auto"/>
        </w:rPr>
        <w:t>Convertible Senior Notes due 2029</w:t>
      </w:r>
    </w:p>
    <w:p>
      <w:pPr>
        <w:spacing w:after="0" w:line="210" w:lineRule="exact"/>
        <w:rPr>
          <w:sz w:val="20"/>
          <w:szCs w:val="20"/>
          <w:color w:val="auto"/>
        </w:rPr>
      </w:pPr>
    </w:p>
    <w:p>
      <w:pPr>
        <w:ind w:right="140" w:firstLine="644"/>
        <w:spacing w:after="0" w:line="245" w:lineRule="auto"/>
        <w:rPr>
          <w:sz w:val="20"/>
          <w:szCs w:val="20"/>
          <w:color w:val="auto"/>
        </w:rPr>
      </w:pPr>
      <w:r>
        <w:rPr>
          <w:rFonts w:ascii="Arial" w:cs="Arial" w:eastAsia="Arial" w:hAnsi="Arial"/>
          <w:sz w:val="18"/>
          <w:szCs w:val="18"/>
          <w:color w:val="auto"/>
        </w:rPr>
        <w:t>In February 2024, the Company issued an aggregate $800.0 million of 2.625% Convertible Senior Notes due 2029 (the “2029 Convertible Notes”), including the exercise of a $100.0 million initial purchasers’ option in full. The Company received proceeds from the issuance and sale of the 2029 Convertible Notes of $781.1 million, net of $18.9 million of transaction fees and other third-party offering expenses. The 2029 Convertible Notes accrue interest at a rate of 2.625% per annum, payable semi-annually on March 1 and September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each year beginning on September 1, 2024, and will mature on March 1, 2029, unless earlier repurchased, redeemed or converted.</w:t>
      </w:r>
    </w:p>
    <w:p>
      <w:pPr>
        <w:spacing w:after="0" w:line="216"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The 2029 Convertible Notes are the Company’s senior unsecured obligations and will rank senior in right of payment to any of the Company’s indebtedness that is expressly subordinated in right of payment to the 2029 Convertible Notes; equal in right of payment to any of the Company’s unsecured indebtedness that is not so subordinated; effectively junior in right of payment to any of the Company’s secured indebtedness, including borrowings under the Company’s revolving credit facility and delayed draw term loan credit facility, to the extent of the value of the assets securing such indebtedness; and structurally junior to all indebtedness and other liabilities (including trade payables) of the Company’s subsidiaries.</w:t>
      </w:r>
    </w:p>
    <w:p>
      <w:pPr>
        <w:spacing w:after="0" w:line="179"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2029 Convertible Notes will initially be convertible into 10.6256 shares of our common stock, which is equivalent to an initial conversion price of approximately $94.11 per share, subject to adjustment upon the occurrence of specified events. On or after October 1, 2028 until the close of business on the second scheduled trading day immediately preceding the maturity date of the 2029 Convertible Notes, holders may convert all or a portion of their 2029 Convertible Notes, regardless of the conditions below.</w:t>
      </w:r>
    </w:p>
    <w:p>
      <w:pPr>
        <w:spacing w:after="0" w:line="174" w:lineRule="exact"/>
        <w:rPr>
          <w:sz w:val="20"/>
          <w:szCs w:val="20"/>
          <w:color w:val="auto"/>
        </w:rPr>
      </w:pPr>
    </w:p>
    <w:p>
      <w:pPr>
        <w:ind w:right="6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October 1, 2028, the 2029 Convertible Notes will be convertible at the option of the holders thereof only under the following circumstances:</w:t>
      </w:r>
    </w:p>
    <w:p>
      <w:pPr>
        <w:spacing w:after="0" w:line="154" w:lineRule="exact"/>
        <w:rPr>
          <w:sz w:val="20"/>
          <w:szCs w:val="20"/>
          <w:color w:val="auto"/>
        </w:rPr>
      </w:pPr>
    </w:p>
    <w:p>
      <w:pPr>
        <w:jc w:val="both"/>
        <w:ind w:left="1400" w:right="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June 30, 2024,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400" w:right="160" w:hanging="374"/>
        <w:spacing w:after="0" w:line="246" w:lineRule="auto"/>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ten consecutive trading day period in which, for each trading day of that period, the trading price per $1,000 principal amount of 2029 Convertible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2029 Convertible Notes for redemption; or</w:t>
      </w:r>
    </w:p>
    <w:p>
      <w:pPr>
        <w:spacing w:after="0" w:line="22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24" w:lineRule="exact"/>
        <w:rPr>
          <w:sz w:val="20"/>
          <w:szCs w:val="20"/>
          <w:color w:val="auto"/>
        </w:rPr>
      </w:pPr>
    </w:p>
    <w:p>
      <w:pPr>
        <w:ind w:right="40" w:firstLine="644"/>
        <w:spacing w:after="0"/>
        <w:rPr>
          <w:sz w:val="20"/>
          <w:szCs w:val="20"/>
          <w:color w:val="auto"/>
        </w:rPr>
      </w:pPr>
      <w:r>
        <w:rPr>
          <w:rFonts w:ascii="Arial" w:cs="Arial" w:eastAsia="Arial" w:hAnsi="Arial"/>
          <w:sz w:val="18"/>
          <w:szCs w:val="18"/>
          <w:color w:val="auto"/>
        </w:rPr>
        <w:t>The Company may redeem all or any portion of the 2029 Convertible Notes for cash, at its option, on or after March 8, 2027 and before the 51st scheduled trading day immediately before the maturity date at a redemption price equal to 100% of the principal amount of the 2029 Convertible Notes to be redeemed, plus accrued and unpaid interest, but only if the last reported sale price per share of the Company’s common stock exceeds 130% of the conversion price for a specified period of time. In addition, calling any 2029 Convertible Notes for redemption will constitute a Make-Whole Fundamental Change with respect to that 2029 Convertible Note, in which case the conversion rate applicable to the conversion of that 2029 Convertible Notes will be increased in certain circumstances if it is converted after it is called for redemption.</w:t>
      </w:r>
    </w:p>
    <w:p>
      <w:pPr>
        <w:spacing w:after="0" w:line="185"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2029 Convertible Notes, holders of the 2029 Convertible Notes may require the Company to repurchase all or a portion of the 2029 Convertible Notes for cash at a price equal to 100% of the principal amount of the 2029 Convertible Notes to be repurchased, plus any accrued and unpaid interest to, but excluding, the fundamental change repurchase date.</w:t>
      </w:r>
    </w:p>
    <w:p>
      <w:pPr>
        <w:spacing w:after="0" w:line="174" w:lineRule="exact"/>
        <w:rPr>
          <w:sz w:val="20"/>
          <w:szCs w:val="20"/>
          <w:color w:val="auto"/>
        </w:rPr>
      </w:pPr>
    </w:p>
    <w:p>
      <w:pPr>
        <w:ind w:right="300" w:firstLine="644"/>
        <w:spacing w:after="0" w:line="253" w:lineRule="auto"/>
        <w:rPr>
          <w:sz w:val="20"/>
          <w:szCs w:val="20"/>
          <w:color w:val="auto"/>
        </w:rPr>
      </w:pPr>
      <w:r>
        <w:rPr>
          <w:rFonts w:ascii="Arial" w:cs="Arial" w:eastAsia="Arial" w:hAnsi="Arial"/>
          <w:sz w:val="18"/>
          <w:szCs w:val="18"/>
          <w:color w:val="auto"/>
        </w:rPr>
        <w:t>Upon conversion, the Company will settle the principal amount of the 2029 Convertible Notes converted in cash and will settle the remainder of the consideration owed upon conversion in cash, shares of the Company’s common stock, or a combination thereof, at the Company’s option, with such amount of cash and, if applicable, shares of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1" w:name="page22"/>
    <w:bookmarkEnd w:id="21"/>
    <w:p>
      <w:pPr>
        <w:ind w:right="780"/>
        <w:spacing w:after="0" w:line="271" w:lineRule="auto"/>
        <w:rPr>
          <w:sz w:val="20"/>
          <w:szCs w:val="20"/>
          <w:color w:val="auto"/>
        </w:rPr>
      </w:pPr>
      <w:r>
        <w:rPr>
          <w:rFonts w:ascii="Arial" w:cs="Arial" w:eastAsia="Arial" w:hAnsi="Arial"/>
          <w:sz w:val="18"/>
          <w:szCs w:val="18"/>
          <w:color w:val="auto"/>
        </w:rPr>
        <w:t>due upon conversion based on a daily conversion value calculated on a proportionate basis for each trading day in a 50-trading day observation period.</w:t>
      </w:r>
    </w:p>
    <w:p>
      <w:pPr>
        <w:spacing w:after="0" w:line="154" w:lineRule="exact"/>
        <w:rPr>
          <w:sz w:val="20"/>
          <w:szCs w:val="20"/>
          <w:color w:val="auto"/>
        </w:rPr>
      </w:pPr>
    </w:p>
    <w:p>
      <w:pPr>
        <w:ind w:right="40" w:firstLine="644"/>
        <w:spacing w:after="0" w:line="253" w:lineRule="auto"/>
        <w:rPr>
          <w:sz w:val="20"/>
          <w:szCs w:val="20"/>
          <w:color w:val="auto"/>
        </w:rPr>
      </w:pPr>
      <w:r>
        <w:rPr>
          <w:rFonts w:ascii="Arial" w:cs="Arial" w:eastAsia="Arial" w:hAnsi="Arial"/>
          <w:sz w:val="18"/>
          <w:szCs w:val="18"/>
          <w:color w:val="auto"/>
        </w:rPr>
        <w:t>The Company recognized interest expense with respect to the Convertible Senior Notes Due 2029 of $6.3 million and $2.4 million for the three months ended March 31, 2025 and March 31, 2024, respectively. As of March 31, 2025 and December 31, 2024, the net, carrying value of the Convertible Senior Notes Due 2029 were $785.4 million and $784.3 million, respectively.</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Capped Call Transactions - Convertible Senior Notes due 2029</w:t>
      </w:r>
    </w:p>
    <w:p>
      <w:pPr>
        <w:spacing w:after="0" w:line="210" w:lineRule="exact"/>
        <w:rPr>
          <w:sz w:val="20"/>
          <w:szCs w:val="20"/>
          <w:color w:val="auto"/>
        </w:rPr>
      </w:pPr>
    </w:p>
    <w:p>
      <w:pPr>
        <w:ind w:right="160" w:firstLine="644"/>
        <w:spacing w:after="0"/>
        <w:rPr>
          <w:sz w:val="20"/>
          <w:szCs w:val="20"/>
          <w:color w:val="auto"/>
        </w:rPr>
      </w:pPr>
      <w:r>
        <w:rPr>
          <w:rFonts w:ascii="Arial" w:cs="Arial" w:eastAsia="Arial" w:hAnsi="Arial"/>
          <w:sz w:val="18"/>
          <w:szCs w:val="18"/>
          <w:color w:val="auto"/>
        </w:rPr>
        <w:t>In February 2024, in connection with the offering of the 2029 Convertible Notes, the Company entered into capped call transactions (the “Capped Call Transactions”) with certain financial institutions. The Capped Call Transactions are expected generally to reduce the potential dilution to the Company’s common stock upon any conversion of the Convertible Senior Notes due 2029 and/or offset any cash payments the Company is required to make in excess of the principal amount of any converted Convertible Senior Notes due 2029, as the case may be. If, however, the market price per share of the Company’s common stock, as measured under the terms of the Capped Call Transactions, exceeds the cap price of the Capped Call Transactions, there would nevertheless be dilution and/or there would not be an offset of such cash payments, in each case, to the extent that such market price exceeds the cap price of the Capped Call Transactions.</w:t>
      </w:r>
    </w:p>
    <w:p>
      <w:pPr>
        <w:spacing w:after="0" w:line="185" w:lineRule="exact"/>
        <w:rPr>
          <w:sz w:val="20"/>
          <w:szCs w:val="20"/>
          <w:color w:val="auto"/>
        </w:rPr>
      </w:pPr>
    </w:p>
    <w:p>
      <w:pPr>
        <w:ind w:right="200" w:firstLine="644"/>
        <w:spacing w:after="0" w:line="247" w:lineRule="auto"/>
        <w:rPr>
          <w:sz w:val="20"/>
          <w:szCs w:val="20"/>
          <w:color w:val="auto"/>
        </w:rPr>
      </w:pPr>
      <w:r>
        <w:rPr>
          <w:rFonts w:ascii="Arial" w:cs="Arial" w:eastAsia="Arial" w:hAnsi="Arial"/>
          <w:sz w:val="18"/>
          <w:szCs w:val="18"/>
          <w:color w:val="auto"/>
        </w:rPr>
        <w:t>The cap price of the Capped Call Transactions is initially $131.7575 per share, which represents a premium of 75% over the last reported sale price of the Company’s common stock of $75.29 per share on the New York Stock Exchange on February 21, 2024, and is subject to certain adjustments under the terms of the Capped Call Transactions. The cost of $88.4 million for the Capped Call Transactions was recorded as a reduction to additional paid-in capital in the consolidated balance sheets.</w:t>
      </w:r>
    </w:p>
    <w:p>
      <w:pPr>
        <w:spacing w:after="0" w:line="174" w:lineRule="exact"/>
        <w:rPr>
          <w:sz w:val="20"/>
          <w:szCs w:val="20"/>
          <w:color w:val="auto"/>
        </w:rPr>
      </w:pPr>
    </w:p>
    <w:p>
      <w:pPr>
        <w:ind w:right="480" w:firstLine="644"/>
        <w:spacing w:after="0" w:line="271" w:lineRule="auto"/>
        <w:rPr>
          <w:sz w:val="20"/>
          <w:szCs w:val="20"/>
          <w:color w:val="auto"/>
        </w:rPr>
      </w:pPr>
      <w:r>
        <w:rPr>
          <w:rFonts w:ascii="Arial" w:cs="Arial" w:eastAsia="Arial" w:hAnsi="Arial"/>
          <w:sz w:val="18"/>
          <w:szCs w:val="18"/>
          <w:color w:val="auto"/>
        </w:rPr>
        <w:t>At issuance, the Company recorded a deferred tax asset of $22.3 million related to the Capped Call Transactions costs through additional paid-in capital. The deferred tax asset was included in Deferred tax assets in the consolidated balance sheets.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Senior Notes due 2025 Partial Repurchase and Note Hedge and Warrants Partial Unwind</w:t>
      </w:r>
    </w:p>
    <w:p>
      <w:pPr>
        <w:spacing w:after="0" w:line="210" w:lineRule="exact"/>
        <w:rPr>
          <w:sz w:val="20"/>
          <w:szCs w:val="20"/>
          <w:color w:val="auto"/>
        </w:rPr>
      </w:pPr>
    </w:p>
    <w:p>
      <w:pPr>
        <w:ind w:firstLine="644"/>
        <w:spacing w:after="0" w:line="239" w:lineRule="auto"/>
        <w:rPr>
          <w:sz w:val="20"/>
          <w:szCs w:val="20"/>
          <w:color w:val="auto"/>
        </w:rPr>
      </w:pPr>
      <w:r>
        <w:rPr>
          <w:rFonts w:ascii="Arial" w:cs="Arial" w:eastAsia="Arial" w:hAnsi="Arial"/>
          <w:sz w:val="18"/>
          <w:szCs w:val="18"/>
          <w:color w:val="auto"/>
        </w:rPr>
        <w:t>In connection with the issuance of the Convertible Senior Notes due 2029, we used $391.8 million of the net proceeds to purchase approximately $228.1 million aggregate principal amount of our Convertible Senior Notes due 2025 concurrently with the offering in separate and individually negotiated transactions. In addition, we used $103.8 million to settle the repurchase of approximately $56.5 million aggregate principal amount of our Convertible Senior Notes due 2025 in a separately negotiated transaction that settled in March 2024. We also received approximately $90.6 million in cash from the note hedge counterparties for the partial termination of the existing bond hedge relating to the Convertible Senior Notes due 2025 repurchased, net of our obligations to the counterparties in connection with the partial termination of the related warrant transactions. The tax effect of $46.2 million from the partial unwind of the existing bond hedge was recognized as a reduction in additional paid-in capital in the consolidated balance sheets. The income tax payable was included in Income taxes payable in the consolidated balance sheets.</w:t>
      </w:r>
    </w:p>
    <w:p>
      <w:pPr>
        <w:spacing w:after="0" w:line="189" w:lineRule="exact"/>
        <w:rPr>
          <w:sz w:val="20"/>
          <w:szCs w:val="20"/>
          <w:color w:val="auto"/>
        </w:rPr>
      </w:pPr>
    </w:p>
    <w:p>
      <w:pPr>
        <w:ind w:right="80" w:firstLine="644"/>
        <w:spacing w:after="0" w:line="228" w:lineRule="auto"/>
        <w:rPr>
          <w:sz w:val="20"/>
          <w:szCs w:val="20"/>
          <w:color w:val="auto"/>
        </w:rPr>
      </w:pPr>
      <w:r>
        <w:rPr>
          <w:rFonts w:ascii="Arial" w:cs="Arial" w:eastAsia="Arial" w:hAnsi="Arial"/>
          <w:sz w:val="18"/>
          <w:szCs w:val="18"/>
          <w:color w:val="auto"/>
        </w:rPr>
        <w:t>The partial repurchase, during the three months ended March 31, 2024, resulted in a $18.4 million repurchase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a $3.2 million charge to interest expense for the acceleration of the amortization of debt issuance costs associated with the 0.25% Convertible Senior Notes due 2025. The tax effect of the repurchase loss, excluding the interest expense, was recognized as a discrete event during the quarter ended March 31, 2024 with a tax benefit of $4.3 million recognized in the income statement.</w:t>
      </w:r>
    </w:p>
    <w:p>
      <w:pPr>
        <w:spacing w:after="0" w:line="187" w:lineRule="exact"/>
        <w:rPr>
          <w:sz w:val="20"/>
          <w:szCs w:val="20"/>
          <w:color w:val="auto"/>
        </w:rPr>
      </w:pPr>
    </w:p>
    <w:p>
      <w:pPr>
        <w:ind w:right="60" w:firstLine="644"/>
        <w:spacing w:after="0" w:line="23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The tax effect of the debt extinguishment, excluding the interest expense, was recognized as a discrete event to the quarter giving rise to an increase in the effective tax rate and tax benefit of $49.9 million recognized in the income statement. Please see "Note 2—Basis of Presentation and Principles of Consolidation—Adoption of Accounting Standards Update 2024-04" for a discussion of the Company's adoption of ASU 2024-04. The extinguishment charge and related income tax impacts were reversed from the Company's consolidated financial statements and recorded as a convertible debt repurchase loss as described above.</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300" w:firstLine="636"/>
        <w:spacing w:after="0" w:line="271"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right="60"/>
        <w:spacing w:after="0" w:line="248" w:lineRule="auto"/>
        <w:rPr>
          <w:sz w:val="20"/>
          <w:szCs w:val="20"/>
          <w:color w:val="auto"/>
        </w:rPr>
      </w:pPr>
      <w:r>
        <w:rPr>
          <w:rFonts w:ascii="Arial" w:cs="Arial" w:eastAsia="Arial" w:hAnsi="Arial"/>
          <w:sz w:val="18"/>
          <w:szCs w:val="18"/>
          <w:color w:val="auto"/>
        </w:rPr>
        <w:t>replaced an existing Fifth Amended and Restated Credit Agreement dated as of November 15, 2017. Under the new agreement, the Company’s revolving credit facility was increased from $550 million to $650 million. The credit facility has a five-year maturity, which may be extended up to two times for periods determined by the Company and the applicable extending lenders, and permits the Company to borrow</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U.S. dollars, certain specified foreign currencies, and each other currency that may be approved in accordance with the 2021 Facility. The borrowings under the Credit Agreement bear interest at either the Term SOFR rate plus a margin between 1.0% and 1.625% or a base rate (as defined in the Credit Agreement) plus a margin of between 0% and 0.625%. The rates on March 31, 2025 and December 31, 2024 were 5.7% and 5.7%, respectively. Borrowings under this Credit Agreement are guaranteed by certain Company operating subsidiaries. Letters of credit commitments outstanding under this agreement aggregated to $43.0 million at both March 31, 2025 and December 31, 2024, respectively, which reduced borrowing limits available to the Company. Interest expense related to the Credit Agreement was $0.3 million and $0.3 million for the three months ended March 31, 2025 and March 31, 2024, respectively. There were no loan amounts outstanding under the Credit Agreement at March 31, 2025.</w:t>
      </w:r>
    </w:p>
    <w:p>
      <w:pPr>
        <w:spacing w:after="0" w:line="169"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Credit Agreement includes various covenants, including restrictions on indebtedness, liens, acquisitions, investments or dispositions, payment of dividends and maintenance of certain financial ratios and conditions. The Company was in compliance with these covenants at March 31, 2025 and December 31, 2024.</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96"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$335.6 million and $328.4 million at March 31, 2025 and December 31, 2024, respectively.</w:t>
      </w:r>
    </w:p>
    <w:p>
      <w:pPr>
        <w:spacing w:after="0" w:line="27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Company’s effective tax rate was 18.8% and 19.5% for the three months ended March 31, 2025 and March 31, 2024, respectively. The decrease in the effective tax rate was due primarily to a change in the jurisdictional mix of earnings and an increase in untaxed income attributed to noncontrolling interests, partially offset by decreases in the foreign-derived intangible income (FDII) deduction and the equity-based compensation deduction. The difference between the effective tax rate and the statutory U.S. Federal income tax rate of 21% for the three months ended March 31, 2025 primarily relates to a discrete windfall tax benefit from equity-based compensation, and the tax benefit related to untaxed income attributed to noncontrolling interests, partially offset by state income taxes and foreign withholding taxes.</w:t>
      </w:r>
    </w:p>
    <w:p>
      <w:pPr>
        <w:spacing w:after="0" w:line="18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As of March 31, 2025, the Company’s deferred tax assets were subject to a valuation allowance of $45.8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79"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As of March 31, 2025 and December 31, 2024, the liability for income taxes associated with uncertain tax positions was $29.5 million and $29.5 million, respectively.</w:t>
      </w:r>
    </w:p>
    <w:p>
      <w:pPr>
        <w:spacing w:after="0" w:line="154"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w:t>
      </w:r>
    </w:p>
    <w:p>
      <w:pPr>
        <w:spacing w:after="0" w:line="17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2021 the Organization for Economic Co-operation and Development (OECD) announced an Inclusive Framework on Base Erosion and Profit Shifting (BEPS) including Pillar Two Model Rules defining the global minimum tax, also known as Global Anti-Base Erosion (GloBE), which aims to ensure that multinational enterprises (MNEs) pay a 15% minimum level of tax regardless of where the MNE operates. Subsequently, multiple sets of administrative guidance have been issued. Many non-US tax jurisdictions have either recently enacted legislation to adopt components of the Pillar Two Model Rules beginning in 2024 and/or have announced their plans to enact legislation in future years. The Company has evaluated the impact of the enacted legislation to date and has determined there is no material impact to the Company’s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ind w:right="180"/>
        <w:spacing w:after="0" w:line="271" w:lineRule="auto"/>
        <w:rPr>
          <w:sz w:val="20"/>
          <w:szCs w:val="20"/>
          <w:color w:val="auto"/>
        </w:rPr>
      </w:pPr>
      <w:r>
        <w:rPr>
          <w:rFonts w:ascii="Arial" w:cs="Arial" w:eastAsia="Arial" w:hAnsi="Arial"/>
          <w:sz w:val="18"/>
          <w:szCs w:val="18"/>
          <w:color w:val="auto"/>
        </w:rPr>
        <w:t>income tax provision. We are continuing to evaluate the potential impact on future periods of the Pillar Two Framework, pending enactment of legislation by individual countries.</w:t>
      </w:r>
    </w:p>
    <w:p>
      <w:pPr>
        <w:spacing w:after="0" w:line="26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12" w:lineRule="exact"/>
        <w:rPr>
          <w:sz w:val="20"/>
          <w:szCs w:val="20"/>
          <w:color w:val="auto"/>
        </w:rPr>
      </w:pPr>
    </w:p>
    <w:p>
      <w:pPr>
        <w:ind w:firstLine="67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right="100" w:firstLine="674"/>
        <w:spacing w:after="0" w:line="238" w:lineRule="auto"/>
        <w:rPr>
          <w:sz w:val="20"/>
          <w:szCs w:val="20"/>
          <w:color w:val="auto"/>
        </w:rPr>
      </w:pPr>
      <w:r>
        <w:rPr>
          <w:rFonts w:ascii="Arial" w:cs="Arial" w:eastAsia="Arial" w:hAnsi="Arial"/>
          <w:sz w:val="18"/>
          <w:szCs w:val="18"/>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The court heard dispositive motions in 2023, including Parsons’ motion for summary judgment. On March 19, 2025, the court granted Parsons’ motion for summary judgment. The Relator filed a notice of appeal on April 9, 2025.</w:t>
      </w:r>
    </w:p>
    <w:p>
      <w:pPr>
        <w:spacing w:after="0" w:line="186" w:lineRule="exact"/>
        <w:rPr>
          <w:sz w:val="20"/>
          <w:szCs w:val="20"/>
          <w:color w:val="auto"/>
        </w:rPr>
      </w:pPr>
    </w:p>
    <w:p>
      <w:pPr>
        <w:ind w:right="20" w:firstLine="674"/>
        <w:spacing w:after="0"/>
        <w:rPr>
          <w:sz w:val="20"/>
          <w:szCs w:val="20"/>
          <w:color w:val="auto"/>
        </w:rPr>
      </w:pPr>
      <w:r>
        <w:rPr>
          <w:rFonts w:ascii="Arial" w:cs="Arial" w:eastAsia="Arial" w:hAnsi="Arial"/>
          <w:sz w:val="18"/>
          <w:szCs w:val="18"/>
          <w:color w:val="auto"/>
        </w:rPr>
        <w:t>On July 1, 2024, a final judgment was filed with the clerk of the Superior Court of the State of California In and For the County of San Mateo with an award of damages in the total amount of approximately $102.5 million in favor of Parsons Transportation Group, Inc. and against Alstom Signaling Operations LLC (Alstom"). This proposed award relates back to a lawsuit Parsons initially filed against the Peninsula Corridor Joint Powers Board for breach of contract and wrongful termination in February 2017 (which was settled between Parsons and the Joint Powers Board in 2021) and a cross-complaint filed against Alstom Signaling Operations LLC in November 2017, as subsequently amended, for breach of contract, negligence and intentional misrepresentation. On September 23, 2024, the Court awarded prejudgment interest in the amount of $34.0 million and amended the judgment accordingly to include such interest. Alstom filed a Notice of Appeal and has posted a bond as required under California law. Alstom’s appellate brief was filed on April 18, 2025 and is being reviewed.</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At this time, the Company is unable to determine the probability of the outcome of the litigation.</w:t>
      </w:r>
    </w:p>
    <w:p>
      <w:pPr>
        <w:spacing w:after="0" w:line="212" w:lineRule="exact"/>
        <w:rPr>
          <w:sz w:val="20"/>
          <w:szCs w:val="20"/>
          <w:color w:val="auto"/>
        </w:rPr>
      </w:pPr>
    </w:p>
    <w:p>
      <w:pPr>
        <w:ind w:right="20" w:firstLine="674"/>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Federal Acquisition Regulations (“FAR”). If the DCAA determines we have not accounted for such costs in accordance with the FAR,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2014 have been closed, and years thereafter remain open. All of Parsons operating systems have been deemed adequate by the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federal government.</w:t>
      </w:r>
    </w:p>
    <w:p>
      <w:pPr>
        <w:spacing w:after="0" w:line="194" w:lineRule="exact"/>
        <w:rPr>
          <w:sz w:val="20"/>
          <w:szCs w:val="20"/>
          <w:color w:val="auto"/>
        </w:rPr>
      </w:pPr>
    </w:p>
    <w:p>
      <w:pPr>
        <w:ind w:right="380" w:firstLine="674"/>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260" w:firstLine="636"/>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March 31, 2025 and December 31, 2024, total shares of the</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Company’s common stock outstanding were 106,823,162 and 106,775,350, respectively, of which 52,900,764 and 54,117,903, respectively, were held by the ESOP.</w:t>
      </w:r>
    </w:p>
    <w:p>
      <w:pPr>
        <w:spacing w:after="0" w:line="149" w:lineRule="exact"/>
        <w:rPr>
          <w:sz w:val="20"/>
          <w:szCs w:val="20"/>
          <w:color w:val="auto"/>
        </w:rPr>
      </w:pPr>
    </w:p>
    <w:p>
      <w:pPr>
        <w:ind w:right="34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100" w:firstLine="644"/>
        <w:spacing w:after="0" w:line="262" w:lineRule="auto"/>
        <w:rPr>
          <w:sz w:val="20"/>
          <w:szCs w:val="20"/>
          <w:color w:val="auto"/>
        </w:rPr>
      </w:pPr>
      <w:r>
        <w:rPr>
          <w:rFonts w:ascii="Arial" w:cs="Arial" w:eastAsia="Arial" w:hAnsi="Arial"/>
          <w:sz w:val="18"/>
          <w:szCs w:val="18"/>
          <w:color w:val="auto"/>
        </w:rPr>
        <w:t>Total ESOP contribution expense was $17.8 million and $15.0 million for the three months ended March 31, 2025 and March 31, 2024, respectively. The expense is recorded in “Direct costs of contracts” and “Selling, general and administrative expense” in the consolidated statements of income. The fiscal 2024 ESOP contribution has not yet been made. The amount is currently included in accrued liabilities.</w:t>
      </w:r>
    </w:p>
    <w:p>
      <w:pPr>
        <w:spacing w:after="0" w:line="271"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81" w:lineRule="exact"/>
        <w:rPr>
          <w:sz w:val="20"/>
          <w:szCs w:val="20"/>
          <w:color w:val="auto"/>
        </w:rPr>
      </w:pPr>
    </w:p>
    <w:p>
      <w:pPr>
        <w:ind w:right="80" w:firstLine="636"/>
        <w:spacing w:after="0" w:line="287"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$180.4 million and $176.7 million at March 31, 2025 and December 31, 2024.</w:t>
      </w:r>
    </w:p>
    <w:p>
      <w:pPr>
        <w:spacing w:after="0" w:line="139" w:lineRule="exact"/>
        <w:rPr>
          <w:sz w:val="20"/>
          <w:szCs w:val="20"/>
          <w:color w:val="auto"/>
        </w:rPr>
      </w:pPr>
    </w:p>
    <w:p>
      <w:pPr>
        <w:jc w:val="both"/>
        <w:ind w:right="260" w:firstLine="636"/>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5" w:name="page26"/>
    <w:bookmarkEnd w:id="25"/>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6"/>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497,357</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519,450</w:t>
            </w: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240" w:type="dxa"/>
            <w:vAlign w:val="bottom"/>
          </w:tcPr>
          <w:p>
            <w:pPr>
              <w:spacing w:after="0"/>
              <w:rPr>
                <w:sz w:val="17"/>
                <w:szCs w:val="17"/>
                <w:color w:val="auto"/>
              </w:rPr>
            </w:pPr>
          </w:p>
        </w:tc>
        <w:tc>
          <w:tcPr>
            <w:tcW w:w="16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8,494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9,841</w:t>
            </w: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505,851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529,291</w:t>
            </w:r>
          </w:p>
        </w:tc>
      </w:tr>
      <w:tr>
        <w:trPr>
          <w:trHeight w:val="20"/>
        </w:trPr>
        <w:tc>
          <w:tcPr>
            <w:tcW w:w="6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320,772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296,774</w:t>
            </w:r>
          </w:p>
        </w:tc>
      </w:tr>
      <w:tr>
        <w:trPr>
          <w:trHeight w:val="20"/>
        </w:trPr>
        <w:tc>
          <w:tcPr>
            <w:tcW w:w="6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1,944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2,203</w:t>
            </w:r>
          </w:p>
        </w:tc>
      </w:tr>
      <w:tr>
        <w:trPr>
          <w:trHeight w:val="20"/>
        </w:trPr>
        <w:tc>
          <w:tcPr>
            <w:tcW w:w="6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322,716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298,977</w:t>
            </w:r>
          </w:p>
        </w:tc>
      </w:tr>
      <w:tr>
        <w:trPr>
          <w:trHeight w:val="196"/>
        </w:trPr>
        <w:tc>
          <w:tcPr>
            <w:tcW w:w="6200" w:type="dxa"/>
            <w:vAlign w:val="bottom"/>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230,314</w:t>
            </w:r>
          </w:p>
        </w:tc>
        <w:tc>
          <w:tcPr>
            <w:tcW w:w="120" w:type="dxa"/>
            <w:vAlign w:val="bottom"/>
          </w:tcPr>
          <w:p>
            <w:pPr>
              <w:spacing w:after="0"/>
              <w:rPr>
                <w:sz w:val="17"/>
                <w:szCs w:val="17"/>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-574040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-574040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-299720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-299720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60" w:type="dxa"/>
            <w:vAlign w:val="bottom"/>
            <w:gridSpan w:val="6"/>
          </w:tcPr>
          <w:p>
            <w:pPr>
              <w:ind w:left="112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74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196,358</w:t>
            </w:r>
          </w:p>
        </w:tc>
        <w:tc>
          <w:tcPr>
            <w:tcW w:w="580" w:type="dxa"/>
            <w:vAlign w:val="bottom"/>
            <w:gridSpan w:val="3"/>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202,017</w:t>
            </w:r>
          </w:p>
        </w:tc>
        <w:tc>
          <w:tcPr>
            <w:tcW w:w="120" w:type="dxa"/>
            <w:vAlign w:val="bottom"/>
            <w:shd w:val="clear" w:color="auto" w:fill="CFF0FC"/>
          </w:tcPr>
          <w:p>
            <w:pPr>
              <w:spacing w:after="0"/>
              <w:rPr>
                <w:sz w:val="17"/>
                <w:szCs w:val="17"/>
                <w:color w:val="auto"/>
              </w:rPr>
            </w:pP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14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164,954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171,148</w:t>
            </w:r>
          </w:p>
        </w:tc>
        <w:tc>
          <w:tcPr>
            <w:tcW w:w="12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14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31,404</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30,869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19"/>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15,584</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15,243</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-176530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-159385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(losses) earnings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6"/>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8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1,445,838</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1,477,950</w:t>
            </w:r>
          </w:p>
        </w:tc>
        <w:tc>
          <w:tcPr>
            <w:tcW w:w="12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Noncurrent assets</w:t>
            </w: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429,081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431,476</w:t>
            </w:r>
          </w:p>
        </w:tc>
        <w:tc>
          <w:tcPr>
            <w:tcW w:w="120" w:type="dxa"/>
            <w:vAlign w:val="bottom"/>
          </w:tcPr>
          <w:p>
            <w:pPr>
              <w:spacing w:after="0"/>
              <w:rPr>
                <w:sz w:val="17"/>
                <w:szCs w:val="17"/>
                <w:color w:val="auto"/>
              </w:rPr>
            </w:pPr>
          </w:p>
        </w:tc>
      </w:tr>
      <w:tr>
        <w:trPr>
          <w:trHeight w:val="196"/>
        </w:trPr>
        <w:tc>
          <w:tcPr>
            <w:tcW w:w="5540" w:type="dxa"/>
            <w:vAlign w:val="bottom"/>
            <w:tcBorders>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1,874,919</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1,909,426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spacing w:after="0" w:line="196" w:lineRule="exact"/>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950,485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947,072</w:t>
            </w:r>
          </w:p>
        </w:tc>
        <w:tc>
          <w:tcPr>
            <w:tcW w:w="120" w:type="dxa"/>
            <w:vAlign w:val="bottom"/>
          </w:tcPr>
          <w:p>
            <w:pPr>
              <w:spacing w:after="0"/>
              <w:rPr>
                <w:sz w:val="17"/>
                <w:szCs w:val="17"/>
                <w:color w:val="auto"/>
              </w:rPr>
            </w:pPr>
          </w:p>
        </w:tc>
      </w:tr>
      <w:tr>
        <w:trPr>
          <w:trHeight w:val="203"/>
        </w:trPr>
        <w:tc>
          <w:tcPr>
            <w:tcW w:w="5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Noncurrent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457,622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469,808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5540" w:type="dxa"/>
            <w:vAlign w:val="bottom"/>
          </w:tcPr>
          <w:p>
            <w:pPr>
              <w:ind w:left="160"/>
              <w:spacing w:after="0" w:line="196" w:lineRule="exact"/>
              <w:rPr>
                <w:sz w:val="20"/>
                <w:szCs w:val="20"/>
                <w:color w:val="auto"/>
              </w:rPr>
            </w:pPr>
            <w:r>
              <w:rPr>
                <w:rFonts w:ascii="Arial" w:cs="Arial" w:eastAsia="Arial" w:hAnsi="Arial"/>
                <w:sz w:val="18"/>
                <w:szCs w:val="18"/>
                <w:color w:val="auto"/>
              </w:rPr>
              <w:t>Total liabilities</w:t>
            </w: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1,408,107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1,416,880</w:t>
            </w:r>
          </w:p>
        </w:tc>
        <w:tc>
          <w:tcPr>
            <w:tcW w:w="120" w:type="dxa"/>
            <w:vAlign w:val="bottom"/>
          </w:tcPr>
          <w:p>
            <w:pPr>
              <w:spacing w:after="0"/>
              <w:rPr>
                <w:sz w:val="17"/>
                <w:szCs w:val="17"/>
                <w:color w:val="auto"/>
              </w:rPr>
            </w:pPr>
          </w:p>
        </w:tc>
      </w:tr>
      <w:tr>
        <w:trPr>
          <w:trHeight w:val="216"/>
        </w:trPr>
        <w:tc>
          <w:tcPr>
            <w:tcW w:w="554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Total joint venture equity</w:t>
            </w:r>
          </w:p>
        </w:tc>
        <w:tc>
          <w:tcPr>
            <w:tcW w:w="8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466,812</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492,546</w:t>
            </w:r>
          </w:p>
        </w:tc>
        <w:tc>
          <w:tcPr>
            <w:tcW w:w="120" w:type="dxa"/>
            <w:vAlign w:val="bottom"/>
            <w:shd w:val="clear" w:color="auto" w:fill="CFF0FC"/>
          </w:tcPr>
          <w:p>
            <w:pPr>
              <w:spacing w:after="0"/>
              <w:rPr>
                <w:sz w:val="18"/>
                <w:szCs w:val="18"/>
                <w:color w:val="auto"/>
              </w:rPr>
            </w:pP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27"/>
        </w:trPr>
        <w:tc>
          <w:tcPr>
            <w:tcW w:w="554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142,248</w:t>
            </w:r>
          </w:p>
        </w:tc>
        <w:tc>
          <w:tcPr>
            <w:tcW w:w="10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138,759</w:t>
            </w:r>
          </w:p>
        </w:tc>
        <w:tc>
          <w:tcPr>
            <w:tcW w:w="120" w:type="dxa"/>
            <w:vAlign w:val="bottom"/>
          </w:tcPr>
          <w:p>
            <w:pPr>
              <w:spacing w:after="0"/>
              <w:rPr>
                <w:sz w:val="19"/>
                <w:szCs w:val="19"/>
                <w:color w:val="auto"/>
              </w:rPr>
            </w:pPr>
          </w:p>
        </w:tc>
      </w:tr>
      <w:tr>
        <w:trPr>
          <w:trHeight w:val="388"/>
        </w:trPr>
        <w:tc>
          <w:tcPr>
            <w:tcW w:w="5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5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8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524,556</w:t>
            </w:r>
          </w:p>
        </w:tc>
        <w:tc>
          <w:tcPr>
            <w:tcW w:w="10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473,532</w:t>
            </w:r>
          </w:p>
        </w:tc>
        <w:tc>
          <w:tcPr>
            <w:tcW w:w="120" w:type="dxa"/>
            <w:vAlign w:val="bottom"/>
            <w:shd w:val="clear" w:color="auto" w:fill="CFF0FC"/>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Costs</w:t>
            </w:r>
          </w:p>
        </w:tc>
        <w:tc>
          <w:tcPr>
            <w:tcW w:w="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520,876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476,750</w:t>
            </w:r>
          </w:p>
        </w:tc>
        <w:tc>
          <w:tcPr>
            <w:tcW w:w="120" w:type="dxa"/>
            <w:vAlign w:val="bottom"/>
          </w:tcPr>
          <w:p>
            <w:pPr>
              <w:spacing w:after="0"/>
              <w:rPr>
                <w:sz w:val="17"/>
                <w:szCs w:val="17"/>
                <w:color w:val="auto"/>
              </w:rPr>
            </w:pPr>
          </w:p>
        </w:tc>
      </w:tr>
      <w:tr>
        <w:trPr>
          <w:trHeight w:val="216"/>
        </w:trPr>
        <w:tc>
          <w:tcPr>
            <w:tcW w:w="5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3,680</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(3,218)</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9"/>
        </w:trPr>
        <w:tc>
          <w:tcPr>
            <w:tcW w:w="554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(2,060)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-1659890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-1659890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-1393825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-1393825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-1119505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-1102360</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-1119505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-1102360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-176530</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-159385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-176530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-159385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220" w:firstLine="636"/>
        <w:spacing w:after="0" w:line="271" w:lineRule="auto"/>
        <w:rPr>
          <w:sz w:val="20"/>
          <w:szCs w:val="20"/>
          <w:color w:val="auto"/>
        </w:rPr>
      </w:pPr>
      <w:r>
        <w:rPr>
          <w:rFonts w:ascii="Arial" w:cs="Arial" w:eastAsia="Arial" w:hAnsi="Arial"/>
          <w:sz w:val="18"/>
          <w:szCs w:val="18"/>
          <w:color w:val="auto"/>
        </w:rPr>
        <w:t>The Company had net contributions to its unconsolidated joint ventures for the three months ended March 31, 2025 and March 31, 2024 of $3.6 million and of $20.0 million,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26" w:name="page27"/>
    <w:bookmarkEnd w:id="26"/>
    <w:p>
      <w:pPr>
        <w:ind w:right="260" w:firstLine="644"/>
        <w:spacing w:after="0" w:line="271" w:lineRule="auto"/>
        <w:rPr>
          <w:sz w:val="20"/>
          <w:szCs w:val="20"/>
          <w:color w:val="auto"/>
        </w:rPr>
      </w:pPr>
      <w:r>
        <w:rPr>
          <w:rFonts w:ascii="Arial" w:cs="Arial" w:eastAsia="Arial" w:hAnsi="Arial"/>
          <w:sz w:val="18"/>
          <w:szCs w:val="18"/>
          <w:color w:val="auto"/>
        </w:rPr>
        <w:t>The following table presents certain financial statement impacts from changes in estimates on unconsolidated joint ventures in the Critical Infrastructure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March 31, 2025</w:t>
            </w: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4"/>
                <w:szCs w:val="14"/>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loss</w:t>
            </w:r>
          </w:p>
        </w:tc>
        <w:tc>
          <w:tcPr>
            <w:tcW w:w="1640" w:type="dxa"/>
            <w:vAlign w:val="bottom"/>
            <w:shd w:val="clear" w:color="auto" w:fill="CFF0FC"/>
          </w:tcPr>
          <w:p>
            <w:pPr>
              <w:jc w:val="right"/>
              <w:ind w:right="14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(8,361)</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7"/>
                <w:szCs w:val="17"/>
                <w:color w:val="auto"/>
              </w:rPr>
            </w:pPr>
          </w:p>
        </w:tc>
        <w:tc>
          <w:tcPr>
            <w:tcW w:w="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(6,258)</w:t>
            </w: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 loss per share</w:t>
            </w:r>
          </w:p>
        </w:tc>
        <w:tc>
          <w:tcPr>
            <w:tcW w:w="1640" w:type="dxa"/>
            <w:vAlign w:val="bottom"/>
            <w:shd w:val="clear" w:color="auto" w:fill="CFF0FC"/>
          </w:tcPr>
          <w:p>
            <w:pPr>
              <w:jc w:val="right"/>
              <w:ind w:right="145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(0.06)</w:t>
            </w:r>
          </w:p>
        </w:tc>
      </w:tr>
    </w:tbl>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80" w:firstLine="636"/>
        <w:spacing w:after="0" w:line="270" w:lineRule="auto"/>
        <w:rPr>
          <w:sz w:val="20"/>
          <w:szCs w:val="20"/>
          <w:color w:val="auto"/>
        </w:rPr>
      </w:pPr>
      <w:r>
        <w:rPr>
          <w:rFonts w:ascii="Arial" w:cs="Arial" w:eastAsia="Arial" w:hAnsi="Arial"/>
          <w:sz w:val="17"/>
          <w:szCs w:val="17"/>
          <w:color w:val="auto"/>
        </w:rPr>
        <w:t>The Company often provides services to unconsolidated joint ventures and revenues include amounts related to recovering costs for these services. Revenues related to services the Company provided to unconsolidated joint ventures for the three months ended March 31,</w:t>
      </w:r>
    </w:p>
    <w:p>
      <w:pPr>
        <w:spacing w:after="0" w:line="2"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2025 and March 31, 2024 were $45.5 million and $46.8 million, respectively. For the three months ended March 31, 2025 and March 31, 2024, the Company incurred $33.8 million and $35.4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Pr>
          <w:p>
            <w:pPr>
              <w:spacing w:after="0"/>
              <w:rPr>
                <w:sz w:val="14"/>
                <w:szCs w:val="14"/>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41,143</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38,443</w:t>
            </w:r>
          </w:p>
        </w:tc>
      </w:tr>
      <w:tr>
        <w:trPr>
          <w:trHeight w:val="203"/>
        </w:trPr>
        <w:tc>
          <w:tcPr>
            <w:tcW w:w="6640" w:type="dxa"/>
            <w:vAlign w:val="bottom"/>
          </w:tcPr>
          <w:p>
            <w:pPr>
              <w:spacing w:after="0" w:line="202" w:lineRule="exact"/>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17"/>
                <w:szCs w:val="17"/>
                <w:color w:val="auto"/>
              </w:rPr>
            </w:pPr>
          </w:p>
        </w:tc>
        <w:tc>
          <w:tcPr>
            <w:tcW w:w="15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14,183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11,540</w:t>
            </w:r>
          </w:p>
        </w:tc>
      </w:tr>
      <w:tr>
        <w:trPr>
          <w:trHeight w:val="203"/>
        </w:trPr>
        <w:tc>
          <w:tcPr>
            <w:tcW w:w="6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10,329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10,776</w:t>
            </w:r>
          </w:p>
        </w:tc>
      </w:tr>
    </w:tbl>
    <w:p>
      <w:pPr>
        <w:spacing w:after="0" w:line="200" w:lineRule="exact"/>
        <w:rPr>
          <w:sz w:val="20"/>
          <w:szCs w:val="20"/>
          <w:color w:val="auto"/>
        </w:rPr>
      </w:pPr>
    </w:p>
    <w:p>
      <w:pPr>
        <w:spacing w:after="0" w:line="348"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March 31, 2025 and December 31, 2024, the Company’s financial instruments include cash, cash equivalents, accounts receivable, accounts payable,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900" w:right="48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16" w:lineRule="exact"/>
        <w:rPr>
          <w:rFonts w:ascii="Times New Roman" w:cs="Times New Roman" w:eastAsia="Times New Roman" w:hAnsi="Times New Roman"/>
          <w:sz w:val="18"/>
          <w:szCs w:val="18"/>
          <w:color w:val="auto"/>
        </w:rPr>
      </w:pPr>
    </w:p>
    <w:p>
      <w:pPr>
        <w:ind w:left="900" w:right="300" w:hanging="248"/>
        <w:spacing w:after="0" w:line="270" w:lineRule="auto"/>
        <w:tabs>
          <w:tab w:leader="none" w:pos="9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6"/>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1</w:t>
        <w:tab/>
        <w:t>Unadjusted quoted prices in active markets that are accessible at the measurement date for identical assets and liabilities;</w:t>
      </w:r>
    </w:p>
    <w:p>
      <w:pPr>
        <w:spacing w:after="0" w:line="104" w:lineRule="exact"/>
        <w:rPr>
          <w:sz w:val="20"/>
          <w:szCs w:val="20"/>
          <w:color w:val="auto"/>
        </w:rPr>
      </w:pPr>
    </w:p>
    <w:p>
      <w:pPr>
        <w:ind w:left="900" w:hanging="253"/>
        <w:spacing w:after="0" w:line="271" w:lineRule="auto"/>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Prices or valuations that require inputs that are both significant to the fair value measurements and unobservable.</w:t>
      </w:r>
    </w:p>
    <w:p>
      <w:pPr>
        <w:spacing w:after="0" w:line="212" w:lineRule="exact"/>
        <w:rPr>
          <w:sz w:val="20"/>
          <w:szCs w:val="20"/>
          <w:color w:val="auto"/>
        </w:rPr>
      </w:pPr>
    </w:p>
    <w:p>
      <w:pPr>
        <w:ind w:right="180" w:firstLine="636"/>
        <w:spacing w:after="0" w:line="271"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right="680"/>
        <w:spacing w:after="0" w:line="271" w:lineRule="auto"/>
        <w:rPr>
          <w:sz w:val="20"/>
          <w:szCs w:val="20"/>
          <w:color w:val="auto"/>
        </w:rPr>
      </w:pPr>
      <w:r>
        <w:rPr>
          <w:rFonts w:ascii="Arial" w:cs="Arial" w:eastAsia="Arial" w:hAnsi="Arial"/>
          <w:sz w:val="18"/>
          <w:szCs w:val="18"/>
          <w:color w:val="auto"/>
        </w:rPr>
        <w:t>and consistent with other market participants, the use of different methodologies or assumptions to determine the fair value of certain financial instruments could result in a different fair value measurement at the reporting date.</w:t>
      </w:r>
    </w:p>
    <w:p>
      <w:pPr>
        <w:spacing w:after="0" w:line="154" w:lineRule="exact"/>
        <w:rPr>
          <w:sz w:val="20"/>
          <w:szCs w:val="20"/>
          <w:color w:val="auto"/>
        </w:rPr>
      </w:pPr>
    </w:p>
    <w:p>
      <w:pPr>
        <w:ind w:right="200" w:firstLine="636"/>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2024 for a more complete discussion of the various items within the consolidated financial statements measured at fair value and the methods used to determine fair value.</w:t>
      </w:r>
    </w:p>
    <w:p>
      <w:pPr>
        <w:spacing w:after="0" w:line="61" w:lineRule="exact"/>
        <w:rPr>
          <w:sz w:val="20"/>
          <w:szCs w:val="20"/>
          <w:color w:val="auto"/>
        </w:rPr>
      </w:pPr>
    </w:p>
    <w:p>
      <w:pPr>
        <w:ind w:right="400" w:firstLine="644"/>
        <w:spacing w:after="0" w:line="271" w:lineRule="auto"/>
        <w:rPr>
          <w:sz w:val="20"/>
          <w:szCs w:val="20"/>
          <w:color w:val="auto"/>
        </w:rPr>
      </w:pPr>
      <w:r>
        <w:rPr>
          <w:rFonts w:ascii="Arial" w:cs="Arial" w:eastAsia="Arial" w:hAnsi="Arial"/>
          <w:sz w:val="18"/>
          <w:szCs w:val="18"/>
          <w:color w:val="auto"/>
        </w:rPr>
        <w:t>The carrying values and estimated fair values of our financial instruments that are not required to be recorded at fair value in our consolidated balance sheets, on the basis of Level 2 inputs,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4"/>
                <w:szCs w:val="14"/>
                <w:color w:val="auto"/>
              </w:rPr>
            </w:pPr>
          </w:p>
        </w:tc>
        <w:tc>
          <w:tcPr>
            <w:tcW w:w="2340" w:type="dxa"/>
            <w:vAlign w:val="bottom"/>
            <w:gridSpan w:val="6"/>
          </w:tcPr>
          <w:p>
            <w:pPr>
              <w:ind w:left="360"/>
              <w:spacing w:after="0"/>
              <w:rPr>
                <w:sz w:val="20"/>
                <w:szCs w:val="20"/>
                <w:color w:val="auto"/>
              </w:rPr>
            </w:pPr>
            <w:r>
              <w:rPr>
                <w:rFonts w:ascii="Arial" w:cs="Arial" w:eastAsia="Arial" w:hAnsi="Arial"/>
                <w:sz w:val="14"/>
                <w:szCs w:val="14"/>
                <w:b w:val="1"/>
                <w:bCs w:val="1"/>
                <w:color w:val="auto"/>
              </w:rPr>
              <w:t>December 31, 2024</w:t>
            </w:r>
          </w:p>
        </w:tc>
      </w:tr>
      <w:tr>
        <w:trPr>
          <w:trHeight w:val="171"/>
        </w:trPr>
        <w:tc>
          <w:tcPr>
            <w:tcW w:w="4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Carrying 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4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Convertible senior notes due 2025</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84,925</w:t>
            </w:r>
          </w:p>
        </w:tc>
        <w:tc>
          <w:tcPr>
            <w:tcW w:w="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112,424</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113,405</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233,206</w:t>
            </w: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due 2029</w:t>
            </w: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800,000</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798,000</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800,000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939,280</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Delayed draw term loan</w:t>
            </w: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350,000</w:t>
            </w:r>
          </w:p>
        </w:tc>
      </w:tr>
      <w:tr>
        <w:trPr>
          <w:trHeight w:val="20"/>
        </w:trPr>
        <w:tc>
          <w:tcPr>
            <w:tcW w:w="4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1,234,925</w:t>
            </w:r>
          </w:p>
        </w:tc>
        <w:tc>
          <w:tcPr>
            <w:tcW w:w="1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1,260,424</w:t>
            </w:r>
          </w:p>
        </w:tc>
        <w:tc>
          <w:tcPr>
            <w:tcW w:w="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1,263,405</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1,522,486</w:t>
            </w: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Basic earnings per share (“EPS”) is computed using the weighted average number of shares outstanding during the period and income available to shareholders. Diluted EPS includes additional common shares that would have been outstanding if potential common shares with a dilutive effect had been issued using the if-converted method for Convertible Debt and the treasury stock method for all other instruments.</w:t>
      </w:r>
    </w:p>
    <w:p>
      <w:pPr>
        <w:spacing w:after="0" w:line="66" w:lineRule="exact"/>
        <w:rPr>
          <w:sz w:val="20"/>
          <w:szCs w:val="20"/>
          <w:color w:val="auto"/>
        </w:rPr>
      </w:pPr>
    </w:p>
    <w:p>
      <w:pPr>
        <w:ind w:right="380" w:firstLine="644"/>
        <w:spacing w:after="0" w:line="271" w:lineRule="auto"/>
        <w:rPr>
          <w:sz w:val="20"/>
          <w:szCs w:val="20"/>
          <w:color w:val="auto"/>
        </w:rPr>
      </w:pPr>
      <w:r>
        <w:rPr>
          <w:rFonts w:ascii="Arial" w:cs="Arial" w:eastAsia="Arial" w:hAnsi="Arial"/>
          <w:sz w:val="18"/>
          <w:szCs w:val="18"/>
          <w:color w:val="auto"/>
        </w:rPr>
        <w:t>Under the treasury stock method, the weighted average number of shares outstanding is adjusted to reflect the dilutive effects of stock-based awards.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if-converted method:</w:t>
      </w:r>
    </w:p>
    <w:p>
      <w:pPr>
        <w:spacing w:after="0" w:line="104" w:lineRule="exact"/>
        <w:rPr>
          <w:sz w:val="20"/>
          <w:szCs w:val="20"/>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2025:</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Income available to shareholders is adjusted to add back interest expense, after tax (unless antidilutive).</w:t>
      </w:r>
    </w:p>
    <w:p>
      <w:pPr>
        <w:spacing w:after="0" w:line="103" w:lineRule="exact"/>
        <w:rPr>
          <w:rFonts w:ascii="Arial" w:cs="Arial" w:eastAsia="Arial" w:hAnsi="Arial"/>
          <w:sz w:val="18"/>
          <w:szCs w:val="18"/>
          <w:color w:val="auto"/>
        </w:rPr>
      </w:pPr>
    </w:p>
    <w:p>
      <w:pPr>
        <w:ind w:left="1540" w:right="60" w:hanging="514"/>
        <w:spacing w:after="0" w:line="271"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Weighted average number of shares outstanding is adjusted to include the shares underlying the convertible debt (unless antidilutive).</w:t>
      </w:r>
    </w:p>
    <w:p>
      <w:pPr>
        <w:spacing w:after="0" w:line="45"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bond hedge (unless antidilutive).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Shares underlying the warrants (unless antidilutive).</w:t>
      </w:r>
    </w:p>
    <w:p>
      <w:pPr>
        <w:spacing w:after="0" w:line="103" w:lineRule="exact"/>
        <w:rPr>
          <w:rFonts w:ascii="Arial" w:cs="Arial" w:eastAsia="Arial" w:hAnsi="Arial"/>
          <w:sz w:val="18"/>
          <w:szCs w:val="18"/>
          <w:color w:val="auto"/>
        </w:rPr>
      </w:pPr>
    </w:p>
    <w:p>
      <w:pPr>
        <w:ind w:left="1260" w:hanging="503"/>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Convertible Senior Notes due 2029:</w:t>
      </w:r>
    </w:p>
    <w:p>
      <w:pPr>
        <w:spacing w:after="0" w:line="103" w:lineRule="exact"/>
        <w:rPr>
          <w:rFonts w:ascii="Arial" w:cs="Arial" w:eastAsia="Arial" w:hAnsi="Arial"/>
          <w:sz w:val="18"/>
          <w:szCs w:val="18"/>
          <w:color w:val="auto"/>
        </w:rPr>
      </w:pPr>
    </w:p>
    <w:p>
      <w:pPr>
        <w:jc w:val="both"/>
        <w:ind w:left="1540" w:right="100" w:hanging="514"/>
        <w:spacing w:after="0" w:line="25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 has been excluded from the numerator and no shares have been included in the denominator of diluted EPS, as the principal amount of convertible debt will be settled in cash with any excess conversion value settled in cash or shares of common stock.</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Excludes shares underlying the capped call as the shares are antidilutive.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ind w:right="200" w:firstLine="636"/>
        <w:spacing w:after="0" w:line="271" w:lineRule="auto"/>
        <w:rPr>
          <w:sz w:val="20"/>
          <w:szCs w:val="20"/>
          <w:color w:val="auto"/>
        </w:rPr>
      </w:pPr>
      <w:r>
        <w:rPr>
          <w:rFonts w:ascii="Arial" w:cs="Arial" w:eastAsia="Arial" w:hAnsi="Arial"/>
          <w:sz w:val="18"/>
          <w:szCs w:val="18"/>
          <w:color w:val="auto"/>
        </w:rPr>
        <w:t>The following tables reconcile the denominator and numerator used to compute basic EPS to the denominator and numerator used to compute diluted EPS for the three months ended March 31, 2025 and March 31, 2024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0" w:type="dxa"/>
            <w:vAlign w:val="bottom"/>
            <w:gridSpan w:val="5"/>
          </w:tcPr>
          <w:p>
            <w:pPr>
              <w:ind w:left="102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March 31, 2025</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61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Numerator for Basic and Diluted EPS:</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Net income attributable to Parsons Corporation - basic</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66,203</w:t>
            </w:r>
          </w:p>
        </w:tc>
        <w:tc>
          <w:tcPr>
            <w:tcW w:w="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39,750</w:t>
            </w:r>
          </w:p>
        </w:tc>
        <w:tc>
          <w:tcPr>
            <w:tcW w:w="100" w:type="dxa"/>
            <w:vAlign w:val="bottom"/>
          </w:tcPr>
          <w:p>
            <w:pPr>
              <w:spacing w:after="0"/>
              <w:rPr>
                <w:sz w:val="17"/>
                <w:szCs w:val="17"/>
                <w:color w:val="auto"/>
              </w:rPr>
            </w:pPr>
          </w:p>
        </w:tc>
      </w:tr>
      <w:tr>
        <w:trPr>
          <w:trHeight w:val="203"/>
        </w:trPr>
        <w:tc>
          <w:tcPr>
            <w:tcW w:w="6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Convertible senior notes if-converted method interest adjustment</w:t>
            </w:r>
          </w:p>
        </w:tc>
        <w:tc>
          <w:tcPr>
            <w:tcW w:w="10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2,766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80" w:type="dxa"/>
            <w:vAlign w:val="bottom"/>
          </w:tcPr>
          <w:p>
            <w:pPr>
              <w:spacing w:after="0" w:line="196" w:lineRule="exact"/>
              <w:rPr>
                <w:sz w:val="20"/>
                <w:szCs w:val="20"/>
                <w:color w:val="auto"/>
              </w:rPr>
            </w:pPr>
            <w:r>
              <w:rPr>
                <w:rFonts w:ascii="Arial" w:cs="Arial" w:eastAsia="Arial" w:hAnsi="Arial"/>
                <w:sz w:val="18"/>
                <w:szCs w:val="18"/>
                <w:color w:val="auto"/>
              </w:rPr>
              <w:t>Net income attributable to Parsons Corporation - diluted</w:t>
            </w:r>
          </w:p>
        </w:tc>
        <w:tc>
          <w:tcPr>
            <w:tcW w:w="12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66,257</w:t>
            </w:r>
          </w:p>
        </w:tc>
        <w:tc>
          <w:tcPr>
            <w:tcW w:w="5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42,516</w:t>
            </w:r>
          </w:p>
        </w:tc>
        <w:tc>
          <w:tcPr>
            <w:tcW w:w="10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432"/>
        </w:trPr>
        <w:tc>
          <w:tcPr>
            <w:tcW w:w="618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Basic weighted average number of shares outstanding</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106,831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106,037</w:t>
            </w: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1,502</w:t>
            </w:r>
          </w:p>
        </w:tc>
        <w:tc>
          <w:tcPr>
            <w:tcW w:w="10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Dilutive effect of warrants</w:t>
            </w: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Dilutive effect of convertible senior notes due 2025</w:t>
            </w:r>
          </w:p>
        </w:tc>
        <w:tc>
          <w:tcPr>
            <w:tcW w:w="1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2,118</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6,802</w:t>
            </w:r>
          </w:p>
        </w:tc>
        <w:tc>
          <w:tcPr>
            <w:tcW w:w="100" w:type="dxa"/>
            <w:vAlign w:val="bottom"/>
          </w:tcPr>
          <w:p>
            <w:pPr>
              <w:spacing w:after="0"/>
              <w:rPr>
                <w:sz w:val="17"/>
                <w:szCs w:val="17"/>
                <w:color w:val="auto"/>
              </w:rPr>
            </w:pPr>
          </w:p>
        </w:tc>
      </w:tr>
      <w:tr>
        <w:trPr>
          <w:trHeight w:val="236"/>
        </w:trPr>
        <w:tc>
          <w:tcPr>
            <w:tcW w:w="61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111,026</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114,362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per share:</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Basic</w:t>
            </w:r>
          </w:p>
        </w:tc>
        <w:tc>
          <w:tcPr>
            <w:tcW w:w="12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0.62</w:t>
            </w:r>
          </w:p>
        </w:tc>
        <w:tc>
          <w:tcPr>
            <w:tcW w:w="5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100" w:type="dxa"/>
            <w:vAlign w:val="bottom"/>
          </w:tcPr>
          <w:p>
            <w:pPr>
              <w:spacing w:after="0"/>
              <w:rPr>
                <w:sz w:val="17"/>
                <w:szCs w:val="17"/>
                <w:color w:val="auto"/>
              </w:rPr>
            </w:pPr>
          </w:p>
        </w:tc>
      </w:tr>
      <w:tr>
        <w:trPr>
          <w:trHeight w:val="203"/>
        </w:trPr>
        <w:tc>
          <w:tcPr>
            <w:tcW w:w="6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Diluted</w:t>
            </w:r>
          </w:p>
        </w:tc>
        <w:tc>
          <w:tcPr>
            <w:tcW w:w="12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0.60</w:t>
            </w:r>
          </w:p>
        </w:tc>
        <w:tc>
          <w:tcPr>
            <w:tcW w:w="5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-1790700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-573405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-556895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right="320" w:firstLine="644"/>
        <w:spacing w:after="0" w:line="271" w:lineRule="auto"/>
        <w:rPr>
          <w:sz w:val="20"/>
          <w:szCs w:val="20"/>
          <w:color w:val="auto"/>
        </w:rPr>
      </w:pPr>
      <w:r>
        <w:rPr>
          <w:rFonts w:ascii="Arial" w:cs="Arial" w:eastAsia="Arial" w:hAnsi="Arial"/>
          <w:sz w:val="18"/>
          <w:szCs w:val="18"/>
          <w:color w:val="auto"/>
        </w:rPr>
        <w:t>Anti-dilutive stock-based awards excluded from the calculation of earnings per share for the three months ended March 31, 2025 and March 31, 2024 were 12,733 and 26,820,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02" w:lineRule="exact"/>
        <w:rPr>
          <w:sz w:val="20"/>
          <w:szCs w:val="20"/>
          <w:color w:val="auto"/>
        </w:rPr>
      </w:pPr>
    </w:p>
    <w:p>
      <w:pPr>
        <w:ind w:right="60" w:firstLine="644"/>
        <w:spacing w:after="0"/>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February 2024 to restore the repurchase capacity to $100 million and removed the $25 million quarterly cap on such repurchases. The Board further amended this authorization in March 2025 to increase and reset the repurchase capacity to $250 million. Any purchases made by the Company during Q1 of 2025 would be deducted from the reset capacity.</w:t>
      </w:r>
    </w:p>
    <w:p>
      <w:pPr>
        <w:spacing w:after="0" w:line="77"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As of March 31, 2025, the Company has spent $104.7 million repurchasing 2,137,461 shares of Common Stock at an average price of $48.98 per share.</w:t>
      </w:r>
    </w:p>
    <w:p>
      <w:pPr>
        <w:spacing w:after="0" w:line="46"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repurchase activity under the stock repurchase program:</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r>
      <w:tr>
        <w:trPr>
          <w:trHeight w:val="183"/>
        </w:trPr>
        <w:tc>
          <w:tcPr>
            <w:tcW w:w="4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197"/>
              <w:spacing w:after="0"/>
              <w:rPr>
                <w:sz w:val="20"/>
                <w:szCs w:val="20"/>
                <w:color w:val="auto"/>
              </w:rPr>
            </w:pPr>
            <w:r>
              <w:rPr>
                <w:rFonts w:ascii="Arial" w:cs="Arial" w:eastAsia="Arial" w:hAnsi="Arial"/>
                <w:sz w:val="14"/>
                <w:szCs w:val="14"/>
                <w:b w:val="1"/>
                <w:bCs w:val="1"/>
                <w:color w:val="auto"/>
              </w:rPr>
              <w:t>March 31, 2025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2024</w:t>
            </w: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shares repurchased</w:t>
            </w:r>
          </w:p>
        </w:tc>
        <w:tc>
          <w:tcPr>
            <w:tcW w:w="19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423,980</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Total shares retired</w:t>
            </w: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423,980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Average price paid per share (1)</w:t>
            </w:r>
          </w:p>
        </w:tc>
        <w:tc>
          <w:tcPr>
            <w:tcW w:w="21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58.95</w:t>
            </w:r>
          </w:p>
        </w:tc>
        <w:tc>
          <w:tcPr>
            <w:tcW w:w="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bl>
    <w:p>
      <w:pPr>
        <w:spacing w:after="0" w:line="137" w:lineRule="exact"/>
        <w:rPr>
          <w:sz w:val="20"/>
          <w:szCs w:val="20"/>
          <w:color w:val="auto"/>
        </w:rPr>
      </w:pPr>
    </w:p>
    <w:p>
      <w:pPr>
        <w:ind w:left="520" w:hanging="112"/>
        <w:spacing w:after="0"/>
        <w:tabs>
          <w:tab w:leader="none" w:pos="520" w:val="left"/>
        </w:tabs>
        <w:numPr>
          <w:ilvl w:val="0"/>
          <w:numId w:val="25"/>
        </w:numPr>
        <w:rPr>
          <w:rFonts w:ascii="Arial" w:cs="Arial" w:eastAsia="Arial" w:hAnsi="Arial"/>
          <w:sz w:val="29"/>
          <w:szCs w:val="29"/>
          <w:color w:val="auto"/>
          <w:vertAlign w:val="superscript"/>
        </w:rPr>
      </w:pPr>
      <w:r>
        <w:rPr>
          <w:rFonts w:ascii="Arial" w:cs="Arial" w:eastAsia="Arial" w:hAnsi="Arial"/>
          <w:sz w:val="16"/>
          <w:szCs w:val="16"/>
          <w:color w:val="auto"/>
        </w:rPr>
        <w:t>Includes commissions in the calculation of average price per share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6"/>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 operations, missile defense, and military facility modernization, logistics support, hazardous material remediation and engineering services.</w:t>
      </w:r>
    </w:p>
    <w:p>
      <w:pPr>
        <w:spacing w:after="0" w:line="174" w:lineRule="exact"/>
        <w:rPr>
          <w:sz w:val="20"/>
          <w:szCs w:val="20"/>
          <w:color w:val="auto"/>
        </w:rPr>
      </w:pPr>
    </w:p>
    <w:p>
      <w:pPr>
        <w:ind w:right="80" w:firstLine="636"/>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240" w:firstLine="636"/>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Chief Executive Officer, evaluates the performance of each segment and manages the operations of the Company for purposes of allocating resources among the segments. The CODM evaluates segment operating performance using segment Revenue, segment direct cost of contracts, segment Selling, General and Administrative expense and segment Adjusted EBITDA attributable to Parsons Corporation.</w:t>
      </w:r>
    </w:p>
    <w:p>
      <w:pPr>
        <w:spacing w:after="0" w:line="174" w:lineRule="exact"/>
        <w:rPr>
          <w:sz w:val="20"/>
          <w:szCs w:val="20"/>
          <w:color w:val="auto"/>
        </w:rPr>
      </w:pPr>
    </w:p>
    <w:p>
      <w:pPr>
        <w:ind w:right="120" w:firstLine="644"/>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w:t>
      </w:r>
    </w:p>
    <w:p>
      <w:pPr>
        <w:spacing w:after="0" w:line="185" w:lineRule="exact"/>
        <w:rPr>
          <w:sz w:val="20"/>
          <w:szCs w:val="20"/>
          <w:color w:val="auto"/>
        </w:rPr>
      </w:pPr>
    </w:p>
    <w:p>
      <w:pPr>
        <w:jc w:val="both"/>
        <w:ind w:right="200" w:firstLine="644"/>
        <w:spacing w:after="0" w:line="253" w:lineRule="auto"/>
        <w:rPr>
          <w:sz w:val="20"/>
          <w:szCs w:val="20"/>
          <w:color w:val="auto"/>
        </w:rPr>
      </w:pPr>
      <w:r>
        <w:rPr>
          <w:rFonts w:ascii="Arial" w:cs="Arial" w:eastAsia="Arial" w:hAnsi="Arial"/>
          <w:sz w:val="18"/>
          <w:szCs w:val="18"/>
          <w:color w:val="auto"/>
        </w:rPr>
        <w:t>Adjusted EBITDA is the measure of our operating performance used by the CODM to assess our segments’ financial performance. The CODM uses Adjusted EBITDA for business planning purposes, including to manage our segments against internal projected results of operations and measure the performance of our segments generally.</w:t>
      </w:r>
    </w:p>
    <w:p>
      <w:pPr>
        <w:spacing w:after="0" w:line="169"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The following tables present segment information provided to the CODM, as of each period presented, along with a reconciliation of segment adjusted EBITDA attributable to Parsons Corporation to net income attributable to Parsons Corporation for the periods presented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30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Solutions</w:t>
            </w:r>
          </w:p>
        </w:tc>
        <w:tc>
          <w:tcPr>
            <w:tcW w:w="300" w:type="dxa"/>
            <w:vAlign w:val="bottom"/>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711,803</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(661,912)</w:t>
            </w:r>
          </w:p>
        </w:tc>
        <w:tc>
          <w:tcPr>
            <w:tcW w:w="30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(538,465)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(1,200,377)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(45,409)</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(46,127)</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(91,536)</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earnings (losses) of unconsolidated joint ventures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(992)</w:t>
            </w:r>
          </w:p>
        </w:tc>
        <w:tc>
          <w:tcPr>
            <w:tcW w:w="3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(58,712)</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(69,329)</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(128,041)</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75,532</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58,187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133,719</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15,057</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(27,403)</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(10,104)</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(18,977)</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(7,103)</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(3,701)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81,787</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(15,584)</w:t>
            </w:r>
          </w:p>
        </w:tc>
      </w:tr>
      <w:tr>
        <w:trPr>
          <w:trHeight w:val="196"/>
        </w:trPr>
        <w:tc>
          <w:tcPr>
            <w:tcW w:w="57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645"/>
        </w:trPr>
        <w:tc>
          <w:tcPr>
            <w:tcW w:w="5760" w:type="dxa"/>
            <w:vAlign w:val="bottom"/>
          </w:tcPr>
          <w:p>
            <w:pPr>
              <w:ind w:left="55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57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-2613660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-2613660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Federal</w:t>
            </w:r>
          </w:p>
        </w:tc>
        <w:tc>
          <w:tcPr>
            <w:tcW w:w="300" w:type="dxa"/>
            <w:vAlign w:val="bottom"/>
          </w:tcPr>
          <w:p>
            <w:pPr>
              <w:spacing w:after="0"/>
              <w:rPr>
                <w:sz w:val="14"/>
                <w:szCs w:val="14"/>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Critical</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Solutions</w:t>
            </w:r>
          </w:p>
        </w:tc>
        <w:tc>
          <w:tcPr>
            <w:tcW w:w="300" w:type="dxa"/>
            <w:vAlign w:val="bottom"/>
          </w:tcPr>
          <w:p>
            <w:pPr>
              <w:spacing w:after="0"/>
              <w:rPr>
                <w:sz w:val="14"/>
                <w:szCs w:val="14"/>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96"/>
        </w:trPr>
        <w:tc>
          <w:tcPr>
            <w:tcW w:w="5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909,608</w:t>
            </w:r>
          </w:p>
        </w:tc>
        <w:tc>
          <w:tcPr>
            <w:tcW w:w="1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626,068</w:t>
            </w:r>
          </w:p>
        </w:tc>
        <w:tc>
          <w:tcPr>
            <w:tcW w:w="120" w:type="dxa"/>
            <w:vAlign w:val="bottom"/>
            <w:shd w:val="clear" w:color="auto" w:fill="CFF0FC"/>
          </w:tcPr>
          <w:p>
            <w:pPr>
              <w:spacing w:after="0"/>
              <w:rPr>
                <w:sz w:val="17"/>
                <w:szCs w:val="17"/>
                <w:color w:val="auto"/>
              </w:rPr>
            </w:pPr>
          </w:p>
        </w:tc>
        <w:tc>
          <w:tcPr>
            <w:tcW w:w="500" w:type="dxa"/>
            <w:vAlign w:val="bottom"/>
            <w:tcBorders>
              <w:top w:val="single" w:sz="8" w:color="auto"/>
            </w:tcBorders>
            <w:gridSpan w:val="2"/>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1,535,676</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Direct cost of contracts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(723,885)</w:t>
            </w:r>
          </w:p>
        </w:tc>
        <w:tc>
          <w:tcPr>
            <w:tcW w:w="30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(486,942)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(1,210,827)</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Selling, general and administrative expenses (a)</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(35,145)</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(34,580)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(69,725)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 in losses of unconsolidated joint ventures</w:t>
            </w:r>
          </w:p>
        </w:tc>
        <w:tc>
          <w:tcPr>
            <w:tcW w:w="300" w:type="dxa"/>
            <w:vAlign w:val="bottom"/>
          </w:tcPr>
          <w:p>
            <w:pPr>
              <w:spacing w:after="0"/>
              <w:rPr>
                <w:sz w:val="17"/>
                <w:szCs w:val="17"/>
                <w:color w:val="auto"/>
              </w:rPr>
            </w:pPr>
          </w:p>
        </w:tc>
        <w:tc>
          <w:tcPr>
            <w:tcW w:w="1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(469)</w:t>
            </w:r>
          </w:p>
        </w:tc>
        <w:tc>
          <w:tcPr>
            <w:tcW w:w="300" w:type="dxa"/>
            <w:vAlign w:val="bottom"/>
          </w:tcPr>
          <w:p>
            <w:pPr>
              <w:spacing w:after="0"/>
              <w:rPr>
                <w:sz w:val="17"/>
                <w:szCs w:val="17"/>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(2,060)</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segment items (b)</w:t>
            </w:r>
          </w:p>
        </w:tc>
        <w:tc>
          <w:tcPr>
            <w:tcW w:w="3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(57,568)</w:t>
            </w:r>
          </w:p>
        </w:tc>
        <w:tc>
          <w:tcPr>
            <w:tcW w:w="3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(69,992)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(127,560)</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Adjusted EBITDA attributable to Parsons Corporation</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92,541</w:t>
            </w: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32,963</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125,504</w:t>
            </w:r>
          </w:p>
        </w:tc>
        <w:tc>
          <w:tcPr>
            <w:tcW w:w="100" w:type="dxa"/>
            <w:vAlign w:val="bottom"/>
            <w:tcBorders>
              <w:top w:val="single" w:sz="8" w:color="CFF0FC"/>
            </w:tcBorders>
          </w:tcPr>
          <w:p>
            <w:pPr>
              <w:spacing w:after="0"/>
              <w:rPr>
                <w:sz w:val="17"/>
                <w:szCs w:val="17"/>
                <w:color w:val="auto"/>
              </w:rPr>
            </w:pPr>
          </w:p>
        </w:tc>
      </w:tr>
      <w:tr>
        <w:trPr>
          <w:trHeight w:val="177"/>
        </w:trPr>
        <w:tc>
          <w:tcPr>
            <w:tcW w:w="57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Reconciliation: Segment Adjusted EBITDA to Net Income Attributable</w:t>
            </w:r>
          </w:p>
        </w:tc>
        <w:tc>
          <w:tcPr>
            <w:tcW w:w="3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to Parsons Corporation</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15,589</w:t>
            </w:r>
          </w:p>
        </w:tc>
        <w:tc>
          <w:tcPr>
            <w:tcW w:w="100" w:type="dxa"/>
            <w:vAlign w:val="bottom"/>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(24,531)</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(11,846)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(13,324)</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Equity-based compensation expense</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(12,656)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(18,355)</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Transaction related costs (c)</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(2,886)</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(2,502)</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54,993</w:t>
            </w:r>
          </w:p>
        </w:tc>
        <w:tc>
          <w:tcPr>
            <w:tcW w:w="100" w:type="dxa"/>
            <w:vAlign w:val="bottom"/>
            <w:tcBorders>
              <w:top w:val="single" w:sz="8" w:color="CFF0FC"/>
            </w:tcBorders>
          </w:tcPr>
          <w:p>
            <w:pPr>
              <w:spacing w:after="0"/>
              <w:rPr>
                <w:sz w:val="17"/>
                <w:szCs w:val="17"/>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(15,243)</w:t>
            </w:r>
          </w:p>
        </w:tc>
      </w:tr>
      <w:tr>
        <w:trPr>
          <w:trHeight w:val="196"/>
        </w:trPr>
        <w:tc>
          <w:tcPr>
            <w:tcW w:w="57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300" w:type="dxa"/>
            <w:vAlign w:val="bottom"/>
            <w:tcBorders>
              <w:top w:val="single" w:sz="8" w:color="CFF0FC"/>
            </w:tcBorders>
          </w:tcPr>
          <w:p>
            <w:pPr>
              <w:spacing w:after="0"/>
              <w:rPr>
                <w:sz w:val="17"/>
                <w:szCs w:val="17"/>
                <w:color w:val="auto"/>
              </w:rPr>
            </w:pPr>
          </w:p>
        </w:tc>
        <w:tc>
          <w:tcPr>
            <w:tcW w:w="13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5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39,750</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-1842770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-1842770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selling, general and administrative expenses (“SG&amp;A”) is total SG&amp;A excluding allocations.</w:t>
      </w:r>
    </w:p>
    <w:p>
      <w:pPr>
        <w:spacing w:after="0" w:line="103" w:lineRule="exact"/>
        <w:rPr>
          <w:rFonts w:ascii="Arial" w:cs="Arial" w:eastAsia="Arial" w:hAnsi="Arial"/>
          <w:sz w:val="18"/>
          <w:szCs w:val="18"/>
          <w:color w:val="auto"/>
        </w:rPr>
      </w:pPr>
    </w:p>
    <w:p>
      <w:pPr>
        <w:ind w:left="1020" w:right="320" w:hanging="503"/>
        <w:spacing w:after="0" w:line="25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other segment items is the difference between segment revenue less direct cost of contracts, segment SG&amp;A expenses, equity in earnings (losses) of unconsolidated joint ventures, and Adjusted EBITDA attributable to Parsons Corporation. Other segment items primarily include</w:t>
      </w:r>
    </w:p>
    <w:p>
      <w:pPr>
        <w:spacing w:after="0" w:line="60"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Corporate and shared segment SG&amp;A (excluding Adjusted EBITDA items)</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Noncontrolling interests attributable to operating income and other income/expense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Bad debt expense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Sublease income</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Foreign currency gain/loss, and</w:t>
      </w:r>
    </w:p>
    <w:p>
      <w:pPr>
        <w:spacing w:after="0" w:line="103" w:lineRule="exact"/>
        <w:rPr>
          <w:rFonts w:ascii="Arial" w:cs="Arial" w:eastAsia="Arial" w:hAnsi="Arial"/>
          <w:sz w:val="18"/>
          <w:szCs w:val="18"/>
          <w:color w:val="auto"/>
        </w:rPr>
      </w:pPr>
    </w:p>
    <w:p>
      <w:pPr>
        <w:ind w:left="1540" w:hanging="514"/>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Certain other income/expense items</w:t>
      </w:r>
    </w:p>
    <w:p>
      <w:pPr>
        <w:spacing w:after="0" w:line="103"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45" w:lineRule="exact"/>
        <w:rPr>
          <w:rFonts w:ascii="Arial" w:cs="Arial" w:eastAsia="Arial" w:hAnsi="Arial"/>
          <w:sz w:val="18"/>
          <w:szCs w:val="18"/>
          <w:color w:val="auto"/>
        </w:rPr>
      </w:pPr>
    </w:p>
    <w:p>
      <w:pPr>
        <w:ind w:left="1020" w:right="720" w:hanging="503"/>
        <w:spacing w:after="0" w:line="27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Asset information by segment is not a key measure of performance used by the CODM.</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present revenues and property and equipment, net by geographic area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34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42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March 31, 2025</w:t>
            </w: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44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1,284,232</w:t>
            </w:r>
          </w:p>
        </w:tc>
        <w:tc>
          <w:tcPr>
            <w:tcW w:w="4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1,272,250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265,083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258,921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 of World</w:t>
            </w:r>
          </w:p>
        </w:tc>
        <w:tc>
          <w:tcPr>
            <w:tcW w:w="4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5,045</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4,505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44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1,554,360</w:t>
            </w:r>
          </w:p>
        </w:tc>
        <w:tc>
          <w:tcPr>
            <w:tcW w:w="4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1,535,676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280" w:type="dxa"/>
            <w:vAlign w:val="bottom"/>
            <w:vMerge w:val="restart"/>
          </w:tcPr>
          <w:p>
            <w:pPr>
              <w:jc w:val="right"/>
              <w:ind w:right="1910"/>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4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4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-1062355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 America</w:t>
            </w:r>
          </w:p>
        </w:tc>
        <w:tc>
          <w:tcPr>
            <w:tcW w:w="2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110,972</w:t>
            </w:r>
          </w:p>
        </w:tc>
        <w:tc>
          <w:tcPr>
            <w:tcW w:w="2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101,044</w:t>
            </w:r>
          </w:p>
        </w:tc>
        <w:tc>
          <w:tcPr>
            <w:tcW w:w="0" w:type="dxa"/>
            <w:vAlign w:val="bottom"/>
          </w:tcPr>
          <w:p>
            <w:pPr>
              <w:spacing w:after="0"/>
              <w:rPr>
                <w:sz w:val="1"/>
                <w:szCs w:val="1"/>
                <w:color w:val="auto"/>
              </w:rPr>
            </w:pPr>
          </w:p>
        </w:tc>
      </w:tr>
      <w:tr>
        <w:trPr>
          <w:trHeight w:val="203"/>
        </w:trPr>
        <w:tc>
          <w:tcPr>
            <w:tcW w:w="5260" w:type="dxa"/>
            <w:vAlign w:val="bottom"/>
          </w:tcPr>
          <w:p>
            <w:pPr>
              <w:ind w:left="200"/>
              <w:spacing w:after="0" w:line="202" w:lineRule="exact"/>
              <w:rPr>
                <w:sz w:val="20"/>
                <w:szCs w:val="20"/>
                <w:color w:val="auto"/>
              </w:rPr>
            </w:pPr>
            <w:r>
              <w:rPr>
                <w:rFonts w:ascii="Arial" w:cs="Arial" w:eastAsia="Arial" w:hAnsi="Arial"/>
                <w:sz w:val="18"/>
                <w:szCs w:val="18"/>
                <w:color w:val="auto"/>
              </w:rPr>
              <w:t>Middle East</w:t>
            </w:r>
          </w:p>
        </w:tc>
        <w:tc>
          <w:tcPr>
            <w:tcW w:w="2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 Net</w:t>
            </w:r>
          </w:p>
        </w:tc>
        <w:tc>
          <w:tcPr>
            <w:tcW w:w="24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121,753</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111,575</w:t>
            </w: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40" w:firstLine="636"/>
        <w:spacing w:after="0" w:line="276" w:lineRule="auto"/>
        <w:rPr>
          <w:sz w:val="20"/>
          <w:szCs w:val="20"/>
          <w:color w:val="auto"/>
        </w:rPr>
      </w:pPr>
      <w:r>
        <w:rPr>
          <w:rFonts w:ascii="Arial" w:cs="Arial" w:eastAsia="Arial" w:hAnsi="Arial"/>
          <w:sz w:val="18"/>
          <w:szCs w:val="18"/>
          <w:color w:val="auto"/>
        </w:rPr>
        <w:t>North America includes revenue in the United States for the three months ended March 31, 2025 and March 31, 2024 of $1.2 billion and $1.2 billion, respectively. North America property and equipment, net includes $103.9 million and $94.0 million of property and equipment, net in the United States at March 31, 2025 and December 31, 2024, respectively.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4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8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March 31, 2025</w:t>
            </w: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Defense and Intelligence</w:t>
            </w:r>
          </w:p>
        </w:tc>
        <w:tc>
          <w:tcPr>
            <w:tcW w:w="19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443,323</w:t>
            </w:r>
          </w:p>
        </w:tc>
        <w:tc>
          <w:tcPr>
            <w:tcW w:w="4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408,388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400"/>
              <w:spacing w:after="0" w:line="202" w:lineRule="exact"/>
              <w:rPr>
                <w:sz w:val="20"/>
                <w:szCs w:val="20"/>
                <w:color w:val="auto"/>
              </w:rPr>
            </w:pPr>
            <w:r>
              <w:rPr>
                <w:rFonts w:ascii="Arial" w:cs="Arial" w:eastAsia="Arial" w:hAnsi="Arial"/>
                <w:sz w:val="18"/>
                <w:szCs w:val="18"/>
                <w:color w:val="auto"/>
              </w:rPr>
              <w:t>Engineered Systems</w:t>
            </w:r>
          </w:p>
        </w:tc>
        <w:tc>
          <w:tcPr>
            <w:tcW w:w="1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399,234</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501,220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Federal Solutions revenues</w:t>
            </w:r>
          </w:p>
        </w:tc>
        <w:tc>
          <w:tcPr>
            <w:tcW w:w="1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909,608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400"/>
              <w:spacing w:after="0" w:line="196" w:lineRule="exact"/>
              <w:rPr>
                <w:sz w:val="20"/>
                <w:szCs w:val="20"/>
                <w:color w:val="auto"/>
              </w:rPr>
            </w:pPr>
            <w:r>
              <w:rPr>
                <w:rFonts w:ascii="Arial" w:cs="Arial" w:eastAsia="Arial" w:hAnsi="Arial"/>
                <w:sz w:val="18"/>
                <w:szCs w:val="18"/>
                <w:color w:val="auto"/>
              </w:rPr>
              <w:t>Infrastructure – North America</w:t>
            </w:r>
          </w:p>
        </w:tc>
        <w:tc>
          <w:tcPr>
            <w:tcW w:w="1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444,908</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365,282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20" w:type="dxa"/>
            <w:vAlign w:val="bottom"/>
            <w:tcBorders>
              <w:bottom w:val="single" w:sz="8" w:color="CFF0FC"/>
            </w:tcBorders>
            <w:shd w:val="clear" w:color="auto" w:fill="CFF0FC"/>
          </w:tcPr>
          <w:p>
            <w:pPr>
              <w:ind w:left="400"/>
              <w:spacing w:after="0" w:line="202" w:lineRule="exact"/>
              <w:rPr>
                <w:sz w:val="20"/>
                <w:szCs w:val="20"/>
                <w:color w:val="auto"/>
              </w:rPr>
            </w:pPr>
            <w:r>
              <w:rPr>
                <w:rFonts w:ascii="Arial" w:cs="Arial" w:eastAsia="Arial" w:hAnsi="Arial"/>
                <w:sz w:val="18"/>
                <w:szCs w:val="18"/>
                <w:color w:val="auto"/>
              </w:rPr>
              <w:t>Infrastructure – Europe, Middle East and Africa</w:t>
            </w:r>
          </w:p>
        </w:tc>
        <w:tc>
          <w:tcPr>
            <w:tcW w:w="18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266,895</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260,786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20" w:type="dxa"/>
            <w:vAlign w:val="bottom"/>
          </w:tcPr>
          <w:p>
            <w:pPr>
              <w:ind w:left="200"/>
              <w:spacing w:after="0" w:line="196" w:lineRule="exact"/>
              <w:rPr>
                <w:sz w:val="20"/>
                <w:szCs w:val="20"/>
                <w:color w:val="auto"/>
              </w:rPr>
            </w:pPr>
            <w:r>
              <w:rPr>
                <w:rFonts w:ascii="Arial" w:cs="Arial" w:eastAsia="Arial" w:hAnsi="Arial"/>
                <w:sz w:val="18"/>
                <w:szCs w:val="18"/>
                <w:color w:val="auto"/>
              </w:rPr>
              <w:t>Critical Infrastructure revenues</w:t>
            </w:r>
          </w:p>
        </w:tc>
        <w:tc>
          <w:tcPr>
            <w:tcW w:w="1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711,803</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626,068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1,554,360</w:t>
            </w:r>
          </w:p>
        </w:tc>
        <w:tc>
          <w:tcPr>
            <w:tcW w:w="4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1,535,676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-299720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right="8920" w:hanging="652"/>
        <w:spacing w:after="0" w:line="396" w:lineRule="auto"/>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153" w:lineRule="exact"/>
        <w:rPr>
          <w:rFonts w:ascii="Arial" w:cs="Arial" w:eastAsia="Arial" w:hAnsi="Arial"/>
          <w:sz w:val="18"/>
          <w:szCs w:val="18"/>
          <w:b w:val="1"/>
          <w:bCs w:val="1"/>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 Unaudited</w:t>
      </w: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quarterly financial information (in thousands except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Before Adoption of ASU 2024-</w:t>
            </w:r>
          </w:p>
        </w:tc>
        <w:tc>
          <w:tcPr>
            <w:tcW w:w="23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After Adoption of ASU 2024-04</w:t>
            </w:r>
          </w:p>
        </w:tc>
      </w:tr>
      <w:tr>
        <w:trPr>
          <w:trHeight w:val="162"/>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jc w:val="center"/>
              <w:ind w:right="268"/>
              <w:spacing w:after="0"/>
              <w:rPr>
                <w:sz w:val="20"/>
                <w:szCs w:val="20"/>
                <w:color w:val="auto"/>
              </w:rPr>
            </w:pPr>
            <w:r>
              <w:rPr>
                <w:rFonts w:ascii="Arial" w:cs="Arial" w:eastAsia="Arial" w:hAnsi="Arial"/>
                <w:sz w:val="14"/>
                <w:szCs w:val="14"/>
                <w:b w:val="1"/>
                <w:bCs w:val="1"/>
                <w:color w:val="auto"/>
              </w:rPr>
              <w:t>04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March 31, 2024</w:t>
            </w:r>
          </w:p>
        </w:tc>
        <w:tc>
          <w:tcPr>
            <w:tcW w:w="320" w:type="dxa"/>
            <w:vAlign w:val="bottom"/>
          </w:tcPr>
          <w:p>
            <w:pPr>
              <w:spacing w:after="0"/>
              <w:rPr>
                <w:sz w:val="14"/>
                <w:szCs w:val="14"/>
                <w:color w:val="auto"/>
              </w:rPr>
            </w:pPr>
          </w:p>
        </w:tc>
        <w:tc>
          <w:tcPr>
            <w:tcW w:w="20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March 31, 2024</w:t>
            </w:r>
          </w:p>
        </w:tc>
      </w:tr>
      <w:tr>
        <w:trPr>
          <w:trHeight w:val="156"/>
        </w:trPr>
        <w:tc>
          <w:tcPr>
            <w:tcW w:w="6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Federal Solutions revenue</w:t>
            </w: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909,608</w:t>
            </w:r>
          </w:p>
        </w:tc>
        <w:tc>
          <w:tcPr>
            <w:tcW w:w="30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909,608</w:t>
            </w:r>
          </w:p>
        </w:tc>
        <w:tc>
          <w:tcPr>
            <w:tcW w:w="120" w:type="dxa"/>
            <w:vAlign w:val="bottom"/>
            <w:shd w:val="clear" w:color="auto" w:fill="CFF0FC"/>
          </w:tcPr>
          <w:p>
            <w:pPr>
              <w:spacing w:after="0"/>
              <w:rPr>
                <w:sz w:val="13"/>
                <w:szCs w:val="13"/>
                <w:color w:val="auto"/>
              </w:rPr>
            </w:pP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Critical Infrastructure revenue</w:t>
            </w: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626,068</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626,068</w:t>
            </w:r>
          </w:p>
        </w:tc>
        <w:tc>
          <w:tcPr>
            <w:tcW w:w="120" w:type="dxa"/>
            <w:vAlign w:val="bottom"/>
          </w:tcPr>
          <w:p>
            <w:pPr>
              <w:spacing w:after="0"/>
              <w:rPr>
                <w:sz w:val="14"/>
                <w:szCs w:val="14"/>
                <w:color w:val="auto"/>
              </w:rPr>
            </w:pPr>
          </w:p>
        </w:tc>
      </w:tr>
      <w:tr>
        <w:trPr>
          <w:trHeight w:val="156"/>
        </w:trPr>
        <w:tc>
          <w:tcPr>
            <w:tcW w:w="6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revenue</w:t>
            </w:r>
          </w:p>
        </w:tc>
        <w:tc>
          <w:tcPr>
            <w:tcW w:w="320" w:type="dxa"/>
            <w:vAlign w:val="bottom"/>
            <w:shd w:val="clear" w:color="auto" w:fill="CFF0FC"/>
          </w:tcPr>
          <w:p>
            <w:pPr>
              <w:spacing w:after="0"/>
              <w:rPr>
                <w:sz w:val="13"/>
                <w:szCs w:val="13"/>
                <w:color w:val="auto"/>
              </w:rPr>
            </w:pPr>
          </w:p>
        </w:tc>
        <w:tc>
          <w:tcPr>
            <w:tcW w:w="1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1,535,676</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1,535,676</w:t>
            </w:r>
          </w:p>
        </w:tc>
        <w:tc>
          <w:tcPr>
            <w:tcW w:w="120" w:type="dxa"/>
            <w:vAlign w:val="bottom"/>
            <w:shd w:val="clear" w:color="auto" w:fill="CFF0FC"/>
          </w:tcPr>
          <w:p>
            <w:pPr>
              <w:spacing w:after="0"/>
              <w:rPr>
                <w:sz w:val="13"/>
                <w:szCs w:val="13"/>
                <w:color w:val="auto"/>
              </w:rPr>
            </w:pP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101,844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101,844</w:t>
            </w:r>
          </w:p>
        </w:tc>
        <w:tc>
          <w:tcPr>
            <w:tcW w:w="120" w:type="dxa"/>
            <w:vAlign w:val="bottom"/>
          </w:tcPr>
          <w:p>
            <w:pPr>
              <w:spacing w:after="0"/>
              <w:rPr>
                <w:sz w:val="14"/>
                <w:szCs w:val="14"/>
                <w:color w:val="auto"/>
              </w:rPr>
            </w:pPr>
          </w:p>
        </w:tc>
      </w:tr>
      <w:tr>
        <w:trPr>
          <w:trHeight w:val="162"/>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Convertible debt repurchase loss (1)</w:t>
            </w:r>
          </w:p>
        </w:tc>
        <w:tc>
          <w:tcPr>
            <w:tcW w:w="3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(211,018)</w:t>
            </w:r>
          </w:p>
        </w:tc>
        <w:tc>
          <w:tcPr>
            <w:tcW w:w="320" w:type="dxa"/>
            <w:vAlign w:val="bottom"/>
            <w:shd w:val="clear" w:color="auto" w:fill="CFF0FC"/>
          </w:tcPr>
          <w:p>
            <w:pPr>
              <w:spacing w:after="0"/>
              <w:rPr>
                <w:sz w:val="14"/>
                <w:szCs w:val="14"/>
                <w:color w:val="auto"/>
              </w:rPr>
            </w:pPr>
          </w:p>
        </w:tc>
        <w:tc>
          <w:tcPr>
            <w:tcW w:w="2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(18,355)</w:t>
            </w: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Income tax benefit (expense) (1)</w:t>
            </w:r>
          </w:p>
        </w:tc>
        <w:tc>
          <w:tcPr>
            <w:tcW w:w="32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32,234</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0" w:type="dxa"/>
            <w:vAlign w:val="bottom"/>
            <w:gridSpan w:val="2"/>
          </w:tcPr>
          <w:p>
            <w:pPr>
              <w:jc w:val="right"/>
              <w:ind w:right="80"/>
              <w:spacing w:after="0"/>
              <w:rPr>
                <w:sz w:val="20"/>
                <w:szCs w:val="20"/>
                <w:color w:val="auto"/>
              </w:rPr>
            </w:pPr>
            <w:r>
              <w:rPr>
                <w:rFonts w:ascii="Arial" w:cs="Arial" w:eastAsia="Arial" w:hAnsi="Arial"/>
                <w:sz w:val="14"/>
                <w:szCs w:val="14"/>
                <w:color w:val="auto"/>
              </w:rPr>
              <w:t>(13,324)</w:t>
            </w:r>
          </w:p>
        </w:tc>
      </w:tr>
      <w:tr>
        <w:trPr>
          <w:trHeight w:val="162"/>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attributable to Parsons Corporation (1)</w:t>
            </w:r>
          </w:p>
        </w:tc>
        <w:tc>
          <w:tcPr>
            <w:tcW w:w="320" w:type="dxa"/>
            <w:vAlign w:val="bottom"/>
            <w:shd w:val="clear" w:color="auto" w:fill="CFF0FC"/>
          </w:tcPr>
          <w:p>
            <w:pPr>
              <w:spacing w:after="0"/>
              <w:rPr>
                <w:sz w:val="14"/>
                <w:szCs w:val="14"/>
                <w:color w:val="auto"/>
              </w:rPr>
            </w:pPr>
          </w:p>
        </w:tc>
        <w:tc>
          <w:tcPr>
            <w:tcW w:w="2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(92,112)</w:t>
            </w:r>
          </w:p>
        </w:tc>
        <w:tc>
          <w:tcPr>
            <w:tcW w:w="320" w:type="dxa"/>
            <w:vAlign w:val="bottom"/>
            <w:shd w:val="clear" w:color="auto" w:fill="CFF0FC"/>
          </w:tcPr>
          <w:p>
            <w:pPr>
              <w:spacing w:after="0"/>
              <w:rPr>
                <w:sz w:val="14"/>
                <w:szCs w:val="14"/>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39,750</w:t>
            </w:r>
          </w:p>
        </w:tc>
        <w:tc>
          <w:tcPr>
            <w:tcW w:w="120" w:type="dxa"/>
            <w:vAlign w:val="bottom"/>
            <w:shd w:val="clear" w:color="auto" w:fill="CFF0FC"/>
          </w:tcPr>
          <w:p>
            <w:pPr>
              <w:spacing w:after="0"/>
              <w:rPr>
                <w:sz w:val="14"/>
                <w:szCs w:val="14"/>
                <w:color w:val="auto"/>
              </w:rPr>
            </w:pPr>
          </w:p>
        </w:tc>
      </w:tr>
      <w:tr>
        <w:trPr>
          <w:trHeight w:val="162"/>
        </w:trPr>
        <w:tc>
          <w:tcPr>
            <w:tcW w:w="6440" w:type="dxa"/>
            <w:vAlign w:val="bottom"/>
          </w:tcPr>
          <w:p>
            <w:pPr>
              <w:spacing w:after="0"/>
              <w:rPr>
                <w:sz w:val="20"/>
                <w:szCs w:val="20"/>
                <w:color w:val="auto"/>
              </w:rPr>
            </w:pPr>
            <w:r>
              <w:rPr>
                <w:rFonts w:ascii="Arial" w:cs="Arial" w:eastAsia="Arial" w:hAnsi="Arial"/>
                <w:sz w:val="14"/>
                <w:szCs w:val="14"/>
                <w:color w:val="auto"/>
              </w:rPr>
              <w:t>(Loss) earnings per share:</w:t>
            </w: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2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(1.01)</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0.37</w:t>
            </w:r>
          </w:p>
        </w:tc>
        <w:tc>
          <w:tcPr>
            <w:tcW w:w="120" w:type="dxa"/>
            <w:vAlign w:val="bottom"/>
            <w:shd w:val="clear" w:color="auto" w:fill="CFF0FC"/>
          </w:tcPr>
          <w:p>
            <w:pPr>
              <w:spacing w:after="0"/>
              <w:rPr>
                <w:sz w:val="14"/>
                <w:szCs w:val="14"/>
                <w:color w:val="auto"/>
              </w:rPr>
            </w:pPr>
          </w:p>
        </w:tc>
      </w:tr>
      <w:tr>
        <w:trPr>
          <w:trHeight w:val="190"/>
        </w:trPr>
        <w:tc>
          <w:tcPr>
            <w:tcW w:w="6440" w:type="dxa"/>
            <w:vAlign w:val="bottom"/>
          </w:tcPr>
          <w:p>
            <w:pPr>
              <w:ind w:left="60"/>
              <w:spacing w:after="0"/>
              <w:rPr>
                <w:sz w:val="20"/>
                <w:szCs w:val="20"/>
                <w:color w:val="auto"/>
              </w:rPr>
            </w:pPr>
            <w:r>
              <w:rPr>
                <w:rFonts w:ascii="Arial" w:cs="Arial" w:eastAsia="Arial" w:hAnsi="Arial"/>
                <w:sz w:val="14"/>
                <w:szCs w:val="14"/>
                <w:color w:val="auto"/>
              </w:rPr>
              <w:t>Diluted (2)</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2160" w:type="dxa"/>
            <w:vAlign w:val="bottom"/>
            <w:gridSpan w:val="2"/>
          </w:tcPr>
          <w:p>
            <w:pPr>
              <w:jc w:val="right"/>
              <w:ind w:right="260"/>
              <w:spacing w:after="0"/>
              <w:rPr>
                <w:sz w:val="20"/>
                <w:szCs w:val="20"/>
                <w:color w:val="auto"/>
              </w:rPr>
            </w:pPr>
            <w:r>
              <w:rPr>
                <w:rFonts w:ascii="Arial" w:cs="Arial" w:eastAsia="Arial" w:hAnsi="Arial"/>
                <w:sz w:val="14"/>
                <w:szCs w:val="14"/>
                <w:color w:val="auto"/>
              </w:rPr>
              <w:t>(1.01)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0.37</w:t>
            </w:r>
          </w:p>
        </w:tc>
        <w:tc>
          <w:tcPr>
            <w:tcW w:w="120" w:type="dxa"/>
            <w:vAlign w:val="bottom"/>
          </w:tcPr>
          <w:p>
            <w:pPr>
              <w:spacing w:after="0"/>
              <w:rPr>
                <w:sz w:val="16"/>
                <w:szCs w:val="16"/>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left="-20" w:firstLine="652"/>
        <w:spacing w:after="0" w:line="234" w:lineRule="auto"/>
        <w:tabs>
          <w:tab w:leader="none" w:pos="74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Presents the revised quarterly financial data resulting from the adoption of Accounting Standards Update (“ASU”) 2024-04 as of January 1, 2024 on a prospective basis. As a result of the adoption of ASU 2024-04, the Company reversed a loss on extinguishment of debt for the partial repurchase of the Convertible Senior Notes due 2025 and recorded the repurchase transaction as an induced conversion. This change from extinguishment to inducement accounting resulted in the Company (i.) reversing the $211.0 million loss and the related $49.9 million tax benefit on extinguishment of debt, recorded in Q1 2024, (ii.) recording a $18.4 million convertible debt repurchase loss, (iii.) the difference between the extinguishment loss and inducement expense of $192.6 million recorded to equity, and (iv.) the related tax benefit of $45.6 million recorded to equity. See "Note 2—Basis of Presentation and Principles of Consolidation" for a further discussion of the first quarter 2024 extinguishment accounting and subsequent change to inducement accounting.</w:t>
      </w:r>
    </w:p>
    <w:p>
      <w:pPr>
        <w:spacing w:after="0" w:line="99" w:lineRule="exact"/>
        <w:rPr>
          <w:sz w:val="20"/>
          <w:szCs w:val="20"/>
          <w:color w:val="auto"/>
        </w:rPr>
      </w:pPr>
    </w:p>
    <w:p>
      <w:pPr>
        <w:ind w:left="-20" w:right="60" w:firstLine="652"/>
        <w:spacing w:after="0"/>
        <w:tabs>
          <w:tab w:leader="none" w:pos="729"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Diluted earnings per share prior to the adoption of ASU 2024-04 did not include certain adjustments as their inclusion would have been antidilutive. Subsequent to the adoption of ASU 2024-04 these adjustments are no longer antidilutive. Dilutive adjustments include if converted interest of $2.8 million, 1.5 million shares related to stock based awards and 6.8 million shares related to convertible senior notes. Inclusion of these dilution adjustments resulted in dilutive net income attributable to Parsons Corporation of $42.5 million and total diluted shares of 114.4 million for the quarter ended March 31, 2024.</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35"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6"/>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2024. Certain amounts may not foot due to rounding.</w:t>
      </w:r>
    </w:p>
    <w:p>
      <w:pPr>
        <w:spacing w:after="0" w:line="177" w:lineRule="exact"/>
        <w:rPr>
          <w:sz w:val="20"/>
          <w:szCs w:val="20"/>
          <w:color w:val="auto"/>
        </w:rPr>
      </w:pPr>
    </w:p>
    <w:p>
      <w:pPr>
        <w:ind w:right="20" w:firstLine="636"/>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2024.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6"/>
        <w:spacing w:after="0" w:line="247"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34" w:name="page35"/>
    <w:bookmarkEnd w:id="34"/>
    <w:p>
      <w:pPr>
        <w:spacing w:after="0" w:line="271" w:lineRule="auto"/>
        <w:rPr>
          <w:sz w:val="20"/>
          <w:szCs w:val="20"/>
          <w:color w:val="auto"/>
        </w:rPr>
      </w:pPr>
      <w:r>
        <w:rPr>
          <w:rFonts w:ascii="Arial" w:cs="Arial" w:eastAsia="Arial" w:hAnsi="Arial"/>
          <w:sz w:val="18"/>
          <w:szCs w:val="18"/>
          <w:color w:val="auto"/>
        </w:rPr>
        <w:t>entity. In addition to focusing on increasing our revenues through increased contract awards and backlog, we focus our financial performance on margin expansion and cash flow.</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260" w:firstLine="636"/>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5589905</wp:posOffset>
            </wp:positionH>
            <wp:positionV relativeFrom="paragraph">
              <wp:posOffset>113665</wp:posOffset>
            </wp:positionV>
            <wp:extent cx="8572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113665</wp:posOffset>
            </wp:positionV>
            <wp:extent cx="8572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5"/>
                <w:szCs w:val="15"/>
                <w:color w:val="auto"/>
              </w:rPr>
            </w:pPr>
          </w:p>
        </w:tc>
      </w:tr>
      <w:tr>
        <w:trPr>
          <w:trHeight w:val="196"/>
        </w:trPr>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Awards (year to date)</w:t>
            </w:r>
          </w:p>
        </w:tc>
        <w:tc>
          <w:tcPr>
            <w:tcW w:w="25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1,766,506</w:t>
            </w:r>
          </w:p>
        </w:tc>
        <w:tc>
          <w:tcPr>
            <w:tcW w:w="420" w:type="dxa"/>
            <w:vAlign w:val="bottom"/>
            <w:gridSpan w:val="3"/>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2,082,309</w:t>
            </w:r>
          </w:p>
        </w:tc>
        <w:tc>
          <w:tcPr>
            <w:tcW w:w="100" w:type="dxa"/>
            <w:vAlign w:val="bottom"/>
            <w:shd w:val="clear" w:color="auto" w:fill="CFF0FC"/>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Backlog (1)</w:t>
            </w:r>
          </w:p>
        </w:tc>
        <w:tc>
          <w:tcPr>
            <w:tcW w:w="2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9,071,226</w:t>
            </w:r>
          </w:p>
        </w:tc>
        <w:tc>
          <w:tcPr>
            <w:tcW w:w="4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9,028,843</w:t>
            </w:r>
          </w:p>
        </w:tc>
        <w:tc>
          <w:tcPr>
            <w:tcW w:w="100" w:type="dxa"/>
            <w:vAlign w:val="bottom"/>
          </w:tcPr>
          <w:p>
            <w:pPr>
              <w:spacing w:after="0"/>
              <w:rPr>
                <w:sz w:val="17"/>
                <w:szCs w:val="17"/>
                <w:color w:val="auto"/>
              </w:rPr>
            </w:pPr>
          </w:p>
        </w:tc>
      </w:tr>
      <w:tr>
        <w:trPr>
          <w:trHeight w:val="203"/>
        </w:trPr>
        <w:tc>
          <w:tcPr>
            <w:tcW w:w="4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Book-to-Bill (year to date)</w:t>
            </w:r>
          </w:p>
        </w:tc>
        <w:tc>
          <w:tcPr>
            <w:tcW w:w="2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660" w:right="80" w:hanging="652"/>
        <w:spacing w:after="0" w:line="25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Difference between our backlog of $9.1 billion and our remaining unsatisfied performance obligations, or RUPO, of $6.8 billion, each as of March 31, 2025,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7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744,709</w:t>
            </w:r>
          </w:p>
        </w:tc>
        <w:tc>
          <w:tcPr>
            <w:tcW w:w="4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1,282,640</w:t>
            </w:r>
          </w:p>
        </w:tc>
        <w:tc>
          <w:tcPr>
            <w:tcW w:w="100" w:type="dxa"/>
            <w:vAlign w:val="bottom"/>
            <w:shd w:val="clear" w:color="auto" w:fill="CFF0FC"/>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1,021,797</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799,669</w:t>
            </w:r>
          </w:p>
        </w:tc>
        <w:tc>
          <w:tcPr>
            <w:tcW w:w="100" w:type="dxa"/>
            <w:vAlign w:val="bottom"/>
          </w:tcPr>
          <w:p>
            <w:pPr>
              <w:spacing w:after="0"/>
              <w:rPr>
                <w:sz w:val="17"/>
                <w:szCs w:val="17"/>
                <w:color w:val="auto"/>
              </w:rPr>
            </w:pPr>
          </w:p>
        </w:tc>
      </w:tr>
      <w:tr>
        <w:trPr>
          <w:trHeight w:val="236"/>
        </w:trPr>
        <w:tc>
          <w:tcPr>
            <w:tcW w:w="67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Awards</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1,766,506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2,082,309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-25400</wp:posOffset>
            </wp:positionV>
            <wp:extent cx="603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4"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increase in awards for the three months ended March 31, 2025 in our Critical Infrastructure segment when compared to the corresponding period last year was primarily driven by an overall increase in awards in the current period. The decrease in awards for the three months ended March 31, 2025 in our Federal Solutions segment when compared to the corresponding period last year was primarily driven by a delay in the timing of awards of a number of contracts being pursued. The comparable period included significant option period awards from a customer in the Federal Solutions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900" w:right="58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6" w:lineRule="exact"/>
        <w:rPr>
          <w:rFonts w:ascii="Times New Roman" w:cs="Times New Roman" w:eastAsia="Times New Roman" w:hAnsi="Times New Roman"/>
          <w:sz w:val="18"/>
          <w:szCs w:val="18"/>
          <w:color w:val="auto"/>
        </w:rPr>
      </w:pPr>
    </w:p>
    <w:p>
      <w:pPr>
        <w:ind w:left="900" w:right="240" w:hanging="263"/>
        <w:spacing w:after="0" w:line="270" w:lineRule="auto"/>
        <w:tabs>
          <w:tab w:leader="none" w:pos="9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160" w:firstLine="636"/>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150495</wp:posOffset>
            </wp:positionV>
            <wp:extent cx="85090" cy="145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090" cy="14541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150495</wp:posOffset>
            </wp:positionV>
            <wp:extent cx="85725"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84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1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1,770,655</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1,804,251</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2,799,723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3,450,328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Federal Solutions</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4,570,378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5,254,579</w:t>
            </w:r>
          </w:p>
        </w:tc>
        <w:tc>
          <w:tcPr>
            <w:tcW w:w="0" w:type="dxa"/>
            <w:vAlign w:val="bottom"/>
          </w:tcPr>
          <w:p>
            <w:pPr>
              <w:spacing w:after="0"/>
              <w:rPr>
                <w:sz w:val="1"/>
                <w:szCs w:val="1"/>
                <w:color w:val="auto"/>
              </w:rPr>
            </w:pPr>
          </w:p>
        </w:tc>
      </w:tr>
      <w:tr>
        <w:trPr>
          <w:trHeight w:val="196"/>
        </w:trPr>
        <w:tc>
          <w:tcPr>
            <w:tcW w:w="68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Critical Infrastructure:</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Funded</w:t>
            </w: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4,451,234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3,706,435</w:t>
            </w:r>
          </w:p>
        </w:tc>
        <w:tc>
          <w:tcPr>
            <w:tcW w:w="0" w:type="dxa"/>
            <w:vAlign w:val="bottom"/>
          </w:tcPr>
          <w:p>
            <w:pPr>
              <w:spacing w:after="0"/>
              <w:rPr>
                <w:sz w:val="1"/>
                <w:szCs w:val="1"/>
                <w:color w:val="auto"/>
              </w:rPr>
            </w:pPr>
          </w:p>
        </w:tc>
      </w:tr>
      <w:tr>
        <w:trPr>
          <w:trHeight w:val="203"/>
        </w:trPr>
        <w:tc>
          <w:tcPr>
            <w:tcW w:w="6840" w:type="dxa"/>
            <w:vAlign w:val="bottom"/>
          </w:tcPr>
          <w:p>
            <w:pPr>
              <w:ind w:left="160"/>
              <w:spacing w:after="0" w:line="202" w:lineRule="exact"/>
              <w:rPr>
                <w:sz w:val="20"/>
                <w:szCs w:val="20"/>
                <w:color w:val="auto"/>
              </w:rPr>
            </w:pPr>
            <w:r>
              <w:rPr>
                <w:rFonts w:ascii="Arial" w:cs="Arial" w:eastAsia="Arial" w:hAnsi="Arial"/>
                <w:sz w:val="18"/>
                <w:szCs w:val="18"/>
                <w:color w:val="auto"/>
              </w:rPr>
              <w:t>Unfunded</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Critical Infrastructure</w:t>
            </w:r>
          </w:p>
        </w:tc>
        <w:tc>
          <w:tcPr>
            <w:tcW w:w="1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4,500,848</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3,774,264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40" w:type="dxa"/>
            <w:vAlign w:val="bottom"/>
          </w:tcPr>
          <w:p>
            <w:pPr>
              <w:spacing w:after="0" w:line="196" w:lineRule="exact"/>
              <w:rPr>
                <w:sz w:val="20"/>
                <w:szCs w:val="20"/>
                <w:color w:val="auto"/>
              </w:rPr>
            </w:pPr>
            <w:r>
              <w:rPr>
                <w:rFonts w:ascii="Arial" w:cs="Arial" w:eastAsia="Arial" w:hAnsi="Arial"/>
                <w:sz w:val="18"/>
                <w:szCs w:val="18"/>
                <w:color w:val="auto"/>
              </w:rPr>
              <w:t>Total Backlog (1)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9,071,226</w:t>
            </w:r>
          </w:p>
        </w:tc>
        <w:tc>
          <w:tcPr>
            <w:tcW w:w="80" w:type="dxa"/>
            <w:vAlign w:val="bottom"/>
          </w:tcPr>
          <w:p>
            <w:pPr>
              <w:spacing w:after="0"/>
              <w:rPr>
                <w:sz w:val="17"/>
                <w:szCs w:val="17"/>
                <w:color w:val="auto"/>
              </w:rPr>
            </w:pPr>
          </w:p>
        </w:tc>
        <w:tc>
          <w:tcPr>
            <w:tcW w:w="3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9,028,843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-693420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-693420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-162560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-162560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right="40" w:hanging="638"/>
        <w:spacing w:after="0" w:line="25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Difference between our backlog of $9.1 billion and our RUPO of $6.8 billion, each as of March 31, 2025,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40" w:firstLine="636"/>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We expect to recognize $4.3 billion of our funded backlog at March 31, 2025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 Risk Relating to Our Business—We may not realize the full value of our backlog, which may result in lower than expected revenue” in the Company’s Form 10-K for the year ended December 31, 2024.</w:t>
      </w:r>
    </w:p>
    <w:p>
      <w:pPr>
        <w:spacing w:after="0" w:line="179" w:lineRule="exact"/>
        <w:rPr>
          <w:sz w:val="20"/>
          <w:szCs w:val="20"/>
          <w:color w:val="auto"/>
        </w:rPr>
      </w:pPr>
    </w:p>
    <w:p>
      <w:pPr>
        <w:ind w:right="540" w:firstLine="636"/>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338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720" w:type="dxa"/>
            <w:vAlign w:val="bottom"/>
          </w:tcPr>
          <w:p>
            <w:pPr>
              <w:spacing w:after="0"/>
              <w:rPr>
                <w:sz w:val="13"/>
                <w:szCs w:val="13"/>
                <w:color w:val="auto"/>
              </w:rPr>
            </w:pPr>
          </w:p>
        </w:tc>
        <w:tc>
          <w:tcPr>
            <w:tcW w:w="15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March 31, 2025</w:t>
            </w:r>
          </w:p>
        </w:tc>
        <w:tc>
          <w:tcPr>
            <w:tcW w:w="200" w:type="dxa"/>
            <w:vAlign w:val="bottom"/>
            <w:tcBorders>
              <w:top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Solutions</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0.9</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Critical Infrastructure</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Overall</w:t>
            </w: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7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7"/>
                <w:szCs w:val="17"/>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20" w:firstLine="636"/>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firstLine="636"/>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20" w:firstLine="636"/>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TRS Group, Inc.</w:t>
      </w:r>
    </w:p>
    <w:p>
      <w:pPr>
        <w:spacing w:after="0" w:line="102" w:lineRule="exact"/>
        <w:rPr>
          <w:sz w:val="20"/>
          <w:szCs w:val="20"/>
          <w:color w:val="auto"/>
        </w:rPr>
      </w:pPr>
    </w:p>
    <w:p>
      <w:pPr>
        <w:ind w:right="40" w:firstLine="644"/>
        <w:spacing w:after="0" w:line="247" w:lineRule="auto"/>
        <w:rPr>
          <w:sz w:val="20"/>
          <w:szCs w:val="20"/>
          <w:color w:val="auto"/>
        </w:rPr>
      </w:pPr>
      <w:r>
        <w:rPr>
          <w:rFonts w:ascii="Arial" w:cs="Arial" w:eastAsia="Arial" w:hAnsi="Arial"/>
          <w:sz w:val="18"/>
          <w:szCs w:val="18"/>
          <w:color w:val="auto"/>
        </w:rPr>
        <w:t>On January 31, 2025, the Company acquired a 100% ownership interest in TRS Group, Inc. ("TRS") a privately owned company, for $36.6 million. TRS is an environmental solutions firm that specializes in remediation technology. The acquisition of TRS significantly enhances Parsons’ environmental remediation capabilities. The financial results of TRS have been included in our consolidated results of operations from January 31, 2025 onward.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BCC Engineering, LLC</w:t>
      </w:r>
    </w:p>
    <w:p>
      <w:pPr>
        <w:spacing w:after="0" w:line="102" w:lineRule="exact"/>
        <w:rPr>
          <w:sz w:val="20"/>
          <w:szCs w:val="20"/>
          <w:color w:val="auto"/>
        </w:rPr>
      </w:pPr>
    </w:p>
    <w:p>
      <w:pPr>
        <w:ind w:right="500" w:firstLine="644"/>
        <w:spacing w:after="0" w:line="271" w:lineRule="auto"/>
        <w:rPr>
          <w:sz w:val="20"/>
          <w:szCs w:val="20"/>
          <w:color w:val="auto"/>
        </w:rPr>
      </w:pPr>
      <w:r>
        <w:rPr>
          <w:rFonts w:ascii="Arial" w:cs="Arial" w:eastAsia="Arial" w:hAnsi="Arial"/>
          <w:sz w:val="18"/>
          <w:szCs w:val="18"/>
          <w:color w:val="auto"/>
        </w:rPr>
        <w:t>On November 1, 2024, the Company acquired a 100% ownership interest in BCC Engineering, LLC ("BCC") a privately owned company, for $233.5 million. BCC is a full-service engineering firm that provides planning, design,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37" w:name="page38"/>
    <w:bookmarkEnd w:id="37"/>
    <w:p>
      <w:pPr>
        <w:spacing w:after="0" w:line="253" w:lineRule="auto"/>
        <w:rPr>
          <w:sz w:val="20"/>
          <w:szCs w:val="20"/>
          <w:color w:val="auto"/>
        </w:rPr>
      </w:pPr>
      <w:r>
        <w:rPr>
          <w:rFonts w:ascii="Arial" w:cs="Arial" w:eastAsia="Arial" w:hAnsi="Arial"/>
          <w:sz w:val="18"/>
          <w:szCs w:val="18"/>
          <w:color w:val="auto"/>
        </w:rPr>
        <w:t>management services for transportation, civil and structural engineering projects in Florida, Georgia, Texas, South Carolina, and Puerto Rico. This acquisition strengthens Parsons’ position as an infrastructure leader while expanding the company’s reach in the southeastern United States. The financial results of BCC have been included in our consolidated results of operations from October 18, 2024 onward.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BlackSignal Technologies, LLC</w:t>
      </w:r>
    </w:p>
    <w:p>
      <w:pPr>
        <w:spacing w:after="0" w:line="102" w:lineRule="exact"/>
        <w:rPr>
          <w:sz w:val="20"/>
          <w:szCs w:val="20"/>
          <w:color w:val="auto"/>
        </w:rPr>
      </w:pPr>
    </w:p>
    <w:p>
      <w:pPr>
        <w:ind w:right="100" w:firstLine="644"/>
        <w:spacing w:after="0" w:line="242" w:lineRule="auto"/>
        <w:rPr>
          <w:sz w:val="20"/>
          <w:szCs w:val="20"/>
          <w:color w:val="auto"/>
        </w:rPr>
      </w:pPr>
      <w:r>
        <w:rPr>
          <w:rFonts w:ascii="Arial" w:cs="Arial" w:eastAsia="Arial" w:hAnsi="Arial"/>
          <w:sz w:val="18"/>
          <w:szCs w:val="18"/>
          <w:color w:val="auto"/>
        </w:rPr>
        <w:t>On August 16, 2024, the Company acquired a 100% ownership interest in BlackSignal Technologies, LLC, ("BlackSignal") a privately-owned company, for $203.7 million. Headquartered in Chantilly, Virginia, BlackSignal is a next-generation digital signal processing, electronic warfare, and cyber security provider built to counter near peer threats. Parsons believes that the acquisition will expand Parsons' customer base across the Department of Defense and Intelligence Community and significantly strengthen Parsons' positioning within cyber warfare, while adding new capabilities in the counterspace radio frequency domain. The financial results of BlackSignal have been included in our consolidated results of operations from August 16, 2024 onward.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6"/>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400" w:right="160" w:hanging="374"/>
        <w:spacing w:after="0" w:line="246" w:lineRule="auto"/>
        <w:tabs>
          <w:tab w:leader="none" w:pos="14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400" w:right="400" w:hanging="374"/>
        <w:spacing w:after="0" w:line="252" w:lineRule="auto"/>
        <w:tabs>
          <w:tab w:leader="none" w:pos="14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24" w:lineRule="exact"/>
        <w:rPr>
          <w:sz w:val="20"/>
          <w:szCs w:val="20"/>
          <w:color w:val="auto"/>
        </w:rPr>
      </w:pPr>
    </w:p>
    <w:p>
      <w:pPr>
        <w:ind w:right="80" w:firstLine="636"/>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2024 for a description of our policies on revenue recognition.</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920" w:type="dxa"/>
            <w:vAlign w:val="bottom"/>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March 31, 2025</w:t>
            </w:r>
          </w:p>
        </w:tc>
        <w:tc>
          <w:tcPr>
            <w:tcW w:w="160" w:type="dxa"/>
            <w:vAlign w:val="bottom"/>
            <w:tcBorders>
              <w:top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March 31, 2024</w:t>
            </w:r>
          </w:p>
        </w:tc>
        <w:tc>
          <w:tcPr>
            <w:tcW w:w="560" w:type="dxa"/>
            <w:vAlign w:val="bottom"/>
          </w:tcPr>
          <w:p>
            <w:pPr>
              <w:spacing w:after="0"/>
              <w:rPr>
                <w:sz w:val="13"/>
                <w:szCs w:val="13"/>
                <w:color w:val="auto"/>
              </w:rPr>
            </w:pPr>
          </w:p>
        </w:tc>
      </w:tr>
      <w:tr>
        <w:trPr>
          <w:trHeight w:val="196"/>
        </w:trPr>
        <w:tc>
          <w:tcPr>
            <w:tcW w:w="580" w:type="dxa"/>
            <w:vAlign w:val="bottom"/>
          </w:tcPr>
          <w:p>
            <w:pPr>
              <w:spacing w:after="0"/>
              <w:rPr>
                <w:sz w:val="17"/>
                <w:szCs w:val="17"/>
                <w:color w:val="auto"/>
              </w:rPr>
            </w:pPr>
          </w:p>
        </w:tc>
        <w:tc>
          <w:tcPr>
            <w:tcW w:w="3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Fixed-price</w:t>
            </w:r>
          </w:p>
        </w:tc>
        <w:tc>
          <w:tcPr>
            <w:tcW w:w="5080" w:type="dxa"/>
            <w:vAlign w:val="bottom"/>
            <w:gridSpan w:val="2"/>
            <w:shd w:val="clear" w:color="auto" w:fill="CFF0FC"/>
          </w:tcPr>
          <w:p>
            <w:pPr>
              <w:jc w:val="center"/>
              <w:ind w:left="3390"/>
              <w:spacing w:after="0" w:line="196" w:lineRule="exact"/>
              <w:rPr>
                <w:sz w:val="20"/>
                <w:szCs w:val="20"/>
                <w:color w:val="auto"/>
              </w:rPr>
            </w:pPr>
            <w:r>
              <w:rPr>
                <w:rFonts w:ascii="Arial" w:cs="Arial" w:eastAsia="Arial" w:hAnsi="Arial"/>
                <w:sz w:val="18"/>
                <w:szCs w:val="18"/>
                <w:color w:val="auto"/>
              </w:rPr>
              <w:t>37.0%</w:t>
            </w:r>
          </w:p>
        </w:tc>
        <w:tc>
          <w:tcPr>
            <w:tcW w:w="1780" w:type="dxa"/>
            <w:vAlign w:val="bottom"/>
            <w:gridSpan w:val="2"/>
            <w:shd w:val="clear" w:color="auto" w:fill="CFF0FC"/>
          </w:tcPr>
          <w:p>
            <w:pPr>
              <w:jc w:val="center"/>
              <w:ind w:left="50"/>
              <w:spacing w:after="0" w:line="196" w:lineRule="exact"/>
              <w:rPr>
                <w:sz w:val="20"/>
                <w:szCs w:val="20"/>
                <w:color w:val="auto"/>
              </w:rPr>
            </w:pPr>
            <w:r>
              <w:rPr>
                <w:rFonts w:ascii="Arial" w:cs="Arial" w:eastAsia="Arial" w:hAnsi="Arial"/>
                <w:sz w:val="18"/>
                <w:szCs w:val="18"/>
                <w:color w:val="auto"/>
              </w:rPr>
              <w:t>41.1%</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Time-and-materials</w:t>
            </w:r>
          </w:p>
        </w:tc>
        <w:tc>
          <w:tcPr>
            <w:tcW w:w="5080" w:type="dxa"/>
            <w:vAlign w:val="bottom"/>
            <w:gridSpan w:val="2"/>
          </w:tcPr>
          <w:p>
            <w:pPr>
              <w:jc w:val="center"/>
              <w:ind w:left="3390"/>
              <w:spacing w:after="0" w:line="202" w:lineRule="exact"/>
              <w:rPr>
                <w:sz w:val="20"/>
                <w:szCs w:val="20"/>
                <w:color w:val="auto"/>
              </w:rPr>
            </w:pPr>
            <w:r>
              <w:rPr>
                <w:rFonts w:ascii="Arial" w:cs="Arial" w:eastAsia="Arial" w:hAnsi="Arial"/>
                <w:sz w:val="18"/>
                <w:szCs w:val="18"/>
                <w:color w:val="auto"/>
              </w:rPr>
              <w:t>22.3%</w:t>
            </w:r>
          </w:p>
        </w:tc>
        <w:tc>
          <w:tcPr>
            <w:tcW w:w="17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rPr>
              <w:t>22.8%</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Cost-plus</w:t>
            </w:r>
          </w:p>
        </w:tc>
        <w:tc>
          <w:tcPr>
            <w:tcW w:w="5080" w:type="dxa"/>
            <w:vAlign w:val="bottom"/>
            <w:gridSpan w:val="2"/>
            <w:shd w:val="clear" w:color="auto" w:fill="CFF0FC"/>
          </w:tcPr>
          <w:p>
            <w:pPr>
              <w:jc w:val="center"/>
              <w:ind w:left="3390"/>
              <w:spacing w:after="0" w:line="202" w:lineRule="exact"/>
              <w:rPr>
                <w:sz w:val="20"/>
                <w:szCs w:val="20"/>
                <w:color w:val="auto"/>
              </w:rPr>
            </w:pPr>
            <w:r>
              <w:rPr>
                <w:rFonts w:ascii="Arial" w:cs="Arial" w:eastAsia="Arial" w:hAnsi="Arial"/>
                <w:sz w:val="18"/>
                <w:szCs w:val="18"/>
                <w:color w:val="auto"/>
              </w:rPr>
              <w:t>40.7%</w:t>
            </w:r>
          </w:p>
        </w:tc>
        <w:tc>
          <w:tcPr>
            <w:tcW w:w="17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rPr>
              <w:t>36.1%</w:t>
            </w:r>
          </w:p>
        </w:tc>
        <w:tc>
          <w:tcPr>
            <w:tcW w:w="560" w:type="dxa"/>
            <w:vAlign w:val="bottom"/>
          </w:tcPr>
          <w:p>
            <w:pPr>
              <w:spacing w:after="0"/>
              <w:rPr>
                <w:sz w:val="17"/>
                <w:szCs w:val="17"/>
                <w:color w:val="auto"/>
              </w:rPr>
            </w:pPr>
          </w:p>
        </w:tc>
      </w:tr>
      <w:tr>
        <w:trPr>
          <w:trHeight w:val="652"/>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500" w:type="dxa"/>
            <w:vAlign w:val="bottom"/>
          </w:tcPr>
          <w:p>
            <w:pPr>
              <w:jc w:val="right"/>
              <w:ind w:right="1510"/>
              <w:spacing w:after="0"/>
              <w:rPr>
                <w:sz w:val="20"/>
                <w:szCs w:val="20"/>
                <w:color w:val="auto"/>
              </w:rPr>
            </w:pPr>
            <w:r>
              <w:rPr>
                <w:rFonts w:ascii="Arial" w:cs="Arial" w:eastAsia="Arial" w:hAnsi="Arial"/>
                <w:sz w:val="18"/>
                <w:szCs w:val="18"/>
                <w:color w:val="auto"/>
              </w:rPr>
              <w:t>36</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45"/>
        </w:trPr>
        <w:tc>
          <w:tcPr>
            <w:tcW w:w="5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firstLine="636"/>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generally experienced a relatively stable contract mix.</w:t>
      </w:r>
    </w:p>
    <w:p>
      <w:pPr>
        <w:spacing w:after="0" w:line="186" w:lineRule="exact"/>
        <w:rPr>
          <w:sz w:val="20"/>
          <w:szCs w:val="20"/>
          <w:color w:val="auto"/>
        </w:rPr>
      </w:pPr>
    </w:p>
    <w:p>
      <w:pPr>
        <w:ind w:right="180" w:firstLine="644"/>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(losses) earnings of unconsolidated joint ventures. Our revenues included amounts related to services we provided to our unconsolidated joint ventures for the three months ended March 31, 2025 and March 31, 2024 of $45.5 million and $46.8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March 31, 2025 and March 31, 2024 was $17.8 million and $15.0 million, respectively, and is recorded in “Direct cost of contracts” and “Selling, general and administrative expenses.”</w:t>
      </w:r>
    </w:p>
    <w:p>
      <w:pPr>
        <w:spacing w:after="0" w:line="176" w:lineRule="exact"/>
        <w:rPr>
          <w:sz w:val="20"/>
          <w:szCs w:val="20"/>
          <w:color w:val="auto"/>
        </w:rPr>
      </w:pPr>
    </w:p>
    <w:p>
      <w:pPr>
        <w:ind w:right="40" w:firstLine="636"/>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20" w:firstLine="636"/>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20" w:firstLine="636"/>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months ended March 31, 2025 and March 31, 2024.</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4440" w:type="dxa"/>
            <w:vAlign w:val="bottom"/>
            <w:vMerge w:val="continue"/>
          </w:tcPr>
          <w:p>
            <w:pPr>
              <w:spacing w:after="0"/>
              <w:rPr>
                <w:sz w:val="13"/>
                <w:szCs w:val="13"/>
                <w:color w:val="auto"/>
              </w:rPr>
            </w:pPr>
          </w:p>
        </w:tc>
        <w:tc>
          <w:tcPr>
            <w:tcW w:w="2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(1)</w:t>
            </w:r>
          </w:p>
        </w:tc>
        <w:tc>
          <w:tcPr>
            <w:tcW w:w="23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148,776</w:t>
            </w:r>
          </w:p>
        </w:tc>
        <w:tc>
          <w:tcPr>
            <w:tcW w:w="26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141,093</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Net Income Margin (2)</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Margin (3)</w:t>
            </w:r>
          </w:p>
        </w:tc>
        <w:tc>
          <w:tcPr>
            <w:tcW w:w="2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20" w:hanging="63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36" w:lineRule="exact"/>
        <w:rPr>
          <w:rFonts w:ascii="Arial" w:cs="Arial" w:eastAsia="Arial" w:hAnsi="Arial"/>
          <w:sz w:val="18"/>
          <w:szCs w:val="18"/>
          <w:color w:val="auto"/>
        </w:rPr>
      </w:pPr>
    </w:p>
    <w:p>
      <w:pPr>
        <w:ind w:left="1020" w:hanging="63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03" w:lineRule="exact"/>
        <w:rPr>
          <w:rFonts w:ascii="Arial" w:cs="Arial" w:eastAsia="Arial" w:hAnsi="Arial"/>
          <w:sz w:val="18"/>
          <w:szCs w:val="18"/>
          <w:color w:val="auto"/>
        </w:rPr>
      </w:pPr>
    </w:p>
    <w:p>
      <w:pPr>
        <w:ind w:left="1020" w:hanging="638"/>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6"/>
          </w:tcPr>
          <w:p>
            <w:pPr>
              <w:ind w:left="88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5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March 31, 2025</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3"/>
                <w:szCs w:val="13"/>
                <w:color w:val="auto"/>
              </w:rPr>
            </w:pPr>
          </w:p>
        </w:tc>
      </w:tr>
      <w:tr>
        <w:trPr>
          <w:trHeight w:val="196"/>
        </w:trPr>
        <w:tc>
          <w:tcPr>
            <w:tcW w:w="5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90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66,203</w:t>
            </w:r>
          </w:p>
        </w:tc>
        <w:tc>
          <w:tcPr>
            <w:tcW w:w="1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39,750</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10,104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11,846</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18,977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13,324</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27,403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24,531</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15,243</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7,103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12,656</w:t>
            </w:r>
          </w:p>
        </w:tc>
        <w:tc>
          <w:tcPr>
            <w:tcW w:w="100" w:type="dxa"/>
            <w:vAlign w:val="bottom"/>
          </w:tcPr>
          <w:p>
            <w:pPr>
              <w:spacing w:after="0"/>
              <w:rPr>
                <w:sz w:val="17"/>
                <w:szCs w:val="17"/>
                <w:color w:val="auto"/>
              </w:rPr>
            </w:pPr>
          </w:p>
        </w:tc>
      </w:tr>
      <w:tr>
        <w:trPr>
          <w:trHeight w:val="203"/>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Convertible debt repurchase loss</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100" w:type="dxa"/>
            <w:vAlign w:val="bottom"/>
            <w:shd w:val="clear" w:color="auto" w:fill="CFF0FC"/>
          </w:tcPr>
          <w:p>
            <w:pPr>
              <w:spacing w:after="0"/>
              <w:rPr>
                <w:sz w:val="17"/>
                <w:szCs w:val="17"/>
                <w:color w:val="auto"/>
              </w:rPr>
            </w:pPr>
          </w:p>
        </w:tc>
      </w:tr>
      <w:tr>
        <w:trPr>
          <w:trHeight w:val="203"/>
        </w:trPr>
        <w:tc>
          <w:tcPr>
            <w:tcW w:w="5840" w:type="dxa"/>
            <w:vAlign w:val="bottom"/>
          </w:tcPr>
          <w:p>
            <w:pPr>
              <w:ind w:left="200"/>
              <w:spacing w:after="0" w:line="202" w:lineRule="exact"/>
              <w:rPr>
                <w:sz w:val="20"/>
                <w:szCs w:val="20"/>
                <w:color w:val="auto"/>
              </w:rPr>
            </w:pPr>
            <w:r>
              <w:rPr>
                <w:rFonts w:ascii="Arial" w:cs="Arial" w:eastAsia="Arial" w:hAnsi="Arial"/>
                <w:sz w:val="18"/>
                <w:szCs w:val="18"/>
                <w:color w:val="auto"/>
              </w:rPr>
              <w:t>Transaction-related costs (a)</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3,701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2,886</w:t>
            </w:r>
          </w:p>
        </w:tc>
        <w:tc>
          <w:tcPr>
            <w:tcW w:w="100" w:type="dxa"/>
            <w:vAlign w:val="bottom"/>
          </w:tcPr>
          <w:p>
            <w:pPr>
              <w:spacing w:after="0"/>
              <w:rPr>
                <w:sz w:val="17"/>
                <w:szCs w:val="17"/>
                <w:color w:val="auto"/>
              </w:rPr>
            </w:pPr>
          </w:p>
        </w:tc>
      </w:tr>
      <w:tr>
        <w:trPr>
          <w:trHeight w:val="202"/>
        </w:trPr>
        <w:tc>
          <w:tcPr>
            <w:tcW w:w="5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(b)</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(299)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2,502</w:t>
            </w:r>
          </w:p>
        </w:tc>
        <w:tc>
          <w:tcPr>
            <w:tcW w:w="100" w:type="dxa"/>
            <w:vAlign w:val="bottom"/>
            <w:shd w:val="clear" w:color="auto" w:fill="CFF0FC"/>
          </w:tcPr>
          <w:p>
            <w:pPr>
              <w:spacing w:after="0"/>
              <w:rPr>
                <w:sz w:val="17"/>
                <w:szCs w:val="17"/>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840" w:type="dxa"/>
            <w:vAlign w:val="bottom"/>
          </w:tcPr>
          <w:p>
            <w:pPr>
              <w:ind w:left="200"/>
              <w:spacing w:after="0"/>
              <w:rPr>
                <w:sz w:val="20"/>
                <w:szCs w:val="20"/>
                <w:color w:val="auto"/>
              </w:rPr>
            </w:pPr>
            <w:r>
              <w:rPr>
                <w:rFonts w:ascii="Arial" w:cs="Arial" w:eastAsia="Arial" w:hAnsi="Arial"/>
                <w:sz w:val="18"/>
                <w:szCs w:val="18"/>
                <w:color w:val="auto"/>
              </w:rPr>
              <w:t>Adjusted EBITDA</w:t>
            </w:r>
          </w:p>
        </w:tc>
        <w:tc>
          <w:tcPr>
            <w:tcW w:w="16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148,776</w:t>
            </w:r>
          </w:p>
        </w:tc>
        <w:tc>
          <w:tcPr>
            <w:tcW w:w="180" w:type="dxa"/>
            <w:vAlign w:val="bottom"/>
          </w:tcPr>
          <w:p>
            <w:pPr>
              <w:spacing w:after="0"/>
              <w:rPr>
                <w:sz w:val="20"/>
                <w:szCs w:val="20"/>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141,093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-159385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-22225</wp:posOffset>
            </wp:positionV>
            <wp:extent cx="228854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88540" cy="26035"/>
                    </a:xfrm>
                    <a:prstGeom prst="rect">
                      <a:avLst/>
                    </a:prstGeom>
                    <a:noFill/>
                  </pic:spPr>
                </pic:pic>
              </a:graphicData>
            </a:graphic>
          </wp:anchor>
        </w:drawing>
      </w:r>
    </w:p>
    <w:p>
      <w:pPr>
        <w:ind w:left="660" w:right="120" w:hanging="652"/>
        <w:spacing w:after="0" w:line="23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spacing w:after="0" w:line="1" w:lineRule="exact"/>
        <w:rPr>
          <w:rFonts w:ascii="Arial" w:cs="Arial" w:eastAsia="Arial" w:hAnsi="Arial"/>
          <w:sz w:val="18"/>
          <w:szCs w:val="18"/>
          <w:color w:val="auto"/>
        </w:rPr>
      </w:pPr>
    </w:p>
    <w:p>
      <w:pPr>
        <w:ind w:left="660" w:right="100" w:hanging="652"/>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2" w:lineRule="exact"/>
        <w:rPr>
          <w:sz w:val="20"/>
          <w:szCs w:val="20"/>
          <w:color w:val="auto"/>
        </w:rPr>
      </w:pPr>
    </w:p>
    <w:p>
      <w:pPr>
        <w:ind w:right="160" w:firstLine="636"/>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ind w:right="40" w:firstLine="636"/>
        <w:spacing w:after="0" w:line="237"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1" w:right="339" w:bottom="1440" w:gutter="0" w:footer="0" w:header="0"/>
        </w:sectPr>
      </w:pPr>
    </w:p>
    <w:bookmarkStart w:id="40" w:name="page41"/>
    <w:bookmarkEnd w:id="40"/>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Variance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540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Pr>
          <w:p>
            <w:pPr>
              <w:spacing w:after="0"/>
              <w:rPr>
                <w:sz w:val="13"/>
                <w:szCs w:val="13"/>
                <w:color w:val="auto"/>
              </w:rPr>
            </w:pPr>
          </w:p>
        </w:tc>
        <w:tc>
          <w:tcPr>
            <w:tcW w:w="1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Dollar</w:t>
            </w:r>
          </w:p>
        </w:tc>
        <w:tc>
          <w:tcPr>
            <w:tcW w:w="100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r>
      <w:tr>
        <w:trPr>
          <w:trHeight w:val="177"/>
        </w:trPr>
        <w:tc>
          <w:tcPr>
            <w:tcW w:w="540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Federal Solutions Adjusted EBITDA attributable to Parsons</w:t>
            </w:r>
          </w:p>
        </w:tc>
        <w:tc>
          <w:tcPr>
            <w:tcW w:w="3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2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75,532</w:t>
            </w:r>
          </w:p>
        </w:tc>
        <w:tc>
          <w:tcPr>
            <w:tcW w:w="5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92,541</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(17,009)</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r>
      <w:tr>
        <w:trPr>
          <w:trHeight w:val="184"/>
        </w:trPr>
        <w:tc>
          <w:tcPr>
            <w:tcW w:w="5400" w:type="dxa"/>
            <w:vAlign w:val="bottom"/>
          </w:tcPr>
          <w:p>
            <w:pPr>
              <w:spacing w:after="0" w:line="183" w:lineRule="exact"/>
              <w:rPr>
                <w:sz w:val="20"/>
                <w:szCs w:val="20"/>
                <w:color w:val="auto"/>
              </w:rPr>
            </w:pPr>
            <w:r>
              <w:rPr>
                <w:rFonts w:ascii="Arial" w:cs="Arial" w:eastAsia="Arial" w:hAnsi="Arial"/>
                <w:sz w:val="18"/>
                <w:szCs w:val="18"/>
                <w:color w:val="auto"/>
              </w:rPr>
              <w:t>Critical Infrastructure Adjusted EBITDA attributable to Parsons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1"/>
        </w:trPr>
        <w:tc>
          <w:tcPr>
            <w:tcW w:w="5400" w:type="dxa"/>
            <w:vAlign w:val="bottom"/>
          </w:tcPr>
          <w:p>
            <w:pPr>
              <w:spacing w:after="0"/>
              <w:rPr>
                <w:sz w:val="20"/>
                <w:szCs w:val="20"/>
                <w:color w:val="auto"/>
              </w:rPr>
            </w:pPr>
            <w:r>
              <w:rPr>
                <w:rFonts w:ascii="Arial" w:cs="Arial" w:eastAsia="Arial" w:hAnsi="Arial"/>
                <w:sz w:val="18"/>
                <w:szCs w:val="18"/>
                <w:color w:val="auto"/>
              </w:rPr>
              <w:t>Corporation</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58,187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r>
      <w:tr>
        <w:trPr>
          <w:trHeight w:val="203"/>
        </w:trPr>
        <w:tc>
          <w:tcPr>
            <w:tcW w:w="5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Adjusted EBITDA attributable to noncontrolling interests</w:t>
            </w: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15,057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15,589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(532)</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w:t>
            </w:r>
          </w:p>
        </w:tc>
      </w:tr>
      <w:tr>
        <w:trPr>
          <w:trHeight w:val="20"/>
        </w:trPr>
        <w:tc>
          <w:tcPr>
            <w:tcW w:w="5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5400" w:type="dxa"/>
            <w:vAlign w:val="bottom"/>
          </w:tcPr>
          <w:p>
            <w:pPr>
              <w:spacing w:after="0" w:line="182" w:lineRule="exact"/>
              <w:rPr>
                <w:sz w:val="20"/>
                <w:szCs w:val="20"/>
                <w:color w:val="auto"/>
              </w:rPr>
            </w:pPr>
            <w:r>
              <w:rPr>
                <w:rFonts w:ascii="Arial" w:cs="Arial" w:eastAsia="Arial" w:hAnsi="Arial"/>
                <w:sz w:val="18"/>
                <w:szCs w:val="18"/>
                <w:color w:val="auto"/>
              </w:rPr>
              <w:t>Total Adjusted EBITDA</w:t>
            </w:r>
          </w:p>
        </w:tc>
        <w:tc>
          <w:tcPr>
            <w:tcW w:w="300" w:type="dxa"/>
            <w:vAlign w:val="bottom"/>
          </w:tcPr>
          <w:p>
            <w:pPr>
              <w:jc w:val="right"/>
              <w:ind w:right="116"/>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148,776</w:t>
            </w:r>
          </w:p>
        </w:tc>
        <w:tc>
          <w:tcPr>
            <w:tcW w:w="560" w:type="dxa"/>
            <w:vAlign w:val="bottom"/>
            <w:gridSpan w:val="2"/>
          </w:tcPr>
          <w:p>
            <w:pPr>
              <w:jc w:val="right"/>
              <w:ind w:right="128"/>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141,093</w:t>
            </w:r>
          </w:p>
        </w:tc>
        <w:tc>
          <w:tcPr>
            <w:tcW w:w="54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7,683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5.4%</w:t>
            </w:r>
          </w:p>
        </w:tc>
      </w:tr>
      <w:tr>
        <w:trPr>
          <w:trHeight w:val="20"/>
        </w:trPr>
        <w:tc>
          <w:tcPr>
            <w:tcW w:w="5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-162560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-162560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-162560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right="780" w:firstLine="636"/>
        <w:spacing w:after="0" w:line="271" w:lineRule="auto"/>
        <w:rPr>
          <w:sz w:val="20"/>
          <w:szCs w:val="20"/>
          <w:color w:val="auto"/>
        </w:rPr>
      </w:pPr>
      <w:r>
        <w:rPr>
          <w:rFonts w:ascii="Arial" w:cs="Arial" w:eastAsia="Arial" w:hAnsi="Arial"/>
          <w:sz w:val="18"/>
          <w:szCs w:val="18"/>
          <w:color w:val="auto"/>
        </w:rPr>
        <w:t>The following table sets forth our results of operations for the three months ended March 31, 2025 and March 31, 2024 as a percentage of revenue.</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33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r>
      <w:tr>
        <w:trPr>
          <w:trHeight w:val="183"/>
        </w:trPr>
        <w:tc>
          <w:tcPr>
            <w:tcW w:w="6600" w:type="dxa"/>
            <w:vAlign w:val="bottom"/>
          </w:tcPr>
          <w:p>
            <w:pPr>
              <w:spacing w:after="0"/>
              <w:rPr>
                <w:sz w:val="15"/>
                <w:szCs w:val="15"/>
                <w:color w:val="auto"/>
              </w:rPr>
            </w:pPr>
          </w:p>
        </w:tc>
        <w:tc>
          <w:tcPr>
            <w:tcW w:w="15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5"/>
                <w:szCs w:val="15"/>
                <w:color w:val="auto"/>
              </w:rPr>
            </w:pPr>
          </w:p>
        </w:tc>
        <w:tc>
          <w:tcPr>
            <w:tcW w:w="15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5"/>
                <w:szCs w:val="15"/>
                <w:color w:val="auto"/>
              </w:rPr>
            </w:pPr>
          </w:p>
        </w:tc>
      </w:tr>
      <w:tr>
        <w:trPr>
          <w:trHeight w:val="196"/>
        </w:trPr>
        <w:tc>
          <w:tcPr>
            <w:tcW w:w="6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Direct costs of contracts</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77.2%</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78.8%</w:t>
            </w:r>
          </w:p>
        </w:tc>
      </w:tr>
      <w:tr>
        <w:trPr>
          <w:trHeight w:val="203"/>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 in (losses) earnings of unconsolidated joint ventures</w:t>
            </w: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-0.1%</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15.7%</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14.4%</w:t>
            </w:r>
          </w:p>
        </w:tc>
      </w:tr>
      <w:tr>
        <w:trPr>
          <w:trHeight w:val="20"/>
        </w:trPr>
        <w:tc>
          <w:tcPr>
            <w:tcW w:w="6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7.0%</w:t>
            </w:r>
          </w:p>
        </w:tc>
        <w:tc>
          <w:tcPr>
            <w:tcW w:w="17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w:t>
            </w:r>
          </w:p>
        </w:tc>
      </w:tr>
      <w:tr>
        <w:trPr>
          <w:trHeight w:val="20"/>
        </w:trPr>
        <w:tc>
          <w:tcPr>
            <w:tcW w:w="660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18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0.1%</w:t>
            </w:r>
          </w:p>
        </w:tc>
        <w:tc>
          <w:tcPr>
            <w:tcW w:w="1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0.1%</w:t>
            </w:r>
          </w:p>
        </w:tc>
      </w:tr>
      <w:tr>
        <w:trPr>
          <w:trHeight w:val="203"/>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-0.8%</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Convertible debt repurchase loss</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r>
      <w:tr>
        <w:trPr>
          <w:trHeight w:val="202"/>
        </w:trPr>
        <w:tc>
          <w:tcPr>
            <w:tcW w:w="6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net</w:t>
            </w:r>
          </w:p>
        </w:tc>
        <w:tc>
          <w:tcPr>
            <w:tcW w:w="18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0.1%</w:t>
            </w:r>
          </w:p>
        </w:tc>
        <w:tc>
          <w:tcPr>
            <w:tcW w:w="17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-0.2%</w:t>
            </w:r>
          </w:p>
        </w:tc>
      </w:tr>
      <w:tr>
        <w:trPr>
          <w:trHeight w:val="20"/>
        </w:trPr>
        <w:tc>
          <w:tcPr>
            <w:tcW w:w="660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96"/>
        </w:trPr>
        <w:tc>
          <w:tcPr>
            <w:tcW w:w="6600" w:type="dxa"/>
            <w:vAlign w:val="bottom"/>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8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-0.5%</w:t>
            </w:r>
          </w:p>
        </w:tc>
        <w:tc>
          <w:tcPr>
            <w:tcW w:w="1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r>
      <w:tr>
        <w:trPr>
          <w:trHeight w:val="20"/>
        </w:trPr>
        <w:tc>
          <w:tcPr>
            <w:tcW w:w="6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Income before income tax expense</w:t>
            </w: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6.5%</w:t>
            </w:r>
          </w:p>
        </w:tc>
        <w:tc>
          <w:tcPr>
            <w:tcW w:w="17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4.4%</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w:t>
            </w:r>
          </w:p>
        </w:tc>
      </w:tr>
      <w:tr>
        <w:trPr>
          <w:trHeight w:val="20"/>
        </w:trPr>
        <w:tc>
          <w:tcPr>
            <w:tcW w:w="6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6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including noncontrolling interests</w:t>
            </w: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5.3%</w:t>
            </w:r>
          </w:p>
        </w:tc>
        <w:tc>
          <w:tcPr>
            <w:tcW w:w="17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3.6%</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1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w:t>
            </w:r>
          </w:p>
        </w:tc>
      </w:tr>
      <w:tr>
        <w:trPr>
          <w:trHeight w:val="20"/>
        </w:trPr>
        <w:tc>
          <w:tcPr>
            <w:tcW w:w="66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6600" w:type="dxa"/>
            <w:vAlign w:val="bottom"/>
            <w:shd w:val="clear" w:color="auto" w:fill="CFF0FC"/>
          </w:tcPr>
          <w:p>
            <w:pPr>
              <w:ind w:left="160"/>
              <w:spacing w:after="0" w:line="196" w:lineRule="exact"/>
              <w:rPr>
                <w:sz w:val="20"/>
                <w:szCs w:val="20"/>
                <w:color w:val="auto"/>
              </w:rPr>
            </w:pPr>
            <w:r>
              <w:rPr>
                <w:rFonts w:ascii="Arial" w:cs="Arial" w:eastAsia="Arial" w:hAnsi="Arial"/>
                <w:sz w:val="18"/>
                <w:szCs w:val="18"/>
                <w:color w:val="auto"/>
              </w:rPr>
              <w:t>Net income attributable to Parsons Corporation</w:t>
            </w:r>
          </w:p>
        </w:tc>
        <w:tc>
          <w:tcPr>
            <w:tcW w:w="18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4.3%</w:t>
            </w:r>
          </w:p>
        </w:tc>
        <w:tc>
          <w:tcPr>
            <w:tcW w:w="17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-1353820</wp:posOffset>
            </wp:positionV>
            <wp:extent cx="1111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-1353820</wp:posOffset>
            </wp:positionV>
            <wp:extent cx="1117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-831215</wp:posOffset>
            </wp:positionV>
            <wp:extent cx="1111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-831215</wp:posOffset>
            </wp:positionV>
            <wp:extent cx="11176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1111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111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-25400</wp:posOffset>
            </wp:positionV>
            <wp:extent cx="1117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-8255</wp:posOffset>
            </wp:positionV>
            <wp:extent cx="1117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5"/>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1,554,360</w:t>
            </w:r>
          </w:p>
        </w:tc>
        <w:tc>
          <w:tcPr>
            <w:tcW w:w="4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1,535,676</w:t>
            </w:r>
          </w:p>
        </w:tc>
        <w:tc>
          <w:tcPr>
            <w:tcW w:w="1240" w:type="dxa"/>
            <w:vAlign w:val="bottom"/>
            <w:gridSpan w:val="2"/>
            <w:shd w:val="clear" w:color="auto" w:fill="CFF0FC"/>
          </w:tcPr>
          <w:p>
            <w:pPr>
              <w:jc w:val="right"/>
              <w:ind w:right="808"/>
              <w:spacing w:after="0" w:line="183" w:lineRule="exact"/>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18,684</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Revenue increased $18.7 million for the three months ended March 31, 2025 when compared to the corresponding period last year, due to an increase in revenue in our Critical Infrastructure segment of $85.7 million, offset by a decrease in revenue in our Federal Solutions Segment of $67.1 million. See “Segment Results” below for a further discussion of the changes in the Company's revenue.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Variance</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Direct costs of contracts</w:t>
            </w:r>
          </w:p>
        </w:tc>
        <w:tc>
          <w:tcPr>
            <w:tcW w:w="10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1,200,377</w:t>
            </w:r>
          </w:p>
        </w:tc>
        <w:tc>
          <w:tcPr>
            <w:tcW w:w="5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1,210,827</w:t>
            </w:r>
          </w:p>
        </w:tc>
        <w:tc>
          <w:tcPr>
            <w:tcW w:w="1320" w:type="dxa"/>
            <w:vAlign w:val="bottom"/>
            <w:gridSpan w:val="2"/>
            <w:shd w:val="clear" w:color="auto" w:fill="CFF0FC"/>
          </w:tcPr>
          <w:p>
            <w:pPr>
              <w:jc w:val="right"/>
              <w:ind w:right="868"/>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(10,450)</w:t>
            </w:r>
          </w:p>
        </w:tc>
        <w:tc>
          <w:tcPr>
            <w:tcW w:w="4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180" w:firstLine="644"/>
        <w:spacing w:after="0" w:line="244" w:lineRule="auto"/>
        <w:rPr>
          <w:sz w:val="20"/>
          <w:szCs w:val="20"/>
          <w:color w:val="auto"/>
        </w:rPr>
      </w:pPr>
      <w:r>
        <w:rPr>
          <w:rFonts w:ascii="Arial" w:cs="Arial" w:eastAsia="Arial" w:hAnsi="Arial"/>
          <w:sz w:val="18"/>
          <w:szCs w:val="18"/>
          <w:color w:val="auto"/>
        </w:rPr>
        <w:t>Direct cost of contracts decreased $ 10.5 million for the three months ended March 31, 2025 when compared to the corresponding period last year, primarily due to a decrease of $62.0 million in our Federal Solutions segment offset by an increase of $51.5 million in our Critical Infrastructure segment. The decrease in direct costs of contracts in the Federal Solutions segment is primarily related to reduced volume from our confidential contract, See “Segment Results” below for a further discussion. The increase in direct costs of contracts in the Critical Infrastructure segment is primarily related to increased volume from new and existing contracts.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20" w:type="dxa"/>
            <w:vAlign w:val="bottom"/>
            <w:gridSpan w:val="3"/>
          </w:tcPr>
          <w:p>
            <w:pPr>
              <w:ind w:left="300"/>
              <w:spacing w:after="0"/>
              <w:rPr>
                <w:sz w:val="20"/>
                <w:szCs w:val="20"/>
                <w:color w:val="auto"/>
              </w:rPr>
            </w:pPr>
            <w:r>
              <w:rPr>
                <w:rFonts w:ascii="Arial" w:cs="Arial" w:eastAsia="Arial" w:hAnsi="Arial"/>
                <w:sz w:val="14"/>
                <w:szCs w:val="14"/>
                <w:b w:val="1"/>
                <w:bCs w:val="1"/>
                <w:color w:val="auto"/>
              </w:rPr>
              <w:t>Variance</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4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4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losses of unconsolidated joint ventures</w:t>
            </w:r>
          </w:p>
        </w:tc>
        <w:tc>
          <w:tcPr>
            <w:tcW w:w="9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(687)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(2,060)</w:t>
            </w:r>
          </w:p>
        </w:tc>
        <w:tc>
          <w:tcPr>
            <w:tcW w:w="900" w:type="dxa"/>
            <w:vAlign w:val="bottom"/>
            <w:shd w:val="clear" w:color="auto" w:fill="CFF0FC"/>
          </w:tcPr>
          <w:p>
            <w:pPr>
              <w:jc w:val="right"/>
              <w:ind w:right="719"/>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1,373</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Equity in losses of unconsolidated joint ventures improved by $1.4 million for the three months ended March 31, 2025 compared to the corresponding period last year. The improvement in equity in losses of unconsolidated joint ventures was primarily driven by the Company winding down its participation in construction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6"/>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3"/>
          </w:tcPr>
          <w:p>
            <w:pPr>
              <w:ind w:left="1020"/>
              <w:spacing w:after="0"/>
              <w:rPr>
                <w:sz w:val="20"/>
                <w:szCs w:val="20"/>
                <w:color w:val="auto"/>
              </w:rPr>
            </w:pPr>
            <w:r>
              <w:rPr>
                <w:rFonts w:ascii="Arial" w:cs="Arial" w:eastAsia="Arial" w:hAnsi="Arial"/>
                <w:sz w:val="14"/>
                <w:szCs w:val="14"/>
                <w:b w:val="1"/>
                <w:bCs w:val="1"/>
                <w:color w:val="auto"/>
              </w:rPr>
              <w:t>Variance</w:t>
            </w: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March 31, 2025</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244,063</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220,945</w:t>
            </w:r>
          </w:p>
        </w:tc>
        <w:tc>
          <w:tcPr>
            <w:tcW w:w="4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23,118</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firstLine="636"/>
        <w:spacing w:after="0" w:line="247" w:lineRule="auto"/>
        <w:rPr>
          <w:sz w:val="20"/>
          <w:szCs w:val="20"/>
          <w:color w:val="auto"/>
        </w:rPr>
      </w:pPr>
      <w:r>
        <w:rPr>
          <w:rFonts w:ascii="Arial" w:cs="Arial" w:eastAsia="Arial" w:hAnsi="Arial"/>
          <w:sz w:val="18"/>
          <w:szCs w:val="18"/>
          <w:color w:val="auto"/>
        </w:rPr>
        <w:t>As a percentage of revenue, our SG&amp;A increased by 1.3% to 15.7% for the three months ended March 31, 2025 compared to 14.4% for the corresponding period last year. The increase in SG&amp;A was primarily due to an increase in segment level SG&amp;A, in particular from business acquisitions. Partially driving the increase in SG&amp;A as a percent of revenue, was the decrease in business volume in the Federal Solutions segment discussed below. Partially offsetting these increases in SG&amp;A was a decrease in incentive compensation cost.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8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1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31, 2025</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Dollar</w:t>
            </w:r>
          </w:p>
        </w:tc>
        <w:tc>
          <w:tcPr>
            <w:tcW w:w="6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income</w:t>
            </w:r>
          </w:p>
        </w:tc>
        <w:tc>
          <w:tcPr>
            <w:tcW w:w="6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2,142</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1,152</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990</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(12,246)</w:t>
            </w:r>
          </w:p>
        </w:tc>
        <w:tc>
          <w:tcPr>
            <w:tcW w:w="220" w:type="dxa"/>
            <w:vAlign w:val="bottom"/>
          </w:tcPr>
          <w:p>
            <w:pPr>
              <w:spacing w:after="0"/>
              <w:rPr>
                <w:sz w:val="17"/>
                <w:szCs w:val="17"/>
                <w:color w:val="auto"/>
              </w:rPr>
            </w:pP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(12,998)</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752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31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Convertible debt repurchase loss</w:t>
            </w: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(18,355)</w:t>
            </w:r>
          </w:p>
        </w:tc>
        <w:tc>
          <w:tcPr>
            <w:tcW w:w="10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18,355</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3"/>
        </w:trPr>
        <w:tc>
          <w:tcPr>
            <w:tcW w:w="3180" w:type="dxa"/>
            <w:vAlign w:val="bottom"/>
          </w:tcPr>
          <w:p>
            <w:pPr>
              <w:ind w:left="100"/>
              <w:spacing w:after="0" w:line="202" w:lineRule="exact"/>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1,635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(3,326)</w:t>
            </w:r>
          </w:p>
        </w:tc>
        <w:tc>
          <w:tcPr>
            <w:tcW w:w="10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4,961</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1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other income (expense)</w:t>
            </w:r>
          </w:p>
        </w:tc>
        <w:tc>
          <w:tcPr>
            <w:tcW w:w="6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(8,469)</w:t>
            </w: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(33,527)</w:t>
            </w:r>
          </w:p>
        </w:tc>
        <w:tc>
          <w:tcPr>
            <w:tcW w:w="1040" w:type="dxa"/>
            <w:vAlign w:val="bottom"/>
            <w:shd w:val="clear" w:color="auto" w:fill="CFF0FC"/>
          </w:tcPr>
          <w:p>
            <w:pPr>
              <w:jc w:val="right"/>
              <w:ind w:right="8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25,058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3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is related to interest earned on investments in government money funds.</w:t>
      </w:r>
    </w:p>
    <w:p>
      <w:pPr>
        <w:spacing w:after="0" w:line="212" w:lineRule="exact"/>
        <w:rPr>
          <w:sz w:val="20"/>
          <w:szCs w:val="20"/>
          <w:color w:val="auto"/>
        </w:rPr>
      </w:pPr>
    </w:p>
    <w:p>
      <w:pPr>
        <w:ind w:right="80" w:firstLine="636"/>
        <w:spacing w:after="0" w:line="244" w:lineRule="auto"/>
        <w:rPr>
          <w:sz w:val="20"/>
          <w:szCs w:val="20"/>
          <w:color w:val="auto"/>
        </w:rPr>
      </w:pPr>
      <w:r>
        <w:rPr>
          <w:rFonts w:ascii="Arial" w:cs="Arial" w:eastAsia="Arial" w:hAnsi="Arial"/>
          <w:sz w:val="18"/>
          <w:szCs w:val="18"/>
          <w:color w:val="auto"/>
        </w:rPr>
        <w:t>Interest expense is primarily due to debt related to our Delayed Draw Term Loan and Convertible Senior Notes. Interest expense for the three months ended March 31, 2024 includes a $3.2 million charge for the acceleration of the amortization of debt issuance costs associated with the partial repurchase of the 0.25% Convertible Senior Notes due 2025 discussed below. The increase in interest expense during the three months ended March 31, 2025 compared to the corresponding period last year (excluding the $3.2 million charge discussed above) is primarily related to an increase in debt balances.</w:t>
      </w:r>
    </w:p>
    <w:p>
      <w:pPr>
        <w:spacing w:after="0" w:line="176" w:lineRule="exact"/>
        <w:rPr>
          <w:sz w:val="20"/>
          <w:szCs w:val="20"/>
          <w:color w:val="auto"/>
        </w:rPr>
      </w:pPr>
    </w:p>
    <w:p>
      <w:pPr>
        <w:ind w:right="200" w:firstLine="636"/>
        <w:spacing w:after="0" w:line="230" w:lineRule="auto"/>
        <w:rPr>
          <w:sz w:val="20"/>
          <w:szCs w:val="20"/>
          <w:color w:val="auto"/>
        </w:rPr>
      </w:pPr>
      <w:r>
        <w:rPr>
          <w:rFonts w:ascii="Arial" w:cs="Arial" w:eastAsia="Arial" w:hAnsi="Arial"/>
          <w:sz w:val="18"/>
          <w:szCs w:val="18"/>
          <w:color w:val="auto"/>
        </w:rPr>
        <w:t>During the three months ended March 31, 2024, we paid $495.6 million in cash to repurchase $284.6 million aggregate principal amount of our Convertible Senior Notes due 2025 (the "Repurchase Transaction") concurrently with the offering of 2.625% Convertible Senior Notes due 2029. As a result of the Repurchase Transaction, we incurred a $18.4 million loss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on debt extinguishment. The Repurchase Transaction is a partial repurchase of our Convertible Senior Notes due 2025. See </w:t>
      </w:r>
      <w:r>
        <w:rPr>
          <w:rFonts w:ascii="Arial" w:cs="Arial" w:eastAsia="Arial" w:hAnsi="Arial"/>
          <w:sz w:val="18"/>
          <w:szCs w:val="18"/>
          <w:color w:val="202124"/>
        </w:rPr>
        <w:t>“Note 10 – Debt and Credit Facilities,” for a</w:t>
      </w:r>
      <w:r>
        <w:rPr>
          <w:rFonts w:ascii="Arial" w:cs="Arial" w:eastAsia="Arial" w:hAnsi="Arial"/>
          <w:sz w:val="18"/>
          <w:szCs w:val="18"/>
          <w:color w:val="auto"/>
        </w:rPr>
        <w:t xml:space="preserve"> </w:t>
      </w:r>
      <w:r>
        <w:rPr>
          <w:rFonts w:ascii="Arial" w:cs="Arial" w:eastAsia="Arial" w:hAnsi="Arial"/>
          <w:sz w:val="18"/>
          <w:szCs w:val="18"/>
          <w:color w:val="202124"/>
        </w:rPr>
        <w:t>further discussion of this transaction</w:t>
      </w:r>
      <w:r>
        <w:rPr>
          <w:rFonts w:ascii="Arial" w:cs="Arial" w:eastAsia="Arial" w:hAnsi="Arial"/>
          <w:sz w:val="18"/>
          <w:szCs w:val="18"/>
          <w:color w:val="000000"/>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42" w:name="page43"/>
    <w:bookmarkEnd w:id="42"/>
    <w:p>
      <w:pPr>
        <w:ind w:right="80" w:firstLine="636"/>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During the first quarter of 2024, prior to the early adoption of ASU 2024-04, the Company recorded a $211.0 million loss on debt extinguishment associated with the 0.25% Convertible Senior Notes due 2025. Please see "Note 2— Basis of Presentation and Principles of Consolidation" for a discussion of the Company's adoption of ASU 2024-04. As a result of the early adoption, the extinguishment charge was reversed from the Company's consolidated financial statements and a convertible debt repurchase loss was recorded as described above.</w:t>
      </w:r>
    </w:p>
    <w:p>
      <w:pPr>
        <w:spacing w:after="0" w:line="187" w:lineRule="exact"/>
        <w:rPr>
          <w:sz w:val="20"/>
          <w:szCs w:val="20"/>
          <w:color w:val="auto"/>
        </w:rPr>
      </w:pPr>
    </w:p>
    <w:p>
      <w:pPr>
        <w:jc w:val="both"/>
        <w:ind w:right="300" w:firstLine="636"/>
        <w:spacing w:after="0" w:line="253" w:lineRule="auto"/>
        <w:rPr>
          <w:sz w:val="20"/>
          <w:szCs w:val="20"/>
          <w:color w:val="auto"/>
        </w:rPr>
      </w:pPr>
      <w:r>
        <w:rPr>
          <w:rFonts w:ascii="Arial" w:cs="Arial" w:eastAsia="Arial" w:hAnsi="Arial"/>
          <w:sz w:val="18"/>
          <w:szCs w:val="18"/>
          <w:color w:val="auto"/>
        </w:rPr>
        <w:t>The amounts in other income (expense), net are primarily related to transaction gains and losses on foreign currency transactions and sublease income. The comparable period included a $1.8 million change in the estimated fair value of contingent consideration which was settled in the prior fiscal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60" w:type="dxa"/>
            <w:vAlign w:val="bottom"/>
          </w:tcPr>
          <w:p>
            <w:pPr>
              <w:spacing w:after="0"/>
              <w:rPr>
                <w:sz w:val="14"/>
                <w:szCs w:val="14"/>
                <w:color w:val="auto"/>
              </w:rPr>
            </w:pPr>
          </w:p>
        </w:tc>
        <w:tc>
          <w:tcPr>
            <w:tcW w:w="3840" w:type="dxa"/>
            <w:vAlign w:val="bottom"/>
            <w:gridSpan w:val="6"/>
          </w:tcPr>
          <w:p>
            <w:pPr>
              <w:ind w:left="10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vMerge w:val="continue"/>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March 31, 2025</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Dollar</w:t>
            </w:r>
          </w:p>
        </w:tc>
        <w:tc>
          <w:tcPr>
            <w:tcW w:w="5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FF0FC"/>
          </w:tcPr>
          <w:p>
            <w:pPr>
              <w:ind w:left="1000"/>
              <w:spacing w:after="0" w:line="196" w:lineRule="exact"/>
              <w:rPr>
                <w:sz w:val="20"/>
                <w:szCs w:val="20"/>
                <w:color w:val="auto"/>
              </w:rPr>
            </w:pPr>
            <w:r>
              <w:rPr>
                <w:rFonts w:ascii="Arial" w:cs="Arial" w:eastAsia="Arial" w:hAnsi="Arial"/>
                <w:sz w:val="18"/>
                <w:szCs w:val="18"/>
                <w:color w:val="auto"/>
              </w:rPr>
              <w:t>18,977</w:t>
            </w:r>
          </w:p>
        </w:tc>
        <w:tc>
          <w:tcPr>
            <w:tcW w:w="40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13,324</w:t>
            </w:r>
          </w:p>
        </w:tc>
        <w:tc>
          <w:tcPr>
            <w:tcW w:w="1400" w:type="dxa"/>
            <w:vAlign w:val="bottom"/>
            <w:gridSpan w:val="2"/>
            <w:shd w:val="clear" w:color="auto" w:fill="CFF0FC"/>
          </w:tcPr>
          <w:p>
            <w:pPr>
              <w:jc w:val="right"/>
              <w:ind w:right="1068"/>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5,653</w:t>
            </w:r>
          </w:p>
        </w:tc>
        <w:tc>
          <w:tcPr>
            <w:tcW w:w="4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The Company’s effective tax rate was 18.8% and 19.5% and income tax expense was $19.0 million and $13.3 million for the three months ended March 31, 2025 and March 31, 2024, respectively. The increase in tax expense for the three months ended March 31, 2025 compared to the three months ended March 31, 2024 was due primarily to the tax impact of an increase in pre-tax income, decreases in the foreign-derived intangible income (FDII) deduction and equity-based compensation deductions, partially offset by a change in jurisdictional mix of earnings and an increase in untaxed income attributed to noncontrolling interests.</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6"/>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6"/>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bottom w:val="single" w:sz="8" w:color="auto"/>
            </w:tcBorders>
            <w:gridSpan w:val="4"/>
          </w:tcPr>
          <w:p>
            <w:pPr>
              <w:jc w:val="right"/>
              <w:ind w:right="273"/>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1360" w:type="dxa"/>
            <w:vAlign w:val="bottom"/>
            <w:tcBorders>
              <w:bottom w:val="single" w:sz="8" w:color="auto"/>
            </w:tcBorders>
            <w:gridSpan w:val="4"/>
          </w:tcPr>
          <w:p>
            <w:pPr>
              <w:jc w:val="right"/>
              <w:ind w:right="93"/>
              <w:spacing w:after="0" w:line="155" w:lineRule="exact"/>
              <w:rPr>
                <w:sz w:val="20"/>
                <w:szCs w:val="20"/>
                <w:color w:val="auto"/>
              </w:rPr>
            </w:pPr>
            <w:r>
              <w:rPr>
                <w:rFonts w:ascii="Arial" w:cs="Arial" w:eastAsia="Arial" w:hAnsi="Arial"/>
                <w:sz w:val="14"/>
                <w:szCs w:val="14"/>
                <w:b w:val="1"/>
                <w:bCs w:val="1"/>
                <w:color w:val="auto"/>
              </w:rPr>
              <w:t>March 31, 2024</w:t>
            </w:r>
          </w:p>
        </w:tc>
        <w:tc>
          <w:tcPr>
            <w:tcW w:w="48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800" w:type="dxa"/>
            <w:vAlign w:val="bottom"/>
            <w:gridSpan w:val="4"/>
            <w:shd w:val="clear" w:color="auto" w:fill="CFF0FC"/>
          </w:tcPr>
          <w:p>
            <w:pPr>
              <w:spacing w:after="0" w:line="196" w:lineRule="exact"/>
              <w:rPr>
                <w:sz w:val="20"/>
                <w:szCs w:val="20"/>
                <w:color w:val="auto"/>
              </w:rPr>
            </w:pPr>
            <w:r>
              <w:rPr>
                <w:rFonts w:ascii="Arial" w:cs="Arial" w:eastAsia="Arial" w:hAnsi="Arial"/>
                <w:sz w:val="18"/>
                <w:szCs w:val="18"/>
                <w:color w:val="auto"/>
              </w:rPr>
              <w:t>Federal Solutions Adjusted EBITDA attributable to Parsons Corporation</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75,532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92,541</w:t>
            </w:r>
          </w:p>
        </w:tc>
        <w:tc>
          <w:tcPr>
            <w:tcW w:w="100" w:type="dxa"/>
            <w:vAlign w:val="bottom"/>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560" w:type="dxa"/>
            <w:vAlign w:val="bottom"/>
            <w:gridSpan w:val="6"/>
          </w:tcPr>
          <w:p>
            <w:pPr>
              <w:spacing w:after="0" w:line="202" w:lineRule="exact"/>
              <w:rPr>
                <w:sz w:val="20"/>
                <w:szCs w:val="20"/>
                <w:color w:val="auto"/>
              </w:rPr>
            </w:pPr>
            <w:r>
              <w:rPr>
                <w:rFonts w:ascii="Arial" w:cs="Arial" w:eastAsia="Arial" w:hAnsi="Arial"/>
                <w:sz w:val="18"/>
                <w:szCs w:val="18"/>
                <w:color w:val="auto"/>
              </w:rPr>
              <w:t>Critical Infrastructure Adjusted EBITDA attributable to Parsons Corporation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58,187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32,963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46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w w:val="99"/>
              </w:rPr>
              <w:t>Adjusted EBITDA attributable to noncontrolling interests</w:t>
            </w:r>
          </w:p>
        </w:tc>
        <w:tc>
          <w:tcPr>
            <w:tcW w:w="1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15,057</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15,589</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tcPr>
          <w:p>
            <w:pPr>
              <w:ind w:left="160"/>
              <w:spacing w:after="0" w:line="196" w:lineRule="exact"/>
              <w:rPr>
                <w:sz w:val="20"/>
                <w:szCs w:val="20"/>
                <w:color w:val="auto"/>
              </w:rPr>
            </w:pPr>
            <w:r>
              <w:rPr>
                <w:rFonts w:ascii="Arial" w:cs="Arial" w:eastAsia="Arial" w:hAnsi="Arial"/>
                <w:sz w:val="18"/>
                <w:szCs w:val="18"/>
                <w:color w:val="auto"/>
              </w:rPr>
              <w:t>Total Adjusted EBITDA</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gridSpan w:val="2"/>
          </w:tcPr>
          <w:p>
            <w:pPr>
              <w:jc w:val="right"/>
              <w:ind w:right="428"/>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148,776</w:t>
            </w:r>
          </w:p>
        </w:tc>
        <w:tc>
          <w:tcPr>
            <w:tcW w:w="240" w:type="dxa"/>
            <w:vAlign w:val="bottom"/>
          </w:tcPr>
          <w:p>
            <w:pPr>
              <w:spacing w:after="0"/>
              <w:rPr>
                <w:sz w:val="17"/>
                <w:szCs w:val="17"/>
                <w:color w:val="auto"/>
              </w:rPr>
            </w:pPr>
          </w:p>
        </w:tc>
        <w:tc>
          <w:tcPr>
            <w:tcW w:w="240" w:type="dxa"/>
            <w:vAlign w:val="bottom"/>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141,093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Federal Solutions</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Variance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Dollar</w:t>
            </w:r>
          </w:p>
        </w:tc>
        <w:tc>
          <w:tcPr>
            <w:tcW w:w="2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20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842,557</w:t>
            </w:r>
          </w:p>
        </w:tc>
        <w:tc>
          <w:tcPr>
            <w:tcW w:w="1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68"/>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909,608</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4"/>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(67,051)</w:t>
            </w:r>
          </w:p>
        </w:tc>
        <w:tc>
          <w:tcPr>
            <w:tcW w:w="220" w:type="dxa"/>
            <w:vAlign w:val="bottom"/>
            <w:shd w:val="clear" w:color="auto" w:fill="CFF0FC"/>
          </w:tcPr>
          <w:p>
            <w:pPr>
              <w:spacing w:after="0"/>
              <w:rPr>
                <w:sz w:val="17"/>
                <w:szCs w:val="17"/>
                <w:color w:val="auto"/>
              </w:rPr>
            </w:pPr>
          </w:p>
        </w:tc>
        <w:tc>
          <w:tcPr>
            <w:tcW w:w="1340" w:type="dxa"/>
            <w:vAlign w:val="bottom"/>
            <w:gridSpan w:val="4"/>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9"/>
        </w:trPr>
        <w:tc>
          <w:tcPr>
            <w:tcW w:w="4900" w:type="dxa"/>
            <w:vAlign w:val="bottom"/>
            <w:gridSpan w:val="2"/>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75,532</w:t>
            </w:r>
          </w:p>
        </w:tc>
        <w:tc>
          <w:tcPr>
            <w:tcW w:w="120" w:type="dxa"/>
            <w:vAlign w:val="bottom"/>
          </w:tcPr>
          <w:p>
            <w:pPr>
              <w:spacing w:after="0"/>
              <w:rPr>
                <w:sz w:val="20"/>
                <w:szCs w:val="20"/>
                <w:color w:val="auto"/>
              </w:rPr>
            </w:pPr>
          </w:p>
        </w:tc>
        <w:tc>
          <w:tcPr>
            <w:tcW w:w="76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92,541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160"/>
              <w:spacing w:after="0"/>
              <w:rPr>
                <w:sz w:val="20"/>
                <w:szCs w:val="20"/>
                <w:color w:val="auto"/>
              </w:rPr>
            </w:pPr>
            <w:r>
              <w:rPr>
                <w:rFonts w:ascii="Arial" w:cs="Arial" w:eastAsia="Arial" w:hAnsi="Arial"/>
                <w:sz w:val="18"/>
                <w:szCs w:val="18"/>
                <w:color w:val="auto"/>
              </w:rPr>
              <w:t>(17,009)</w:t>
            </w:r>
          </w:p>
        </w:tc>
        <w:tc>
          <w:tcPr>
            <w:tcW w:w="220" w:type="dxa"/>
            <w:vAlign w:val="bottom"/>
          </w:tcPr>
          <w:p>
            <w:pPr>
              <w:spacing w:after="0"/>
              <w:rPr>
                <w:sz w:val="20"/>
                <w:szCs w:val="20"/>
                <w:color w:val="auto"/>
              </w:rPr>
            </w:pPr>
          </w:p>
        </w:tc>
        <w:tc>
          <w:tcPr>
            <w:tcW w:w="1340" w:type="dxa"/>
            <w:vAlign w:val="bottom"/>
            <w:gridSpan w:val="4"/>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-999490</wp:posOffset>
            </wp:positionV>
            <wp:extent cx="603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-999490</wp:posOffset>
            </wp:positionV>
            <wp:extent cx="603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1" w:lineRule="exact"/>
        <w:rPr>
          <w:sz w:val="20"/>
          <w:szCs w:val="20"/>
          <w:color w:val="auto"/>
        </w:rPr>
      </w:pPr>
    </w:p>
    <w:p>
      <w:pPr>
        <w:ind w:right="220" w:firstLine="644"/>
        <w:spacing w:after="0" w:line="247" w:lineRule="auto"/>
        <w:rPr>
          <w:sz w:val="20"/>
          <w:szCs w:val="20"/>
          <w:color w:val="auto"/>
        </w:rPr>
      </w:pPr>
      <w:r>
        <w:rPr>
          <w:rFonts w:ascii="Arial" w:cs="Arial" w:eastAsia="Arial" w:hAnsi="Arial"/>
          <w:sz w:val="18"/>
          <w:szCs w:val="18"/>
          <w:color w:val="auto"/>
        </w:rPr>
        <w:t>The decrease in Federal Solutions revenue for the three months ended March 31, 2025 compared to the corresponding period last year was primarily driven by our confidential contract operating at a reduced volume due to a Presidential Executive Order that paused a related contract held by another company. This decrease was partially offset by growth on existing contracts and the ramp-up of new task orders.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43" w:name="page44"/>
    <w:bookmarkEnd w:id="43"/>
    <w:p>
      <w:pPr>
        <w:jc w:val="both"/>
        <w:ind w:right="40" w:firstLine="644"/>
        <w:spacing w:after="0" w:line="271" w:lineRule="auto"/>
        <w:rPr>
          <w:sz w:val="20"/>
          <w:szCs w:val="20"/>
          <w:color w:val="auto"/>
        </w:rPr>
      </w:pPr>
      <w:r>
        <w:rPr>
          <w:rFonts w:ascii="Arial" w:cs="Arial" w:eastAsia="Arial" w:hAnsi="Arial"/>
          <w:sz w:val="18"/>
          <w:szCs w:val="18"/>
          <w:color w:val="auto"/>
        </w:rPr>
        <w:t>The decrease in Federal Solutions Adjusted EBITDA attributable to Parsons Corporation for the three months ended March 31, 2025 compared to the corresponding period last year was primarily due the factors impacting revenue discussed above and an increase in SG&amp;A.</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Variance</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711,803</w:t>
            </w:r>
          </w:p>
        </w:tc>
        <w:tc>
          <w:tcPr>
            <w:tcW w:w="38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626,068</w:t>
            </w:r>
          </w:p>
        </w:tc>
        <w:tc>
          <w:tcPr>
            <w:tcW w:w="5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85,735</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9"/>
        </w:trPr>
        <w:tc>
          <w:tcPr>
            <w:tcW w:w="4900" w:type="dxa"/>
            <w:vAlign w:val="bottom"/>
          </w:tcPr>
          <w:p>
            <w:pPr>
              <w:spacing w:after="0"/>
              <w:rPr>
                <w:sz w:val="20"/>
                <w:szCs w:val="20"/>
                <w:color w:val="auto"/>
              </w:rPr>
            </w:pPr>
            <w:r>
              <w:rPr>
                <w:rFonts w:ascii="Arial" w:cs="Arial" w:eastAsia="Arial" w:hAnsi="Arial"/>
                <w:sz w:val="18"/>
                <w:szCs w:val="18"/>
                <w:color w:val="auto"/>
              </w:rPr>
              <w:t>Adjusted EBITDA attributable to Parsons 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58,187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32,963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25,224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The increase in Critical Infrastructure revenue for the three months ended March 31, 2025 compared to the corresponding periods last year was primarily related to organic growth of 8% and $31.8 million from business acquisitions. Organic growth was primarily due to an increase in business volume from existing contracts and ramping up of recent awards.</w:t>
      </w:r>
    </w:p>
    <w:p>
      <w:pPr>
        <w:spacing w:after="0" w:line="169" w:lineRule="exact"/>
        <w:rPr>
          <w:sz w:val="20"/>
          <w:szCs w:val="20"/>
          <w:color w:val="auto"/>
        </w:rPr>
      </w:pPr>
    </w:p>
    <w:p>
      <w:pPr>
        <w:ind w:right="300" w:firstLine="644"/>
        <w:spacing w:after="0" w:line="247" w:lineRule="auto"/>
        <w:rPr>
          <w:sz w:val="20"/>
          <w:szCs w:val="20"/>
          <w:color w:val="auto"/>
        </w:rPr>
      </w:pPr>
      <w:r>
        <w:rPr>
          <w:rFonts w:ascii="Arial" w:cs="Arial" w:eastAsia="Arial" w:hAnsi="Arial"/>
          <w:sz w:val="18"/>
          <w:szCs w:val="18"/>
          <w:color w:val="auto"/>
        </w:rPr>
        <w:t>The increase in Critical Infrastructure Adjusted EBITDA attributable to Parsons Corporation for the three months ended March 31, 2025 compared to the corresponding period last year was primarily due to the revenue impacts discussed above, recent business acquisitions, and improvement in equity in losses from unconsolidated joint ventures. These increases in Adjusted EBITDA, were partially offset by an increase in SG&amp;A.</w:t>
      </w:r>
    </w:p>
    <w:p>
      <w:pPr>
        <w:spacing w:after="0" w:line="174"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We currently finance our operations and capital expenditures through a combination of internally generated cash from operations, our Convertible Senior Notes, Delayed Draw Term Loan and periodic borrowings under our Revolving Credit Facility.</w:t>
      </w:r>
    </w:p>
    <w:p>
      <w:pPr>
        <w:spacing w:after="0" w:line="15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ind w:right="100" w:firstLine="636"/>
        <w:spacing w:after="0" w:line="247" w:lineRule="auto"/>
        <w:rPr>
          <w:sz w:val="20"/>
          <w:szCs w:val="20"/>
          <w:color w:val="auto"/>
        </w:rPr>
      </w:pPr>
      <w:r>
        <w:rPr>
          <w:rFonts w:ascii="Arial" w:cs="Arial" w:eastAsia="Arial" w:hAnsi="Arial"/>
          <w:sz w:val="18"/>
          <w:szCs w:val="18"/>
          <w:color w:val="auto"/>
        </w:rPr>
        <w:t>As of March 31, 2025, we believe we have adequate liquidity and capital resources to fund our operations, support our debt service and our ongoing acquisition strategy for at least the next twelve months based on the liquidity from cash provided by our operating activities, cash and cash equivalents on-hand and our borrowing capacity under our Revolving Credit Facility. Management continually monitors debt maturities to strategically execute optimal terms and ensure appropriate levels of working capital liquidity are maintained for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6"/>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77" w:lineRule="exact"/>
        <w:rPr>
          <w:sz w:val="20"/>
          <w:szCs w:val="20"/>
          <w:color w:val="auto"/>
        </w:rPr>
      </w:pPr>
    </w:p>
    <w:p>
      <w:pPr>
        <w:ind w:right="60" w:firstLine="636"/>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61" w:lineRule="exact"/>
        <w:rPr>
          <w:sz w:val="20"/>
          <w:szCs w:val="20"/>
          <w:color w:val="auto"/>
        </w:rPr>
      </w:pPr>
    </w:p>
    <w:p>
      <w:pPr>
        <w:ind w:right="40" w:firstLine="644"/>
        <w:spacing w:after="0" w:line="242" w:lineRule="auto"/>
        <w:rPr>
          <w:sz w:val="20"/>
          <w:szCs w:val="20"/>
          <w:color w:val="auto"/>
        </w:rPr>
      </w:pPr>
      <w:r>
        <w:rPr>
          <w:rFonts w:ascii="Arial" w:cs="Arial" w:eastAsia="Arial" w:hAnsi="Arial"/>
          <w:sz w:val="18"/>
          <w:szCs w:val="18"/>
          <w:color w:val="auto"/>
        </w:rPr>
        <w:t>Accounts receivable is the principal component of our working capital and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40"/>
        <w:spacing w:after="0" w:line="271" w:lineRule="auto"/>
        <w:rPr>
          <w:sz w:val="20"/>
          <w:szCs w:val="20"/>
          <w:color w:val="auto"/>
        </w:rPr>
      </w:pPr>
      <w:r>
        <w:rPr>
          <w:rFonts w:ascii="Arial" w:cs="Arial" w:eastAsia="Arial" w:hAnsi="Arial"/>
          <w:sz w:val="18"/>
          <w:szCs w:val="18"/>
          <w:color w:val="auto"/>
        </w:rPr>
        <w:t>was 58 days at March 31, 2025 down from 63 days at March 31, 2024. Our working capital (current assets less current liabilities) was $535.7 million at March 31, 2025 and $546.8 million at December 31, 2024.</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cash and cash equivalents decreased by $183.8 million to $269.7 million at March 31, 2025 from $453.5 million at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67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March 31, 2025</w:t>
            </w:r>
          </w:p>
        </w:tc>
        <w:tc>
          <w:tcPr>
            <w:tcW w:w="2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3"/>
                <w:szCs w:val="13"/>
                <w:color w:val="auto"/>
              </w:rPr>
            </w:pPr>
          </w:p>
        </w:tc>
      </w:tr>
      <w:tr>
        <w:trPr>
          <w:trHeight w:val="19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(11,787)</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(63,420)</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7"/>
                <w:szCs w:val="17"/>
                <w:color w:val="auto"/>
              </w:rPr>
            </w:pPr>
          </w:p>
        </w:tc>
        <w:tc>
          <w:tcPr>
            <w:tcW w:w="16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(61,670)</w:t>
            </w:r>
          </w:p>
        </w:tc>
        <w:tc>
          <w:tcPr>
            <w:tcW w:w="1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(45,510)</w:t>
            </w:r>
          </w:p>
        </w:tc>
      </w:tr>
      <w:tr>
        <w:trPr>
          <w:trHeight w:val="203"/>
        </w:trPr>
        <w:tc>
          <w:tcPr>
            <w:tcW w:w="6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6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(110,864)</w:t>
            </w:r>
          </w:p>
        </w:tc>
        <w:tc>
          <w:tcPr>
            <w:tcW w:w="1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259,509</w:t>
            </w:r>
          </w:p>
        </w:tc>
      </w:tr>
      <w:tr>
        <w:trPr>
          <w:trHeight w:val="203"/>
        </w:trPr>
        <w:tc>
          <w:tcPr>
            <w:tcW w:w="672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w:t>
            </w:r>
          </w:p>
        </w:tc>
        <w:tc>
          <w:tcPr>
            <w:tcW w:w="16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(402)</w:t>
            </w:r>
          </w:p>
        </w:tc>
      </w:tr>
      <w:tr>
        <w:trPr>
          <w:trHeight w:val="20"/>
        </w:trPr>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6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increas in cash and cash equivalents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(183,803)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150,177</w:t>
            </w:r>
          </w:p>
        </w:tc>
      </w:tr>
      <w:tr>
        <w:trPr>
          <w:trHeight w:val="20"/>
        </w:trPr>
        <w:tc>
          <w:tcPr>
            <w:tcW w:w="67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636"/>
        <w:spacing w:after="0" w:line="242" w:lineRule="auto"/>
        <w:rPr>
          <w:sz w:val="20"/>
          <w:szCs w:val="20"/>
          <w:color w:val="auto"/>
        </w:rPr>
      </w:pPr>
      <w:r>
        <w:rPr>
          <w:rFonts w:ascii="Arial" w:cs="Arial" w:eastAsia="Arial" w:hAnsi="Arial"/>
          <w:sz w:val="18"/>
          <w:szCs w:val="18"/>
          <w:color w:val="auto"/>
        </w:rPr>
        <w:t>Net cash used in operating activities consists primarily of net income adjusted for noncash items, such as: equity in losses (earnings)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140" w:firstLine="636"/>
        <w:spacing w:after="0" w:line="247" w:lineRule="auto"/>
        <w:rPr>
          <w:sz w:val="20"/>
          <w:szCs w:val="20"/>
          <w:color w:val="auto"/>
        </w:rPr>
      </w:pPr>
      <w:r>
        <w:rPr>
          <w:rFonts w:ascii="Arial" w:cs="Arial" w:eastAsia="Arial" w:hAnsi="Arial"/>
          <w:sz w:val="18"/>
          <w:szCs w:val="18"/>
          <w:color w:val="auto"/>
        </w:rPr>
        <w:t>Net cash used in operating activities decreased $51.6 million for the three months ended March 31, 2025 compared to the three months ended March 31, 2024. The primary driver of the decrease in cash flows used in operating activities was a $45.6 million decrease in cash outflows from our working capital accounts (primarily from accounts receivable, accounts payable, and contract liabilities offset by contract assets and accrued expenses and other current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20" w:firstLine="636"/>
        <w:spacing w:after="0" w:line="253" w:lineRule="auto"/>
        <w:rPr>
          <w:sz w:val="20"/>
          <w:szCs w:val="20"/>
          <w:color w:val="auto"/>
        </w:rPr>
      </w:pPr>
      <w:r>
        <w:rPr>
          <w:rFonts w:ascii="Arial" w:cs="Arial" w:eastAsia="Arial" w:hAnsi="Arial"/>
          <w:sz w:val="18"/>
          <w:szCs w:val="18"/>
          <w:color w:val="auto"/>
        </w:rPr>
        <w:t>Net cash used in investing activities increased $16.1 million for the three months ended March 31, 2025, when compared to the three months ended March 31, 2024. This change was primarily driven by a $31.6 million increase in payments for acquisitions, net of cash acquired offset by a $19.5 million decrease in investments in unconsolidated joint ventures.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600" w:firstLine="636"/>
        <w:spacing w:after="0" w:line="271" w:lineRule="auto"/>
        <w:rPr>
          <w:sz w:val="20"/>
          <w:szCs w:val="20"/>
          <w:color w:val="auto"/>
        </w:rPr>
      </w:pPr>
      <w:r>
        <w:rPr>
          <w:rFonts w:ascii="Arial" w:cs="Arial" w:eastAsia="Arial" w:hAnsi="Arial"/>
          <w:sz w:val="18"/>
          <w:szCs w:val="18"/>
          <w:color w:val="auto"/>
        </w:rPr>
        <w:t>Net cash (used in) provided by financing activities is primarily associated with proceeds from debt, the repayment thereof, and distributions to noncontrolling interests.</w:t>
      </w:r>
    </w:p>
    <w:p>
      <w:pPr>
        <w:spacing w:after="0" w:line="154" w:lineRule="exact"/>
        <w:rPr>
          <w:sz w:val="20"/>
          <w:szCs w:val="20"/>
          <w:color w:val="auto"/>
        </w:rPr>
      </w:pPr>
    </w:p>
    <w:p>
      <w:pPr>
        <w:ind w:right="100" w:firstLine="636"/>
        <w:spacing w:after="0" w:line="244" w:lineRule="auto"/>
        <w:rPr>
          <w:sz w:val="20"/>
          <w:szCs w:val="20"/>
          <w:color w:val="auto"/>
        </w:rPr>
      </w:pPr>
      <w:r>
        <w:rPr>
          <w:rFonts w:ascii="Arial" w:cs="Arial" w:eastAsia="Arial" w:hAnsi="Arial"/>
          <w:sz w:val="18"/>
          <w:szCs w:val="18"/>
          <w:color w:val="auto"/>
        </w:rPr>
        <w:t>Net cash used in financing activities increased $370.4 million for the three months ended March 31, 2025 compared to the three months ended March 31, 2024. The change in cash flows (used in) provided by financing activities is primarily driven by net cash inflows from our convertible bond transactions for the three months ended March 31, 2024 of $ 316.2 million. See “Note 10 – Debt and Credit Facilities,” for a further discussion of these transactions. Also impacting net cash (used in) provided by financing activities were $25.0 million of repurchase of common stock and a $30.8 million change in distributions to noncontrolling interests.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40" w:firstLine="636"/>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$335.6 million as of March 31, 2025. Letters of credit outstanding under the Credit Agreement total $43.0 million as of March 31, 2025.</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320" w:firstLine="636"/>
        <w:spacing w:after="0" w:line="271" w:lineRule="auto"/>
        <w:rPr>
          <w:sz w:val="20"/>
          <w:szCs w:val="20"/>
          <w:color w:val="auto"/>
        </w:rPr>
      </w:pPr>
      <w:r>
        <w:rPr>
          <w:rFonts w:ascii="Arial" w:cs="Arial" w:eastAsia="Arial" w:hAnsi="Arial"/>
          <w:sz w:val="18"/>
          <w:szCs w:val="18"/>
          <w:color w:val="auto"/>
        </w:rPr>
        <w:t>See the information set forth in “Note 3—New Accounting Pronouncements” in the notes to our consolidated financial statements included elsewhere in this Quarterly Report on Form 10-Q.</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240" w:firstLine="636"/>
        <w:spacing w:after="0" w:line="253" w:lineRule="auto"/>
        <w:rPr>
          <w:sz w:val="20"/>
          <w:szCs w:val="20"/>
          <w:color w:val="auto"/>
        </w:rPr>
      </w:pPr>
      <w:r>
        <w:rPr>
          <w:rFonts w:ascii="Arial" w:cs="Arial" w:eastAsia="Arial" w:hAnsi="Arial"/>
          <w:sz w:val="18"/>
          <w:szCs w:val="18"/>
          <w:color w:val="auto"/>
        </w:rPr>
        <w:t>As of March 31, 2025,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risks related to the Company’s Revolving Credit Facility and Delayed Draw Term Loan.</w:t>
      </w:r>
    </w:p>
    <w:p>
      <w:pPr>
        <w:spacing w:after="0" w:line="104" w:lineRule="exact"/>
        <w:rPr>
          <w:sz w:val="20"/>
          <w:szCs w:val="20"/>
          <w:color w:val="auto"/>
        </w:rPr>
      </w:pPr>
    </w:p>
    <w:p>
      <w:pPr>
        <w:ind w:right="120" w:firstLine="636"/>
        <w:spacing w:after="0" w:line="263" w:lineRule="auto"/>
        <w:rPr>
          <w:sz w:val="20"/>
          <w:szCs w:val="20"/>
          <w:color w:val="auto"/>
        </w:rPr>
      </w:pPr>
      <w:r>
        <w:rPr>
          <w:rFonts w:ascii="Arial" w:cs="Arial" w:eastAsia="Arial" w:hAnsi="Arial"/>
          <w:sz w:val="17"/>
          <w:szCs w:val="17"/>
          <w:color w:val="auto"/>
        </w:rPr>
        <w:t>As of March 31, 2025, there were no amounts outstanding under the Revolving Credit Facility. Borrowings under the new Credit Facility effective June 2021 bear interest at either the Term SOFR rate plus a margin between 1.0% and 1.625%, or a base rate (as defined in the Credit Agreement) plus a margin of between 0% and 0.625%, both based on the leverage ratio of the Company at the end of each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quarter. The rates on March 31, 2025 and December 31, 2024 were 5.7% and 5.7%, respectively.</w:t>
      </w:r>
    </w:p>
    <w:p>
      <w:pPr>
        <w:spacing w:after="0" w:line="108" w:lineRule="exact"/>
        <w:rPr>
          <w:sz w:val="20"/>
          <w:szCs w:val="20"/>
          <w:color w:val="auto"/>
        </w:rPr>
      </w:pPr>
    </w:p>
    <w:p>
      <w:pPr>
        <w:ind w:firstLine="686"/>
        <w:spacing w:after="0" w:line="244" w:lineRule="auto"/>
        <w:rPr>
          <w:sz w:val="20"/>
          <w:szCs w:val="20"/>
          <w:color w:val="auto"/>
        </w:rPr>
      </w:pPr>
      <w:r>
        <w:rPr>
          <w:rFonts w:ascii="Arial" w:cs="Arial" w:eastAsia="Arial" w:hAnsi="Arial"/>
          <w:sz w:val="18"/>
          <w:szCs w:val="18"/>
          <w:color w:val="auto"/>
        </w:rPr>
        <w:t>As of March 31, 2025, there was $350.0 million outstanding under the Delayed Draw Term Loan. Borrowings under the 2022 Delayed Draw Term Loan Agreement will bear interest at either an adjusted Term SOFR benchmark rate plus a margin between 0.875% and 1.500% or a base rate plus a margin of between 0% and 0.500% and will initially bear interest at the middle of this range. The Company will pay a ticking fee on unused term loan commitments at a rate of 0.175% commencing with the date that is ninety (90) days after the Closing Date. The interest rate at March 31, 2025 and December 31, 2024 were 5.5% and 5.6%,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40" w:firstLine="636"/>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right="80" w:firstLine="636"/>
        <w:spacing w:after="0"/>
        <w:rPr>
          <w:sz w:val="20"/>
          <w:szCs w:val="20"/>
          <w:color w:val="auto"/>
        </w:rPr>
      </w:pPr>
      <w:r>
        <w:rPr>
          <w:rFonts w:ascii="Arial" w:cs="Arial" w:eastAsia="Arial" w:hAnsi="Arial"/>
          <w:sz w:val="18"/>
          <w:szCs w:val="18"/>
          <w:color w:val="auto"/>
        </w:rPr>
        <w:t>Our management carried out, as of March 31, 2025,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March 31, 2025,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20" w:firstLine="636"/>
        <w:spacing w:after="0" w:line="271" w:lineRule="auto"/>
        <w:rPr>
          <w:sz w:val="20"/>
          <w:szCs w:val="20"/>
          <w:color w:val="auto"/>
        </w:rPr>
      </w:pPr>
      <w:r>
        <w:rPr>
          <w:rFonts w:ascii="Arial" w:cs="Arial" w:eastAsia="Arial" w:hAnsi="Arial"/>
          <w:sz w:val="18"/>
          <w:szCs w:val="18"/>
          <w:color w:val="auto"/>
        </w:rPr>
        <w:t>During the first quarter of 2025,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11" w:right="3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6"/>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have been no material changes to our Risk Factors disclosed in the Company’s Form 10-K for the year ended December 31,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On August 9, 2021, the Company’s Board of Directors authorized the Company to acquire a number of shares of Common Stock having an aggregate market value of not greater than $100 million from time to time, commencing on August 12, 2021. The Board further amended this authorization in August 2022 to remove the prior expiration date and grant executive leadership the discretion to determine the price for such share repurchases. The Board further amended this authorization in March 2025 to increase and reset the repurchase capacity to $250 million. Any purchases made by the Company during Q1 of 2025 would be deducted from the reset capacity.</w:t>
      </w:r>
    </w:p>
    <w:p>
      <w:pPr>
        <w:spacing w:after="0" w:line="68" w:lineRule="exact"/>
        <w:rPr>
          <w:sz w:val="20"/>
          <w:szCs w:val="20"/>
          <w:color w:val="auto"/>
        </w:rPr>
      </w:pPr>
    </w:p>
    <w:p>
      <w:pPr>
        <w:ind w:firstLine="644"/>
        <w:spacing w:after="0" w:line="253" w:lineRule="auto"/>
        <w:rPr>
          <w:sz w:val="20"/>
          <w:szCs w:val="20"/>
          <w:color w:val="auto"/>
        </w:rPr>
      </w:pPr>
      <w:r>
        <w:rPr>
          <w:rFonts w:ascii="Arial" w:cs="Arial" w:eastAsia="Arial" w:hAnsi="Arial"/>
          <w:sz w:val="18"/>
          <w:szCs w:val="18"/>
          <w:color w:val="auto"/>
        </w:rPr>
        <w:t>Under prior authorizations, the Company had repurchased shares with an aggregate market value of $79.7 million. The aggregate market value of shares of Common Stock the Company is authorized to acquire from prior authorizations and the March 2025 authorization is not greater than $329.7 million.</w:t>
      </w:r>
    </w:p>
    <w:p>
      <w:pPr>
        <w:spacing w:after="0" w:line="61" w:lineRule="exact"/>
        <w:rPr>
          <w:sz w:val="20"/>
          <w:szCs w:val="20"/>
          <w:color w:val="auto"/>
        </w:rPr>
      </w:pPr>
    </w:p>
    <w:p>
      <w:pPr>
        <w:ind w:right="60" w:firstLine="644"/>
        <w:spacing w:after="0" w:line="271" w:lineRule="auto"/>
        <w:rPr>
          <w:sz w:val="20"/>
          <w:szCs w:val="20"/>
          <w:color w:val="auto"/>
        </w:rPr>
      </w:pPr>
      <w:r>
        <w:rPr>
          <w:rFonts w:ascii="Arial" w:cs="Arial" w:eastAsia="Arial" w:hAnsi="Arial"/>
          <w:sz w:val="18"/>
          <w:szCs w:val="18"/>
          <w:color w:val="auto"/>
        </w:rPr>
        <w:t>As of March 31, 2025, the Company has spent $104.7 million repurchasing 2,137,461 shares of Common Stock at an average price of $48.98 per share.</w:t>
      </w:r>
    </w:p>
    <w:p>
      <w:pPr>
        <w:spacing w:after="0" w:line="46" w:lineRule="exact"/>
        <w:rPr>
          <w:sz w:val="20"/>
          <w:szCs w:val="20"/>
          <w:color w:val="auto"/>
        </w:rPr>
      </w:pPr>
    </w:p>
    <w:p>
      <w:pPr>
        <w:ind w:right="140" w:firstLine="636"/>
        <w:spacing w:after="0" w:line="244" w:lineRule="auto"/>
        <w:rPr>
          <w:sz w:val="20"/>
          <w:szCs w:val="20"/>
          <w:color w:val="auto"/>
        </w:rPr>
      </w:pPr>
      <w:r>
        <w:rPr>
          <w:rFonts w:ascii="Arial" w:cs="Arial" w:eastAsia="Arial" w:hAnsi="Arial"/>
          <w:sz w:val="18"/>
          <w:szCs w:val="18"/>
          <w:color w:val="auto"/>
        </w:rPr>
        <w:t>Repurchased shares of common stock are retired and included in “Repurchases of common stock” in cash flows from financing activities in the Consolidated Statements of Cash Flows. The primary purpose of the Company’s share repurchase program is to reduce the dilutive effect of shares issued under the Company’s ESOP and other stock benefit plans. The timing, amount and manner of share repurchases may depend upon market conditions and economic circumstances, availability of investment opportunities, the availability and costs of financing, the market price of the Company's common stock, other uses of capital and other factors.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repurchases of equity securities for the three months ended March 31,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4"/>
                <w:szCs w:val="14"/>
                <w:color w:val="auto"/>
              </w:rPr>
            </w:pPr>
          </w:p>
        </w:tc>
        <w:tc>
          <w:tcPr>
            <w:tcW w:w="1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(b)</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 approximate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10"/>
                <w:szCs w:val="10"/>
                <w:color w:val="auto"/>
              </w:rPr>
            </w:pPr>
          </w:p>
        </w:tc>
        <w:tc>
          <w:tcPr>
            <w:tcW w:w="256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shares (or units</w:t>
            </w:r>
          </w:p>
        </w:tc>
        <w:tc>
          <w:tcPr>
            <w:tcW w:w="280" w:type="dxa"/>
            <w:vAlign w:val="bottom"/>
          </w:tcPr>
          <w:p>
            <w:pPr>
              <w:spacing w:after="0"/>
              <w:rPr>
                <w:sz w:val="10"/>
                <w:szCs w:val="10"/>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per share (or unit)</w:t>
            </w:r>
          </w:p>
        </w:tc>
        <w:tc>
          <w:tcPr>
            <w:tcW w:w="2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0"/>
                <w:szCs w:val="10"/>
                <w:color w:val="auto"/>
              </w:rPr>
            </w:pPr>
          </w:p>
        </w:tc>
        <w:tc>
          <w:tcPr>
            <w:tcW w:w="16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shares (or units) that</w:t>
            </w:r>
          </w:p>
        </w:tc>
        <w:tc>
          <w:tcPr>
            <w:tcW w:w="0" w:type="dxa"/>
            <w:vAlign w:val="bottom"/>
          </w:tcPr>
          <w:p>
            <w:pPr>
              <w:spacing w:after="0"/>
              <w:rPr>
                <w:sz w:val="1"/>
                <w:szCs w:val="1"/>
                <w:color w:val="auto"/>
              </w:rPr>
            </w:pPr>
          </w:p>
        </w:tc>
      </w:tr>
      <w:tr>
        <w:trPr>
          <w:trHeight w:val="47"/>
        </w:trPr>
        <w:tc>
          <w:tcPr>
            <w:tcW w:w="18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296"/>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plans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January 1 to 31, 2025</w:t>
            </w:r>
          </w:p>
        </w:tc>
        <w:tc>
          <w:tcPr>
            <w:tcW w:w="256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250,000,000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line="202" w:lineRule="exact"/>
              <w:rPr>
                <w:sz w:val="20"/>
                <w:szCs w:val="20"/>
                <w:color w:val="auto"/>
              </w:rPr>
            </w:pPr>
            <w:r>
              <w:rPr>
                <w:rFonts w:ascii="Arial" w:cs="Arial" w:eastAsia="Arial" w:hAnsi="Arial"/>
                <w:sz w:val="18"/>
                <w:szCs w:val="18"/>
                <w:color w:val="auto"/>
              </w:rPr>
              <w:t>February 1 to 28, 2025</w:t>
            </w:r>
          </w:p>
        </w:tc>
        <w:tc>
          <w:tcPr>
            <w:tcW w:w="256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251,650</w:t>
            </w:r>
          </w:p>
        </w:tc>
        <w:tc>
          <w:tcPr>
            <w:tcW w:w="640" w:type="dxa"/>
            <w:vAlign w:val="bottom"/>
            <w:gridSpan w:val="2"/>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59.61</w:t>
            </w:r>
          </w:p>
        </w:tc>
        <w:tc>
          <w:tcPr>
            <w:tcW w:w="1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251,650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235,000,049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March 1 to 31, 2025</w:t>
            </w:r>
          </w:p>
        </w:tc>
        <w:tc>
          <w:tcPr>
            <w:tcW w:w="256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172,330</w:t>
            </w:r>
          </w:p>
        </w:tc>
        <w:tc>
          <w:tcPr>
            <w:tcW w:w="640" w:type="dxa"/>
            <w:vAlign w:val="bottom"/>
            <w:tcBorders>
              <w:bottom w:val="single" w:sz="8" w:color="CFF0FC"/>
            </w:tcBorders>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58.00</w:t>
            </w:r>
          </w:p>
        </w:tc>
        <w:tc>
          <w:tcPr>
            <w:tcW w:w="24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172,330</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225,005,478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8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7"/>
                <w:szCs w:val="17"/>
                <w:color w:val="auto"/>
              </w:rPr>
            </w:pPr>
          </w:p>
        </w:tc>
        <w:tc>
          <w:tcPr>
            <w:tcW w:w="1480" w:type="dxa"/>
            <w:vAlign w:val="bottom"/>
          </w:tcPr>
          <w:p>
            <w:pPr>
              <w:jc w:val="right"/>
              <w:spacing w:after="0" w:line="182" w:lineRule="exact"/>
              <w:rPr>
                <w:sz w:val="20"/>
                <w:szCs w:val="20"/>
                <w:color w:val="auto"/>
              </w:rPr>
            </w:pPr>
            <w:r>
              <w:rPr>
                <w:rFonts w:ascii="Arial" w:cs="Arial" w:eastAsia="Arial" w:hAnsi="Arial"/>
                <w:sz w:val="18"/>
                <w:szCs w:val="18"/>
                <w:color w:val="auto"/>
              </w:rPr>
              <w:t>423,980</w:t>
            </w:r>
          </w:p>
        </w:tc>
        <w:tc>
          <w:tcPr>
            <w:tcW w:w="640" w:type="dxa"/>
            <w:vAlign w:val="bottom"/>
            <w:gridSpan w:val="2"/>
          </w:tcPr>
          <w:p>
            <w:pPr>
              <w:jc w:val="right"/>
              <w:ind w:right="188"/>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58.95</w:t>
            </w:r>
          </w:p>
        </w:tc>
        <w:tc>
          <w:tcPr>
            <w:tcW w:w="17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423,980</w:t>
            </w:r>
          </w:p>
        </w:tc>
        <w:tc>
          <w:tcPr>
            <w:tcW w:w="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225,005,478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-162560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-162560</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1" w:lineRule="exact"/>
        <w:rPr>
          <w:sz w:val="20"/>
          <w:szCs w:val="20"/>
          <w:color w:val="auto"/>
        </w:rPr>
      </w:pPr>
    </w:p>
    <w:p>
      <w:pPr>
        <w:ind w:left="740" w:hanging="88"/>
        <w:spacing w:after="0"/>
        <w:tabs>
          <w:tab w:leader="none" w:pos="740" w:val="left"/>
        </w:tabs>
        <w:numPr>
          <w:ilvl w:val="0"/>
          <w:numId w:val="37"/>
        </w:numPr>
        <w:rPr>
          <w:rFonts w:ascii="Arial" w:cs="Arial" w:eastAsia="Arial" w:hAnsi="Arial"/>
          <w:sz w:val="23"/>
          <w:szCs w:val="23"/>
          <w:color w:val="auto"/>
          <w:vertAlign w:val="superscript"/>
        </w:rPr>
      </w:pPr>
      <w:r>
        <w:rPr>
          <w:rFonts w:ascii="Arial" w:cs="Arial" w:eastAsia="Arial" w:hAnsi="Arial"/>
          <w:sz w:val="16"/>
          <w:szCs w:val="16"/>
          <w:color w:val="auto"/>
        </w:rPr>
        <w:t>Includes commissions in the calculation of average price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Insider Trading Relationships and Policies</w:t>
      </w:r>
    </w:p>
    <w:p>
      <w:pPr>
        <w:spacing w:after="0" w:line="104" w:lineRule="exact"/>
        <w:rPr>
          <w:sz w:val="20"/>
          <w:szCs w:val="20"/>
          <w:color w:val="auto"/>
        </w:rPr>
      </w:pPr>
    </w:p>
    <w:p>
      <w:pPr>
        <w:ind w:right="260" w:firstLine="644"/>
        <w:spacing w:after="0" w:line="247" w:lineRule="auto"/>
        <w:rPr>
          <w:sz w:val="20"/>
          <w:szCs w:val="20"/>
          <w:color w:val="auto"/>
        </w:rPr>
      </w:pPr>
      <w:r>
        <w:rPr>
          <w:rFonts w:ascii="Arial" w:cs="Arial" w:eastAsia="Arial" w:hAnsi="Arial"/>
          <w:sz w:val="18"/>
          <w:szCs w:val="18"/>
          <w:color w:val="auto"/>
        </w:rPr>
        <w:t>In conformance with updated SEC regulations, the Company has adopted amended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New York Stock Exchange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76"/>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gridSpan w:val="9"/>
          </w:tcPr>
          <w:p>
            <w:pPr>
              <w:ind w:left="244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22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3"/>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 1934,</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7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9"/>
              </w:rPr>
              <w:t>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54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420" w:type="dxa"/>
            <w:vAlign w:val="bottom"/>
            <w:tcBorders>
              <w:top w:val="single" w:sz="8" w:color="0000FF"/>
            </w:tcBorders>
            <w:gridSpan w:val="6"/>
          </w:tcPr>
          <w:p>
            <w:pPr>
              <w:spacing w:after="0"/>
              <w:rPr>
                <w:sz w:val="15"/>
                <w:szCs w:val="15"/>
                <w:color w:val="auto"/>
              </w:rPr>
            </w:pPr>
          </w:p>
        </w:tc>
        <w:tc>
          <w:tcPr>
            <w:tcW w:w="580" w:type="dxa"/>
            <w:vAlign w:val="bottom"/>
            <w:gridSpan w:val="3"/>
          </w:tcPr>
          <w:p>
            <w:pPr>
              <w:spacing w:after="0"/>
              <w:rPr>
                <w:sz w:val="15"/>
                <w:szCs w:val="15"/>
                <w:color w:val="auto"/>
              </w:rPr>
            </w:pPr>
          </w:p>
        </w:tc>
      </w:tr>
      <w:tr>
        <w:trPr>
          <w:trHeight w:val="304"/>
        </w:trPr>
        <w:tc>
          <w:tcPr>
            <w:tcW w:w="820" w:type="dxa"/>
            <w:vAlign w:val="bottom"/>
          </w:tcPr>
          <w:p>
            <w:pPr>
              <w:jc w:val="right"/>
              <w:ind w:right="316"/>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103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r>
      <w:tr>
        <w:trPr>
          <w:trHeight w:val="183"/>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7360" w:type="dxa"/>
            <w:vAlign w:val="bottom"/>
            <w:tcBorders>
              <w:top w:val="single" w:sz="8" w:color="0000FF"/>
            </w:tcBorders>
            <w:gridSpan w:val="5"/>
          </w:tcPr>
          <w:p>
            <w:pPr>
              <w:spacing w:after="0"/>
              <w:rPr>
                <w:sz w:val="15"/>
                <w:szCs w:val="15"/>
                <w:color w:val="auto"/>
              </w:rPr>
            </w:pPr>
          </w:p>
        </w:tc>
        <w:tc>
          <w:tcPr>
            <w:tcW w:w="640" w:type="dxa"/>
            <w:vAlign w:val="bottom"/>
            <w:gridSpan w:val="4"/>
          </w:tcPr>
          <w:p>
            <w:pPr>
              <w:spacing w:after="0"/>
              <w:rPr>
                <w:sz w:val="15"/>
                <w:szCs w:val="15"/>
                <w:color w:val="auto"/>
              </w:rPr>
            </w:pPr>
          </w:p>
        </w:tc>
      </w:tr>
    </w:tbl>
    <w:p>
      <w:pPr>
        <w:spacing w:after="0" w:line="116" w:lineRule="exact"/>
        <w:rPr>
          <w:sz w:val="20"/>
          <w:szCs w:val="20"/>
          <w:color w:val="auto"/>
        </w:rPr>
      </w:pPr>
    </w:p>
    <w:p>
      <w:pPr>
        <w:ind w:left="940" w:right="20" w:hanging="932"/>
        <w:spacing w:after="0" w:line="247" w:lineRule="auto"/>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March 31, 2025,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79" w:lineRule="exact"/>
        <w:rPr>
          <w:sz w:val="20"/>
          <w:szCs w:val="20"/>
          <w:color w:val="auto"/>
        </w:rPr>
      </w:pPr>
    </w:p>
    <w:p>
      <w:pPr>
        <w:ind w:left="940" w:right="80" w:hanging="932"/>
        <w:spacing w:after="0" w:line="271" w:lineRule="auto"/>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jc w:val="center"/>
        <w:ind w:left="6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85" w:right="5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620" w:val="left"/>
          <w:tab w:leader="none" w:pos="842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23"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20" w:right="28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20" w:right="20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20" w:right="2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20" w:right="200" w:hanging="503"/>
        <w:spacing w:after="0" w:line="253"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120" w:hanging="503"/>
        <w:spacing w:after="0" w:line="271" w:lineRule="auto"/>
        <w:tabs>
          <w:tab w:leader="none" w:pos="1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0"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2025 as filed with the Securities and Exchange Commission on the date hereof (the “Report”), I, Carey A. Smith, Chief Executive Officer of the Company, certify, pursuant to 18 U.S.C. § 1350, as adopted pursuant to § 906 of the Sarbanes-Oxley Act of 2002, that:</w:t>
      </w:r>
    </w:p>
    <w:p>
      <w:pPr>
        <w:spacing w:after="0" w:line="61"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14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8890</wp:posOffset>
            </wp:positionV>
            <wp:extent cx="299148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March 31, 2025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060" w:val="left"/>
          <w:tab w:leader="none" w:pos="8020" w:val="left"/>
        </w:tabs>
        <w:rPr>
          <w:sz w:val="20"/>
          <w:szCs w:val="20"/>
          <w:color w:val="auto"/>
        </w:rPr>
      </w:pPr>
      <w:r>
        <w:rPr>
          <w:rFonts w:ascii="Arial" w:cs="Arial" w:eastAsia="Arial" w:hAnsi="Arial"/>
          <w:sz w:val="18"/>
          <w:szCs w:val="18"/>
          <w:color w:val="auto"/>
        </w:rPr>
        <w:t>Date: April 30,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8890</wp:posOffset>
            </wp:positionV>
            <wp:extent cx="30003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0"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5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3"/>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5"/>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1."/>
      <w:numFmt w:val="decimal"/>
      <w:start w:val="9"/>
    </w:lvl>
  </w:abstractNum>
  <w:abstractNum w:abstractNumId="12">
    <w:nsid w:val="2CA88611"/>
    <w:multiLevelType w:val="hybridMultilevel"/>
    <w:lvl w:ilvl="0">
      <w:lvlJc w:val="left"/>
      <w:lvlText w:val="%1."/>
      <w:numFmt w:val="decimal"/>
      <w:start w:val="10"/>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1"/>
    </w:lvl>
  </w:abstractNum>
  <w:abstractNum w:abstractNumId="16">
    <w:nsid w:val="8138641"/>
    <w:multiLevelType w:val="hybridMultilevel"/>
    <w:lvl w:ilvl="0">
      <w:lvlJc w:val="left"/>
      <w:lvlText w:val="%1."/>
      <w:numFmt w:val="decimal"/>
      <w:start w:val="12"/>
    </w:lvl>
  </w:abstractNum>
  <w:abstractNum w:abstractNumId="17">
    <w:nsid w:val="1E7FF521"/>
    <w:multiLevelType w:val="hybridMultilevel"/>
    <w:lvl w:ilvl="0">
      <w:lvlJc w:val="left"/>
      <w:lvlText w:val="%1."/>
      <w:numFmt w:val="decimal"/>
      <w:start w:val="13"/>
    </w:lvl>
  </w:abstractNum>
  <w:abstractNum w:abstractNumId="18">
    <w:nsid w:val="7C3DBD3D"/>
    <w:multiLevelType w:val="hybridMultilevel"/>
    <w:lvl w:ilvl="0">
      <w:lvlJc w:val="left"/>
      <w:lvlText w:val="%1."/>
      <w:numFmt w:val="decimal"/>
      <w:start w:val="14"/>
    </w:lvl>
  </w:abstractNum>
  <w:abstractNum w:abstractNumId="19">
    <w:nsid w:val="737B8DDC"/>
    <w:multiLevelType w:val="hybridMultilevel"/>
    <w:lvl w:ilvl="0">
      <w:lvlJc w:val="left"/>
      <w:lvlText w:val="%1."/>
      <w:numFmt w:val="decimal"/>
      <w:start w:val="15"/>
    </w:lvl>
  </w:abstractNum>
  <w:abstractNum w:abstractNumId="20">
    <w:nsid w:val="6CEAF087"/>
    <w:multiLevelType w:val="hybridMultilevel"/>
    <w:lvl w:ilvl="0">
      <w:lvlJc w:val="left"/>
      <w:lvlText w:val="%1."/>
      <w:numFmt w:val="decimal"/>
      <w:start w:val="16"/>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7"/>
    </w:lvl>
  </w:abstractNum>
  <w:abstractNum w:abstractNumId="23">
    <w:nsid w:val="3006C83E"/>
    <w:multiLevelType w:val="hybridMultilevel"/>
    <w:lvl w:ilvl="0">
      <w:lvlJc w:val="left"/>
      <w:lvlText w:val="%1."/>
      <w:numFmt w:val="decimal"/>
      <w:start w:val="1"/>
    </w:lvl>
    <w:lvl w:ilvl="1">
      <w:lvlJc w:val="left"/>
      <w:lvlText w:val="%2."/>
      <w:numFmt w:val="lowerLetter"/>
      <w:start w:val="1"/>
    </w:lvl>
  </w:abstractNum>
  <w:abstractNum w:abstractNumId="24">
    <w:nsid w:val="614FD4A1"/>
    <w:multiLevelType w:val="hybridMultilevel"/>
    <w:lvl w:ilvl="0">
      <w:lvlJc w:val="left"/>
      <w:lvlText w:val="1"/>
      <w:numFmt w:val="bullet"/>
      <w:start w:val="1"/>
    </w:lvl>
  </w:abstractNum>
  <w:abstractNum w:abstractNumId="25">
    <w:nsid w:val="419AC241"/>
    <w:multiLevelType w:val="hybridMultilevel"/>
    <w:lvl w:ilvl="0">
      <w:lvlJc w:val="left"/>
      <w:lvlText w:val="%1."/>
      <w:numFmt w:val="decimal"/>
      <w:start w:val="18"/>
    </w:lvl>
  </w:abstractNum>
  <w:abstractNum w:abstractNumId="26">
    <w:nsid w:val="5577F8E1"/>
    <w:multiLevelType w:val="hybridMultilevel"/>
    <w:lvl w:ilvl="0">
      <w:lvlJc w:val="left"/>
      <w:lvlText w:val="(%1)"/>
      <w:numFmt w:val="lowerLetter"/>
      <w:start w:val="1"/>
    </w:lvl>
    <w:lvl w:ilvl="1">
      <w:lvlJc w:val="left"/>
      <w:lvlText w:val="%2."/>
      <w:numFmt w:val="lowerRoman"/>
      <w:start w:val="1"/>
    </w:lvl>
  </w:abstractNum>
  <w:abstractNum w:abstractNumId="27">
    <w:nsid w:val="440BADFC"/>
    <w:multiLevelType w:val="hybridMultilevel"/>
    <w:lvl w:ilvl="0">
      <w:lvlJc w:val="left"/>
      <w:lvlText w:val="%1."/>
      <w:numFmt w:val="decimal"/>
      <w:start w:val="19"/>
    </w:lvl>
  </w:abstractNum>
  <w:abstractNum w:abstractNumId="28">
    <w:nsid w:val="5072367"/>
    <w:multiLevelType w:val="hybridMultilevel"/>
    <w:lvl w:ilvl="0">
      <w:lvlJc w:val="left"/>
      <w:lvlText w:val="1"/>
      <w:numFmt w:val="bullet"/>
      <w:start w:val="1"/>
    </w:lvl>
  </w:abstractNum>
  <w:abstractNum w:abstractNumId="29">
    <w:nsid w:val="3804823E"/>
    <w:multiLevelType w:val="hybridMultilevel"/>
    <w:lvl w:ilvl="0">
      <w:lvlJc w:val="left"/>
      <w:lvlText w:val="2"/>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bullet"/>
      <w:start w:val="1"/>
    </w:lvl>
  </w:abstractNum>
  <w:abstractNum w:abstractNumId="37">
    <w:nsid w:val="580BD78F"/>
    <w:multiLevelType w:val="hybridMultilevel"/>
    <w:lvl w:ilvl="0">
      <w:lvlJc w:val="left"/>
      <w:lvlText w:val="%1"/>
      <w:numFmt w:val="decimal"/>
      <w:start w:val="101"/>
    </w:lvl>
  </w:abstractNum>
  <w:abstractNum w:abstractNumId="38">
    <w:nsid w:val="153EA438"/>
    <w:multiLevelType w:val="hybridMultilevel"/>
    <w:lvl w:ilvl="0">
      <w:lvlJc w:val="left"/>
      <w:lvlText w:val="%1"/>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2025-04-30T05:40:38Z</dcterms:created>
  <dcterms:modified xsi:type="dcterms:W3CDTF">2025-04-30T05:40:38Z</dcterms:modified>
</cp:coreProperties>
</file>