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4"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4100" w:right="3660" w:hanging="4079"/>
        <w:spacing w:after="0" w:line="324" w:lineRule="auto"/>
        <w:tabs>
          <w:tab w:leader="none" w:pos="472"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2024</w:t>
      </w: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80" w:right="740" w:hanging="459"/>
        <w:spacing w:after="0" w:line="267" w:lineRule="auto"/>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63500</wp:posOffset>
            </wp:positionV>
            <wp:extent cx="3008630"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8630" cy="60833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left="3560"/>
        <w:spacing w:after="0"/>
        <w:rPr>
          <w:sz w:val="20"/>
          <w:szCs w:val="20"/>
          <w:color w:val="auto"/>
        </w:rPr>
      </w:pPr>
      <w:r>
        <w:rPr>
          <w:rFonts w:ascii="Arial" w:cs="Arial" w:eastAsia="Arial" w:hAnsi="Arial"/>
          <w:sz w:val="32"/>
          <w:szCs w:val="32"/>
          <w:b w:val="1"/>
          <w:bCs w:val="1"/>
          <w:color w:val="auto"/>
        </w:rPr>
        <w:t>PARSONS CORPORATION</w:t>
      </w:r>
    </w:p>
    <w:p>
      <w:pPr>
        <w:spacing w:after="0" w:line="40" w:lineRule="exact"/>
        <w:rPr>
          <w:sz w:val="24"/>
          <w:szCs w:val="24"/>
          <w:color w:val="auto"/>
        </w:rPr>
      </w:pPr>
    </w:p>
    <w:p>
      <w:pPr>
        <w:ind w:left="390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Delaware</w:t>
      </w:r>
    </w:p>
    <w:p>
      <w:pPr>
        <w:ind w:left="1920"/>
        <w:spacing w:after="0" w:line="237" w:lineRule="auto"/>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95-3232481</w:t>
      </w:r>
    </w:p>
    <w:p>
      <w:pPr>
        <w:spacing w:after="0" w:line="12" w:lineRule="exact"/>
        <w:rPr>
          <w:sz w:val="24"/>
          <w:szCs w:val="24"/>
          <w:color w:val="auto"/>
        </w:rPr>
      </w:pPr>
    </w:p>
    <w:p>
      <w:pPr>
        <w:jc w:val="center"/>
        <w:ind w:right="2240"/>
        <w:spacing w:after="0"/>
        <w:rPr>
          <w:sz w:val="20"/>
          <w:szCs w:val="20"/>
          <w:color w:val="auto"/>
        </w:rPr>
      </w:pPr>
      <w:r>
        <w:rPr>
          <w:rFonts w:ascii="Arial" w:cs="Arial" w:eastAsia="Arial" w:hAnsi="Arial"/>
          <w:sz w:val="13"/>
          <w:szCs w:val="13"/>
          <w:b w:val="1"/>
          <w:bCs w:val="1"/>
          <w:color w:val="auto"/>
        </w:rPr>
        <w:t>(I.R.S. Employer</w:t>
      </w:r>
    </w:p>
    <w:p>
      <w:pPr>
        <w:jc w:val="center"/>
        <w:ind w:right="2240"/>
        <w:spacing w:after="0"/>
        <w:rPr>
          <w:sz w:val="20"/>
          <w:szCs w:val="20"/>
          <w:color w:val="auto"/>
        </w:rPr>
      </w:pPr>
      <w:r>
        <w:rPr>
          <w:rFonts w:ascii="Arial" w:cs="Arial" w:eastAsia="Arial" w:hAnsi="Arial"/>
          <w:sz w:val="12"/>
          <w:szCs w:val="12"/>
          <w:b w:val="1"/>
          <w:bCs w:val="1"/>
          <w:color w:val="auto"/>
        </w:rPr>
        <w:t>Identification No.)</w:t>
      </w:r>
    </w:p>
    <w:p>
      <w:pPr>
        <w:spacing w:after="0" w:line="97" w:lineRule="exact"/>
        <w:rPr>
          <w:sz w:val="24"/>
          <w:szCs w:val="24"/>
          <w:color w:val="auto"/>
        </w:rPr>
      </w:pPr>
    </w:p>
    <w:p>
      <w:pPr>
        <w:sectPr>
          <w:pgSz w:w="11900" w:h="16838" w:orient="portrait"/>
          <w:cols w:equalWidth="0" w:num="2">
            <w:col w:w="7680" w:space="260"/>
            <w:col w:w="3300"/>
          </w:cols>
          <w:pgMar w:left="320" w:top="969" w:right="339" w:bottom="1440" w:gutter="0" w:footer="0" w:header="0"/>
          <w:type w:val="continuous"/>
        </w:sectPr>
      </w:pPr>
    </w:p>
    <w:tbl>
      <w:tblPr>
        <w:tblLayout w:type="fixed"/>
        <w:tblInd w:w="1400" w:type="dxa"/>
        <w:tblCellMar>
          <w:top w:w="0" w:type="dxa"/>
          <w:left w:w="0" w:type="dxa"/>
          <w:bottom w:w="0" w:type="dxa"/>
          <w:right w:w="0" w:type="dxa"/>
        </w:tblCellMar>
      </w:tblPr>
      <w:tr>
        <w:trPr>
          <w:trHeight w:val="189"/>
        </w:trPr>
        <w:tc>
          <w:tcPr>
            <w:tcW w:w="4760" w:type="dxa"/>
            <w:vAlign w:val="bottom"/>
          </w:tcPr>
          <w:p>
            <w:pPr>
              <w:jc w:val="center"/>
              <w:ind w:right="1905"/>
              <w:spacing w:after="0"/>
              <w:rPr>
                <w:sz w:val="20"/>
                <w:szCs w:val="20"/>
                <w:color w:val="auto"/>
              </w:rPr>
            </w:pPr>
            <w:r>
              <w:rPr>
                <w:rFonts w:ascii="Arial" w:cs="Arial" w:eastAsia="Arial" w:hAnsi="Arial"/>
                <w:sz w:val="16"/>
                <w:szCs w:val="16"/>
                <w:b w:val="1"/>
                <w:bCs w:val="1"/>
                <w:color w:val="auto"/>
              </w:rPr>
              <w:t>14291 Park Meadow Drive, Suite 100</w:t>
            </w:r>
          </w:p>
        </w:tc>
        <w:tc>
          <w:tcPr>
            <w:tcW w:w="2620" w:type="dxa"/>
            <w:vAlign w:val="bottom"/>
          </w:tcPr>
          <w:p>
            <w:pPr>
              <w:spacing w:after="0"/>
              <w:rPr>
                <w:sz w:val="16"/>
                <w:szCs w:val="16"/>
                <w:color w:val="auto"/>
              </w:rPr>
            </w:pPr>
          </w:p>
        </w:tc>
      </w:tr>
      <w:tr>
        <w:trPr>
          <w:trHeight w:val="199"/>
        </w:trPr>
        <w:tc>
          <w:tcPr>
            <w:tcW w:w="4760" w:type="dxa"/>
            <w:vAlign w:val="bottom"/>
          </w:tcPr>
          <w:p>
            <w:pPr>
              <w:jc w:val="center"/>
              <w:ind w:right="1925"/>
              <w:spacing w:after="0"/>
              <w:rPr>
                <w:sz w:val="20"/>
                <w:szCs w:val="20"/>
                <w:color w:val="auto"/>
              </w:rPr>
            </w:pPr>
            <w:r>
              <w:rPr>
                <w:rFonts w:ascii="Arial" w:cs="Arial" w:eastAsia="Arial" w:hAnsi="Arial"/>
                <w:sz w:val="16"/>
                <w:szCs w:val="16"/>
                <w:b w:val="1"/>
                <w:bCs w:val="1"/>
                <w:color w:val="auto"/>
              </w:rPr>
              <w:t>Chantilly, VA</w:t>
            </w:r>
          </w:p>
        </w:tc>
        <w:tc>
          <w:tcPr>
            <w:tcW w:w="2620" w:type="dxa"/>
            <w:vAlign w:val="bottom"/>
          </w:tcPr>
          <w:p>
            <w:pPr>
              <w:jc w:val="right"/>
              <w:ind w:right="8"/>
              <w:spacing w:after="0"/>
              <w:rPr>
                <w:sz w:val="20"/>
                <w:szCs w:val="20"/>
                <w:color w:val="auto"/>
              </w:rPr>
            </w:pPr>
            <w:r>
              <w:rPr>
                <w:rFonts w:ascii="Arial" w:cs="Arial" w:eastAsia="Arial" w:hAnsi="Arial"/>
                <w:sz w:val="16"/>
                <w:szCs w:val="16"/>
                <w:b w:val="1"/>
                <w:bCs w:val="1"/>
                <w:color w:val="auto"/>
              </w:rPr>
              <w:t>20151</w:t>
            </w:r>
          </w:p>
        </w:tc>
      </w:tr>
      <w:tr>
        <w:trPr>
          <w:trHeight w:val="172"/>
        </w:trPr>
        <w:tc>
          <w:tcPr>
            <w:tcW w:w="4760" w:type="dxa"/>
            <w:vAlign w:val="bottom"/>
          </w:tcPr>
          <w:p>
            <w:pPr>
              <w:jc w:val="center"/>
              <w:ind w:right="190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620" w:type="dxa"/>
            <w:vAlign w:val="bottom"/>
          </w:tcPr>
          <w:p>
            <w:pPr>
              <w:jc w:val="center"/>
              <w:ind w:left="1928"/>
              <w:spacing w:after="0"/>
              <w:rPr>
                <w:sz w:val="20"/>
                <w:szCs w:val="20"/>
                <w:color w:val="auto"/>
              </w:rPr>
            </w:pPr>
            <w:r>
              <w:rPr>
                <w:rFonts w:ascii="Arial" w:cs="Arial" w:eastAsia="Arial" w:hAnsi="Arial"/>
                <w:sz w:val="13"/>
                <w:szCs w:val="13"/>
                <w:b w:val="1"/>
                <w:bCs w:val="1"/>
                <w:color w:val="auto"/>
                <w:w w:val="96"/>
              </w:rPr>
              <w:t>(Zip Code)</w:t>
            </w:r>
          </w:p>
        </w:tc>
      </w:tr>
    </w:tbl>
    <w:p>
      <w:pPr>
        <w:spacing w:after="0" w:line="21" w:lineRule="exact"/>
        <w:rPr>
          <w:sz w:val="24"/>
          <w:szCs w:val="24"/>
          <w:color w:val="auto"/>
        </w:rPr>
      </w:pPr>
    </w:p>
    <w:p>
      <w:pPr>
        <w:ind w:left="3000"/>
        <w:spacing w:after="0"/>
        <w:rPr>
          <w:sz w:val="20"/>
          <w:szCs w:val="20"/>
          <w:color w:val="auto"/>
        </w:rPr>
      </w:pPr>
      <w:r>
        <w:rPr>
          <w:rFonts w:ascii="Arial" w:cs="Arial" w:eastAsia="Arial" w:hAnsi="Arial"/>
          <w:sz w:val="16"/>
          <w:szCs w:val="16"/>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120" w:type="dxa"/>
            <w:vAlign w:val="bottom"/>
          </w:tcPr>
          <w:p>
            <w:pPr>
              <w:spacing w:after="0"/>
              <w:rPr>
                <w:sz w:val="12"/>
                <w:szCs w:val="12"/>
                <w:color w:val="auto"/>
              </w:rPr>
            </w:pPr>
          </w:p>
        </w:tc>
        <w:tc>
          <w:tcPr>
            <w:tcW w:w="5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3"/>
        </w:trPr>
        <w:tc>
          <w:tcPr>
            <w:tcW w:w="42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Symbol(s)</w:t>
            </w:r>
          </w:p>
        </w:tc>
        <w:tc>
          <w:tcPr>
            <w:tcW w:w="120" w:type="dxa"/>
            <w:vAlign w:val="bottom"/>
          </w:tcPr>
          <w:p>
            <w:pPr>
              <w:spacing w:after="0"/>
              <w:rPr>
                <w:sz w:val="13"/>
                <w:szCs w:val="13"/>
                <w:color w:val="auto"/>
              </w:rPr>
            </w:pPr>
          </w:p>
        </w:tc>
        <w:tc>
          <w:tcPr>
            <w:tcW w:w="5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80" w:type="dxa"/>
            <w:vAlign w:val="bottom"/>
          </w:tcPr>
          <w:p>
            <w:pPr>
              <w:jc w:val="center"/>
              <w:spacing w:after="0"/>
              <w:rPr>
                <w:sz w:val="20"/>
                <w:szCs w:val="20"/>
                <w:color w:val="auto"/>
              </w:rPr>
            </w:pPr>
            <w:r>
              <w:rPr>
                <w:rFonts w:ascii="Arial" w:cs="Arial" w:eastAsia="Arial" w:hAnsi="Arial"/>
                <w:sz w:val="14"/>
                <w:szCs w:val="14"/>
                <w:color w:val="auto"/>
              </w:rPr>
              <w:t>Common Stock, $1 par value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PSN</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26"/>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right="288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2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24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127"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right="40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7"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200"/>
        <w:spacing w:after="0" w:line="285"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New York Stock Exchange on June 30, 2024, was $8.7 billion.</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11, 2025 was 106,777,126</w:t>
      </w:r>
    </w:p>
    <w:p>
      <w:pPr>
        <w:spacing w:after="0" w:line="109"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Portions of Parsons’ 2025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80" w:type="dxa"/>
            <w:vAlign w:val="bottom"/>
            <w:gridSpan w:val="11"/>
          </w:tcPr>
          <w:p>
            <w:pPr>
              <w:ind w:left="4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7"/>
        </w:trPr>
        <w:tc>
          <w:tcPr>
            <w:tcW w:w="11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Business</w:t>
            </w:r>
          </w:p>
        </w:tc>
        <w:tc>
          <w:tcPr>
            <w:tcW w:w="8560" w:type="dxa"/>
            <w:vAlign w:val="bottom"/>
            <w:gridSpan w:val="28"/>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1A.</w:t>
            </w:r>
          </w:p>
        </w:tc>
        <w:tc>
          <w:tcPr>
            <w:tcW w:w="9300" w:type="dxa"/>
            <w:vAlign w:val="bottom"/>
            <w:gridSpan w:val="29"/>
          </w:tcPr>
          <w:p>
            <w:pPr>
              <w:spacing w:after="0" w:line="182"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1B.</w:t>
            </w:r>
          </w:p>
        </w:tc>
        <w:tc>
          <w:tcPr>
            <w:tcW w:w="10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Unresolved</w:t>
            </w:r>
          </w:p>
        </w:tc>
        <w:tc>
          <w:tcPr>
            <w:tcW w:w="20" w:type="dxa"/>
            <w:vAlign w:val="bottom"/>
            <w:tcBorders>
              <w:top w:val="single" w:sz="8" w:color="0000EE"/>
            </w:tcBorders>
          </w:tcPr>
          <w:p>
            <w:pPr>
              <w:spacing w:after="0"/>
              <w:rPr>
                <w:sz w:val="15"/>
                <w:szCs w:val="15"/>
                <w:color w:val="auto"/>
              </w:rPr>
            </w:pPr>
          </w:p>
        </w:tc>
        <w:tc>
          <w:tcPr>
            <w:tcW w:w="8280" w:type="dxa"/>
            <w:vAlign w:val="bottom"/>
            <w:gridSpan w:val="23"/>
          </w:tcPr>
          <w:p>
            <w:pPr>
              <w:spacing w:after="0" w:line="182" w:lineRule="exact"/>
              <w:rPr>
                <w:sz w:val="20"/>
                <w:szCs w:val="20"/>
                <w:color w:val="auto"/>
              </w:rPr>
            </w:pPr>
            <w:r>
              <w:rPr>
                <w:rFonts w:ascii="Arial" w:cs="Arial" w:eastAsia="Arial" w:hAnsi="Arial"/>
                <w:sz w:val="18"/>
                <w:szCs w:val="18"/>
                <w:color w:val="0000FF"/>
              </w:rPr>
              <w:t>Staff Comments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1C.</w:t>
            </w:r>
          </w:p>
        </w:tc>
        <w:tc>
          <w:tcPr>
            <w:tcW w:w="226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2.</w:t>
            </w:r>
          </w:p>
        </w:tc>
        <w:tc>
          <w:tcPr>
            <w:tcW w:w="110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3.</w:t>
            </w: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82"/>
        </w:trPr>
        <w:tc>
          <w:tcPr>
            <w:tcW w:w="1140" w:type="dxa"/>
            <w:vAlign w:val="bottom"/>
            <w:vMerge w:val="continue"/>
          </w:tcPr>
          <w:p>
            <w:pPr>
              <w:spacing w:after="0"/>
              <w:rPr>
                <w:sz w:val="15"/>
                <w:szCs w:val="15"/>
                <w:color w:val="auto"/>
              </w:rPr>
            </w:pPr>
          </w:p>
        </w:tc>
        <w:tc>
          <w:tcPr>
            <w:tcW w:w="150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9"/>
              </w:rPr>
              <w:t>Legal Proceedings</w:t>
            </w:r>
          </w:p>
        </w:tc>
        <w:tc>
          <w:tcPr>
            <w:tcW w:w="20" w:type="dxa"/>
            <w:vAlign w:val="bottom"/>
            <w:tcBorders>
              <w:bottom w:val="single" w:sz="8" w:color="0000EE"/>
            </w:tcBorders>
          </w:tcPr>
          <w:p>
            <w:pPr>
              <w:spacing w:after="0"/>
              <w:rPr>
                <w:sz w:val="15"/>
                <w:szCs w:val="15"/>
                <w:color w:val="auto"/>
              </w:rPr>
            </w:pPr>
          </w:p>
        </w:tc>
        <w:tc>
          <w:tcPr>
            <w:tcW w:w="7780" w:type="dxa"/>
            <w:vAlign w:val="bottom"/>
            <w:gridSpan w:val="18"/>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4.</w:t>
            </w:r>
          </w:p>
        </w:tc>
        <w:tc>
          <w:tcPr>
            <w:tcW w:w="9300" w:type="dxa"/>
            <w:vAlign w:val="bottom"/>
            <w:gridSpan w:val="29"/>
          </w:tcPr>
          <w:p>
            <w:pPr>
              <w:spacing w:after="0" w:line="182" w:lineRule="exact"/>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5.</w:t>
            </w:r>
          </w:p>
        </w:tc>
        <w:tc>
          <w:tcPr>
            <w:tcW w:w="9300" w:type="dxa"/>
            <w:vAlign w:val="bottom"/>
            <w:gridSpan w:val="29"/>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6.</w:t>
            </w:r>
          </w:p>
        </w:tc>
        <w:tc>
          <w:tcPr>
            <w:tcW w:w="8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Reserved</w:t>
            </w:r>
          </w:p>
        </w:tc>
        <w:tc>
          <w:tcPr>
            <w:tcW w:w="8080" w:type="dxa"/>
            <w:vAlign w:val="bottom"/>
            <w:tcBorders>
              <w:top w:val="single" w:sz="8" w:color="0000FF"/>
            </w:tcBorders>
            <w:gridSpan w:val="26"/>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7.</w:t>
            </w:r>
          </w:p>
        </w:tc>
        <w:tc>
          <w:tcPr>
            <w:tcW w:w="9300" w:type="dxa"/>
            <w:vAlign w:val="bottom"/>
            <w:gridSpan w:val="29"/>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7A.</w:t>
            </w:r>
          </w:p>
        </w:tc>
        <w:tc>
          <w:tcPr>
            <w:tcW w:w="708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8.</w:t>
            </w:r>
          </w:p>
        </w:tc>
        <w:tc>
          <w:tcPr>
            <w:tcW w:w="472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w:t>
            </w:r>
          </w:p>
        </w:tc>
        <w:tc>
          <w:tcPr>
            <w:tcW w:w="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300" w:type="dxa"/>
            <w:vAlign w:val="bottom"/>
            <w:gridSpan w:val="29"/>
          </w:tcPr>
          <w:p>
            <w:pPr>
              <w:spacing w:after="0" w:line="18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9A.</w:t>
            </w:r>
          </w:p>
        </w:tc>
        <w:tc>
          <w:tcPr>
            <w:tcW w:w="718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Controls and Procedures</w:t>
            </w: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9B.</w:t>
            </w:r>
          </w:p>
        </w:tc>
        <w:tc>
          <w:tcPr>
            <w:tcW w:w="200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Other Information</w:t>
            </w:r>
          </w:p>
        </w:tc>
        <w:tc>
          <w:tcPr>
            <w:tcW w:w="2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9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Item 9C.</w:t>
            </w:r>
          </w:p>
        </w:tc>
        <w:tc>
          <w:tcPr>
            <w:tcW w:w="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300" w:type="dxa"/>
            <w:vAlign w:val="bottom"/>
            <w:gridSpan w:val="29"/>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10.</w:t>
            </w:r>
          </w:p>
        </w:tc>
        <w:tc>
          <w:tcPr>
            <w:tcW w:w="9300" w:type="dxa"/>
            <w:vAlign w:val="bottom"/>
            <w:gridSpan w:val="29"/>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11.</w:t>
            </w:r>
          </w:p>
        </w:tc>
        <w:tc>
          <w:tcPr>
            <w:tcW w:w="2000" w:type="dxa"/>
            <w:vAlign w:val="bottom"/>
            <w:tcBorders>
              <w:top w:val="single" w:sz="8" w:color="0000FF"/>
              <w:bottom w:val="single" w:sz="8" w:color="0000FF"/>
            </w:tcBorders>
            <w:gridSpan w:val="14"/>
          </w:tcPr>
          <w:p>
            <w:pPr>
              <w:spacing w:after="0" w:line="182" w:lineRule="exact"/>
              <w:rPr>
                <w:sz w:val="20"/>
                <w:szCs w:val="20"/>
                <w:color w:val="auto"/>
              </w:rPr>
            </w:pPr>
            <w:r>
              <w:rPr>
                <w:rFonts w:ascii="Arial" w:cs="Arial" w:eastAsia="Arial" w:hAnsi="Arial"/>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5"/>
          </w:tcPr>
          <w:p>
            <w:pPr>
              <w:spacing w:after="0"/>
              <w:rPr>
                <w:sz w:val="15"/>
                <w:szCs w:val="15"/>
                <w:color w:val="auto"/>
              </w:rPr>
            </w:pPr>
          </w:p>
        </w:tc>
        <w:tc>
          <w:tcPr>
            <w:tcW w:w="1600" w:type="dxa"/>
            <w:vAlign w:val="bottom"/>
            <w:gridSpan w:val="3"/>
          </w:tcPr>
          <w:p>
            <w:pPr>
              <w:spacing w:after="0"/>
              <w:rPr>
                <w:sz w:val="15"/>
                <w:szCs w:val="15"/>
                <w:color w:val="auto"/>
              </w:rPr>
            </w:pPr>
          </w:p>
        </w:tc>
        <w:tc>
          <w:tcPr>
            <w:tcW w:w="192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12.</w:t>
            </w:r>
          </w:p>
        </w:tc>
        <w:tc>
          <w:tcPr>
            <w:tcW w:w="9300" w:type="dxa"/>
            <w:vAlign w:val="bottom"/>
            <w:gridSpan w:val="29"/>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13.</w:t>
            </w:r>
          </w:p>
        </w:tc>
        <w:tc>
          <w:tcPr>
            <w:tcW w:w="802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4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14.</w:t>
            </w:r>
          </w:p>
        </w:tc>
        <w:tc>
          <w:tcPr>
            <w:tcW w:w="610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Principal Accounting Fees and Services</w:t>
            </w:r>
          </w:p>
        </w:tc>
        <w:tc>
          <w:tcPr>
            <w:tcW w:w="2380" w:type="dxa"/>
            <w:vAlign w:val="bottom"/>
            <w:gridSpan w:val="4"/>
          </w:tcPr>
          <w:p>
            <w:pPr>
              <w:spacing w:after="0"/>
              <w:rPr>
                <w:sz w:val="15"/>
                <w:szCs w:val="15"/>
                <w:color w:val="auto"/>
              </w:rPr>
            </w:pPr>
          </w:p>
        </w:tc>
        <w:tc>
          <w:tcPr>
            <w:tcW w:w="8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Item 15.</w:t>
            </w:r>
          </w:p>
        </w:tc>
        <w:tc>
          <w:tcPr>
            <w:tcW w:w="9300" w:type="dxa"/>
            <w:vAlign w:val="bottom"/>
            <w:gridSpan w:val="29"/>
          </w:tcPr>
          <w:p>
            <w:pPr>
              <w:spacing w:after="0" w:line="195" w:lineRule="exact"/>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2" w:lineRule="exact"/>
              <w:rPr>
                <w:sz w:val="20"/>
                <w:szCs w:val="20"/>
                <w:color w:val="auto"/>
              </w:rPr>
            </w:pPr>
            <w:r>
              <w:rPr>
                <w:rFonts w:ascii="Arial" w:cs="Arial" w:eastAsia="Arial" w:hAnsi="Arial"/>
                <w:sz w:val="18"/>
                <w:szCs w:val="18"/>
                <w:color w:val="auto"/>
              </w:rPr>
              <w:t>Item 16</w:t>
            </w:r>
          </w:p>
        </w:tc>
        <w:tc>
          <w:tcPr>
            <w:tcW w:w="322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Form 10-K Summary</w:t>
            </w:r>
          </w:p>
        </w:tc>
        <w:tc>
          <w:tcPr>
            <w:tcW w:w="5260" w:type="dxa"/>
            <w:vAlign w:val="bottom"/>
            <w:gridSpan w:val="9"/>
          </w:tcPr>
          <w:p>
            <w:pPr>
              <w:spacing w:after="0"/>
              <w:rPr>
                <w:sz w:val="15"/>
                <w:szCs w:val="15"/>
                <w:color w:val="auto"/>
              </w:rPr>
            </w:pPr>
          </w:p>
        </w:tc>
        <w:tc>
          <w:tcPr>
            <w:tcW w:w="8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104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8"/>
              </w:rPr>
              <w:t>Exhibit Index</w:t>
            </w:r>
          </w:p>
        </w:tc>
        <w:tc>
          <w:tcPr>
            <w:tcW w:w="640" w:type="dxa"/>
            <w:vAlign w:val="bottom"/>
            <w:tcBorders>
              <w:top w:val="single" w:sz="8" w:color="0000FF"/>
            </w:tcBorders>
            <w:gridSpan w:val="5"/>
          </w:tcPr>
          <w:p>
            <w:pPr>
              <w:spacing w:after="0"/>
              <w:rPr>
                <w:sz w:val="15"/>
                <w:szCs w:val="15"/>
                <w:color w:val="auto"/>
              </w:rPr>
            </w:pPr>
          </w:p>
        </w:tc>
        <w:tc>
          <w:tcPr>
            <w:tcW w:w="6800" w:type="dxa"/>
            <w:vAlign w:val="bottom"/>
            <w:gridSpan w:val="15"/>
          </w:tcPr>
          <w:p>
            <w:pPr>
              <w:spacing w:after="0"/>
              <w:rPr>
                <w:sz w:val="15"/>
                <w:szCs w:val="15"/>
                <w:color w:val="auto"/>
              </w:rPr>
            </w:pPr>
          </w:p>
        </w:tc>
        <w:tc>
          <w:tcPr>
            <w:tcW w:w="82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9300" w:type="dxa"/>
            <w:vAlign w:val="bottom"/>
            <w:gridSpan w:val="29"/>
          </w:tcPr>
          <w:p>
            <w:pPr>
              <w:spacing w:after="0"/>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86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Index to</w:t>
            </w:r>
          </w:p>
        </w:tc>
        <w:tc>
          <w:tcPr>
            <w:tcW w:w="20" w:type="dxa"/>
            <w:vAlign w:val="bottom"/>
            <w:tcBorders>
              <w:top w:val="single" w:sz="8" w:color="0000EE"/>
            </w:tcBorders>
          </w:tcPr>
          <w:p>
            <w:pPr>
              <w:spacing w:after="0"/>
              <w:rPr>
                <w:sz w:val="15"/>
                <w:szCs w:val="15"/>
                <w:color w:val="auto"/>
              </w:rPr>
            </w:pPr>
          </w:p>
        </w:tc>
        <w:tc>
          <w:tcPr>
            <w:tcW w:w="8420" w:type="dxa"/>
            <w:vAlign w:val="bottom"/>
            <w:gridSpan w:val="25"/>
          </w:tcPr>
          <w:p>
            <w:pPr>
              <w:spacing w:after="0" w:line="182" w:lineRule="exact"/>
              <w:rPr>
                <w:sz w:val="20"/>
                <w:szCs w:val="20"/>
                <w:color w:val="auto"/>
              </w:rPr>
            </w:pPr>
            <w:r>
              <w:rPr>
                <w:rFonts w:ascii="Arial" w:cs="Arial" w:eastAsia="Arial" w:hAnsi="Arial"/>
                <w:sz w:val="18"/>
                <w:szCs w:val="18"/>
                <w:color w:val="0000FF"/>
              </w:rPr>
              <w:t>Consolidated Financial Statements and Report of Independent Registered Public Accounting Firm</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72" w:lineRule="exact"/>
        <w:rPr>
          <w:sz w:val="20"/>
          <w:szCs w:val="20"/>
          <w:color w:val="auto"/>
        </w:rPr>
      </w:pPr>
    </w:p>
    <w:p>
      <w:pPr>
        <w:ind w:left="1020" w:right="30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issue that compromises our relationships with the U.S. federal government or its agencies or other state, local or foreign governments or agencies;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issues that damage our professional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priorities that shift expenditures away from agencies or programs that we support;</w:t>
      </w:r>
    </w:p>
    <w:p>
      <w:pPr>
        <w:spacing w:after="0" w:line="116" w:lineRule="exact"/>
        <w:rPr>
          <w:rFonts w:ascii="Times New Roman" w:cs="Times New Roman" w:eastAsia="Times New Roman" w:hAnsi="Times New Roman"/>
          <w:sz w:val="18"/>
          <w:szCs w:val="18"/>
          <w:color w:val="auto"/>
        </w:rPr>
      </w:pPr>
    </w:p>
    <w:p>
      <w:pPr>
        <w:ind w:left="1020" w:right="84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the award, maintenance and renewal of long-term government contracts, which are subject to the government’s budgetary approval process;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addressable markets and the amount of government spending on private contractors;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or our employees to obtain and maintain necessary security clearances or certifications;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comply with numerous laws and regulations;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 procurement, contract or other practices or the adoption by governments of new laws, rules, regulations and programs in a manner adverse to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our government contracts, particularly our contracts with the U.S. federal government;</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effectively in the competitive bidding process and delays, contract terminations or cancellations caused by competitors’ protests of major contract awards received by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under certain of our contracts;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any inability to attract, train or retain employees with the requisite skills, experience and security clearances;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loss of members of senior management or failure to develop new leaders;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misconduct or other improper activities from our employees or subcontractors;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full value of our backlog and the timing of our receipt of revenue under contracts included in backlog;</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mix of our contracts and our ability to accurately estimate or otherwise recover expenses, time and resources for our contracts;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used in recognizing revenue;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internal system or service failures and security breaches;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 w:name="page4"/>
    <w:bookmarkEnd w:id="3"/>
    <w:p>
      <w:pPr>
        <w:spacing w:after="0" w:line="85" w:lineRule="exact"/>
        <w:rPr>
          <w:sz w:val="20"/>
          <w:szCs w:val="20"/>
          <w:color w:val="auto"/>
        </w:rPr>
      </w:pPr>
    </w:p>
    <w:p>
      <w:pPr>
        <w:ind w:left="1020" w:right="74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inherent uncertainties and potential adverse developments in legal proceedings, including litigation, audits, reviews and investigations, which may result in materially adverse judgments, settlements or other unfavorable outcomes;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factors listed under “Risk Factors” and elsewhere in this report.</w:t>
      </w:r>
    </w:p>
    <w:p>
      <w:pPr>
        <w:spacing w:after="0" w:line="22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3"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6" w:lineRule="exact"/>
        <w:rPr>
          <w:sz w:val="20"/>
          <w:szCs w:val="20"/>
          <w:color w:val="auto"/>
        </w:rPr>
      </w:pPr>
    </w:p>
    <w:p>
      <w:pPr>
        <w:jc w:val="both"/>
        <w:ind w:right="160" w:firstLine="509"/>
        <w:spacing w:after="0" w:line="275" w:lineRule="auto"/>
        <w:rPr>
          <w:sz w:val="20"/>
          <w:szCs w:val="20"/>
          <w:color w:val="auto"/>
        </w:rPr>
      </w:pPr>
      <w:r>
        <w:rPr>
          <w:rFonts w:ascii="Arial" w:cs="Arial" w:eastAsia="Arial" w:hAnsi="Arial"/>
          <w:sz w:val="17"/>
          <w:szCs w:val="17"/>
          <w:color w:val="auto"/>
        </w:rPr>
        <w:t>You should read this report and the documents that we reference in this report and have filed as exhibits to the registration statement of which this report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5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Parsons is a leading provider of the solutions and services required to support the complex security environment, unprecedented global infrastructure demand, and a world of digital transformation impacting our customers. For more than 80 years, we have solved our customers’ most challenging problems and enabled a safer, smarter, more secure, and more connected world thanks to a culture of innovation, a focus on delivery, and a mission-focused workforce. Across those eight decades, we’ve established ourselves as a leading provider of integrated solutions and services that solve emerging customer challenges by leveraging our depth of experience and expertise in the markets where we operate. Today, that legacy of success has never been more true or more important, with Parsons uniquely positioned to deliver innovative solutions to our customers’ most challenging current and emerging requirements.</w:t>
      </w:r>
    </w:p>
    <w:p>
      <w:pPr>
        <w:spacing w:after="0" w:line="18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have developed significant expertise and differentiated capabilities in key end markets including cyber and intelligence, space and missile defense, critical infrastructure protection, transportation, environmental remediation, and urban development. Whether a first-of-a-kind sustainable, industrial city that runs on 100% renewable energy, security-as-a-service platform that uses advanced analytics and artificial intelligence/machine learning to defend against critical infrastructure cyber threats (transportation, utility, water, facility and healthcare), or elimination of emerging contaminants from the environment, we deliver integrated solutions that our customers need and the world demands. Across those programs, we have developed longstanding relationships with a wide-ranging global customer set that includes U.S. federal government departments and agencies, the U.S. military, state and local governments, and international clients; all know Parsons as a trusted partner sought out for our commitment to their success. We’ve further differentiated ourselves with those customers by delivering solutions through our One Parsons approach, bringing together capabilities from across our markets to provide integrated and unique offerings that leverage our global experience and in-depth technological expertise in areas of emerging demand such as our application of artificial intelligence to critical areas including cyber, engineering design, traffic management and counter unmanned aircraft systems.</w:t>
      </w:r>
    </w:p>
    <w:p>
      <w:pPr>
        <w:spacing w:after="0" w:line="186"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Organizationally, we operate in two reportable segments, Federal Solutions and Critical Infrastructure, with revenue contribution of 59% and 41%, respectively, and adjusted earnings before interest, taxes, depreciation and amortization (EBITDA) contribution of 69% and 31%, respectively, for the year ended December 31, 2024 (“fiscal 2024”). See "Management’s Discussion and Analysis of Financial Condition and Results of Operations—Segment Results” for further discussion on our segments.</w:t>
      </w:r>
    </w:p>
    <w:p>
      <w:pPr>
        <w:spacing w:after="0" w:line="174" w:lineRule="exact"/>
        <w:rPr>
          <w:sz w:val="20"/>
          <w:szCs w:val="20"/>
          <w:color w:val="auto"/>
        </w:rPr>
      </w:pPr>
    </w:p>
    <w:p>
      <w:pPr>
        <w:ind w:right="100" w:firstLine="509"/>
        <w:spacing w:after="0"/>
        <w:rPr>
          <w:sz w:val="20"/>
          <w:szCs w:val="20"/>
          <w:color w:val="auto"/>
        </w:rPr>
      </w:pPr>
      <w:r>
        <w:rPr>
          <w:rFonts w:ascii="Arial" w:cs="Arial" w:eastAsia="Arial" w:hAnsi="Arial"/>
          <w:sz w:val="18"/>
          <w:szCs w:val="18"/>
          <w:i w:val="1"/>
          <w:iCs w:val="1"/>
          <w:color w:val="auto"/>
        </w:rPr>
        <w:t xml:space="preserve">Federal Solutions: </w:t>
      </w:r>
      <w:r>
        <w:rPr>
          <w:rFonts w:ascii="Arial" w:cs="Arial" w:eastAsia="Arial" w:hAnsi="Arial"/>
          <w:sz w:val="18"/>
          <w:szCs w:val="18"/>
          <w:color w:val="auto"/>
        </w:rPr>
        <w:t>Our Federal Solutions segment is an advanced technology provider to the U.S. government, delivering timely,</w:t>
      </w:r>
      <w:r>
        <w:rPr>
          <w:rFonts w:ascii="Arial" w:cs="Arial" w:eastAsia="Arial" w:hAnsi="Arial"/>
          <w:sz w:val="18"/>
          <w:szCs w:val="18"/>
          <w:i w:val="1"/>
          <w:iCs w:val="1"/>
          <w:color w:val="auto"/>
        </w:rPr>
        <w:t xml:space="preserve"> </w:t>
      </w:r>
      <w:r>
        <w:rPr>
          <w:rFonts w:ascii="Arial" w:cs="Arial" w:eastAsia="Arial" w:hAnsi="Arial"/>
          <w:sz w:val="18"/>
          <w:szCs w:val="18"/>
          <w:color w:val="auto"/>
        </w:rPr>
        <w:t>cost-effective solutions for mission-critical projects. We provide critical technologies, including cyber; missile defense; intelligence; electronic warfare; space ground systems; space and weapon system resiliency; geospatial intelligence; signals intelligence; environmental remediation; border security, critical infrastructure protection; counter unmanned air systems; biometrics and biosurveillance. The U.S. government and its agencies represent substantially all of the revenue of our Federal Solutions segment. These U.S. government agencies include the Intelligence Community, the Departments of Defense, Energy, Labor, State, Homeland Security, and Commerce, the United States Postal Service, the National Aeronautics and Space Administration, and the Federal Aviation Administration.</w:t>
      </w:r>
    </w:p>
    <w:p>
      <w:pPr>
        <w:spacing w:after="0" w:line="185"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i w:val="1"/>
          <w:iCs w:val="1"/>
          <w:color w:val="auto"/>
        </w:rPr>
        <w:t xml:space="preserve">Critical Infrastructure: </w:t>
      </w:r>
      <w:r>
        <w:rPr>
          <w:rFonts w:ascii="Arial" w:cs="Arial" w:eastAsia="Arial" w:hAnsi="Arial"/>
          <w:sz w:val="18"/>
          <w:szCs w:val="18"/>
          <w:color w:val="auto"/>
        </w:rPr>
        <w:t>Our Critical Infrastructure segment provides program management, design and engineering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owners representative support for complex physical and digital infrastructure around the globe. We develop digital solutions focused on next generation aviation; rail and transit; bridges, roads and highways; and leverage sensors and data to drive smart sustainable infrastructure. Our capabilities in environmental remediation, water and wastewater treatment systems, and urban development allow us to deliver value to our customers by employing advanced technologies, improving timelines and decreasing costs while reducing environmental impacts and improving the quality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19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of life. We design and lead the delivery of complex infrastructure projects, leveraging our expertise as a leader in bridges, transportation, and urban development to support customers in programs that are transforming the global landscape. We serve a wide-ranging global customer base including federal, state, municipal and industry customers, and private sector infrastructure owners, such as the transportation authorities for the cities of Los Angeles, San Francisco, New York, and Paris, the state of New Jersey, Amtrak, CSX, Metrolinx (Ontario, Canada), Southern Nevada Water Authority, the Royal Commission for Riyadh City, Dubai Roads and Transportation Authority, Abu Dhabi Department of Municipalities and Transport, Qatar Public Works Authority, Saudi Arabia’s Public Investment Fund, and international developers.</w:t>
      </w:r>
    </w:p>
    <w:p>
      <w:pPr>
        <w:spacing w:after="0" w:line="18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Advances in technology and geopolitical events are dramatically shifting the operating landscape across our markets, with pressing challenges ranging from confronting increasingly sophisticated cybersecurity threats to upgrading aging infrastructure to reducing environmental footprint and improving water quality. Our customers are seeking smart technology-enabled solutions leveraging artificial intelligence to enhance and transform their systems performance and to address these challenges. Parsons’ extensive capabilities enable us to provide our services, products, and solutions across the national security and critical infrastructure markets, and we are well positioned to benefit from the trends in these markets. We have capabilities in the following four areas that span our two segments and four business units:</w:t>
      </w:r>
    </w:p>
    <w:p>
      <w:pPr>
        <w:spacing w:after="0" w:line="179" w:lineRule="exact"/>
        <w:rPr>
          <w:sz w:val="20"/>
          <w:szCs w:val="20"/>
          <w:color w:val="auto"/>
        </w:rPr>
      </w:pPr>
    </w:p>
    <w:p>
      <w:pPr>
        <w:jc w:val="both"/>
        <w:ind w:right="400" w:firstLine="509"/>
        <w:spacing w:after="0" w:line="253" w:lineRule="auto"/>
        <w:rPr>
          <w:sz w:val="20"/>
          <w:szCs w:val="20"/>
          <w:color w:val="auto"/>
        </w:rPr>
      </w:pPr>
      <w:r>
        <w:rPr>
          <w:rFonts w:ascii="Arial" w:cs="Arial" w:eastAsia="Arial" w:hAnsi="Arial"/>
          <w:sz w:val="18"/>
          <w:szCs w:val="18"/>
          <w:b w:val="1"/>
          <w:bCs w:val="1"/>
          <w:color w:val="auto"/>
        </w:rPr>
        <w:t xml:space="preserve">Systems Integration: </w:t>
      </w:r>
      <w:r>
        <w:rPr>
          <w:rFonts w:ascii="Arial" w:cs="Arial" w:eastAsia="Arial" w:hAnsi="Arial"/>
          <w:sz w:val="18"/>
          <w:szCs w:val="18"/>
          <w:color w:val="auto"/>
        </w:rPr>
        <w:t>We provide engineering services and technology for large digital and physical systems with high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complexity. We lead projects from concept development through research and design, implementation, testing and verification, ensuring interoperability of these complex, disparate systems.</w:t>
      </w:r>
    </w:p>
    <w:p>
      <w:pPr>
        <w:spacing w:after="0" w:line="169"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b w:val="1"/>
          <w:bCs w:val="1"/>
          <w:color w:val="auto"/>
        </w:rPr>
        <w:t xml:space="preserve">Program Management: </w:t>
      </w:r>
      <w:r>
        <w:rPr>
          <w:rFonts w:ascii="Arial" w:cs="Arial" w:eastAsia="Arial" w:hAnsi="Arial"/>
          <w:sz w:val="18"/>
          <w:szCs w:val="18"/>
          <w:color w:val="auto"/>
        </w:rPr>
        <w:t>We provide expertise and technology to advance our customers’ execution of large, complex projects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defined, technical, quality, time and cost parameters.</w:t>
      </w:r>
    </w:p>
    <w:p>
      <w:pPr>
        <w:spacing w:after="0" w:line="154"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b w:val="1"/>
          <w:bCs w:val="1"/>
          <w:color w:val="auto"/>
        </w:rPr>
        <w:t xml:space="preserve">Design Engineering: </w:t>
      </w:r>
      <w:r>
        <w:rPr>
          <w:rFonts w:ascii="Arial" w:cs="Arial" w:eastAsia="Arial" w:hAnsi="Arial"/>
          <w:sz w:val="18"/>
          <w:szCs w:val="18"/>
          <w:color w:val="auto"/>
        </w:rPr>
        <w:t>We provide advanced systems and infrastructure engineering design associated with utility capital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water/wastewater treatment, environmental remediation, ammunition plant upgrades, roads and highways, bridges, rail and transit systems, and other associated infrastructure. Additionally, we are leveraging digital engineering technology including model-based systems engineering and digital twins.</w:t>
      </w:r>
    </w:p>
    <w:p>
      <w:pPr>
        <w:spacing w:after="0" w:line="174"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b w:val="1"/>
          <w:bCs w:val="1"/>
          <w:color w:val="auto"/>
        </w:rPr>
        <w:t xml:space="preserve">Product Development: </w:t>
      </w:r>
      <w:r>
        <w:rPr>
          <w:rFonts w:ascii="Arial" w:cs="Arial" w:eastAsia="Arial" w:hAnsi="Arial"/>
          <w:sz w:val="18"/>
          <w:szCs w:val="18"/>
          <w:color w:val="auto"/>
        </w:rPr>
        <w:t>We develop software and hardware across many domains and mission-specific applications.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engineers and developers design, develop, integrate, operate and sustain mission-critical software and hardware products for intelligence, defense and infrastructure customers.</w:t>
      </w:r>
    </w:p>
    <w:p>
      <w:pPr>
        <w:spacing w:after="0" w:line="169"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Our customer relationships, which are based on a long history of successfully delivering complex technical solutions and services, are key to our success. We are often involved in the early stages of our customers’ planning processes, which allows us to efficiently optimize our delivery model. These relationships, along with our technical expertise and intellectual property, enable Parsons to successfully provide solutions that meet our customers’ demanding technical and execution requirements and fulfill our corporate purpose of developing a better world.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 Products and Solutions</w:t>
      </w:r>
    </w:p>
    <w:p>
      <w:pPr>
        <w:spacing w:after="0" w:line="104"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Within each of our segments, we focus our solutions, products and services on the needs of customers in each of our business units. Parsons is differentiated by our people, processes, and technology that work together to develop, rapidly prototype and deploy specialized hardware, software and infrastructure solutions to meet continually evolving customer missions and needs. With a culture driven by agility, innovation and collaboration, we provide operationally proven capabilities in emerging technical areas, including advanced analytics, artificial intelligence/machine learning, cyber, electronic warfare, environmental remediation and space systems. We perform systems integration, product development, program management, and engineering across our segments and business units.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5"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 xml:space="preserve">In fiscal 2024, we generated revenues of $6.8 billion, net income attributable to Parsons Corporation of $235.1 million and Adjusted EBITDA of $605.0 million. For a definition of Adjusted EBITDA and reconciliation to net income attributable to Parsons Corporation,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61"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We achieved an overall win rate of 72% in fiscal 2024, 66% in the year ended December 31, 2023 (“fiscal 2023”) and 49% in the year ended December 31, 2022 (‘fiscal 2022”), which includes strong re-compete win rates of 84% in fiscal 2024 giving us long-term certainty on key contracts. As of December 31, 2024, our total backlog was $8.9 billion, an increase of 4% from December 31, 2023</w:t>
      </w:r>
      <w:r>
        <w:rPr>
          <w:rFonts w:ascii="Arial" w:cs="Arial" w:eastAsia="Arial" w:hAnsi="Arial"/>
          <w:sz w:val="18"/>
          <w:szCs w:val="18"/>
          <w:color w:val="auto"/>
          <w:strike w:val="1"/>
        </w:rPr>
        <w: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Federal Solutions</w:t>
      </w:r>
    </w:p>
    <w:p>
      <w:pPr>
        <w:spacing w:after="0" w:line="102" w:lineRule="exact"/>
        <w:rPr>
          <w:sz w:val="20"/>
          <w:szCs w:val="20"/>
          <w:color w:val="auto"/>
        </w:rPr>
      </w:pPr>
    </w:p>
    <w:p>
      <w:pPr>
        <w:jc w:val="both"/>
        <w:ind w:right="480" w:firstLine="509"/>
        <w:spacing w:after="0" w:line="253" w:lineRule="auto"/>
        <w:rPr>
          <w:sz w:val="20"/>
          <w:szCs w:val="20"/>
          <w:color w:val="auto"/>
        </w:rPr>
      </w:pPr>
      <w:r>
        <w:rPr>
          <w:rFonts w:ascii="Arial" w:cs="Arial" w:eastAsia="Arial" w:hAnsi="Arial"/>
          <w:sz w:val="18"/>
          <w:szCs w:val="18"/>
          <w:color w:val="auto"/>
        </w:rPr>
        <w:t>Our Federal Solutions business provides integrated solutions, software and hardware products, and engineering design services. Federal Solutions consists of two business units: Defense &amp; Intelligence (D&amp;I) and Engineered Systems (ES). Our strategy is to deliver information dominance across all domains.</w:t>
      </w:r>
    </w:p>
    <w:p>
      <w:pPr>
        <w:spacing w:after="0" w:line="61" w:lineRule="exact"/>
        <w:rPr>
          <w:sz w:val="20"/>
          <w:szCs w:val="20"/>
          <w:color w:val="auto"/>
        </w:rPr>
      </w:pPr>
    </w:p>
    <w:p>
      <w:pPr>
        <w:ind w:left="1020" w:right="6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D&amp;I—Our D&amp;I business unit is organized into three related areas: defense, space and engineering services; cyber and national operations; and high consequence missions. Our customers include the U.S. Department of Defense, the U.S. Intelligence Community, the Department of Commerce, and the National Aeronautics and Space Administration. D&amp;I is a mission partner for differentiated technical solutions, products, and services, delivering innovations in cyber, space, missile defense, multi-domain command and control, intelligence, surveillance and reconnaissance, electromagnetic spectrum dominance, and directed energy. Our solutions are used to meet national security challenges from space to the tactical edge around the globe. In 2024, we expanded our footprint across the important INDOPACOM region.</w:t>
      </w:r>
    </w:p>
    <w:p>
      <w:pPr>
        <w:spacing w:after="0" w:line="75" w:lineRule="exact"/>
        <w:rPr>
          <w:rFonts w:ascii="Times New Roman" w:cs="Times New Roman" w:eastAsia="Times New Roman" w:hAnsi="Times New Roman"/>
          <w:sz w:val="18"/>
          <w:szCs w:val="18"/>
          <w:color w:val="auto"/>
        </w:rPr>
      </w:pPr>
    </w:p>
    <w:p>
      <w:pPr>
        <w:ind w:left="1260" w:hanging="503"/>
        <w:spacing w:after="0" w:line="242" w:lineRule="auto"/>
        <w:tabs>
          <w:tab w:leader="none" w:pos="1260"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242424"/>
        </w:rPr>
        <w:t>Defense Space and Engineering Services – We provide software, hardware, and technical expertise to clients across a variety of mission areas, including but not limited to, space, missile systems, and warfighter applications. Our customers span the U.S. Intelligence Community, including the (Defense Intelligence Agency (DIA), National Geospatial-Intelligence Agency (NGA), National Reconnaissance Office (NRO)); U.S. Department of Defense (DOD) (military services, Special Operations Command (SOCOM), Missile Defense Agency (MDA), United States Cyber Command (CYBERCOM); National Oceanic and Atmospheric Administration (NOAA), and National Aeronautics and Space Administration (NASA).</w:t>
      </w:r>
    </w:p>
    <w:p>
      <w:pPr>
        <w:spacing w:after="0" w:line="69" w:lineRule="exact"/>
        <w:rPr>
          <w:rFonts w:ascii="Times New Roman" w:cs="Times New Roman" w:eastAsia="Times New Roman" w:hAnsi="Times New Roman"/>
          <w:sz w:val="18"/>
          <w:szCs w:val="18"/>
          <w:color w:val="auto"/>
        </w:rPr>
      </w:pPr>
    </w:p>
    <w:p>
      <w:pPr>
        <w:ind w:left="1540" w:right="180" w:hanging="514"/>
        <w:spacing w:after="0" w:line="270" w:lineRule="auto"/>
        <w:tabs>
          <w:tab w:leader="none" w:pos="1540" w:val="left"/>
        </w:tabs>
        <w:numPr>
          <w:ilvl w:val="2"/>
          <w:numId w:val="5"/>
        </w:numPr>
        <w:rPr>
          <w:rFonts w:ascii="Times New Roman" w:cs="Times New Roman" w:eastAsia="Times New Roman" w:hAnsi="Times New Roman"/>
          <w:sz w:val="18"/>
          <w:szCs w:val="18"/>
          <w:color w:val="242424"/>
        </w:rPr>
      </w:pPr>
      <w:r>
        <w:rPr>
          <w:rFonts w:ascii="Arial" w:cs="Arial" w:eastAsia="Arial" w:hAnsi="Arial"/>
          <w:sz w:val="18"/>
          <w:szCs w:val="18"/>
          <w:color w:val="242424"/>
        </w:rPr>
        <w:t>We provide satellite ground systems support and operations, flight dynamics, data fusion and analytics, platform system integration, directed energy, joint all-domain operations, and command and control systems.</w:t>
      </w:r>
    </w:p>
    <w:p>
      <w:pPr>
        <w:spacing w:after="0" w:line="59" w:lineRule="exact"/>
        <w:rPr>
          <w:rFonts w:ascii="Times New Roman" w:cs="Times New Roman" w:eastAsia="Times New Roman" w:hAnsi="Times New Roman"/>
          <w:sz w:val="18"/>
          <w:szCs w:val="18"/>
          <w:color w:val="242424"/>
        </w:rPr>
      </w:pPr>
    </w:p>
    <w:p>
      <w:pPr>
        <w:ind w:left="1540" w:right="200" w:hanging="514"/>
        <w:spacing w:after="0" w:line="274" w:lineRule="auto"/>
        <w:tabs>
          <w:tab w:leader="none" w:pos="1540" w:val="left"/>
        </w:tabs>
        <w:numPr>
          <w:ilvl w:val="2"/>
          <w:numId w:val="5"/>
        </w:numPr>
        <w:rPr>
          <w:rFonts w:ascii="Times New Roman" w:cs="Times New Roman" w:eastAsia="Times New Roman" w:hAnsi="Times New Roman"/>
          <w:sz w:val="17"/>
          <w:szCs w:val="17"/>
          <w:color w:val="242424"/>
        </w:rPr>
      </w:pPr>
      <w:r>
        <w:rPr>
          <w:rFonts w:ascii="Arial" w:cs="Arial" w:eastAsia="Arial" w:hAnsi="Arial"/>
          <w:sz w:val="17"/>
          <w:szCs w:val="17"/>
          <w:color w:val="242424"/>
        </w:rPr>
        <w:t>As an example, our ground systems enable efficient and effective access to space for small satellites on the Polar Operational Environmental Satellite (POES) and other commercial, national security and small class launch systems. Importantly, we offer this innovative ground spacecraft operations center on a commercial as-a-service business model.</w:t>
      </w:r>
    </w:p>
    <w:p>
      <w:pPr>
        <w:spacing w:after="0" w:line="58" w:lineRule="exact"/>
        <w:rPr>
          <w:rFonts w:ascii="Times New Roman" w:cs="Times New Roman" w:eastAsia="Times New Roman" w:hAnsi="Times New Roman"/>
          <w:sz w:val="17"/>
          <w:szCs w:val="17"/>
          <w:color w:val="242424"/>
        </w:rPr>
      </w:pPr>
    </w:p>
    <w:p>
      <w:pPr>
        <w:ind w:left="1540" w:right="40" w:hanging="514"/>
        <w:spacing w:after="0" w:line="252" w:lineRule="auto"/>
        <w:tabs>
          <w:tab w:leader="none" w:pos="1540" w:val="left"/>
        </w:tabs>
        <w:numPr>
          <w:ilvl w:val="2"/>
          <w:numId w:val="5"/>
        </w:numPr>
        <w:rPr>
          <w:rFonts w:ascii="Times New Roman" w:cs="Times New Roman" w:eastAsia="Times New Roman" w:hAnsi="Times New Roman"/>
          <w:sz w:val="18"/>
          <w:szCs w:val="18"/>
          <w:color w:val="242424"/>
        </w:rPr>
      </w:pPr>
      <w:r>
        <w:rPr>
          <w:rFonts w:ascii="Arial" w:cs="Arial" w:eastAsia="Arial" w:hAnsi="Arial"/>
          <w:sz w:val="18"/>
          <w:szCs w:val="18"/>
          <w:color w:val="242424"/>
        </w:rPr>
        <w:t>Representative products include our Command-and-Control Core (C2Core®) mission planning and tasking suite that links requests, effects and operational guidance in a unified database, and ZEUS® Recovery of Airbase Denied by Ordnance (RADBO) laser neutralization system offering critical force protection in any operational theater.</w:t>
      </w:r>
    </w:p>
    <w:p>
      <w:pPr>
        <w:spacing w:after="0" w:line="62" w:lineRule="exact"/>
        <w:rPr>
          <w:rFonts w:ascii="Times New Roman" w:cs="Times New Roman" w:eastAsia="Times New Roman" w:hAnsi="Times New Roman"/>
          <w:sz w:val="18"/>
          <w:szCs w:val="18"/>
          <w:color w:val="242424"/>
        </w:rPr>
      </w:pPr>
    </w:p>
    <w:p>
      <w:pPr>
        <w:ind w:left="1540" w:right="120" w:hanging="514"/>
        <w:spacing w:after="0" w:line="243" w:lineRule="auto"/>
        <w:tabs>
          <w:tab w:leader="none" w:pos="1540" w:val="left"/>
        </w:tabs>
        <w:numPr>
          <w:ilvl w:val="2"/>
          <w:numId w:val="5"/>
        </w:numPr>
        <w:rPr>
          <w:rFonts w:ascii="Times New Roman" w:cs="Times New Roman" w:eastAsia="Times New Roman" w:hAnsi="Times New Roman"/>
          <w:sz w:val="18"/>
          <w:szCs w:val="18"/>
          <w:color w:val="242424"/>
        </w:rPr>
      </w:pPr>
      <w:r>
        <w:rPr>
          <w:rFonts w:ascii="Arial" w:cs="Arial" w:eastAsia="Arial" w:hAnsi="Arial"/>
          <w:sz w:val="18"/>
          <w:szCs w:val="18"/>
          <w:color w:val="242424"/>
        </w:rPr>
        <w:t>We are the prime Technical, Engineering, Advisory and Management Support (TEAMS) Next contractor for the MDA, where we provide engineering, analysis, and management support for the development of integrated and layered missile defense systems that defend U.S. and allied forces against ballistic, hypersonic, and cruise missile threats, and advance the agency’s integrated air and missile defense, command and control, and battle management and communications missions across all-domain battlespace.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5" w:lineRule="exact"/>
        <w:rPr>
          <w:sz w:val="20"/>
          <w:szCs w:val="20"/>
          <w:color w:val="auto"/>
        </w:rPr>
      </w:pPr>
    </w:p>
    <w:p>
      <w:pPr>
        <w:ind w:left="743" w:right="120" w:hanging="503"/>
        <w:spacing w:after="0" w:line="246" w:lineRule="auto"/>
        <w:tabs>
          <w:tab w:leader="none" w:pos="743"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242424"/>
        </w:rPr>
        <w:t>Cyber and National Operations – We provide capabilities across the digital landscape, including full-spectrum cyber, defensive cyber operations, information operations, and analytics. Our customers include the U.S. intelligence community, U.S. Cyber Command, DOD research laboratories, and military cyber services. The acquisition of Black Signal expands our offensive solution offerings and our intelligence community customer base.</w:t>
      </w:r>
    </w:p>
    <w:p>
      <w:pPr>
        <w:spacing w:after="0" w:line="82" w:lineRule="exact"/>
        <w:rPr>
          <w:rFonts w:ascii="Times New Roman" w:cs="Times New Roman" w:eastAsia="Times New Roman" w:hAnsi="Times New Roman"/>
          <w:sz w:val="18"/>
          <w:szCs w:val="18"/>
          <w:color w:val="auto"/>
        </w:rPr>
      </w:pPr>
    </w:p>
    <w:p>
      <w:pPr>
        <w:ind w:left="1023" w:right="20" w:hanging="514"/>
        <w:spacing w:after="0" w:line="246" w:lineRule="auto"/>
        <w:tabs>
          <w:tab w:leader="none" w:pos="1023" w:val="left"/>
        </w:tabs>
        <w:numPr>
          <w:ilvl w:val="2"/>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Cyber solutions and products augment and automate full spectrum cyber operations, including our Automated Management Solutions (AMS), a software framework that integrates disparate cyber capabilities, tools and infrastructures into a common system architecture that assists military cyber operators. We develop and maintain enterprise platforms used by the DOD to perform network analysis and vulnerability assessments for defensive missions.</w:t>
      </w:r>
    </w:p>
    <w:p>
      <w:pPr>
        <w:spacing w:after="0" w:line="82" w:lineRule="exact"/>
        <w:rPr>
          <w:rFonts w:ascii="Times New Roman" w:cs="Times New Roman" w:eastAsia="Times New Roman" w:hAnsi="Times New Roman"/>
          <w:sz w:val="18"/>
          <w:szCs w:val="18"/>
          <w:color w:val="242424"/>
        </w:rPr>
      </w:pPr>
    </w:p>
    <w:p>
      <w:pPr>
        <w:ind w:left="1023" w:right="160" w:hanging="514"/>
        <w:spacing w:after="0" w:line="252" w:lineRule="auto"/>
        <w:tabs>
          <w:tab w:leader="none" w:pos="1023" w:val="left"/>
        </w:tabs>
        <w:numPr>
          <w:ilvl w:val="2"/>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We conduct vulnerability research and resiliency solutions for existing weapon systems, critical infrastructure and space systems, while supporting the development and integration of next generation electronic warfare capabilities. We also develop analysis and anomaly detection tools for radio frequency and airborne communications.</w:t>
      </w:r>
    </w:p>
    <w:p>
      <w:pPr>
        <w:spacing w:after="0" w:line="76" w:lineRule="exact"/>
        <w:rPr>
          <w:rFonts w:ascii="Times New Roman" w:cs="Times New Roman" w:eastAsia="Times New Roman" w:hAnsi="Times New Roman"/>
          <w:sz w:val="18"/>
          <w:szCs w:val="18"/>
          <w:color w:val="242424"/>
        </w:rPr>
      </w:pPr>
    </w:p>
    <w:p>
      <w:pPr>
        <w:ind w:left="1023" w:right="340" w:hanging="514"/>
        <w:spacing w:after="0" w:line="300" w:lineRule="auto"/>
        <w:tabs>
          <w:tab w:leader="none" w:pos="1023" w:val="left"/>
        </w:tabs>
        <w:numPr>
          <w:ilvl w:val="2"/>
          <w:numId w:val="6"/>
        </w:numPr>
        <w:rPr>
          <w:rFonts w:ascii="Times New Roman" w:cs="Times New Roman" w:eastAsia="Times New Roman" w:hAnsi="Times New Roman"/>
          <w:sz w:val="17"/>
          <w:szCs w:val="17"/>
          <w:color w:val="242424"/>
        </w:rPr>
      </w:pPr>
      <w:r>
        <w:rPr>
          <w:rFonts w:ascii="Arial" w:cs="Arial" w:eastAsia="Arial" w:hAnsi="Arial"/>
          <w:sz w:val="17"/>
          <w:szCs w:val="17"/>
          <w:color w:val="242424"/>
        </w:rPr>
        <w:t>We develop tools and tradecraft to conduct Information Operations across the physical and cyber domains, giving customers complete situational awareness for force protection and decision making with the information environment.</w:t>
      </w:r>
    </w:p>
    <w:p>
      <w:pPr>
        <w:spacing w:after="0" w:line="23" w:lineRule="exact"/>
        <w:rPr>
          <w:rFonts w:ascii="Times New Roman" w:cs="Times New Roman" w:eastAsia="Times New Roman" w:hAnsi="Times New Roman"/>
          <w:sz w:val="17"/>
          <w:szCs w:val="17"/>
          <w:color w:val="242424"/>
        </w:rPr>
      </w:pPr>
    </w:p>
    <w:p>
      <w:pPr>
        <w:ind w:left="743" w:right="40" w:hanging="503"/>
        <w:spacing w:after="0" w:line="252" w:lineRule="auto"/>
        <w:tabs>
          <w:tab w:leader="none" w:pos="743"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242424"/>
        </w:rPr>
        <w:t>High-Consequence Missions – We provide capabilities across the digital landscape, electronic warfare, multi-domain operations, mission support and national to tactical operations. Our customers include the U.S. Intelligence Community, U.S. Cyber Command, and DOD research laboratories.</w:t>
      </w:r>
    </w:p>
    <w:p>
      <w:pPr>
        <w:spacing w:after="0" w:line="76" w:lineRule="exact"/>
        <w:rPr>
          <w:rFonts w:ascii="Times New Roman" w:cs="Times New Roman" w:eastAsia="Times New Roman" w:hAnsi="Times New Roman"/>
          <w:sz w:val="18"/>
          <w:szCs w:val="18"/>
          <w:color w:val="auto"/>
        </w:rPr>
      </w:pPr>
    </w:p>
    <w:p>
      <w:pPr>
        <w:ind w:left="1023" w:right="80" w:hanging="514"/>
        <w:spacing w:after="0" w:line="243" w:lineRule="auto"/>
        <w:tabs>
          <w:tab w:leader="none" w:pos="1023" w:val="left"/>
        </w:tabs>
        <w:numPr>
          <w:ilvl w:val="2"/>
          <w:numId w:val="6"/>
        </w:numPr>
        <w:rPr>
          <w:rFonts w:ascii="Times New Roman" w:cs="Times New Roman" w:eastAsia="Times New Roman" w:hAnsi="Times New Roman"/>
          <w:sz w:val="18"/>
          <w:szCs w:val="18"/>
          <w:color w:val="242424"/>
        </w:rPr>
      </w:pPr>
      <w:r>
        <w:rPr>
          <w:rFonts w:ascii="Arial" w:cs="Arial" w:eastAsia="Arial" w:hAnsi="Arial"/>
          <w:sz w:val="18"/>
          <w:szCs w:val="18"/>
          <w:color w:val="242424"/>
        </w:rPr>
        <w:t>Our tools and products are used across a wide variety of electronic warfare operations, including commercial cellular survey, automated signal identification and characterization using Artificial Intelligence/Machine Learning (AI/ML), signal modeling and simulation used for radio frequency (RF) ranges and test and evaluation centers using our Threat Representative Environment (TReX) platform, and integrated RF and cyber solutions to deliver effects from long standoff distances.</w:t>
      </w:r>
    </w:p>
    <w:p>
      <w:pPr>
        <w:spacing w:after="0" w:line="85" w:lineRule="exact"/>
        <w:rPr>
          <w:rFonts w:ascii="Times New Roman" w:cs="Times New Roman" w:eastAsia="Times New Roman" w:hAnsi="Times New Roman"/>
          <w:sz w:val="18"/>
          <w:szCs w:val="18"/>
          <w:color w:val="242424"/>
        </w:rPr>
      </w:pPr>
    </w:p>
    <w:p>
      <w:pPr>
        <w:ind w:left="1023" w:hanging="514"/>
        <w:spacing w:after="0" w:line="252" w:lineRule="auto"/>
        <w:tabs>
          <w:tab w:leader="none" w:pos="1023"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242424"/>
        </w:rPr>
        <w:t>We conduct vulnerability research and provide resiliency solutions for existing weapon systems, critical infrastructure, and space systems, while supporting the development and integration of next generation electronic warfare capabilities. We also develop analysis and anomaly detection tools for radio frequency and airborne communications.</w:t>
      </w:r>
    </w:p>
    <w:p>
      <w:pPr>
        <w:spacing w:after="0" w:line="62" w:lineRule="exact"/>
        <w:rPr>
          <w:rFonts w:ascii="Times New Roman" w:cs="Times New Roman" w:eastAsia="Times New Roman" w:hAnsi="Times New Roman"/>
          <w:sz w:val="18"/>
          <w:szCs w:val="18"/>
          <w:color w:val="auto"/>
        </w:rPr>
      </w:pPr>
    </w:p>
    <w:p>
      <w:pPr>
        <w:ind w:left="503" w:hanging="503"/>
        <w:spacing w:after="0" w:line="239" w:lineRule="auto"/>
        <w:tabs>
          <w:tab w:leader="none" w:pos="503"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ES—Our ES business unit focuses on advanced technology services for complex energy and chemical systems, aviation, life sciences and bio-surveillance systems, environmental remediation, security and protection systems, and associated complex infrastructure. Representative customers include the Department of State (DOS), Department of Energy (DOE), Defense Threat Reduction Agency (DTRA), Department of Homeland Security (DHS), U.S. Army Corps of Engineers (USACE), Federal Aviation Administration (FAA), National Aeronautics and Space Administration (NASA), United States Postal Service (USPS), Department of Labor (DOL), and Jet Propulsion Laboratory (JPL). Representative offerings include weapons of mass destruction elimination, munitions destruction; remediation of unexploded ordinances and hazardous, toxic, reactive wastes; architectural and engineering design; program and construction management; infectious disease control; advanced electronic security systems; border security; counter-unmanned aircraft systems; and biometrics solutions.</w:t>
      </w:r>
    </w:p>
    <w:p>
      <w:pPr>
        <w:spacing w:after="0" w:line="74" w:lineRule="exact"/>
        <w:rPr>
          <w:rFonts w:ascii="Times New Roman" w:cs="Times New Roman" w:eastAsia="Times New Roman" w:hAnsi="Times New Roman"/>
          <w:sz w:val="18"/>
          <w:szCs w:val="18"/>
          <w:color w:val="auto"/>
        </w:rPr>
      </w:pPr>
    </w:p>
    <w:p>
      <w:pPr>
        <w:ind w:left="1023" w:right="14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Our expertise includes designing and upgrading processing and production facilities such as Army ammunition, technology deployment in response to pandemic outbreaks, and delivery of solutions addressing resiliency, security and sustainability, as well as delivery of highly-complex infrastructure in challenging environments and geographies.</w:t>
      </w:r>
    </w:p>
    <w:p>
      <w:pPr>
        <w:spacing w:after="0" w:line="60" w:lineRule="exact"/>
        <w:rPr>
          <w:rFonts w:ascii="Times New Roman" w:cs="Times New Roman" w:eastAsia="Times New Roman" w:hAnsi="Times New Roman"/>
          <w:sz w:val="18"/>
          <w:szCs w:val="18"/>
          <w:color w:val="auto"/>
        </w:rPr>
      </w:pPr>
    </w:p>
    <w:p>
      <w:pPr>
        <w:ind w:left="1023" w:right="100" w:hanging="50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Representative programs include the National Science Foundation’s Antarctica Infrastructure Modernization for Science, the FAA Technical Services Contract, the</w:t>
      </w:r>
    </w:p>
    <w:p>
      <w:pPr>
        <w:spacing w:after="0" w:line="383"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440" w:right="379" w:bottom="1440" w:gutter="0" w:footer="0" w:header="0"/>
        </w:sectPr>
      </w:pPr>
    </w:p>
    <w:bookmarkStart w:id="8" w:name="page9"/>
    <w:bookmarkEnd w:id="8"/>
    <w:p>
      <w:pPr>
        <w:spacing w:after="0" w:line="85" w:lineRule="exact"/>
        <w:rPr>
          <w:sz w:val="20"/>
          <w:szCs w:val="20"/>
          <w:color w:val="auto"/>
        </w:rPr>
      </w:pPr>
    </w:p>
    <w:p>
      <w:pPr>
        <w:ind w:left="1540" w:right="700"/>
        <w:spacing w:after="0" w:line="271" w:lineRule="auto"/>
        <w:rPr>
          <w:sz w:val="20"/>
          <w:szCs w:val="20"/>
          <w:color w:val="auto"/>
        </w:rPr>
      </w:pPr>
      <w:r>
        <w:rPr>
          <w:rFonts w:ascii="Arial" w:cs="Arial" w:eastAsia="Arial" w:hAnsi="Arial"/>
          <w:sz w:val="18"/>
          <w:szCs w:val="18"/>
          <w:color w:val="auto"/>
        </w:rPr>
        <w:t>DTRA Cooperative Threat Reduction Integrating Contract, the Department of State Overseas Security Installation Services, and the Radford Army Munition Plant Energetic Waste Incinerator.</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Critical Infrastructure</w:t>
      </w:r>
    </w:p>
    <w:p>
      <w:pPr>
        <w:spacing w:after="0" w:line="10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Our Critical Infrastructure business provides planning, engineering, program management, owners representative and digital solutions consisting of two business units focused on two major geographies: North America (INF-NA) and Europe, Middle East, and Africa (EMEA). Our growth strategy includes leveraging our portfolio of sophisticated engineering solutions and technologies for complex physical infrastructure projects to capture the increasing demand and investment in global infrastructure programs. We are expanding our portfolio in key emerging growth areas, including intelligent transportation systems, smart mobility, environmental remediation, events management, urban development and rebuild, and water/wastewater treatment.</w:t>
      </w:r>
    </w:p>
    <w:p>
      <w:pPr>
        <w:spacing w:after="0" w:line="71" w:lineRule="exact"/>
        <w:rPr>
          <w:sz w:val="20"/>
          <w:szCs w:val="20"/>
          <w:color w:val="auto"/>
        </w:rPr>
      </w:pPr>
    </w:p>
    <w:p>
      <w:pPr>
        <w:ind w:left="1020" w:right="120" w:hanging="503"/>
        <w:spacing w:after="0" w:line="24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INF – NA - Our INF – NA business unit provides planning, engineering and management services for complex infrastructure, including bridges and tunnels, roads and highways, and water and wastewater. Our customer relationships include states (e.g., Texas, Florida, California, Colorado, Washington, Illinois, New York, New Jersey and Georgia), cities, and Canadian provinces and territories (e.g., Ontario, British Columbia, Quebec, Nova Scotia, and Alberta), as well as transportation, water and wastewater authorities. Our capabilities include technologies in long-span bridges, tunnels, building Information modeling, and water/wastewater treatment and conveyance.</w:t>
      </w:r>
    </w:p>
    <w:p>
      <w:pPr>
        <w:spacing w:after="0" w:line="69" w:lineRule="exact"/>
        <w:rPr>
          <w:rFonts w:ascii="Times New Roman" w:cs="Times New Roman" w:eastAsia="Times New Roman" w:hAnsi="Times New Roman"/>
          <w:sz w:val="18"/>
          <w:szCs w:val="18"/>
          <w:color w:val="auto"/>
        </w:rPr>
      </w:pPr>
    </w:p>
    <w:p>
      <w:pPr>
        <w:ind w:left="1540" w:right="440" w:hanging="514"/>
        <w:spacing w:after="0" w:line="274" w:lineRule="auto"/>
        <w:tabs>
          <w:tab w:leader="none" w:pos="15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Examples of our design capabilities are our role as the lead designer of the Tacoma Narrows Bridge, the largest twin tower suspension bridge in the world when it opened, lead designer for the new Goethals Bridge connecting Staten Island, NY and Elizabeth, NJ, and lead designer for the Federal Way rail extension for Sound Transit in Seattle.</w:t>
      </w:r>
    </w:p>
    <w:p>
      <w:pPr>
        <w:spacing w:after="0" w:line="45" w:lineRule="exact"/>
        <w:rPr>
          <w:rFonts w:ascii="Times New Roman" w:cs="Times New Roman" w:eastAsia="Times New Roman" w:hAnsi="Times New Roman"/>
          <w:sz w:val="17"/>
          <w:szCs w:val="17"/>
          <w:color w:val="auto"/>
        </w:rPr>
      </w:pPr>
    </w:p>
    <w:p>
      <w:pPr>
        <w:ind w:left="1540" w:right="360" w:hanging="514"/>
        <w:spacing w:after="0" w:line="243" w:lineRule="auto"/>
        <w:tabs>
          <w:tab w:leader="none" w:pos="15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For program management, we are the Owner’s Engineer for the Gordie Howe International Bridge between Windsor, Ontario and Detroit, Michigan, which will have the longest main span of any cable-stayed bridge in North America and Gateway, the new Hudson River Tunnel. In addition, we are the program manager for the California Delta Water Conveyance Modernization Project, a multi-billion environmentally compliant water transfer project to improve water supply sustainability and reliability for human and environmental uses.</w:t>
      </w:r>
    </w:p>
    <w:p>
      <w:pPr>
        <w:spacing w:after="0" w:line="71" w:lineRule="exact"/>
        <w:rPr>
          <w:rFonts w:ascii="Times New Roman" w:cs="Times New Roman" w:eastAsia="Times New Roman" w:hAnsi="Times New Roman"/>
          <w:sz w:val="18"/>
          <w:szCs w:val="18"/>
          <w:color w:val="auto"/>
        </w:rPr>
      </w:pPr>
    </w:p>
    <w:p>
      <w:pPr>
        <w:ind w:left="1020" w:hanging="503"/>
        <w:spacing w:after="0" w:line="239"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INF- NA - Our INF-NA business unit also includes intelligent transportation systems, utilities, environmental remediation, emerging contaminants (including PFAS/PFOS), aviation, rail and transit, and ParsonsX, our enterprise digital transformation organization. Our customers include state and local governments, Fortune 100 companies, utility companies, smart city developers, and private sector infrastructure owners, such as the transportation authorities for the cities of Los Angeles and New York, states and provinces, and rail and transit entities, including Amtrak, CSX, Metrolinx (Ontario Canada), and WMATA. Technology capabilities include AI/ML, cloud, digital twins, cyber, systems integration, intelligent transportation network software, vehicle inspection data analytics software, automated people mover, electric vehicle infrastructure, and autonomous vehicle integration.</w:t>
      </w:r>
    </w:p>
    <w:p>
      <w:pPr>
        <w:spacing w:after="0" w:line="78" w:lineRule="exact"/>
        <w:rPr>
          <w:rFonts w:ascii="Times New Roman" w:cs="Times New Roman" w:eastAsia="Times New Roman" w:hAnsi="Times New Roman"/>
          <w:sz w:val="18"/>
          <w:szCs w:val="18"/>
          <w:color w:val="auto"/>
        </w:rPr>
      </w:pPr>
    </w:p>
    <w:p>
      <w:pPr>
        <w:ind w:left="1540" w:right="120" w:hanging="514"/>
        <w:spacing w:after="0" w:line="246" w:lineRule="auto"/>
        <w:tabs>
          <w:tab w:leader="none" w:pos="15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Parsons provides integrated traffic solutions for arterials, smart intersections, airport landside, ports, and tolling integrators. An example is our role as provider of Advanced Traffic Management Systems, or ATMS, through our iNET™ platform. Since the first deployment in 2007, iNET® has been delivered to twenty-five state Departments of Transportation, twenty-four cities, eight county agencies, eight toll agencies, and seven different countries.</w:t>
      </w:r>
    </w:p>
    <w:p>
      <w:pPr>
        <w:spacing w:after="0" w:line="68" w:lineRule="exact"/>
        <w:rPr>
          <w:rFonts w:ascii="Times New Roman" w:cs="Times New Roman" w:eastAsia="Times New Roman" w:hAnsi="Times New Roman"/>
          <w:sz w:val="18"/>
          <w:szCs w:val="18"/>
          <w:color w:val="auto"/>
        </w:rPr>
      </w:pPr>
    </w:p>
    <w:p>
      <w:pPr>
        <w:jc w:val="both"/>
        <w:ind w:left="1540" w:right="660" w:hanging="514"/>
        <w:spacing w:after="0" w:line="252" w:lineRule="auto"/>
        <w:tabs>
          <w:tab w:leader="none" w:pos="154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For aviation, we play a critical role as program manager and lead designer for global airports. We are the program manager of the environmentally sensitive Diamond Head Extension Program at Honolulu International Airport, the Houston Airport System,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5" w:lineRule="exact"/>
        <w:rPr>
          <w:sz w:val="20"/>
          <w:szCs w:val="20"/>
          <w:color w:val="auto"/>
        </w:rPr>
      </w:pPr>
    </w:p>
    <w:p>
      <w:pPr>
        <w:ind w:left="1023" w:right="60"/>
        <w:spacing w:after="0" w:line="271" w:lineRule="auto"/>
        <w:rPr>
          <w:sz w:val="20"/>
          <w:szCs w:val="20"/>
          <w:color w:val="auto"/>
        </w:rPr>
      </w:pPr>
      <w:r>
        <w:rPr>
          <w:rFonts w:ascii="Arial" w:cs="Arial" w:eastAsia="Arial" w:hAnsi="Arial"/>
          <w:sz w:val="18"/>
          <w:szCs w:val="18"/>
          <w:color w:val="auto"/>
        </w:rPr>
        <w:t>the Landside Access Modernization Program for Los Angeles International Airport; and were lead designer on the award-winning Newark Airport Terminal A replacement project known as Terminal 1.</w:t>
      </w:r>
    </w:p>
    <w:p>
      <w:pPr>
        <w:spacing w:after="0" w:line="46" w:lineRule="exact"/>
        <w:rPr>
          <w:sz w:val="20"/>
          <w:szCs w:val="20"/>
          <w:color w:val="auto"/>
        </w:rPr>
      </w:pPr>
    </w:p>
    <w:p>
      <w:pPr>
        <w:ind w:left="1023" w:right="100" w:hanging="514"/>
        <w:spacing w:after="0" w:line="242" w:lineRule="auto"/>
        <w:tabs>
          <w:tab w:leader="none" w:pos="1023"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rail and transit capabilities include systems optimization, communications-based train control, rail system design and system assurance. We have more than six decades of experience in this market and have supported over 400 rail and transit customers. Key programs include Honolulu Authority for Rapid Transit, New York MTA Systems and Facility Engineering Services, and the Bay Area Rapid Transit Communications-Based Train Control. For our bus transit customers, we provide strategic fleet transition planning, zero-emission bus infrastructure design, and benefit-cost analysis to achieve net zero goals.</w:t>
      </w:r>
    </w:p>
    <w:p>
      <w:pPr>
        <w:spacing w:after="0" w:line="69" w:lineRule="exact"/>
        <w:rPr>
          <w:rFonts w:ascii="Times New Roman" w:cs="Times New Roman" w:eastAsia="Times New Roman" w:hAnsi="Times New Roman"/>
          <w:sz w:val="18"/>
          <w:szCs w:val="18"/>
          <w:color w:val="auto"/>
        </w:rPr>
      </w:pPr>
    </w:p>
    <w:p>
      <w:pPr>
        <w:ind w:left="503" w:right="160"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EMEA – Our EMEA business unit has a region-wide customer base in Europe, the Middle East and Africa, with a key focus on the Gulf Cooperation Council (GCC) states. Services provided include multi-disciplinary design, technical, and management solutions from project conceptualization to urban planning, landscape architecture, sewage treatment and drainage, events management, engineering and program management, utilizing state-of-the-art digital solutions and embedded sustainability concepts for enhanced delivery of large-scale and highly complex infrastructure assets. Our client base includes top tier public authorities and state-owned developers across different markets from city-scale developments to major city-wide infrastructure schemes.</w:t>
      </w:r>
    </w:p>
    <w:p>
      <w:pPr>
        <w:spacing w:after="0" w:line="75" w:lineRule="exact"/>
        <w:rPr>
          <w:rFonts w:ascii="Times New Roman" w:cs="Times New Roman" w:eastAsia="Times New Roman" w:hAnsi="Times New Roman"/>
          <w:sz w:val="18"/>
          <w:szCs w:val="18"/>
          <w:color w:val="auto"/>
        </w:rPr>
      </w:pPr>
    </w:p>
    <w:p>
      <w:pPr>
        <w:ind w:left="1023" w:hanging="514"/>
        <w:spacing w:after="0" w:line="245" w:lineRule="auto"/>
        <w:tabs>
          <w:tab w:leader="none" w:pos="1023"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extensive planning and design capabilities enable us to lead key infrastructure and development projects, including Dubai’s Integrated Traffic System design and operation to enable traffic optimization and efficiency, and transportation infrastructure projects to increase capacity and reduce congestion, Abu Dhabi’s Mid-Island Parkway connecting multiple islands for future sustainable developments, Green Riyadh landscape and infrastructure design for increased urban green space, and Denmark’s Banedanmark Rail Signaling Program to enable better centralized traffic control, energy optimization, and reduced delays.</w:t>
      </w:r>
    </w:p>
    <w:p>
      <w:pPr>
        <w:spacing w:after="0" w:line="67" w:lineRule="exact"/>
        <w:rPr>
          <w:rFonts w:ascii="Times New Roman" w:cs="Times New Roman" w:eastAsia="Times New Roman" w:hAnsi="Times New Roman"/>
          <w:sz w:val="18"/>
          <w:szCs w:val="18"/>
          <w:color w:val="auto"/>
        </w:rPr>
      </w:pPr>
    </w:p>
    <w:p>
      <w:pPr>
        <w:ind w:left="1023" w:right="100" w:hanging="514"/>
        <w:spacing w:after="0"/>
        <w:tabs>
          <w:tab w:leader="none" w:pos="1023"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Parsons has a long-standing program management legacy in the Middle East for infrastructure, mega cities, and urban development. We are part of the consortium Riyadh Metro Transit Consultants responsible for program management of the Riyadh Metro – the largest metro system under development in the world which successfully opened in 2024. We, managed successful delivery of the award-winning Abu Dhabi International Airport tripling the size of the previous terminals, led the Dubai Strategic Sewage Network program to increase capacity and sustainability, managed Lusail City Development the largest ever city development in Qatar, and provided program management of Riyadh’s King Abdullah Financial District prime business, hospitality and lifestyle destination.</w:t>
      </w:r>
    </w:p>
    <w:p>
      <w:pPr>
        <w:spacing w:after="0" w:line="75" w:lineRule="exact"/>
        <w:rPr>
          <w:rFonts w:ascii="Times New Roman" w:cs="Times New Roman" w:eastAsia="Times New Roman" w:hAnsi="Times New Roman"/>
          <w:sz w:val="18"/>
          <w:szCs w:val="18"/>
          <w:color w:val="auto"/>
        </w:rPr>
      </w:pPr>
    </w:p>
    <w:p>
      <w:pPr>
        <w:ind w:left="1023" w:right="520" w:hanging="514"/>
        <w:spacing w:after="0" w:line="270" w:lineRule="auto"/>
        <w:tabs>
          <w:tab w:leader="none" w:pos="1023"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are members of various collaborative delivery models, including Delivery Partner on the Qiddiya destination city development near Riyadh and a team member on NEOM The Line sustainable city in Saudi Arabia</w:t>
      </w:r>
    </w:p>
    <w:p>
      <w:pPr>
        <w:spacing w:after="0" w:line="46" w:lineRule="exact"/>
        <w:rPr>
          <w:rFonts w:ascii="Times New Roman" w:cs="Times New Roman" w:eastAsia="Times New Roman" w:hAnsi="Times New Roman"/>
          <w:sz w:val="18"/>
          <w:szCs w:val="18"/>
          <w:color w:val="auto"/>
        </w:rPr>
      </w:pPr>
    </w:p>
    <w:p>
      <w:pPr>
        <w:ind w:left="1023" w:hanging="514"/>
        <w:spacing w:after="0" w:line="243" w:lineRule="auto"/>
        <w:tabs>
          <w:tab w:leader="none" w:pos="1023"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Parsons is considered a go-to service provider for successful and timely delivery of world events with fixed opening dates, including UAE’s World Expo 2020 for which Parsons provided site-wide infrastructure, landscape design, and construction supervision services; and for FIFA World Cup 2022, where services from transportation management planning to vehicle access strategies and design were provided to manage traffic and build resilient infrastructure for the mega sporting event.</w:t>
      </w:r>
    </w:p>
    <w:p>
      <w:pPr>
        <w:spacing w:after="0" w:line="71" w:lineRule="exact"/>
        <w:rPr>
          <w:rFonts w:ascii="Times New Roman" w:cs="Times New Roman" w:eastAsia="Times New Roman" w:hAnsi="Times New Roman"/>
          <w:sz w:val="18"/>
          <w:szCs w:val="18"/>
          <w:color w:val="auto"/>
        </w:rPr>
      </w:pPr>
    </w:p>
    <w:p>
      <w:pPr>
        <w:ind w:left="1023" w:right="520" w:hanging="514"/>
        <w:spacing w:after="0" w:line="252" w:lineRule="auto"/>
        <w:tabs>
          <w:tab w:leader="none" w:pos="1023"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team maintains a keen focus on innovative practices. As an example, we are integrating cutting-edge AI-driven design and construction supervision technologies across over 50 major GCC projects, enhancing efficiency and capabilities and driving much needed innovation in the construction industry.</w:t>
      </w:r>
    </w:p>
    <w:p>
      <w:pPr>
        <w:spacing w:after="0" w:line="200" w:lineRule="exact"/>
        <w:rPr>
          <w:sz w:val="20"/>
          <w:szCs w:val="20"/>
          <w:color w:val="auto"/>
        </w:rPr>
      </w:pPr>
    </w:p>
    <w:p>
      <w:pPr>
        <w:spacing w:after="0" w:line="214"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10" w:name="page11"/>
    <w:bookmarkEnd w:id="10"/>
    <w:p>
      <w:pPr>
        <w:spacing w:after="0" w:line="85" w:lineRule="exact"/>
        <w:rPr>
          <w:sz w:val="20"/>
          <w:szCs w:val="20"/>
          <w:color w:val="auto"/>
        </w:rPr>
      </w:pPr>
    </w:p>
    <w:p>
      <w:pPr>
        <w:ind w:left="1540" w:right="160" w:hanging="514"/>
        <w:spacing w:after="0" w:line="239" w:lineRule="auto"/>
        <w:tabs>
          <w:tab w:leader="none" w:pos="15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Smart Solutions Lab provides digital solutions to our clients as an important and integral aspect of our technical offerings. Within our Advisory Services group, Parsons is providing clients with relevant asset information across the full range of asset types to enable data driven management decisions and maximize ROI. We help clients optimize their lifecycle costs with a focus on O&amp;M, including the provision of O&amp;M planning and inspections on various roads including Dubai’s Shindagha Bridge, modeling the O&amp;M outlook for Dubai Municipality on its major Strategic Sewage Tunnel Program, managing O&amp;M strategy and implementation for urban development and infrastructure in Abu Dhabi with attainment of multiple Green Flag awards for parks and green spaces, and setting O&amp;M strategies for optimized asset operations for mega cities such as Qiddiya, NEOM, as well as Yanbu and Jazan industrial cities.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Opportunities</w:t>
      </w:r>
    </w:p>
    <w:p>
      <w:pPr>
        <w:spacing w:after="0" w:line="104"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Technology revolution and environmental impact is driving a swift pace of change, resulting in ongoing societal transformation, complicated geopolitical dynamics, a shifting threat landscape, and the globalization of commerce. To address this evolving landscape, our customers are actively seeking technology-enabled solutions at the speed of relevancy to upgrade and transform assets and operations. The below trends are key growth drivers in both our Federal Solutions and Critical Infrastructure segments.</w:t>
      </w:r>
    </w:p>
    <w:p>
      <w:pPr>
        <w:spacing w:after="0" w:line="174"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b w:val="1"/>
          <w:bCs w:val="1"/>
          <w:i w:val="1"/>
          <w:iCs w:val="1"/>
          <w:color w:val="auto"/>
        </w:rPr>
        <w:t xml:space="preserve">Defense Spending Remains a Priority </w:t>
      </w:r>
      <w:r>
        <w:rPr>
          <w:rFonts w:ascii="Arial" w:cs="Arial" w:eastAsia="Arial" w:hAnsi="Arial"/>
          <w:sz w:val="18"/>
          <w:szCs w:val="18"/>
          <w:color w:val="auto"/>
        </w:rPr>
        <w:t>of the U.S. national agenda due to the reemergence of long-term strategic peer competition,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has been cited in the National Defense Strategy as the primary concern for U.S. national prosperity and security. This reemergence has resulted in increased global disorder and a security environment, defined by rapid technological change, which may be more complex than ever before. We believe the U.S. Department of Defense and Intelligence Community will continue to invest in cyber, space, artificial intelligence, electronic warfare, missile defense, and critical infrastructure protection. In addition, as a result of supporting ongoing war efforts, ammunition and munitions need to be replenished and the Army ammunition plants must be modernized to support this need.</w:t>
      </w:r>
    </w:p>
    <w:p>
      <w:pPr>
        <w:spacing w:after="0" w:line="179" w:lineRule="exact"/>
        <w:rPr>
          <w:sz w:val="20"/>
          <w:szCs w:val="20"/>
          <w:color w:val="auto"/>
        </w:rPr>
      </w:pPr>
    </w:p>
    <w:p>
      <w:pPr>
        <w:ind w:right="80" w:firstLine="509"/>
        <w:spacing w:after="0"/>
        <w:rPr>
          <w:sz w:val="20"/>
          <w:szCs w:val="20"/>
          <w:color w:val="auto"/>
        </w:rPr>
      </w:pPr>
      <w:r>
        <w:rPr>
          <w:rFonts w:ascii="Arial" w:cs="Arial" w:eastAsia="Arial" w:hAnsi="Arial"/>
          <w:sz w:val="18"/>
          <w:szCs w:val="18"/>
          <w:b w:val="1"/>
          <w:bCs w:val="1"/>
          <w:i w:val="1"/>
          <w:iCs w:val="1"/>
          <w:color w:val="auto"/>
        </w:rPr>
        <w:t xml:space="preserve">Cyber is Mission Critical to U.S. National Security </w:t>
      </w:r>
      <w:r>
        <w:rPr>
          <w:rFonts w:ascii="Arial" w:cs="Arial" w:eastAsia="Arial" w:hAnsi="Arial"/>
          <w:sz w:val="18"/>
          <w:szCs w:val="18"/>
          <w:color w:val="auto"/>
        </w:rPr>
        <w:t>and cyber adversaries are increasing in volume and sophistication as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connectivity and the rise of social media have led to an explosion in the amount of available and exploitable data. Additionally, there has been an increase in aggressive nation state cyber activity. Attacks by cyber-criminals seeking financial gain are also growing in volume and sophistication. We believe that the cyber market will continue to grow in response to the nation state threat landscape and the vulnerabilities inherent in critical infrastructure. Our unique portfolio of Federal Solutions and Critical Infrastructure provides the technical capabilities to detect and prevent cyberattacks along with the domain knowledge to understand how to secure infrastructure from threats. Additionally, the United States must remain on the leading edge of cyber operations, platforms and tool development.</w:t>
      </w:r>
    </w:p>
    <w:p>
      <w:pPr>
        <w:spacing w:after="0" w:line="18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b w:val="1"/>
          <w:bCs w:val="1"/>
          <w:i w:val="1"/>
          <w:iCs w:val="1"/>
          <w:color w:val="auto"/>
        </w:rPr>
        <w:t xml:space="preserve">Consistent Need for Actionable Intelligence to Support U.S. Priorities </w:t>
      </w:r>
      <w:r>
        <w:rPr>
          <w:rFonts w:ascii="Arial" w:cs="Arial" w:eastAsia="Arial" w:hAnsi="Arial"/>
          <w:sz w:val="18"/>
          <w:szCs w:val="18"/>
          <w:color w:val="auto"/>
        </w:rPr>
        <w:t>is driving a shifting threat landscape that necessitates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need for collaboration and cooperation between intelligence agencies. There is a new demand for joint all-domain command and control systems that are optimized to function cohesively across a spectrum of domains. This in turn drives a need for sophisticated data analytics to aggregate data into useful formats in real-time. To respond, we believe the United States intelligence community and Department of Defense will need continued focus on information sharing and collaboration for improved intelligence accuracy and timeliness encompassing multiple forms of intelligence collection.</w:t>
      </w:r>
    </w:p>
    <w:p>
      <w:pPr>
        <w:spacing w:after="0" w:line="17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b w:val="1"/>
          <w:bCs w:val="1"/>
          <w:i w:val="1"/>
          <w:iCs w:val="1"/>
          <w:color w:val="auto"/>
        </w:rPr>
        <w:t xml:space="preserve">Indo-Pacific is the Department of Defense’s Priority Theater. </w:t>
      </w:r>
      <w:r>
        <w:rPr>
          <w:rFonts w:ascii="Arial" w:cs="Arial" w:eastAsia="Arial" w:hAnsi="Arial"/>
          <w:sz w:val="18"/>
          <w:szCs w:val="18"/>
          <w:color w:val="auto"/>
        </w:rPr>
        <w:t>The United States has an enduring commitment to uphold a free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open Indo-Pacific region. This has become complicated due to inter-state strategic competition and increasingly complex security environment. The United States is focused on competing, deterring and winning in this environment to safeguard free and open international order.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3"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b w:val="1"/>
          <w:bCs w:val="1"/>
          <w:i w:val="1"/>
          <w:iCs w:val="1"/>
          <w:color w:val="auto"/>
        </w:rPr>
        <w:t>Global Infrastructure Needs Significant Replacements and Technology-Driven Upgrades</w:t>
      </w:r>
      <w:r>
        <w:rPr>
          <w:rFonts w:ascii="Arial" w:cs="Arial" w:eastAsia="Arial" w:hAnsi="Arial"/>
          <w:sz w:val="18"/>
          <w:szCs w:val="18"/>
          <w:color w:val="auto"/>
        </w:rPr>
        <w:t>. Physical infrastructure is in need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upgrade throughout the world and there is unprecedented spend. Furthermore, modernized infrastructure is important to recover from unexpected disasters caused by climate change. The $1.2 trillion United States Infrastructure Investment and Jobs Act (IIJA) has increased funding for roads and highways, bridges, rail and transit, and aviation. Additionally, there is significant demand in other regions, including Canada and the Middle East. The Middle East has a planned spend that exceeds $1.5 trillion per the Middle East Economic Digest and Canada has invested $140 billion through the Investing in Canada Plan launched in 2016 for a 12-year period. In particular, the Saudi Vision 2030 focus is driving major industrial city and urban development projects. Critical infrastructure, specifically transportation infrastructure that is essential to national economic and security concerns, is also vulnerable to cyber threats. We believe that a focus on safety, security, sustainability and environmental impacts will continue to drive replacement of aging infrastructure.</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b w:val="1"/>
          <w:bCs w:val="1"/>
          <w:i w:val="1"/>
          <w:iCs w:val="1"/>
          <w:color w:val="auto"/>
        </w:rPr>
        <w:t>Per- and Polyfluoroalkyl Substances (PFAS) Remediation</w:t>
      </w:r>
      <w:r>
        <w:rPr>
          <w:rFonts w:ascii="Arial" w:cs="Arial" w:eastAsia="Arial" w:hAnsi="Arial"/>
          <w:sz w:val="18"/>
          <w:szCs w:val="18"/>
          <w:color w:val="auto"/>
        </w:rPr>
        <w:t>. PFAS are manufactured chemicals that have been used in industry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products since the 1940s. Scientific studies have shown that exposure to PFAS in the environment may be linked to harmful health effects in humans and animals. Therefore, there is a need to reduce PFAS in the environment – groundwater, soil, and surface water. The Environmental Protection Agency has taken actions, including $10 billion of funding to address emerging contaminants in the IIJA, issuing health advisories and proposing new, legally enforceable Maximum Contaminant Levels for PFAS substances found in drinking water. Parsons has unique capabilities, expertise, and experience to mitigate PFAS risks and liabilities for federal, state, and commercial customers.</w:t>
      </w:r>
    </w:p>
    <w:p>
      <w:pPr>
        <w:spacing w:after="0" w:line="185" w:lineRule="exact"/>
        <w:rPr>
          <w:sz w:val="20"/>
          <w:szCs w:val="20"/>
          <w:color w:val="auto"/>
        </w:rPr>
      </w:pPr>
    </w:p>
    <w:p>
      <w:pPr>
        <w:ind w:right="260" w:firstLine="509"/>
        <w:spacing w:after="0" w:line="244" w:lineRule="auto"/>
        <w:rPr>
          <w:sz w:val="20"/>
          <w:szCs w:val="20"/>
          <w:color w:val="auto"/>
        </w:rPr>
      </w:pPr>
      <w:r>
        <w:rPr>
          <w:rFonts w:ascii="Arial" w:cs="Arial" w:eastAsia="Arial" w:hAnsi="Arial"/>
          <w:sz w:val="18"/>
          <w:szCs w:val="18"/>
          <w:b w:val="1"/>
          <w:bCs w:val="1"/>
          <w:i w:val="1"/>
          <w:iCs w:val="1"/>
          <w:color w:val="auto"/>
        </w:rPr>
        <w:t>Urbanization Creates Demand for Smart Cities with Connected Populations</w:t>
      </w:r>
      <w:r>
        <w:rPr>
          <w:rFonts w:ascii="Arial" w:cs="Arial" w:eastAsia="Arial" w:hAnsi="Arial"/>
          <w:sz w:val="18"/>
          <w:szCs w:val="18"/>
          <w:color w:val="auto"/>
        </w:rPr>
        <w:t>. Cities around the globe increasingly demand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connected and more sustainable capabilities, such as sensor networks and communication strategies to connect streetlights, security cameras, and emergency systems, to provide important real-time information and better serve their citizens and reduce carbon emissions. Integrated corridor management solutions, intelligent transportation systems, advanced rail systems, and updated telecommunication networks will keep cities around the world functioning as smart and sustainable cities and serve as engines for economic growth.</w:t>
      </w:r>
    </w:p>
    <w:p>
      <w:pPr>
        <w:spacing w:after="0" w:line="176" w:lineRule="exact"/>
        <w:rPr>
          <w:sz w:val="20"/>
          <w:szCs w:val="20"/>
          <w:color w:val="auto"/>
        </w:rPr>
      </w:pPr>
    </w:p>
    <w:p>
      <w:pPr>
        <w:ind w:right="60" w:firstLine="509"/>
        <w:spacing w:after="0"/>
        <w:rPr>
          <w:sz w:val="20"/>
          <w:szCs w:val="20"/>
          <w:color w:val="auto"/>
        </w:rPr>
      </w:pPr>
      <w:r>
        <w:rPr>
          <w:rFonts w:ascii="Arial" w:cs="Arial" w:eastAsia="Arial" w:hAnsi="Arial"/>
          <w:sz w:val="18"/>
          <w:szCs w:val="18"/>
          <w:b w:val="1"/>
          <w:bCs w:val="1"/>
          <w:i w:val="1"/>
          <w:iCs w:val="1"/>
          <w:color w:val="auto"/>
        </w:rPr>
        <w:t>Transformation of Legacy Service Delivery Models through Technology and Digital Transformation</w:t>
      </w:r>
      <w:r>
        <w:rPr>
          <w:rFonts w:ascii="Arial" w:cs="Arial" w:eastAsia="Arial" w:hAnsi="Arial"/>
          <w:sz w:val="18"/>
          <w:szCs w:val="18"/>
          <w:color w:val="auto"/>
        </w:rPr>
        <w:t>. Historical capital project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is changing with the introduction of cloud-connected computer-aided design, automation, big data, machine learning, and other technologies. The introduction of these new technologies allows industry participants to reimagine existing value chains, address integrated lifecycle objectives, assure human rights are observed in their supply chains, provide environmentally sensitive and sustainable solutions, boost productivity, and streamline project management. Industry participants that have the capability to embrace these new technologies to enhance their capability and service offering to higher value solutions will be well positioned to assist governments and communities in their transformation.</w:t>
      </w:r>
    </w:p>
    <w:p>
      <w:pPr>
        <w:spacing w:after="0" w:line="18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Change equals opportunity, and Parsons is well-positioned to serve a large array of global customers. Across a broad set of industries, we provide smart and agile solutions that create the future for our national security and critical infrastructure customers as they adapt to the rapid changes of a more interconnected and technology-driven world.</w:t>
      </w:r>
    </w:p>
    <w:p>
      <w:pPr>
        <w:spacing w:after="0" w:line="277" w:lineRule="exact"/>
        <w:rPr>
          <w:sz w:val="20"/>
          <w:szCs w:val="20"/>
          <w:color w:val="auto"/>
        </w:rPr>
      </w:pPr>
    </w:p>
    <w:p>
      <w:pPr>
        <w:jc w:val="right"/>
        <w:ind w:right="8940"/>
        <w:spacing w:after="0"/>
        <w:rPr>
          <w:sz w:val="20"/>
          <w:szCs w:val="20"/>
          <w:color w:val="auto"/>
        </w:rPr>
      </w:pPr>
      <w:r>
        <w:rPr>
          <w:rFonts w:ascii="Arial" w:cs="Arial" w:eastAsia="Arial" w:hAnsi="Arial"/>
          <w:sz w:val="18"/>
          <w:szCs w:val="18"/>
          <w:b w:val="1"/>
          <w:bCs w:val="1"/>
          <w:color w:val="auto"/>
        </w:rPr>
        <w:t>Our Competitive Strengths</w:t>
      </w:r>
    </w:p>
    <w:p>
      <w:pPr>
        <w:spacing w:after="0" w:line="106" w:lineRule="exact"/>
        <w:rPr>
          <w:sz w:val="20"/>
          <w:szCs w:val="20"/>
          <w:color w:val="auto"/>
        </w:rPr>
      </w:pPr>
    </w:p>
    <w:p>
      <w:pPr>
        <w:jc w:val="right"/>
        <w:ind w:right="8920"/>
        <w:spacing w:after="0"/>
        <w:rPr>
          <w:sz w:val="20"/>
          <w:szCs w:val="20"/>
          <w:color w:val="auto"/>
        </w:rPr>
      </w:pPr>
      <w:r>
        <w:rPr>
          <w:rFonts w:ascii="Arial" w:cs="Arial" w:eastAsia="Arial" w:hAnsi="Arial"/>
          <w:sz w:val="18"/>
          <w:szCs w:val="18"/>
          <w:b w:val="1"/>
          <w:bCs w:val="1"/>
          <w:i w:val="1"/>
          <w:iCs w:val="1"/>
          <w:color w:val="auto"/>
        </w:rPr>
        <w:t>Proven Track Record</w:t>
      </w:r>
    </w:p>
    <w:p>
      <w:pPr>
        <w:spacing w:after="0" w:line="102" w:lineRule="exact"/>
        <w:rPr>
          <w:sz w:val="20"/>
          <w:szCs w:val="20"/>
          <w:color w:val="auto"/>
        </w:rPr>
      </w:pPr>
    </w:p>
    <w:p>
      <w:pPr>
        <w:ind w:right="380" w:firstLine="509"/>
        <w:spacing w:after="0" w:line="247" w:lineRule="auto"/>
        <w:rPr>
          <w:sz w:val="20"/>
          <w:szCs w:val="20"/>
          <w:color w:val="auto"/>
        </w:rPr>
      </w:pPr>
      <w:r>
        <w:rPr>
          <w:rFonts w:ascii="Arial" w:cs="Arial" w:eastAsia="Arial" w:hAnsi="Arial"/>
          <w:sz w:val="18"/>
          <w:szCs w:val="18"/>
          <w:color w:val="auto"/>
        </w:rPr>
        <w:t>Our proven track record is a result of our strong performance, the dedication of our employees, and our longstanding customer relationships. We focus on being a company that delivers on its promises, holds integrity at the highest level and successfully assists our clients as they execute their most complex missions. Driven by our integrated people, processes and technology approach, we have a reputation for innovation and delivering mission outcomes for our customers’ most important endeavors.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differentiated business model and ability to move up the value chain and win larger programs, has driven high win rates with strong book-to-bill, leading organic revenue growth, expanded bottom line performance, and low capital requirements. We achieved average award and incentive fees of 86% in fiscal 2024, 92% in fiscal 2023 and 91% in fiscal 2022. Incentive fees are fees earned for achievement of certain performance criteria included in our contracts, such as achievement of target completion dates or target costs, and our incentive fees average is calculated as the actual incentive fees achieved as a percentage of incentive fees expected to be earned in the applicable period. In addition, we achieved a win rate of 72% in fiscal 2024, 66% in fiscal 2023 and 49% in fiscal 2022. Our re-compete win rate was 84% in fiscal 2024, 93% in fiscal 2023 and 89% in fiscal 2022. In fiscal 2024, our Federal Solutions revenues increased 33% and our Critical Infrastructure revenues increased 13% year-over-year. As of December 31, 2024, our backlog was $8.9 billion, an increase of 4% from year end fiscal 2023.</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Long-Term Customer Relationships</w:t>
      </w:r>
    </w:p>
    <w:p>
      <w:pPr>
        <w:spacing w:after="0" w:line="10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We maintain long-term relationships with key government and commercial customers, many of which span over 40 years. For example, in the Federal Solutions segment, we have been providing support to the Missile Defense Agency for nearly 40 years with over 1,000 personnel embedded with the customer. We have provided services to the Department of Energy (DOE) for over 50 years on a variety of projects, including work on DOE’s National Nuclear Security Agency program and have provided over 20 years of support to the United States Space Force and predecessor organizations. In the Critical Infrastructure segment, we have supported the Washington Metropolitan Area Transit Authority for over 50 years and have served as Program Manager for Yanbu Industrial City for nearly 50 years.</w:t>
      </w:r>
    </w:p>
    <w:p>
      <w:pPr>
        <w:spacing w:after="0" w:line="17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These longstanding relationships give us the insight and customer intimacy to align our research and development investments based on customer needs and enable high win rates for prime contract positions on the most technically demanding assignments. We believe that our position as a recognized leader in integrity, innovation, operational efficiency, safety and security, environmental and health, and our ability to deliver exceptional quality, has resulted in a high level of re-compete wins and has driven substantial customer loyalty. Our six core markets, including cyber and intelligence, space and missile defense, critical infrastructure protection, transportation, environmental remediation and urban development require leading-edge technologies and extensive technical know-how, and necessitate consistently exceptional performance, thus further entrenching us with our key customers and driving our long-term relationships.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Innovation</w:t>
      </w:r>
    </w:p>
    <w:p>
      <w:pPr>
        <w:spacing w:after="0" w:line="21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Technology and our people are our most important assets, together they underpin our ability to consistently deliver for our customers. Investment in key technological capabilities is core to our business and helps us to stay at the forefront of the evolving trends across our end markets. To meet the challenges of tomorrow, we are focusing our technology investment in areas including artificial intelligence and machine learning; digital transformation; space, cyber and electronic warfare; assured position navigation and timing; emerging contaminant remediation; and quantum computing. The work of our collaborative, highly skilled and dedicated employees has enabled our long track record of continued innovation and execution on behalf of our customers. Our team of engineers, scientists, programmers and other specialists include PhDs and certified hackers, and over 4,000 of our skilled workforce hold government security clearances, which provides a competitive advantage for the highly technical and demanding work we perform. Our dual technical career path and Technical Fellows program enable retention and development of our strong technical talent.</w:t>
      </w:r>
    </w:p>
    <w:p>
      <w:pPr>
        <w:spacing w:after="0" w:line="183"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Leveraging our agile innovation framework and a cadre of seasoned domain experts, solutions architects, and technologists, we seek customer challenges and lead with innovative solutions to drive growth. Additionally, through our acquisitions, we continue to enhance our overall capability offerings in innovative ways, providing more robust solutions that meet our customers’ most challenging needs.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Environmental Sustainability and Resiliency Excellence</w:t>
      </w:r>
    </w:p>
    <w:p>
      <w:pPr>
        <w:spacing w:after="0" w:line="10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Delivering a safer, healthier and more connected world means a focus on environmental sustainability, resilience, conservation and lifecycle impacts. For Parsons, sustainability is a core value. We provide services to plan, design and support complex sustainable projects for our customers across the markets we serve, including transportation (aviation, rail and transit, intelligent transportation systems), ports, buildings, environmental remediation, and water/wastewater treatment.</w:t>
      </w:r>
    </w:p>
    <w:p>
      <w:pPr>
        <w:spacing w:after="0" w:line="17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With over 233 sustainability accreditations, we deliver resilient infrastructure, and sustainable projects that utilize best industry practices, as well as utilize leading edge technology and tools to provide environmental remediation. We work with customers to achieve and obtain the highest possible ratings such as the LEED, Envision, Estidama, and others.</w:t>
      </w:r>
    </w:p>
    <w:p>
      <w:pPr>
        <w:spacing w:after="0" w:line="1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are proud to work with customers, such as the Indiana Finance Authority, on the first bridge and tunnel project to achieve Envision recognition; and we have obtained LEED certifications of transit and aviation facilities with customers in the United States, United Arab Emirates, and the Kingdom of Saudi Arabia.</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Parsons is focused on the risks and opportunities associated with climate change. In 2024, Parsons elected to disclose information related to our climate-related governance, risk management and metrics utilizing the Task Force on Climate-Related Financial Disclosures (TCFD) framework. We conducted climate risk and opportunity workshops with senior leaders representing a cross-section of our geographies, markets and corporate functions. By releasing annual Environmental, Social and Governance (ESG) disclosures and increasing our transparency, we received improved ratings from ISS, MSCI, Sustainalytics and S&amp;P Global.</w:t>
      </w:r>
    </w:p>
    <w:p>
      <w:pPr>
        <w:spacing w:after="0" w:line="176" w:lineRule="exact"/>
        <w:rPr>
          <w:sz w:val="20"/>
          <w:szCs w:val="20"/>
          <w:color w:val="auto"/>
        </w:rPr>
      </w:pPr>
    </w:p>
    <w:p>
      <w:pPr>
        <w:ind w:right="300" w:firstLine="509"/>
        <w:spacing w:after="0" w:line="275" w:lineRule="auto"/>
        <w:rPr>
          <w:sz w:val="20"/>
          <w:szCs w:val="20"/>
          <w:color w:val="auto"/>
        </w:rPr>
      </w:pPr>
      <w:r>
        <w:rPr>
          <w:rFonts w:ascii="Arial" w:cs="Arial" w:eastAsia="Arial" w:hAnsi="Arial"/>
          <w:sz w:val="17"/>
          <w:szCs w:val="17"/>
          <w:color w:val="auto"/>
        </w:rPr>
        <w:t>The Corporate Governance and Responsibility Committee of our Board of Directors provides oversight of environmental, social and governance, including climate-related topics, and the Audit and Risk Committee provides oversight of our enterprise risk management program, including climate-related risks. Our Chief Executive Officer holds overall executive-level responsibility for these matters.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Scalable and Agile Business Offerings</w:t>
      </w:r>
    </w:p>
    <w:p>
      <w:pPr>
        <w:spacing w:after="0" w:line="10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Our scalable and agile offerings enable us to satisfy robust and evolving customer needs. The demanding environments where we operate are characterized by a need for high-confidence solutions, widespread application and mission critical outcomes. We pride ourselves on providing agile technologies through inventive and refined processes that provide quality outcomes to our customers on time sensitive projects. Our domain knowledge of our customers’ current and emerging requirements enables us to deliver responsive, high-quality solutions on time and with operational relevance. By having the ability to respond to customers’ requirements with global deployment capability, we are well positioned to be the preferred contractor for many of our customers’ needs.</w:t>
      </w:r>
    </w:p>
    <w:p>
      <w:pPr>
        <w:spacing w:after="0" w:line="179" w:lineRule="exact"/>
        <w:rPr>
          <w:sz w:val="20"/>
          <w:szCs w:val="20"/>
          <w:color w:val="auto"/>
        </w:rPr>
      </w:pPr>
    </w:p>
    <w:p>
      <w:pPr>
        <w:jc w:val="both"/>
        <w:ind w:right="360" w:firstLine="509"/>
        <w:spacing w:after="0" w:line="253" w:lineRule="auto"/>
        <w:rPr>
          <w:sz w:val="20"/>
          <w:szCs w:val="20"/>
          <w:color w:val="auto"/>
        </w:rPr>
      </w:pPr>
      <w:r>
        <w:rPr>
          <w:rFonts w:ascii="Arial" w:cs="Arial" w:eastAsia="Arial" w:hAnsi="Arial"/>
          <w:sz w:val="18"/>
          <w:szCs w:val="18"/>
          <w:color w:val="auto"/>
        </w:rPr>
        <w:t>Our technologies and platforms are designed to be applicable across end user markets and sub-markets. This approach allows for scalable solutions that can be quickly and seamlessly integrated into multiple customer applications, regardless of geography or industry, allowing us to deploy a given service or platform across multiple markets.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World Class Talent</w:t>
      </w:r>
    </w:p>
    <w:p>
      <w:pPr>
        <w:spacing w:after="0" w:line="10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We aim to be the employer of choice for top talent in every market that we serve by fostering a positive culture for employee engagement; emphasizing health and wellbeing for all employees; and encouraging career development at all levels of the organization. Our success is measured by our business performance, by the enthusiasm of our employees, and by our commitment to our employees’ growth. We strive to be a destination employer that attracts, retains and develops our workforce.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Demonstrated Ability to Identify and Execute Acquisitions to Transform our Business</w:t>
      </w:r>
    </w:p>
    <w:p>
      <w:pPr>
        <w:spacing w:after="0" w:line="10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Strategic acquisitions that augment our technology offerings and capabilities are a key tenet of our growth strategy. We have completed thirteen strategic acquisitions since 2017. Ten of these acquisitions were within the Federal Solutions business segment, two were in the Critical Infrastructure segment (I.S. Engineers, LLC, and BCC Engineering, LLC) and the remaining one spanning both segments (IPKeys Power Partners). Our focus continues to be moving up the value chain with technology differentiation and in particular software. We seek companies that meet our strict financial criteria and have a similar mission-focused culture. These acquisitions include:</w:t>
      </w:r>
    </w:p>
    <w:p>
      <w:pPr>
        <w:spacing w:after="0" w:line="68" w:lineRule="exact"/>
        <w:rPr>
          <w:sz w:val="20"/>
          <w:szCs w:val="20"/>
          <w:color w:val="auto"/>
        </w:rPr>
      </w:pPr>
    </w:p>
    <w:p>
      <w:pPr>
        <w:ind w:left="1020" w:hanging="503"/>
        <w:spacing w:after="0" w:line="243"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BCC Engineering, LLC: Acquired November 1, 2024, at a purchase price of $232.7 million.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an area where the Infrastructure Investment and Jobs Act (IIJA) provided approximately $100 billion in Federal Highway Administration dollars for fiscal years 2022 through 2026.</w:t>
      </w:r>
    </w:p>
    <w:p>
      <w:pPr>
        <w:spacing w:after="0" w:line="71" w:lineRule="exact"/>
        <w:rPr>
          <w:rFonts w:ascii="Times New Roman" w:cs="Times New Roman" w:eastAsia="Times New Roman" w:hAnsi="Times New Roman"/>
          <w:sz w:val="18"/>
          <w:szCs w:val="18"/>
          <w:color w:val="auto"/>
        </w:rPr>
      </w:pPr>
    </w:p>
    <w:p>
      <w:pPr>
        <w:ind w:left="1020" w:right="10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BlackSignal Technologies, LLC: Acquired August 16, 2024, at a purchase price of $203.7 million. BlackSignal is a next-generation provider built to counter near peer threats. This acquisition expands Parsons’ customer base across the Department of Defense and Intelligence Community and significantly strengthens Parsons’ positioning with full-spectrum cyber and electronic warfare, while adding new capabilities in the counterspace radio frequency domain – markets anticipated to grow more than 10% annually with double digit margin expectations. BlackSignal uses artificial intelligence and machine learning to create innovative signal processing techniques that detect and disrupt difficult to access command and control systems and platforms.</w:t>
      </w:r>
    </w:p>
    <w:p>
      <w:pPr>
        <w:spacing w:after="0" w:line="75" w:lineRule="exact"/>
        <w:rPr>
          <w:rFonts w:ascii="Times New Roman" w:cs="Times New Roman" w:eastAsia="Times New Roman" w:hAnsi="Times New Roman"/>
          <w:sz w:val="18"/>
          <w:szCs w:val="18"/>
          <w:color w:val="auto"/>
        </w:rPr>
      </w:pPr>
    </w:p>
    <w:p>
      <w:pPr>
        <w:ind w:left="1020" w:right="40" w:hanging="503"/>
        <w:spacing w:after="0" w:line="24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I.S. Engineers, LLC: Acquired on October 31, 2023 for a purchase price of $12.2 million. I.S. Engineers is a full-service consulting engineering firm which specializes in transportation engineering, including roads and highways, and program management located in Texas. Texas is poised to receive nearly $30 billion in total transportation funding from the Infrastructure Investment and Jobs Act between 2022 and 2026.</w:t>
      </w:r>
    </w:p>
    <w:p>
      <w:pPr>
        <w:spacing w:after="0" w:line="68" w:lineRule="exact"/>
        <w:rPr>
          <w:rFonts w:ascii="Times New Roman" w:cs="Times New Roman" w:eastAsia="Times New Roman" w:hAnsi="Times New Roman"/>
          <w:sz w:val="18"/>
          <w:szCs w:val="18"/>
          <w:color w:val="auto"/>
        </w:rPr>
      </w:pPr>
    </w:p>
    <w:p>
      <w:pPr>
        <w:ind w:left="1020" w:right="40" w:hanging="503"/>
        <w:spacing w:after="0" w:line="243"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Sealing Technologies, Inc.: Acquired on August 23, 2023 for a purchase price of $176.0 million. SealingTech expands Parsons’ customer base across the Department of Defense and Intelligence Communities and further enhances Parsons’ capabilities in defensive cyber operations; integrated mission-solutions powered by artificial intelligence (AI) and machine learning (ML); edge computing and edge access modernization; critical infrastructure protection, and secure data management that protects national security.</w:t>
      </w:r>
    </w:p>
    <w:p>
      <w:pPr>
        <w:spacing w:after="0" w:line="71" w:lineRule="exact"/>
        <w:rPr>
          <w:rFonts w:ascii="Times New Roman" w:cs="Times New Roman" w:eastAsia="Times New Roman" w:hAnsi="Times New Roman"/>
          <w:sz w:val="18"/>
          <w:szCs w:val="18"/>
          <w:color w:val="auto"/>
        </w:rPr>
      </w:pPr>
    </w:p>
    <w:p>
      <w:pPr>
        <w:ind w:left="1020" w:hanging="503"/>
        <w:spacing w:after="0" w:line="243"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IPKeys Power Partners, Inc.: Acquired on April 13, 2023 for a total purchase price of $43.0 million. IPKeys enhances Parsons’ critical infrastructure protection capabilities through comprehensive cloud-based cybersecurity, software solutions that operate at the intersection of information and operational technology (IT and OT), and technologies that will help accelerate the global clean energy transition. This acquisition expands Parsons’ presence in two rapidly growing end markets: grid modernization and cyber resiliency for critical infrastructure.</w:t>
      </w:r>
    </w:p>
    <w:p>
      <w:pPr>
        <w:spacing w:after="0" w:line="71" w:lineRule="exact"/>
        <w:rPr>
          <w:rFonts w:ascii="Times New Roman" w:cs="Times New Roman" w:eastAsia="Times New Roman" w:hAnsi="Times New Roman"/>
          <w:sz w:val="18"/>
          <w:szCs w:val="18"/>
          <w:color w:val="auto"/>
        </w:rPr>
      </w:pPr>
    </w:p>
    <w:p>
      <w:pPr>
        <w:ind w:left="1020" w:right="40" w:hanging="503"/>
        <w:spacing w:after="0" w:line="24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Xator Corporation: Acquired on May 31, 2022 at a purchase price of $387.5 million. Xator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 biometrics, and global threat assessment and operations, increasing our addressable market in both the Federal Solutions and Critical Infrastructure segments.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5" w:lineRule="exact"/>
        <w:rPr>
          <w:sz w:val="20"/>
          <w:szCs w:val="20"/>
          <w:color w:val="auto"/>
        </w:rPr>
      </w:pPr>
    </w:p>
    <w:p>
      <w:pPr>
        <w:ind w:left="1020" w:right="140" w:hanging="503"/>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Echo Ridge LLC: Acquired on July 30, 2021 at a purchase price of $9 million. Echo Ridge adds position, navigation, and timing devices; modeling simulation, test and measurement tools; and deployable software defined radio products and signal processing services to Parsons’ space portfolio.</w:t>
      </w:r>
    </w:p>
    <w:p>
      <w:pPr>
        <w:spacing w:after="0" w:line="62" w:lineRule="exact"/>
        <w:rPr>
          <w:rFonts w:ascii="Times New Roman" w:cs="Times New Roman" w:eastAsia="Times New Roman" w:hAnsi="Times New Roman"/>
          <w:sz w:val="18"/>
          <w:szCs w:val="18"/>
          <w:color w:val="auto"/>
        </w:rPr>
      </w:pPr>
    </w:p>
    <w:p>
      <w:pPr>
        <w:ind w:left="1020" w:hanging="503"/>
        <w:spacing w:after="0" w:line="24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BlackHorse Solutions, Inc.: Acquired July 6, 2021 at a purchase price of $205.0 million. Black Horse expands Parsons’ capabilities and products in next-generation military, intelligence, and space operations, specifically in cyber, electronic warfare, and information dominance. Black Horse’s technology is shaping the future of information dominance and converged military operations by unifying cyber, electromagnetic warfare, and information operations for the Department of Defense and Intelligence Community customers. The company also provides autonomous and distributed detection, identification, exploitation and the defeat of today’s most complex communications.</w:t>
      </w:r>
    </w:p>
    <w:p>
      <w:pPr>
        <w:spacing w:after="0" w:line="69" w:lineRule="exact"/>
        <w:rPr>
          <w:rFonts w:ascii="Times New Roman" w:cs="Times New Roman" w:eastAsia="Times New Roman" w:hAnsi="Times New Roman"/>
          <w:sz w:val="18"/>
          <w:szCs w:val="18"/>
          <w:color w:val="auto"/>
        </w:rPr>
      </w:pPr>
    </w:p>
    <w:p>
      <w:pPr>
        <w:ind w:left="1020" w:right="160" w:hanging="503"/>
        <w:spacing w:after="0" w:line="243"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Braxton Science and Technology Group, LLC: Acquired in November 2020 at a purchase price of $310.9 million ($267 million less the tax asset), Braxton operates at the forefront of satellite operations, ground automation, flight dynamics, and spacecraft antenna simulation for the U.S. Department of Defense and Intelligence Community. These capabilities position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71" w:lineRule="exact"/>
        <w:rPr>
          <w:rFonts w:ascii="Times New Roman" w:cs="Times New Roman" w:eastAsia="Times New Roman" w:hAnsi="Times New Roman"/>
          <w:sz w:val="18"/>
          <w:szCs w:val="18"/>
          <w:color w:val="auto"/>
        </w:rPr>
      </w:pPr>
    </w:p>
    <w:p>
      <w:pPr>
        <w:ind w:left="1020" w:right="6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QRC® Technologies: Acquired in 2019 at a purchase price of $214.1 million, QRC® Technologies is a disruptive product company that provides design and development of open-architecture radio-frequency products.</w:t>
      </w:r>
    </w:p>
    <w:p>
      <w:pPr>
        <w:spacing w:after="0" w:line="46" w:lineRule="exact"/>
        <w:rPr>
          <w:rFonts w:ascii="Times New Roman" w:cs="Times New Roman" w:eastAsia="Times New Roman" w:hAnsi="Times New Roman"/>
          <w:sz w:val="18"/>
          <w:szCs w:val="18"/>
          <w:color w:val="auto"/>
        </w:rPr>
      </w:pPr>
    </w:p>
    <w:p>
      <w:pPr>
        <w:ind w:left="1020" w:right="40" w:hanging="503"/>
        <w:spacing w:after="0" w:line="24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OGSystems: Acquired in 2019 at a purchase price of $292.4 million, OGSystems is a disruptive geo-intelligence solutions and immersive engineering provider that creates technology solutions for the United States intelligence community and the U.S. Department of Defense. OGSystems’ VIPER Labs and Immersive Engineering techniques serve as the catalysts for deployment of geospatial systems and software, embedded system threat analytics and cloud engineering solutions. OGSystems’ advanced hardware solutions include the PeARL family of sensors, combining industry-leading camera and optic lens technologies with our software solutions, yielding very high resolution 2D and 3D aerial imagery.</w:t>
      </w:r>
    </w:p>
    <w:p>
      <w:pPr>
        <w:spacing w:after="0" w:line="69" w:lineRule="exact"/>
        <w:rPr>
          <w:rFonts w:ascii="Times New Roman" w:cs="Times New Roman" w:eastAsia="Times New Roman" w:hAnsi="Times New Roman"/>
          <w:sz w:val="18"/>
          <w:szCs w:val="18"/>
          <w:color w:val="auto"/>
        </w:rPr>
      </w:pPr>
    </w:p>
    <w:p>
      <w:pPr>
        <w:ind w:left="1020" w:right="560" w:hanging="503"/>
        <w:spacing w:after="0" w:line="24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Polaris Alpha</w:t>
      </w:r>
      <w:r>
        <w:rPr>
          <w:rFonts w:ascii="Arial" w:cs="Arial" w:eastAsia="Arial" w:hAnsi="Arial"/>
          <w:sz w:val="18"/>
          <w:szCs w:val="18"/>
          <w:i w:val="1"/>
          <w:iCs w:val="1"/>
          <w:color w:val="auto"/>
        </w:rPr>
        <w:t>:</w:t>
      </w:r>
      <w:r>
        <w:rPr>
          <w:rFonts w:ascii="Arial" w:cs="Arial" w:eastAsia="Arial" w:hAnsi="Arial"/>
          <w:sz w:val="18"/>
          <w:szCs w:val="18"/>
          <w:color w:val="auto"/>
        </w:rPr>
        <w:t xml:space="preserve"> Acquired in 2018 at a purchase price of $489.1 million, Polaris Alpha is an advanced, technology-focused provider of innovative mission solutions for national security, intelligence, defense and other U.S. federal customers. With leading technologies in artificial intelligence/machine learning, cloud computing, command and control and data analytics, Polaris Alpha has long-term customer relationships and is known as a technology disruptor.</w:t>
      </w:r>
    </w:p>
    <w:p>
      <w:pPr>
        <w:spacing w:after="0" w:line="68" w:lineRule="exact"/>
        <w:rPr>
          <w:rFonts w:ascii="Times New Roman" w:cs="Times New Roman" w:eastAsia="Times New Roman" w:hAnsi="Times New Roman"/>
          <w:sz w:val="18"/>
          <w:szCs w:val="18"/>
          <w:color w:val="auto"/>
        </w:rPr>
      </w:pPr>
    </w:p>
    <w:p>
      <w:pPr>
        <w:ind w:left="1020" w:right="440" w:hanging="503"/>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Williams Electric</w:t>
      </w:r>
      <w:r>
        <w:rPr>
          <w:rFonts w:ascii="Arial" w:cs="Arial" w:eastAsia="Arial" w:hAnsi="Arial"/>
          <w:sz w:val="18"/>
          <w:szCs w:val="18"/>
          <w:i w:val="1"/>
          <w:iCs w:val="1"/>
          <w:color w:val="auto"/>
        </w:rPr>
        <w:t>.</w:t>
      </w:r>
      <w:r>
        <w:rPr>
          <w:rFonts w:ascii="Arial" w:cs="Arial" w:eastAsia="Arial" w:hAnsi="Arial"/>
          <w:sz w:val="18"/>
          <w:szCs w:val="18"/>
          <w:color w:val="auto"/>
        </w:rPr>
        <w:t xml:space="preserve"> Acquired in 2017 for a purchase price of $26.4 million. Williams Electric provides industrial control system security, including utility monitoring systems and electronic support systems for customers, including the Army Corps of Engineers and the Smithsonian Institute.</w:t>
      </w:r>
    </w:p>
    <w:p>
      <w:pPr>
        <w:spacing w:after="0" w:line="171"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We maintain a robust acquisition pipeline and are continually evaluating potential opportunities for disciplined growth by acquisition to further transform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for Growth</w:t>
      </w:r>
    </w:p>
    <w:p>
      <w:pPr>
        <w:spacing w:after="0" w:line="104"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Our growth strategy is to create the future of national security and critical infrastructure, while moving up the value chain as a solutions integrator and software provider. The future is full of possibility, and the defense, intelligence, and critical infrastructure markets are where we can collectively shape what tomorrow will look like.</w:t>
      </w:r>
    </w:p>
    <w:p>
      <w:pPr>
        <w:spacing w:after="0" w:line="169"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In a complex security environment with adversaries challenging on every domain and an economy driven by digital transformation, Parsons leverages innovative technologies to deliver integrated solutions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3"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at the speed of relevance. Our global integrated solutions span all domains (sea, land, air, space and cyber), ensuring information dominance and smart, sustainable infrastructure.</w:t>
      </w:r>
    </w:p>
    <w:p>
      <w:pPr>
        <w:spacing w:after="0" w:line="15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To create the future, we focus on people-first, “get-to-yes”, and having top positions in high-growth, sustainable and profitable markets. This focus includes hiring, retaining, and developing our employees, continually enhancing and optimizing our core business processes, resourcing and capitalizing on our high-growth markets and acquiring and integrating companies that possess transformative and disruptive technologies.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 First</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Driven by our people-first and high-purpose culture, we recognize that our people are key to our success in developing and delivering the technology and solutions to support our customers’ critical missions. Our most important asset is our team of talented employees, over 19,600 as of December 31, 2024, who are committed and passionate experts critical to delivering leading capabilities and whose expertise is sought by our clients for their most sophisticated applications and challenges. Our employees choose Parsons and stay with us for the opportunity to collaborate with our customers, deploy our expansive technical resources, rapidly bring bold ideas to market and work on leading solutions to enable a better world. Our management team has extensive experience executing strategies for delivering profitable growth and is recognized for operational excellence and leadership integrity. They have strong leadership capabilities in the markets we serve and the solutions and technology we deliver. Most importantly, we strive to give our employees and managers the best possible employee experience throughout their careers with Parsons.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committed to attracting, retaining, and developing an experienced workforce by having a:</w:t>
      </w:r>
    </w:p>
    <w:p>
      <w:pPr>
        <w:spacing w:after="0" w:line="10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Culture of employee engagement at all organizational levels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Work environment that promotes training, mentoring, and career development planning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Differentiated benefits program, including flexible work hours, remote work options, and an employee stock ownership plan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Dual technical career path that leads to positions as Chief Technology Officer and/or Technical Fellow</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“Parsons Gives Back” program to support our communities and promote volunteering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Global hiring strategy outside of high-employment zones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Robust university relations and intern program to help shape the next generation of leaders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Internal mobility program that supports employee growth, career development and retention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“Get to Yes”</w:t>
      </w:r>
    </w:p>
    <w:p>
      <w:pPr>
        <w:spacing w:after="0" w:line="10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By “getting to yes”, we enable the delivery of agile, innovative, and transformative solutions to our customers. We seek to enhance and optimize our core business and improve our financial performance, including revenue growth, margin expansion and positive cash flow, using the following strategies:</w:t>
      </w:r>
    </w:p>
    <w:p>
      <w:pPr>
        <w:spacing w:after="0" w:line="6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 company-wide agile framework to enable responsive solutions delivery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Promoting collaboration and cross-company sharing to drive informed, timely decision making</w:t>
      </w:r>
    </w:p>
    <w:p>
      <w:pPr>
        <w:spacing w:after="0" w:line="11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Aligning goals through shared one-company objectives and a focus on timely feedback to ensure opportunities for improvement are realized and executed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Using digital transformation to improve our internal processes and deliver an improved customer experience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Cross-selling new solutions to our existing customers and existing solutions to new customers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8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Promoting a culture that enables employees to drive technology and business model innovation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Streamlining operations and processes to optimize performance delivery and reduce overhead expenditures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Rigorously managing our working capital to maximize cash flow</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Committing to being a responsible corporation for Parsons and our customers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Top Positions in High-Growth, Sustainable Markets</w:t>
      </w:r>
    </w:p>
    <w:p>
      <w:pPr>
        <w:spacing w:after="0" w:line="10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have a balanced portfolio between national security and critical infrastructure and a wide range of end markets. We recognize the importance of driving business focus and will resource/invest in areas where we believe Parsons can have a top position in markets that are high-growth, profitable, and enduring. These include cyber and intelligence, space and missile defense, transportation, environmental remediation, and urban development. We utilize the following strategies, among others, towards achieving this goal:</w:t>
      </w:r>
    </w:p>
    <w:p>
      <w:pPr>
        <w:spacing w:after="0" w:line="6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continuously evaluate and shape our portfolio to divest, exit and de-emphasize lower-performing businesses and markets.</w:t>
      </w:r>
    </w:p>
    <w:p>
      <w:pPr>
        <w:spacing w:after="0" w:line="116" w:lineRule="exact"/>
        <w:rPr>
          <w:rFonts w:ascii="Times New Roman" w:cs="Times New Roman" w:eastAsia="Times New Roman" w:hAnsi="Times New Roman"/>
          <w:sz w:val="18"/>
          <w:szCs w:val="18"/>
          <w:color w:val="auto"/>
        </w:rPr>
      </w:pPr>
    </w:p>
    <w:p>
      <w:pPr>
        <w:ind w:left="1020" w:right="40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invest in critical, differentiated technology areas, including artificial intelligence, assured position navigation and timing, PFAS remediation, space cyber/electronic warfare, and product development in areas including defensive cyber, space command and control, intelligent transportation systems, spectrum operations and biometrics.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We seek continuous expansion in our focused high-growth markets:</w:t>
      </w:r>
    </w:p>
    <w:p>
      <w:pPr>
        <w:spacing w:after="0" w:line="116" w:lineRule="exact"/>
        <w:rPr>
          <w:rFonts w:ascii="Times New Roman" w:cs="Times New Roman" w:eastAsia="Times New Roman" w:hAnsi="Times New Roman"/>
          <w:sz w:val="18"/>
          <w:szCs w:val="18"/>
          <w:color w:val="auto"/>
        </w:rPr>
      </w:pPr>
    </w:p>
    <w:p>
      <w:pPr>
        <w:ind w:left="1540" w:right="40" w:hanging="509"/>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Cyber and Intelligence – Continue our growth momentum by offering end-to-end full spectrum cyber operations including solutions, tools, operations and platforms for our U.S. Department of Defense and Intelligence Community customers.</w:t>
      </w:r>
    </w:p>
    <w:p>
      <w:pPr>
        <w:spacing w:after="0" w:line="22" w:lineRule="exact"/>
        <w:rPr>
          <w:rFonts w:ascii="Times New Roman" w:cs="Times New Roman" w:eastAsia="Times New Roman" w:hAnsi="Times New Roman"/>
          <w:sz w:val="18"/>
          <w:szCs w:val="18"/>
          <w:color w:val="auto"/>
        </w:rPr>
      </w:pPr>
    </w:p>
    <w:p>
      <w:pPr>
        <w:ind w:left="1540" w:right="20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Space and Mission Defense – Extend our space situational awareness, command and control and enterprise ground systems and assured position, navigation and timing solutions to our current space customers and to new space, and geospatial customers in the government and commercial space markets. Support our customer’s integrated air and missile defense strategy and deployment. Provide thought leadership in evolving areas, including counter hypersonics.</w:t>
      </w:r>
    </w:p>
    <w:p>
      <w:pPr>
        <w:spacing w:after="0" w:line="51" w:lineRule="exact"/>
        <w:rPr>
          <w:rFonts w:ascii="Times New Roman" w:cs="Times New Roman" w:eastAsia="Times New Roman" w:hAnsi="Times New Roman"/>
          <w:sz w:val="18"/>
          <w:szCs w:val="18"/>
          <w:color w:val="auto"/>
        </w:rPr>
      </w:pPr>
    </w:p>
    <w:p>
      <w:pPr>
        <w:ind w:left="1540" w:right="28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Critical Infrastructure Protection – Provide critical infrastructure protection in sectors where we have installed base, including facilities, health care, transportation, water and energy. Deliver holistic solutions including electronic security systems, cybersecurity, counter unmanned air systems and biometrics.</w:t>
      </w:r>
    </w:p>
    <w:p>
      <w:pPr>
        <w:spacing w:after="0" w:line="60" w:lineRule="exact"/>
        <w:rPr>
          <w:rFonts w:ascii="Times New Roman" w:cs="Times New Roman" w:eastAsia="Times New Roman" w:hAnsi="Times New Roman"/>
          <w:sz w:val="18"/>
          <w:szCs w:val="18"/>
          <w:color w:val="auto"/>
        </w:rPr>
      </w:pPr>
    </w:p>
    <w:p>
      <w:pPr>
        <w:ind w:left="154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Transportation – Capitalize on the increased IIJA funding and increased global transportation and infrastructure spending to further our roads and highways, bridges, rail and transit, and aviation business. Leverage technology to drive smart infrastructure.</w:t>
      </w:r>
    </w:p>
    <w:p>
      <w:pPr>
        <w:spacing w:after="0" w:line="60" w:lineRule="exact"/>
        <w:rPr>
          <w:rFonts w:ascii="Times New Roman" w:cs="Times New Roman" w:eastAsia="Times New Roman" w:hAnsi="Times New Roman"/>
          <w:sz w:val="18"/>
          <w:szCs w:val="18"/>
          <w:color w:val="auto"/>
        </w:rPr>
      </w:pPr>
    </w:p>
    <w:p>
      <w:pPr>
        <w:ind w:left="1540" w:right="120" w:hanging="50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Environmental remediation – Leverage our specialized skill and experience with respect to remediating mines and oil wells and eliminating emerging contaminants. Apply our design capabilities and innovative technologies to modernize, upgrade and create new water/wastewater treatment systems. Lead elimination of emerging contaminants (PFOS) from our soil, groundwater and surface water.</w:t>
      </w:r>
    </w:p>
    <w:p>
      <w:pPr>
        <w:spacing w:after="0" w:line="65" w:lineRule="exact"/>
        <w:rPr>
          <w:rFonts w:ascii="Times New Roman" w:cs="Times New Roman" w:eastAsia="Times New Roman" w:hAnsi="Times New Roman"/>
          <w:sz w:val="18"/>
          <w:szCs w:val="18"/>
          <w:color w:val="auto"/>
        </w:rPr>
      </w:pPr>
    </w:p>
    <w:p>
      <w:pPr>
        <w:ind w:left="1540" w:right="200" w:hanging="50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Urban development – Leverage our program management, urban planning and urban design competencies to develop new industrial cities and mixed-use developments.</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8" w:name="page19"/>
    <w:bookmarkEnd w:id="18"/>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pursue the acquisition and integration of high growth, technology driven companies which meet the following criteria:</w:t>
      </w:r>
    </w:p>
    <w:p>
      <w:pPr>
        <w:spacing w:after="0" w:line="10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performance goals: &gt;10% top line growth, &gt;10% Adjusted EBITDA margin, and strong cash flow</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Align to our six focused markets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Technology differentiation: fill technology gaps, drive end-to-end solutions, move up the value chain, scale within and across our businesses and add valuable intellectual property rights</w:t>
      </w:r>
    </w:p>
    <w:p>
      <w:pPr>
        <w:spacing w:after="0" w:line="154"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Our objective is to continue to transform our business into an integrated, full life-cycle solutions integrator that delivers scalable solutions and drives revenue growth, expanded margins, and strong cash flows.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view growth in total backlog as a key measure of our business growth. We define backlog to include the following two components:</w:t>
      </w:r>
    </w:p>
    <w:p>
      <w:pPr>
        <w:spacing w:after="0" w:line="115" w:lineRule="exact"/>
        <w:rPr>
          <w:sz w:val="20"/>
          <w:szCs w:val="20"/>
          <w:color w:val="auto"/>
        </w:rPr>
      </w:pPr>
    </w:p>
    <w:p>
      <w:pPr>
        <w:ind w:left="1020" w:right="48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4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 Unfunded backlog does not include potential task orders expected to be awarded under multiple awards IDIQ contract vehicles, where task orders are competitively awarded and separately priced.</w:t>
      </w:r>
    </w:p>
    <w:p>
      <w:pPr>
        <w:spacing w:after="0" w:line="177"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backlog includes orders under contracts that can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As of December 31, 2024, our total backlog was approximately $ 8.9 billion, consisting of $5.9 billion of funded backlog and $3.0 billion of unfunded backlog. We expect to recognize $3.9 billion of our funded backlog as of December 31, 2024 as revenues in the following twelve months. However, our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ind w:right="340" w:firstLine="509"/>
        <w:spacing w:after="0" w:line="275" w:lineRule="auto"/>
        <w:rPr>
          <w:sz w:val="20"/>
          <w:szCs w:val="20"/>
          <w:color w:val="auto"/>
        </w:rPr>
      </w:pPr>
      <w:r>
        <w:rPr>
          <w:rFonts w:ascii="Arial" w:cs="Arial" w:eastAsia="Arial" w:hAnsi="Arial"/>
          <w:sz w:val="17"/>
          <w:szCs w:val="17"/>
          <w:color w:val="auto"/>
        </w:rPr>
        <w:t>The industries we operate in consist of a large number of enterprises ranging from small, niche-oriented companies to multi-billion-dollar corporations that serve many governmental and commercial customers. We compete on the basis of our technical expertise, technological innovation, our ability to deliver cost-effective multi-faceted solutions and services in a timely manner, our reputation and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8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relationships with our customers, qualified and/or security-clearance personnel, and pricing. Our peer group in Federal Solutions are U.S. federal systems integrators and service providers such as Booz Allen Hamilton, CACI International Inc, Leidos Holdings, Inc., and Science Applications International Corporation. Our peer group in Critical Infrastructure includes AECOM, Jacobs Solutions Inc., Stantec, Tetra Tech, Inc., and WSP.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0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are committed to enhancing our position as a leading employer in our industry and aim to do this through providing a positive employee experience. Our culture and reputation as a leading provider of technology-driven solutions in the defense, intelligence and critical infrastructure markets enables us to recruit and retain some of the best available talent across the globe.</w:t>
      </w:r>
    </w:p>
    <w:p>
      <w:pPr>
        <w:spacing w:after="0" w:line="6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Our professionals are highly educated, with a wide range of technical acumen and in-depth domain knowledge and expertise. Our culture and values enable us to continue attracting qualified talent, particularly those with security clearances and requisite skills in multiple areas, including Project Management, Engineering, Software Development, Cyber, Data Analytics, Environmental and Architecture. We have over 10,300 employees who hold degrees and 3,300 with advanced degrees and professional credentials as of December 31, 2024. Our experienced teams understand our clients and are comprised of technology subject matter experts and professionals with deep knowledge and experience.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w:t>
      </w:r>
    </w:p>
    <w:p>
      <w:pPr>
        <w:spacing w:after="0" w:line="102"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We pulse our workforce annually through an employee engagement survey and the data these surveys provide help us identify areas where our culture is evolving and key strategic areas where we need to continue to focus our energies to improve employee engagement and the employee experience. This data is critical in guiding our cultural journey to become a more dynamic, entrepreneurial, and creative place to work.</w:t>
      </w:r>
    </w:p>
    <w:p>
      <w:pPr>
        <w:spacing w:after="0" w:line="66"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This year, we saw some of our highest participation rates among our business groups and functions, with an overall response of 60 percent, which is higher than last year’s overall rate of 54 percent. We are also pleased that our employee engagement score was 80 against a benchmark of 75, up from 78 in 2023. At the highest level, our results describe an organization with a strong performance-driven and team-based culture.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Recognition</w:t>
      </w:r>
    </w:p>
    <w:p>
      <w:pPr>
        <w:spacing w:after="0" w:line="10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As a people first organization, we are dedicated to recognizing employee performance and promoting a culture of recognition. We are immensely proud to maintain a formal employee recognition program that is 100% developed and maintained in-house – a rare accomplishment in our industry. We approach company culture this way: recognition is a mindset.</w:t>
      </w:r>
    </w:p>
    <w:p>
      <w:pPr>
        <w:spacing w:after="0" w:line="169" w:lineRule="exact"/>
        <w:rPr>
          <w:sz w:val="20"/>
          <w:szCs w:val="20"/>
          <w:color w:val="auto"/>
        </w:rPr>
      </w:pPr>
    </w:p>
    <w:p>
      <w:pPr>
        <w:ind w:right="700" w:firstLine="509"/>
        <w:spacing w:after="0" w:line="271" w:lineRule="auto"/>
        <w:rPr>
          <w:sz w:val="20"/>
          <w:szCs w:val="20"/>
          <w:color w:val="auto"/>
        </w:rPr>
      </w:pPr>
      <w:r>
        <w:rPr>
          <w:rFonts w:ascii="Arial" w:cs="Arial" w:eastAsia="Arial" w:hAnsi="Arial"/>
          <w:sz w:val="18"/>
          <w:szCs w:val="18"/>
          <w:color w:val="auto"/>
        </w:rPr>
        <w:t>The Distinguished Recognition and Incentive Program, affectionately known as the DRIVE Program, recognizes, rewards, and encourages high-caliber work. The DRIVE program is comprised of nine distinct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award levels, each with its own criteria, workflow, and rewards – some monetary and some non-monetary. The program is open to all part-and full-time employees around the globe, and awards can be distributed from supervisor to team or team member, individual contributor to supervisor, and from peer to peer. That flexibility is what we are most proud of—all employees can recognize someone else or be recognized themself. In 2024, we are pleased that over 4,500 DRIVE awards were conveyed to our employees with monetary awards totaling over $7.5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Mentoring</w:t>
      </w:r>
    </w:p>
    <w:p>
      <w:pPr>
        <w:spacing w:after="0" w:line="10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Parsons has a robust mentoring program that facilitates several types of pairings, including senior leaders and employees, peer-to-peer, veterans-to-veterans, and early career professionals with more experienced employees. Employees choose their own mentor and work closely with them to design a mentoring relationship that is tailored to meet their unique goals. Resources are provided to both mentors and mentees to ensure a successful and enriching experience for both. Most Parsons’ Vice Presidents and above are available and engaged in mentoring relationships thus actively fostering a culture of employee growth and development.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Development</w:t>
      </w:r>
    </w:p>
    <w:p>
      <w:pPr>
        <w:spacing w:after="0" w:line="102" w:lineRule="exact"/>
        <w:rPr>
          <w:sz w:val="20"/>
          <w:szCs w:val="20"/>
          <w:color w:val="auto"/>
        </w:rPr>
      </w:pPr>
    </w:p>
    <w:p>
      <w:pPr>
        <w:ind w:left="1020" w:right="120" w:hanging="503"/>
        <w:spacing w:after="0" w:line="24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Parsons Learning Series – This program is open to all employees and consists of live, virtual one-hour courses across a wide range of topics appealing to both employees and managers. One or two topics are delivered each month. The live sessions are held at three separate times on the same day to accommodate our global workforce, and sessions are recorded and made available following live session dates.</w:t>
      </w:r>
    </w:p>
    <w:p>
      <w:pPr>
        <w:spacing w:after="0" w:line="68" w:lineRule="exact"/>
        <w:rPr>
          <w:rFonts w:ascii="Times New Roman" w:cs="Times New Roman" w:eastAsia="Times New Roman" w:hAnsi="Times New Roman"/>
          <w:sz w:val="18"/>
          <w:szCs w:val="18"/>
          <w:color w:val="auto"/>
        </w:rPr>
      </w:pPr>
    </w:p>
    <w:p>
      <w:pPr>
        <w:jc w:val="both"/>
        <w:ind w:left="1020" w:right="2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Engaged Leadership Program (ELP) – This 4-month, cohort-based program helps people and project managers develop their management and leadership skills through learning about and then applying new skills on the job. The extended nature of this program fosters a collaborative environment and builds cross-organizational relationships among participants.</w:t>
      </w:r>
    </w:p>
    <w:p>
      <w:pPr>
        <w:spacing w:after="0" w:line="62"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Intentional Leadership Program (ILP) – This is a program for senior leaders, Director-level and above. Participants will complete a facilitated 2-day curriculum designed to strengthen senior leadership skills and help participants intentionally define their own leadership approach while fostering cross-organizational communication and relationship-building.</w:t>
      </w:r>
    </w:p>
    <w:p>
      <w:pPr>
        <w:spacing w:after="0" w:line="62" w:lineRule="exact"/>
        <w:rPr>
          <w:rFonts w:ascii="Times New Roman" w:cs="Times New Roman" w:eastAsia="Times New Roman" w:hAnsi="Times New Roman"/>
          <w:sz w:val="18"/>
          <w:szCs w:val="18"/>
          <w:color w:val="auto"/>
        </w:rPr>
      </w:pPr>
    </w:p>
    <w:p>
      <w:pPr>
        <w:ind w:left="1020" w:right="80" w:hanging="503"/>
        <w:spacing w:after="0" w:line="24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Fellows Program - recognizes our top technical experts and promotes innovation in solving our customers’ most difficult technical challenges. It is a collaborative network of over fifty selected motivated and passionate subject matter experts working to solve technical challenges through either strategic research and development or through the development of long-term technical policies and best practices. The program defines its success through engagement, mentorship, and retention.</w:t>
      </w:r>
    </w:p>
    <w:p>
      <w:pPr>
        <w:spacing w:after="0" w:line="68" w:lineRule="exact"/>
        <w:rPr>
          <w:rFonts w:ascii="Times New Roman" w:cs="Times New Roman" w:eastAsia="Times New Roman" w:hAnsi="Times New Roman"/>
          <w:sz w:val="18"/>
          <w:szCs w:val="18"/>
          <w:color w:val="auto"/>
        </w:rPr>
      </w:pPr>
    </w:p>
    <w:p>
      <w:pPr>
        <w:ind w:left="1020" w:right="80" w:hanging="503"/>
        <w:spacing w:after="0" w:line="246"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Technical Career Path - demonstrates two distinct career progressions for technical employees across our organization: one that follows a management path, the other that can be followed as an individual contributor. The Technical Career Path coupled with an integrated competency model and Workday tools such as the Opportunity Graph are resources designed to improve the quality of manager-employee career discussions and, ultimately, career movement.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w:t>
      </w:r>
    </w:p>
    <w:p>
      <w:pPr>
        <w:spacing w:after="0" w:line="10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At December 31, 2024, approximately 6,600 of our employees participated in our Employee Stock Ownership Plan (ESOP) which held 54,117,904 shares at December 31, 2024. Our employees own approximately 40% of the total outstanding shares in the ESOP. In December 2020, the board of directors approved an amendment to the ESOP to provide greater diversification rights to participants. The amendment provides that, with respect to all diversifications elected or processed after January 1, 2021, the definition of a qualified participant shall mean a participant who has attained the age of 50 and who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has completed at least three years of participation in the ESOP and other criteria. Each qualified participant shall generally be permitted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 the ESOP as to the diversification of 50% of the value of the eligible vested portion of the participant’s ESOP account. Further, in</w:t>
      </w:r>
    </w:p>
    <w:p>
      <w:pPr>
        <w:spacing w:after="0" w:line="234" w:lineRule="auto"/>
        <w:rPr>
          <w:sz w:val="20"/>
          <w:szCs w:val="20"/>
          <w:color w:val="auto"/>
        </w:rPr>
      </w:pPr>
      <w:r>
        <w:rPr>
          <w:rFonts w:ascii="Arial" w:cs="Arial" w:eastAsia="Arial" w:hAnsi="Arial"/>
          <w:sz w:val="18"/>
          <w:szCs w:val="18"/>
          <w:color w:val="auto"/>
        </w:rPr>
        <w:t>January 2021, the board of directors approved an amendment to the ESOP whereby distributions to participants in the Plan were modified as</w:t>
      </w:r>
    </w:p>
    <w:p>
      <w:pPr>
        <w:spacing w:after="0" w:line="235" w:lineRule="auto"/>
        <w:rPr>
          <w:sz w:val="20"/>
          <w:szCs w:val="20"/>
          <w:color w:val="auto"/>
        </w:rPr>
      </w:pPr>
      <w:r>
        <w:rPr>
          <w:rFonts w:ascii="Arial" w:cs="Arial" w:eastAsia="Arial" w:hAnsi="Arial"/>
          <w:sz w:val="18"/>
          <w:szCs w:val="18"/>
          <w:color w:val="auto"/>
        </w:rPr>
        <w:t>follows: (1) the threshold amount of an ESOP participant’s balance to be eligible for a single lump sum distribution was increased from</w:t>
      </w:r>
    </w:p>
    <w:p>
      <w:pPr>
        <w:spacing w:after="0" w:line="235" w:lineRule="auto"/>
        <w:rPr>
          <w:sz w:val="20"/>
          <w:szCs w:val="20"/>
          <w:color w:val="auto"/>
        </w:rPr>
      </w:pPr>
      <w:r>
        <w:rPr>
          <w:rFonts w:ascii="Arial" w:cs="Arial" w:eastAsia="Arial" w:hAnsi="Arial"/>
          <w:sz w:val="18"/>
          <w:szCs w:val="18"/>
          <w:color w:val="auto"/>
        </w:rPr>
        <w:t>$20,000 or less to $500,000 or less; (2) the threshold balance for a participant to be eligible to receive payment in two annual installments</w:t>
      </w:r>
    </w:p>
    <w:p>
      <w:pPr>
        <w:spacing w:after="0" w:line="235" w:lineRule="auto"/>
        <w:rPr>
          <w:sz w:val="20"/>
          <w:szCs w:val="20"/>
          <w:color w:val="auto"/>
        </w:rPr>
      </w:pPr>
      <w:r>
        <w:rPr>
          <w:rFonts w:ascii="Arial" w:cs="Arial" w:eastAsia="Arial" w:hAnsi="Arial"/>
          <w:sz w:val="18"/>
          <w:szCs w:val="18"/>
          <w:color w:val="auto"/>
        </w:rPr>
        <w:t>was increased from $40,000 or less to $750,000 or less; and (3) the threshold balance for a participant to be eligible to receive payment in</w:t>
      </w:r>
    </w:p>
    <w:p>
      <w:pPr>
        <w:spacing w:after="0" w:line="235" w:lineRule="auto"/>
        <w:rPr>
          <w:sz w:val="20"/>
          <w:szCs w:val="20"/>
          <w:color w:val="auto"/>
        </w:rPr>
      </w:pPr>
      <w:r>
        <w:rPr>
          <w:rFonts w:ascii="Arial" w:cs="Arial" w:eastAsia="Arial" w:hAnsi="Arial"/>
          <w:sz w:val="18"/>
          <w:szCs w:val="18"/>
          <w:color w:val="auto"/>
        </w:rPr>
        <w:t>three annual installments was increased to greater than $750,000. This change was made to facilitate greater flexibility for certain eligible</w:t>
      </w:r>
    </w:p>
    <w:p>
      <w:pPr>
        <w:spacing w:after="0" w:line="234" w:lineRule="auto"/>
        <w:rPr>
          <w:sz w:val="20"/>
          <w:szCs w:val="20"/>
          <w:color w:val="auto"/>
        </w:rPr>
      </w:pPr>
      <w:r>
        <w:rPr>
          <w:rFonts w:ascii="Arial" w:cs="Arial" w:eastAsia="Arial" w:hAnsi="Arial"/>
          <w:sz w:val="18"/>
          <w:szCs w:val="18"/>
          <w:color w:val="auto"/>
        </w:rPr>
        <w:t>participants to receive their balances in fewer installments and to accelerate the increase in publicly traded float for the Company’s common</w:t>
      </w:r>
    </w:p>
    <w:p>
      <w:pPr>
        <w:spacing w:after="0" w:line="235" w:lineRule="auto"/>
        <w:rPr>
          <w:sz w:val="20"/>
          <w:szCs w:val="20"/>
          <w:color w:val="auto"/>
        </w:rPr>
      </w:pPr>
      <w:r>
        <w:rPr>
          <w:rFonts w:ascii="Arial" w:cs="Arial" w:eastAsia="Arial" w:hAnsi="Arial"/>
          <w:sz w:val="18"/>
          <w:szCs w:val="18"/>
          <w:color w:val="auto"/>
        </w:rPr>
        <w:t>stock. In April 2022, the board of directors approved an amendment providing for lump sum distributions to participants and removing the</w:t>
      </w:r>
    </w:p>
    <w:p>
      <w:pPr>
        <w:spacing w:after="0" w:line="235" w:lineRule="auto"/>
        <w:rPr>
          <w:sz w:val="20"/>
          <w:szCs w:val="20"/>
          <w:color w:val="auto"/>
        </w:rPr>
      </w:pPr>
      <w:r>
        <w:rPr>
          <w:rFonts w:ascii="Arial" w:cs="Arial" w:eastAsia="Arial" w:hAnsi="Arial"/>
          <w:sz w:val="18"/>
          <w:szCs w:val="18"/>
          <w:color w:val="auto"/>
        </w:rPr>
        <w:t>annual installments. Annual diversification elections and five-year vested termination distributions are not impacted by this amendment and</w:t>
      </w:r>
    </w:p>
    <w:p>
      <w:pPr>
        <w:spacing w:after="0"/>
        <w:rPr>
          <w:sz w:val="20"/>
          <w:szCs w:val="20"/>
          <w:color w:val="auto"/>
        </w:rPr>
      </w:pPr>
      <w:r>
        <w:rPr>
          <w:rFonts w:ascii="Arial" w:cs="Arial" w:eastAsia="Arial" w:hAnsi="Arial"/>
          <w:sz w:val="18"/>
          <w:szCs w:val="18"/>
          <w:color w:val="auto"/>
        </w:rPr>
        <w:t>will still occur annually and over installments as outlined in the Plan.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04" w:lineRule="exact"/>
        <w:rPr>
          <w:sz w:val="20"/>
          <w:szCs w:val="20"/>
          <w:color w:val="auto"/>
        </w:rPr>
      </w:pPr>
    </w:p>
    <w:p>
      <w:pPr>
        <w:ind w:right="80" w:firstLine="509"/>
        <w:spacing w:after="0" w:line="230" w:lineRule="auto"/>
        <w:rPr>
          <w:sz w:val="20"/>
          <w:szCs w:val="20"/>
          <w:color w:val="auto"/>
        </w:rPr>
      </w:pPr>
      <w:r>
        <w:rPr>
          <w:rFonts w:ascii="Arial" w:cs="Arial" w:eastAsia="Arial" w:hAnsi="Arial"/>
          <w:sz w:val="18"/>
          <w:szCs w:val="18"/>
          <w:color w:val="auto"/>
        </w:rPr>
        <w:t>At the 2020 Annual Meeting of Parsons’ Shareholders, the shareholders approved the implementation of the Employee Stock Purchase Plan (ESPP). The ESPP provides an opportunity for eligible employees (as defined in the ESPP) to purchase Parsons’ stock. By participating in the ESPP, an eligible employee may purchase Parsons’ shares at a 5% discount from the New York Stock Exchange closing price at the end date for each offering period (June 30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December 31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of each year). During 2024 and 2023, our employees purchased approximately 95,984 and 116,650 shares, respectively, of Parsons’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August 9, 2021, the board of directors authorized Parsons Corporation to acquire a number of shares of common stock having an aggregate market value of not greater than $ 100,000,000 from time to time, commencing on August 12, 2021. In August 2022, the Board amended the stock repurchase program and authorized executive management to determine an acceptable price for repurchasing such shares. The Board authorized management to execute any agreements providing for the repurchase of the Company’s stock, subject to such conditions, on behalf of the company in such lots, blocks or other amounts, from such persons or entities, from such sources, on the open market, in privately negotiated transactions, or otherwise, on such terms and conditions, from time to time, in accordance with applicable federal and state regulations. The Board further amended this authorization in February 2024 to restore the repurchase capacity to $100 million and removed the $25 million quarterly cap on such repurchases. At the time of the February 2024 authorization, the Company had repurchased shares with an aggregated market value (including fees) of $54.7 million. The aggregate market value of shares of Common Stock the Company is authorized to acquire, from both the August 2021 and February 2024 authorizations, is not greater than $154.7 million. As of December 31, 2024, the company had repurchased 1,713,481 shares of common stock at an average price per share of $46.51 (including commissions calculated at the average price per share) for a total amount of $79.7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jc w:val="both"/>
        <w:ind w:right="580" w:firstLine="509"/>
        <w:spacing w:after="0" w:line="247" w:lineRule="auto"/>
        <w:rPr>
          <w:sz w:val="20"/>
          <w:szCs w:val="20"/>
          <w:color w:val="auto"/>
        </w:rPr>
      </w:pPr>
      <w:r>
        <w:rPr>
          <w:rFonts w:ascii="Arial" w:cs="Arial" w:eastAsia="Arial" w:hAnsi="Arial"/>
          <w:sz w:val="18"/>
          <w:szCs w:val="18"/>
          <w:color w:val="auto"/>
        </w:rPr>
        <w:t>Our intellectual property portfolio consists of issued and pending patents as well as trademarks for many of our technologies. In addition, we maintain a number of trade secrets that we endeavor to protect to ensure their continuing availability to us. Our technical expertise is vital to our growth strategy, and we believe they are a core competitive advantage. We have 40 registered patents and 19 pending patents in the United States and 5 pending patents internationally. We have 63 registered trademarks and 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8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pending trademark applications in the United States, and 159 trademarks and 18 pending trademark applications internationally. We also currently offer 45 products for sale to our global customers.</w:t>
      </w:r>
    </w:p>
    <w:p>
      <w:pPr>
        <w:spacing w:after="0" w:line="15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While protecting trade secrets and proprietary information is important, we are not materially dependent on maintenance of any specific trade secret or group of trade secrets.</w:t>
      </w:r>
    </w:p>
    <w:p>
      <w:pPr>
        <w:spacing w:after="0" w:line="17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During the normal course of business, we perform research and development and technology consulting services and related products in support of our customers. Typically, these services do not depend on patent protection. In accordance with applicable law, our government contracts often provide government agencies certain data rights to our intellectual property. Government agencies may in turn provide to other contractors (including our competitors) the right to utilize our intellectual property. In addition, in the case of our work as a subcontractor, our prime contractor may also have certain rights to data, information and products we develop under the subcontract. At the same time, our government contracts often provide to us the right to utilize intellectual property owned by third parties.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Our business is impacted by government procurement, anti-bribery, international trade, environmental, health and safety and other regulations and requirements. Below is a summary of some of the significant regulations that impact our business.</w:t>
      </w:r>
    </w:p>
    <w:p>
      <w:pPr>
        <w:spacing w:after="0" w:line="154"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Government Procurement</w:t>
      </w:r>
      <w:r>
        <w:rPr>
          <w:rFonts w:ascii="Arial" w:cs="Arial" w:eastAsia="Arial" w:hAnsi="Arial"/>
          <w:sz w:val="18"/>
          <w:szCs w:val="18"/>
          <w:color w:val="auto"/>
        </w:rPr>
        <w:t>. The services we provide to the U.S. Government are subject to Federal Acquisition Regulation, or FAR,</w:t>
      </w:r>
      <w:r>
        <w:rPr>
          <w:rFonts w:ascii="Arial" w:cs="Arial" w:eastAsia="Arial" w:hAnsi="Arial"/>
          <w:sz w:val="18"/>
          <w:szCs w:val="18"/>
          <w:i w:val="1"/>
          <w:iCs w:val="1"/>
          <w:color w:val="auto"/>
        </w:rPr>
        <w:t xml:space="preserve"> </w:t>
      </w:r>
      <w:r>
        <w:rPr>
          <w:rFonts w:ascii="Arial" w:cs="Arial" w:eastAsia="Arial" w:hAnsi="Arial"/>
          <w:sz w:val="18"/>
          <w:szCs w:val="18"/>
          <w:color w:val="auto"/>
        </w:rPr>
        <w:t>Defense Federal Acquisition Regulation, or DFARS, the Truthful Cost and Pricing Data Act, Cost Accounting Standards, or CAS, the Services Contract Act, the False Claims Act, export controls rules and U.S. Department of Defense security regulations, as well as government agency policies and many other laws and regulations. These laws and regulations affect how we transact business with our clients and, in some instances, impose additional costs on our business operations. A violation of specific laws and regulations could lead to fines, contract termination or suspension of future contracts. Generally, our government clients can also terminate, renegotiate, or modify any of their contracts with us at their convenience, and many of our government contracts are subject to renewal or extension annually.</w:t>
      </w:r>
    </w:p>
    <w:p>
      <w:pPr>
        <w:spacing w:after="0" w:line="185"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On January 31, 2020, the U.S. Department of Defense (DOD) released the Cybersecurity Maturity Model Certification (“CMMC”) program as a framework to assess and enhance the cybersecurity posture of the Defense Industrial Base (“DIB”), particularly as it relates to controlled unclassified information (CUI) within the supply chain. CMMC is designed to ensure that contractors providing services to the U.S. DOD have implemented cybersecurity controls and processes to adequately protect information that resides on DIB systems and networks. An interim rule was issued on September 29, 2020, to amend the Defense Federal Acquisition Regulation Supplement (DFARS) by adding a new DFARS clause, 252.204-7021, which specifies CMMC requirements and enables the DOD to verify the protection of the Federal Contract Information (FCI) and CUI within the unclassified networks of DIB companies. DOD initiated an internal review and ultimately published draft “Version 2.0” of the CMMC program structure in November 2021.The DOD finalized the CNNC Program rule 32 CFR on October 15, 2024 and went into effect on December 16, 2024.</w:t>
      </w:r>
    </w:p>
    <w:p>
      <w:pPr>
        <w:spacing w:after="0" w:line="189" w:lineRule="exact"/>
        <w:rPr>
          <w:sz w:val="20"/>
          <w:szCs w:val="20"/>
          <w:color w:val="auto"/>
        </w:rPr>
      </w:pPr>
    </w:p>
    <w:p>
      <w:pPr>
        <w:ind w:firstLine="509"/>
        <w:spacing w:after="0" w:line="229" w:lineRule="auto"/>
        <w:rPr>
          <w:sz w:val="20"/>
          <w:szCs w:val="20"/>
          <w:color w:val="auto"/>
        </w:rPr>
      </w:pPr>
      <w:r>
        <w:rPr>
          <w:rFonts w:ascii="Arial" w:cs="Arial" w:eastAsia="Arial" w:hAnsi="Arial"/>
          <w:sz w:val="18"/>
          <w:szCs w:val="18"/>
          <w:color w:val="auto"/>
        </w:rPr>
        <w:t>The CMMC is codified in two parts. The first, 32 CFR defines the requirements for CMMC and grants C3PAOs (CMMC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Party Assessment Organizations) the ability to conduct CMMC assessments, and companies now have the ability to have official CMMC assessments conducted. The second is the 48 CFR. This rule will enforce the CMMC requirements in new and existing contracts and will allow the DOD to require a specific CMMC level in a solicitation or contract. This rule is currently in the adjudication/comment review process. The DOD has not yet provided details of timeliness for final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implementation of this rule. The expectation is for the rule to be completed in mid-to-late 2025. Initially, the DFARS 252.204-7012 clause required companies to self-attest their compliance with NIST 800-171, but with the implementation of CMMC, companies will be required to be officially assessed by a C3PAO or DIBCAC (Defense Industrial Base Cybersecurity Assessment Center) depending upon the certification level pursued.</w:t>
      </w:r>
    </w:p>
    <w:p>
      <w:pPr>
        <w:spacing w:after="0" w:line="17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As part of the Defense Contract Management Agency (DCMA) Joint Surveillance Voluntary Assessment (JSVA) Program, Parsons procured an authorized C3PAO, that along with the DIBCAC, conducted a High Confidence (CMMC Level 2) Assessment for the Parsons’ FedNet® Secure environment in July 2023. Parsons is currently DFARS/NIST 800-171 compliant, and we anticipate that Parsons will be CMMC Level 2 certified once the CMMC program goes into effect. All 110 control requirements and 320 control objectives with NIST 800-171 were deemed 100% satisfied as per the DIBCAC’s SPRS entry and official report. Parsons anticipates expanding the CMMC Level 2 certification to additional networks in 2025.</w:t>
      </w:r>
    </w:p>
    <w:p>
      <w:pPr>
        <w:spacing w:after="0" w:line="17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i w:val="1"/>
          <w:iCs w:val="1"/>
          <w:color w:val="auto"/>
        </w:rPr>
        <w:t xml:space="preserve">Anti-Bribery and other regulations. </w:t>
      </w:r>
      <w:r>
        <w:rPr>
          <w:rFonts w:ascii="Arial" w:cs="Arial" w:eastAsia="Arial" w:hAnsi="Arial"/>
          <w:sz w:val="18"/>
          <w:szCs w:val="18"/>
          <w:color w:val="auto"/>
        </w:rPr>
        <w:t>We are subject to the U.S. Foreign Corrupt Practices Act and similar anti-bribery laws,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prohibit companies and their intermediaries from making improper payments to foreign government officials for the purpose of obtaining or retaining business. The U.K. Bribery Act of 2010 prohibits both domestic and international bribery, as well as bribery across both private and public sectors. In addition, an organization that “fails to prevent bribery” committed by anyone associated with the organization can be charged under the U.K. Bribery Act unless the organization can establish the defense of having implemented “adequate procedures” to prevent bribery.</w:t>
      </w:r>
    </w:p>
    <w:p>
      <w:pPr>
        <w:spacing w:after="0" w:line="17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i w:val="1"/>
          <w:iCs w:val="1"/>
          <w:color w:val="auto"/>
        </w:rPr>
        <w:t>International Trade</w:t>
      </w:r>
      <w:r>
        <w:rPr>
          <w:rFonts w:ascii="Arial" w:cs="Arial" w:eastAsia="Arial" w:hAnsi="Arial"/>
          <w:sz w:val="18"/>
          <w:szCs w:val="18"/>
          <w:color w:val="auto"/>
        </w:rPr>
        <w:t>. We are subject to U.S. export control laws and regulations, including the International Traffic in Arms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or ITAR, and the Export Administration Regulations, or EAR, as well as U.S. economic and trade sanctions, including those administered and enforced by the U.S. Department of Treasury’s Office of Foreign Assets Control, or OFAC. To the extent we export items and provide services outside of the United States (or to certain parties in the United States), we must do so in compliance with these laws and regulations. These laws and regulations impose export licensing requirements, and we may not be successful in obtaining necessary licenses and other authorizations. Further, these laws and regulations restrict our ability to export items or provide services to certain countries and certain persons, including those that are the target of OFAC sanctions. Noncompliance with these or similar laws could lead to government investigations, penalties, reputational harm, and other negative consequences, and thereby could adversely affect our business and financial condition. Further, any change in these laws and regulations, or any shift in the approach to their enforcement or scope, or change to the countries, persons, or items targeted by such regulations, could potentially result in our decreased ability to export or sell items or services to existing or potential customers.</w:t>
      </w:r>
    </w:p>
    <w:p>
      <w:pPr>
        <w:spacing w:after="0" w:line="18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i w:val="1"/>
          <w:iCs w:val="1"/>
          <w:color w:val="auto"/>
        </w:rPr>
        <w:t xml:space="preserve">Environmental, Health and Safety. </w:t>
      </w:r>
      <w:r>
        <w:rPr>
          <w:rFonts w:ascii="Arial" w:cs="Arial" w:eastAsia="Arial" w:hAnsi="Arial"/>
          <w:sz w:val="18"/>
          <w:szCs w:val="18"/>
          <w:color w:val="auto"/>
        </w:rPr>
        <w:t>We are subject to federal, state and local laws and regulations relating to environmental,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safety matters, including, among other things, the handling, transport and disposal of regulated substances and wastes, including hazardous and radioactive materials; contamination by regulated substances and wastes; the types, quantities and concentration of materials that can be released into the environment; the acquisition of a permit or other approval before conducting regulated activities; the maintenance of information about hazardous materials used or produced in operations and provision of such information to employees, state and local government authorities and the public; and employee health and safety. Our previous ownership and current and previous operation of real property may subject us to liability pursuant to these laws or regulations. Under the Comprehensive Environmental Response, Compensation and Liability Act, or CERCLA, and related state laws, certain persons may be liable at sites where or from a release or threatened release of hazardous substances has occurred or is threatened.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retroactive and, under certain circumstances, joint and several, so that any responsible party may be held liable for the entire cost of investigating and remediating the release of hazardous substances. The Resource Conservation and Recovery Act, or RCRA, regulates the generation, treatment, storage,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handling, transportation and disposal of solid waste and requires states to develop programs to ensure the safe disposal of solid waste. Under RCRA, persons may be liable at sites where the past or present storage, handling, treatment, transportation, or disposal of any solid or hazardous waste may present an imminent and substantial endangerment to health or the environment. These persons can include the current owner or operator of property where disposal occurred, any persons who owned or operated the property when the disposal occurred, and any persons who disposed of, or arranged for the transportation or disposal of, hazardous substances at a contaminated property. Liability under RCRA is strict and, under certain circumstances, joint and several, so that any responsible party may be held liable for the entire cost of investigating and remediating the release of hazardous substances. Violations and liabilities with respect to environmental, health and safety laws and regulations could result in significant administrative, civil, or criminal penalties, remedial clean-ups, natural resource damages, permit modifications or revocations, operational interruptions or shutdowns and other liabilities. Additionally, Congress, state legislatures, local governing bodies and federal and state agencies frequently revise environmental laws and regulations, and any changes could result in more stringent or costly requirements for our operations. Our costs related to complying with environmental, health and safety laws and regulations have not been material in the past and are not currently material to our total operating costs or cash flows. However, if we have any violations of, or incur liabilities pursuant to these laws or regulations in the future, our financial condition and operating results could be adversely affected. In addition, in the unlikely event that we are required to fund remediation of a contaminated site, the statutory framework might allow us to pursue rights of contribution from other potentially responsible parties.</w:t>
      </w:r>
    </w:p>
    <w:p>
      <w:pPr>
        <w:spacing w:after="0" w:line="188"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maintain a compliance program designed to ensure compliance with the various regulations and requirements applicable to us. The compliance program, managed by our Chief Ethics and Compliance Counsel and overseen by our Chief Compliance Officer, includes an annual audit of performance with respect to our codes of ethics and business conduct and the adequacy of our compliance program, among other initiatives.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i w:val="1"/>
          <w:iCs w:val="1"/>
          <w:color w:val="auto"/>
        </w:rPr>
        <w:t xml:space="preserve">Carey A. Smith, age 61, </w:t>
      </w:r>
      <w:r>
        <w:rPr>
          <w:rFonts w:ascii="Arial" w:cs="Arial" w:eastAsia="Arial" w:hAnsi="Arial"/>
          <w:sz w:val="18"/>
          <w:szCs w:val="18"/>
          <w:color w:val="auto"/>
        </w:rPr>
        <w:t>was appointed Chair of the Board of Directors on January 18, 2022. She became the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on July 1, 2021 and was appointed to the board of directors in December 2020. She was initially appointed as President and Chief Operating Officer in November 2019, Chief Operating Officer in November 2018 and led Parsons’ Federal Solutions business from November 2016. Before joining Parsons, Ms. Smith served in progressive leadership roles at Honeywell International Inc. (“Honeywell”) from 2011 to 2016, including President of the Defense and Space business unit. In total, Ms. Smith has 39 years of industry experience spanning the defense, intelligence and infrastructure markets. Ms. Smith serves on the Edison International board of directors, including on the Compensation and Executive Personnel and Safety and Operations Committees. She is a National Association of Corporate Directors (NACD) Directorship (NCADD.DC) and Cyber Governance Certified. Ms. Smith received an honorary doctorate degree from Ohio Northern University, a Master of Science degree in electrical engineering from Syracuse University and a bachelor-of-science in electrical engineering from Ohio Northern University. She received the GovCon Executive of the Year award in 2023 and Parsons received GovCon Company of the Year Award in 2024. Ms. Smith was selected to serve on our board of directors because of the perspective and experience that she brings as our CEO and due to her significant industry and operations experience.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3"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 xml:space="preserve">Matthew Ofilos, age 45, </w:t>
      </w:r>
      <w:r>
        <w:rPr>
          <w:rFonts w:ascii="Arial" w:cs="Arial" w:eastAsia="Arial" w:hAnsi="Arial"/>
          <w:sz w:val="18"/>
          <w:szCs w:val="18"/>
          <w:color w:val="auto"/>
        </w:rPr>
        <w:t>was appointed Chief Financial Officer of Parsons Corporation effective July 25, 2022. Mr. Ofilos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Parsons’ executive vice president of finance and brings more than twenty years of finance experience and a proven track record of delivering profitable growth and building high-performance finance teams to the role. As executive vice president, Mr. Ofilos led the company’s financial operations, including project controls, financial planning, accounting, treasury, and financial systems. Prior to joining Parsons in 2021, he led multi-billion-dollar finance organizations, including those for Amazon Web Services (AWS) Worldwide Public Sector and Strategic Industry businesses. Prior to AWS, he held roles of increasing responsibility at Raytheon, concluding his tenure as CFO for the Space and Command &amp; Control businesses for the Intelligence, Information and Services segment. Mr. Ofilos holds a Master of Business Administration from Boston University and a Bachelor of Science from Babson College.</w:t>
      </w:r>
    </w:p>
    <w:p>
      <w:pPr>
        <w:spacing w:after="0" w:line="18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 xml:space="preserve">Michael R. Kolloway, age 64, </w:t>
      </w:r>
      <w:r>
        <w:rPr>
          <w:rFonts w:ascii="Arial" w:cs="Arial" w:eastAsia="Arial" w:hAnsi="Arial"/>
          <w:sz w:val="18"/>
          <w:szCs w:val="18"/>
          <w:color w:val="auto"/>
        </w:rPr>
        <w:t>was appointed General Counsel and Corporate Secretary of Parsons Corporation in October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later became our Chief Legal Officer in January 2019. Before assuming the role of General Counsel and Corporate Secretary, Mr. Kolloway served as Deputy General Counsel – Americas from March 2016 through October 2017. Before joining Parsons, Mr. Kolloway served as Senior Vice President and Assistant General Counsel for Operations and Risk Management at AECOM Technology Corporation, a publicly traded company. Prior to his tenure at AECOM, Mr. Kolloway was a partner in the Chicago law firm of Rock, Fusco &amp; Garvey, Ltd and a member of the Federal Trial Bar for the Northern District of Illinois. Mr. Kolloway received his Bachelor of Arts degree from St. Norbert College, his Juris Doctor from the University of Illinois College of Law and completed the General Counsel Program at the Harvard University School of Law. Mr. Kolloway served on the Board of Directors for MUSE/IQUE based in Pasadena, California. He is a member of the Association of Corporate Counsel and the In-House Mentorship Committee for the Charlotte Chapter.</w:t>
      </w:r>
    </w:p>
    <w:p>
      <w:pPr>
        <w:spacing w:after="0" w:line="183"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 xml:space="preserve">Susan Balaguer, age 55, </w:t>
      </w:r>
      <w:r>
        <w:rPr>
          <w:rFonts w:ascii="Arial" w:cs="Arial" w:eastAsia="Arial" w:hAnsi="Arial"/>
          <w:sz w:val="18"/>
          <w:szCs w:val="18"/>
          <w:color w:val="auto"/>
        </w:rPr>
        <w:t>was appointed as Chief Human Resources Officer of Parsons Corporation effective July 16, 2021. Ms.</w:t>
      </w:r>
      <w:r>
        <w:rPr>
          <w:rFonts w:ascii="Arial" w:cs="Arial" w:eastAsia="Arial" w:hAnsi="Arial"/>
          <w:sz w:val="18"/>
          <w:szCs w:val="18"/>
          <w:i w:val="1"/>
          <w:iCs w:val="1"/>
          <w:color w:val="auto"/>
        </w:rPr>
        <w:t xml:space="preserve"> </w:t>
      </w:r>
      <w:r>
        <w:rPr>
          <w:rFonts w:ascii="Arial" w:cs="Arial" w:eastAsia="Arial" w:hAnsi="Arial"/>
          <w:sz w:val="18"/>
          <w:szCs w:val="18"/>
          <w:color w:val="auto"/>
        </w:rPr>
        <w:t>Balaguer is responsible for all aspects of the human resources function, including benefits, recruitment, retention, and the employee lifecycle and employee experience for the company. Ms. Balaguer has over thirty years of extensive experience in global human resources for public and private companies, and over twelve years of experience with public and private mergers and acquisitions, private equity, and large-scale business integrations. Before joining Parsons in 2021, she served as the Chief Human Resources Officer at Serco North America and Engility. She also previously served as the senior vice president of HR operations at CACI and, for over twenty years, she held progressive HR leadership positions at Raytheon.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website (www.parsons.com).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i w:val="1"/>
          <w:iCs w:val="1"/>
          <w:color w:val="auto"/>
        </w:rPr>
        <w:t>You should carefully consider the risks described below and the other information contained in this Annual Report, including our consolidated financial statements and the related notes,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Relating to Our Business</w:t>
      </w:r>
    </w:p>
    <w:p>
      <w:pPr>
        <w:spacing w:after="0" w:line="102" w:lineRule="exact"/>
        <w:rPr>
          <w:sz w:val="20"/>
          <w:szCs w:val="20"/>
          <w:color w:val="auto"/>
        </w:rPr>
      </w:pPr>
    </w:p>
    <w:p>
      <w:pPr>
        <w:ind w:left="1020" w:right="2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spending and priorities could change in a manner that adversely affects our future revenue and limits our growth prospects.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4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62"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46"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and growth prospects may be harmed if we or our employees are unable to obtain government granted eligibility or other qualifications, we and they need to perform services for our customers.</w:t>
      </w:r>
    </w:p>
    <w:p>
      <w:pPr>
        <w:spacing w:after="0" w:line="46" w:lineRule="exact"/>
        <w:rPr>
          <w:rFonts w:ascii="Times New Roman" w:cs="Times New Roman" w:eastAsia="Times New Roman" w:hAnsi="Times New Roman"/>
          <w:sz w:val="18"/>
          <w:szCs w:val="18"/>
          <w:color w:val="auto"/>
        </w:rPr>
      </w:pPr>
    </w:p>
    <w:p>
      <w:pPr>
        <w:ind w:left="1020" w:right="56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make acquisitions, investments, joint ventures and divestitures in the future that involve numerous risks, which if realized, may adversely affect our business and our future results.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acquisitions may not achieve their full intended benefits or may disrupt our plans and operations.</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conduct a portion of our work through joint venture entities, some of which we do not have management control over, and with which we typically have joint and several liability with our joint venture partners.</w:t>
      </w:r>
    </w:p>
    <w:p>
      <w:pPr>
        <w:spacing w:after="0" w:line="46" w:lineRule="exact"/>
        <w:rPr>
          <w:rFonts w:ascii="Times New Roman" w:cs="Times New Roman" w:eastAsia="Times New Roman" w:hAnsi="Times New Roman"/>
          <w:sz w:val="18"/>
          <w:szCs w:val="18"/>
          <w:color w:val="auto"/>
        </w:rPr>
      </w:pPr>
    </w:p>
    <w:p>
      <w:pPr>
        <w:ind w:left="1020" w:right="60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earnings and profitability may vary based on the mix of our contracts and may be adversely affected by our failure to accurately estimate and manage costs, time and resources.</w:t>
      </w:r>
    </w:p>
    <w:p>
      <w:pPr>
        <w:spacing w:after="0" w:line="4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use estimates in recognizing revenues and, if we make changes to estimates used in recognizing revenues, our profitability may be adversely affected.</w:t>
      </w:r>
    </w:p>
    <w:p>
      <w:pPr>
        <w:spacing w:after="0" w:line="4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Systems that we develop, integrate, maintain, or otherwise support could experience security breaches which may damage our reputation with our clients and hinder future contract win rates.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62" w:lineRule="exact"/>
        <w:rPr>
          <w:rFonts w:ascii="Times New Roman" w:cs="Times New Roman" w:eastAsia="Times New Roman" w:hAnsi="Times New Roman"/>
          <w:sz w:val="18"/>
          <w:szCs w:val="18"/>
          <w:color w:val="auto"/>
        </w:rPr>
      </w:pPr>
    </w:p>
    <w:p>
      <w:pPr>
        <w:ind w:left="1020" w:right="18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85" w:lineRule="exact"/>
        <w:rPr>
          <w:sz w:val="20"/>
          <w:szCs w:val="20"/>
          <w:color w:val="auto"/>
        </w:rPr>
      </w:pPr>
    </w:p>
    <w:p>
      <w:pPr>
        <w:ind w:left="503" w:right="760" w:hanging="503"/>
        <w:spacing w:after="0" w:line="300" w:lineRule="auto"/>
        <w:tabs>
          <w:tab w:leader="none" w:pos="503"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23" w:lineRule="exact"/>
        <w:rPr>
          <w:rFonts w:ascii="Times New Roman" w:cs="Times New Roman" w:eastAsia="Times New Roman" w:hAnsi="Times New Roman"/>
          <w:sz w:val="17"/>
          <w:szCs w:val="17"/>
          <w:color w:val="auto"/>
        </w:rPr>
      </w:pPr>
    </w:p>
    <w:p>
      <w:pPr>
        <w:ind w:left="503" w:right="20" w:hanging="503"/>
        <w:spacing w:after="0" w:line="270" w:lineRule="auto"/>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the impact of supply chain disruption and inflation risk upon the cost of providing materials and services to customers and upon the profitability for certain contracts.</w:t>
      </w:r>
    </w:p>
    <w:p>
      <w:pPr>
        <w:spacing w:after="0" w:line="4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may be impacted by the imposition of tariffs upon markets in which we conduct business.</w:t>
      </w:r>
    </w:p>
    <w:p>
      <w:pPr>
        <w:spacing w:after="0" w:line="116" w:lineRule="exact"/>
        <w:rPr>
          <w:rFonts w:ascii="Times New Roman" w:cs="Times New Roman" w:eastAsia="Times New Roman" w:hAnsi="Times New Roman"/>
          <w:sz w:val="18"/>
          <w:szCs w:val="18"/>
          <w:color w:val="auto"/>
        </w:rPr>
      </w:pPr>
    </w:p>
    <w:p>
      <w:pPr>
        <w:ind w:left="503" w:right="320" w:hanging="503"/>
        <w:spacing w:after="0" w:line="270" w:lineRule="auto"/>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Goodwill and intangible assets represent a significant amount of our total assets, and any impairment of these assets would negatively impact our results of operations.</w:t>
      </w:r>
    </w:p>
    <w:p>
      <w:pPr>
        <w:spacing w:after="0" w:line="46" w:lineRule="exact"/>
        <w:rPr>
          <w:rFonts w:ascii="Times New Roman" w:cs="Times New Roman" w:eastAsia="Times New Roman" w:hAnsi="Times New Roman"/>
          <w:sz w:val="18"/>
          <w:szCs w:val="18"/>
          <w:color w:val="auto"/>
        </w:rPr>
      </w:pPr>
    </w:p>
    <w:p>
      <w:pPr>
        <w:ind w:left="503" w:right="220" w:hanging="503"/>
        <w:spacing w:after="0" w:line="252" w:lineRule="auto"/>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62" w:lineRule="exact"/>
        <w:rPr>
          <w:rFonts w:ascii="Times New Roman" w:cs="Times New Roman" w:eastAsia="Times New Roman" w:hAnsi="Times New Roman"/>
          <w:sz w:val="18"/>
          <w:szCs w:val="18"/>
          <w:color w:val="auto"/>
        </w:rPr>
      </w:pPr>
    </w:p>
    <w:p>
      <w:pPr>
        <w:ind w:left="503" w:right="140" w:hanging="503"/>
        <w:spacing w:after="0" w:line="252" w:lineRule="auto"/>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62" w:lineRule="exact"/>
        <w:rPr>
          <w:rFonts w:ascii="Times New Roman" w:cs="Times New Roman" w:eastAsia="Times New Roman" w:hAnsi="Times New Roman"/>
          <w:sz w:val="18"/>
          <w:szCs w:val="18"/>
          <w:color w:val="auto"/>
        </w:rPr>
      </w:pPr>
    </w:p>
    <w:p>
      <w:pPr>
        <w:ind w:left="503" w:right="260" w:hanging="503"/>
        <w:spacing w:after="0" w:line="270" w:lineRule="auto"/>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46" w:lineRule="exact"/>
        <w:rPr>
          <w:rFonts w:ascii="Times New Roman" w:cs="Times New Roman" w:eastAsia="Times New Roman" w:hAnsi="Times New Roman"/>
          <w:sz w:val="18"/>
          <w:szCs w:val="18"/>
          <w:color w:val="auto"/>
        </w:rPr>
      </w:pPr>
    </w:p>
    <w:p>
      <w:pPr>
        <w:ind w:left="503" w:right="400" w:hanging="503"/>
        <w:spacing w:after="0" w:line="252" w:lineRule="auto"/>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have operations in the Middle East, neighboring regions, and other regions across the globe, and these regions may experience turmoil, political upheaval and similar crises that may impact our current projects, future business, and financial stability.</w:t>
      </w:r>
    </w:p>
    <w:p>
      <w:pPr>
        <w:spacing w:after="0" w:line="6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realize the full value of our backlog, which may result in lower-than-expected revenue.</w:t>
      </w:r>
    </w:p>
    <w:p>
      <w:pPr>
        <w:spacing w:after="0" w:line="116" w:lineRule="exact"/>
        <w:rPr>
          <w:rFonts w:ascii="Times New Roman" w:cs="Times New Roman" w:eastAsia="Times New Roman" w:hAnsi="Times New Roman"/>
          <w:sz w:val="18"/>
          <w:szCs w:val="18"/>
          <w:color w:val="auto"/>
        </w:rPr>
      </w:pPr>
    </w:p>
    <w:p>
      <w:pPr>
        <w:ind w:left="503" w:right="100" w:hanging="503"/>
        <w:spacing w:after="0" w:line="252" w:lineRule="auto"/>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62" w:lineRule="exact"/>
        <w:rPr>
          <w:rFonts w:ascii="Times New Roman" w:cs="Times New Roman" w:eastAsia="Times New Roman" w:hAnsi="Times New Roman"/>
          <w:sz w:val="18"/>
          <w:szCs w:val="18"/>
          <w:color w:val="auto"/>
        </w:rPr>
      </w:pPr>
    </w:p>
    <w:p>
      <w:pPr>
        <w:ind w:left="503" w:right="380" w:hanging="503"/>
        <w:spacing w:after="0" w:line="270" w:lineRule="auto"/>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extreme weather events, including floods, hurricanes, droughts, and wildfires, including as a result of climate change or supply shortages, could have an adverse impact on our business and operations.</w:t>
      </w:r>
    </w:p>
    <w:p>
      <w:pPr>
        <w:spacing w:after="0" w:line="46" w:lineRule="exact"/>
        <w:rPr>
          <w:rFonts w:ascii="Times New Roman" w:cs="Times New Roman" w:eastAsia="Times New Roman" w:hAnsi="Times New Roman"/>
          <w:sz w:val="18"/>
          <w:szCs w:val="18"/>
          <w:color w:val="auto"/>
        </w:rPr>
      </w:pPr>
    </w:p>
    <w:p>
      <w:pPr>
        <w:ind w:left="503" w:hanging="503"/>
        <w:spacing w:after="0" w:line="237" w:lineRule="auto"/>
        <w:tabs>
          <w:tab w:leader="none" w:pos="5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results of operations, financial condition, cash flows and stock price can be adversely affected by pandemics, epidemics, or other public health emergencies, such as the global COVID-19 pandemic and variants thereof. The pandemic resulted in governments around the world implementing increasingly stringent measures to help control the spread of the virus, including quarantines, “shelter in place” and “stay at home” orders, travel restrictions, business curtailments, school closures, and other measures. While many of these restrictions have been removed or reduced, the spread of new variants or viruses may result in the imposition of additional restrictions. In addition, governments and central banks in several parts of the world have enacted, or may enact in the future, fiscal and monetary stimulus measures to counteract the impacts of any such emergency. The extent to which any emergency may impact our business will depend on future developments, which are highly uncertain and unpredictable, and the resultant financial impact cannot be estimated reasonably at this time but may materially adversely affect our ability to collect accounts receivables and our business, results of operations, financial condition and cash flows. Further, the economic impact of such events may cause extreme volatility in financial and other capital markets which may continue to adversely impact our stock price and our ability to access capital markets. Health emergencies may also have the effect of heightening many of</w:t>
      </w:r>
    </w:p>
    <w:p>
      <w:pPr>
        <w:spacing w:after="0" w:line="200" w:lineRule="exact"/>
        <w:rPr>
          <w:sz w:val="20"/>
          <w:szCs w:val="20"/>
          <w:color w:val="auto"/>
        </w:rPr>
      </w:pPr>
    </w:p>
    <w:p>
      <w:pPr>
        <w:spacing w:after="0" w:line="220"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440" w:right="419" w:bottom="1440" w:gutter="0" w:footer="0" w:header="0"/>
        </w:sectPr>
      </w:pPr>
    </w:p>
    <w:bookmarkStart w:id="28" w:name="page29"/>
    <w:bookmarkEnd w:id="28"/>
    <w:p>
      <w:pPr>
        <w:spacing w:after="0" w:line="85" w:lineRule="exact"/>
        <w:rPr>
          <w:sz w:val="20"/>
          <w:szCs w:val="20"/>
          <w:color w:val="auto"/>
        </w:rPr>
      </w:pPr>
    </w:p>
    <w:p>
      <w:pPr>
        <w:ind w:left="1020" w:right="180"/>
        <w:spacing w:after="0" w:line="271" w:lineRule="auto"/>
        <w:rPr>
          <w:sz w:val="20"/>
          <w:szCs w:val="20"/>
          <w:color w:val="auto"/>
        </w:rPr>
      </w:pPr>
      <w:r>
        <w:rPr>
          <w:rFonts w:ascii="Arial" w:cs="Arial" w:eastAsia="Arial" w:hAnsi="Arial"/>
          <w:sz w:val="18"/>
          <w:szCs w:val="18"/>
          <w:color w:val="auto"/>
        </w:rPr>
        <w:t>the other risks described in this Annual Report on Form 10-K for the year ended December 31, 2023, such as those relating to government spending and priorities.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Our Common Stock</w:t>
      </w:r>
    </w:p>
    <w:p>
      <w:pPr>
        <w:spacing w:after="0" w:line="102" w:lineRule="exact"/>
        <w:rPr>
          <w:sz w:val="20"/>
          <w:szCs w:val="20"/>
          <w:color w:val="auto"/>
        </w:rPr>
      </w:pPr>
    </w:p>
    <w:p>
      <w:pPr>
        <w:ind w:left="1020" w:right="16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Your ability to influence corporate matters may be limited because the ESOP beneficially owns a majority of our stock and therefore our employees, voting the shares allocated to them under the ESOP, or the ESOP Trustee, who will have the right to vote shares for which no voting instructions are provided by employees, could have substantial control over us.</w:t>
      </w:r>
    </w:p>
    <w:p>
      <w:pPr>
        <w:spacing w:after="0" w:line="62"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Government Contracts</w:t>
      </w:r>
    </w:p>
    <w:p>
      <w:pPr>
        <w:spacing w:after="0" w:line="214"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Government spending and priorities could change in a manner that adversely affects our future revenue and limits our growth prospects.</w:t>
      </w:r>
    </w:p>
    <w:p>
      <w:pPr>
        <w:spacing w:after="0" w:line="31"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derive, and expect to continue to derive, a significant portion of our revenue from contracts with government entities. As a result, our business depends upon continued government expenditures on defense, intelligence, civil and engineering programs for which we provide support, both among foreign governments and at federal, state and local levels domestically. These expenditures have not remained constant over time. Our business, prospects, financial condition or operating results could be materially harmed, among other causes, by the following:</w:t>
      </w:r>
    </w:p>
    <w:p>
      <w:pPr>
        <w:spacing w:after="0" w:line="68" w:lineRule="exact"/>
        <w:rPr>
          <w:sz w:val="20"/>
          <w:szCs w:val="20"/>
          <w:color w:val="auto"/>
        </w:rPr>
      </w:pPr>
    </w:p>
    <w:p>
      <w:pPr>
        <w:ind w:left="1020" w:right="60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budgetary constraints, including mandated automatic spending cuts, affecting across-the-board government spending, or specific agencies in particular, and changes in available funding;</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 shift in expenditures away from agencies or programs that we support;</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reduced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efforts to improve efficiency and reduce costs affecting government programs;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or delays in government programs that we support or the programs’ requirements;</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U.S. government shutdowns due to, among other reasons, a failure by elected officials to fund the government, such as the shutdowns which occurred during government fiscal years 2019 and 2014 and, to a lesser extent, government fiscal year 2018, and other potential delays in the appropriations process;</w:t>
      </w:r>
    </w:p>
    <w:p>
      <w:pPr>
        <w:spacing w:after="0" w:line="62"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resolutions (CRs) which are temporary spending bills that allow federal government operations to continue when final appropriations have not been enacted. CRs generally continue the level of funding from the prior year’s appropriations or the previously approved CR from the current year;</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U.S. government agencies awarding contracts on a technically acceptable/lowest cost basis in order to reduce expenditures;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payment of our invoices by government payment offices;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elections, including politicians who may have priorities that would reduce spending in areas in which we operate;</w:t>
      </w:r>
    </w:p>
    <w:p>
      <w:pPr>
        <w:spacing w:after="0" w:line="116" w:lineRule="exact"/>
        <w:rPr>
          <w:rFonts w:ascii="Times New Roman" w:cs="Times New Roman" w:eastAsia="Times New Roman" w:hAnsi="Times New Roman"/>
          <w:sz w:val="18"/>
          <w:szCs w:val="18"/>
          <w:color w:val="auto"/>
        </w:rPr>
      </w:pPr>
    </w:p>
    <w:p>
      <w:pPr>
        <w:ind w:left="1020" w:right="58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an inability by the U.S. government to fund its operations as a result of a failure to increase the federal government’s debt ceiling, a credit downgrade of U.S. government obligations or for any other reason; and</w:t>
      </w:r>
    </w:p>
    <w:p>
      <w:pPr>
        <w:spacing w:after="0" w:line="46" w:lineRule="exact"/>
        <w:rPr>
          <w:rFonts w:ascii="Times New Roman" w:cs="Times New Roman" w:eastAsia="Times New Roman" w:hAnsi="Times New Roman"/>
          <w:sz w:val="18"/>
          <w:szCs w:val="18"/>
          <w:color w:val="auto"/>
        </w:rPr>
      </w:pPr>
    </w:p>
    <w:p>
      <w:pPr>
        <w:ind w:left="1020" w:right="26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171"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Any disruption in the functioning of government agencies, including as a result of government closures and shutdowns, terrorism, war, natural disasters, destruction of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174"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In particular, with regard to our largest single customer, the U.S. federal government, budget deficits, the national debt and the prevailing economic condition, and actions taken to address them, could negatively affect the U.S. government expenditures on defense, intelligence, and civil programs for which we provide support. Two customer sets within the federal government exceeded 20% of Parsons’ revenue during 2024. Parsons was awarded the second option year to continue our contract with a confidential customer through February 2026. However, a related program performed by others has recently been paused, which impacts our ability to complete the scope of our mission. The long-term continuation of our contract is contingent on the related program restarting. If the project is halted, it would have a material adverse impact.</w:t>
      </w:r>
    </w:p>
    <w:p>
      <w:pPr>
        <w:spacing w:after="0" w:line="18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Most government contracts are subject to the government’s budgetary approval process. Legislatures typically appropriate funds for a given program on a year-by-year basis, even though contract performance may take more than one year. In addition, public-supported financing such as state and local municipal bonds may be only partially raised to support existing infrastructure projects. As a result, at the beginning of a program, the related contract is only partially funded, and additional funding is normally committed only as appropriations are made in each fiscal year. These appropriations, and the timing of payment of appropriated amounts, may be influenced by, among other things, the state of the economy, competing priorities for appropriation, changes in administration or control of legislatures and the timing and amount of tax receipts and the overall level of government expenditures. Similarly, the impact of an economic downturn on state and local governments may make it more difficult for them to fund infrastructure projects. If appropriations are not made in subsequent years on our government contracts, then we will not realize all of our potential revenue and profit from that contract, and we may incur substantial labor costs without reimbursement.</w:t>
      </w:r>
    </w:p>
    <w:p>
      <w:pPr>
        <w:spacing w:after="0" w:line="18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Government funding with respect to our Critical Infrastructure services fluctuates over time and new or changing government policies and priorities may affect our Critical Infrastructure business and operations. Government spending for our Critical Infrastructure services may also depend on factors related to government demand, such as the condition of the existing infrastructure and buildings and the need for new or expanded infrastructure and buildings. Our government clients may face budget cuts or deficits that prohibit them from funding proposed and existing Critical Infrastructure projects.</w:t>
      </w:r>
    </w:p>
    <w:p>
      <w:pPr>
        <w:spacing w:after="0" w:line="176"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These or other factors could cause our defense, intelligence, infrastructure or civil clients to decrease the number of new government contracts awarded generally and fail to award us new government contracts, reduce their purchases under our existing government contracts, exercise their right to terminate our government contracts or not exercise options to renew our government contracts, any of which could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03"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U.S. federal government and its agencies, including the military and intelligence community, collectively are our largest customer. In particular, it represents substantially all of the revenue of our Federal Solutions segment. Approximately 23% and 18% of accounts receivable as of December 31, 2024 and December 31, 2023, respectively were derived from contracts with the U.S. federal government and its agencies. Our reputation and relationships with various U.S. government entities and agencies, including the U.S. Department of Defense, the U.S. Department of State, the Federal Aviation Administration, the United States Intelligence Community, and other federal civilian customers are key factors in maintaining and growing these revenues and winning new bids for new business. Negative press reports or publicity, regardless of accuracy, could harm our reputation. If our reputation or relationships with government agencies were to be negatively affected, or if we are suspended or debarred from contracting with government agencies for any reason, the amount of business with government and other customers would decrease and our financial condition and results of operations could be adversely affected.</w:t>
      </w:r>
    </w:p>
    <w:p>
      <w:pPr>
        <w:spacing w:after="0" w:line="2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5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We must comply with various laws and regulations relating to the formation, administration, and performance of government contracts, which affect how we do business with our customers and may impose added costs on our business.</w:t>
      </w:r>
    </w:p>
    <w:p>
      <w:pPr>
        <w:spacing w:after="0" w:line="15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Many of our U.S. government contracts contain organizational conflict of interest, or OCI, clauses that may limit our ability to compete for or perform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spacing w:after="0" w:line="17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Some U.S. federal and state statutes and regulations provide for automatic debarment based on our actions, such as violations of the U.S. False Claims Act or the U.S. Foreign Corrupt Practices Act, or FCPA. The suspension or debarment in any particular case may be limited to the facility, contract or subsidiary involved in the violation or could be applied to our entire enterprise in severe circumstances. Even a narrow scope suspension or debarment could result in negative publicity that could adversely affect our ability to renew contracts and to secure new contracts, both with governments and private customers, which could materially and adversely affect our business, financial condition and results of operations.</w:t>
      </w:r>
    </w:p>
    <w:p>
      <w:pPr>
        <w:spacing w:after="0" w:line="28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Governments may adopt new contract rules and regulations or revise their procurement practices in a manner adverse to us at any time.</w:t>
      </w:r>
    </w:p>
    <w:p>
      <w:pPr>
        <w:spacing w:after="0" w:line="3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government-related industries within which we do business continue to experience significant changes to business practices as a result of an increased focus on affordability, efficiencies and recovery of costs, among other items. Our existing and potential clients are similarly focused on increasing the productivity of their contractual arrangements. Moreover,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Moreover, shifts in the buying practices of government agencies, such as increased usage of fixed price contracts, multiple award contracts and small business set-aside contracts, could have adverse effects on government contractors, including us. Any of these changes could impair our ability to obtain new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contracts or contract renewals. Any new contracting requirements or procurement methods could be costly or administratively difficult for us to implement and could adversely affect our business, financial condition and results of operations.</w:t>
      </w:r>
    </w:p>
    <w:p>
      <w:pPr>
        <w:spacing w:after="0" w:line="264" w:lineRule="exact"/>
        <w:rPr>
          <w:sz w:val="20"/>
          <w:szCs w:val="20"/>
          <w:color w:val="auto"/>
        </w:rPr>
      </w:pPr>
    </w:p>
    <w:p>
      <w:pPr>
        <w:ind w:right="680"/>
        <w:spacing w:after="0" w:line="278" w:lineRule="auto"/>
        <w:rPr>
          <w:sz w:val="20"/>
          <w:szCs w:val="20"/>
          <w:color w:val="auto"/>
        </w:rPr>
      </w:pPr>
      <w:r>
        <w:rPr>
          <w:rFonts w:ascii="Arial" w:cs="Arial" w:eastAsia="Arial" w:hAnsi="Arial"/>
          <w:sz w:val="18"/>
          <w:szCs w:val="18"/>
          <w:b w:val="1"/>
          <w:bCs w:val="1"/>
          <w:i w:val="1"/>
          <w:iCs w:val="1"/>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Government agencies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U.S. government Cost Accounting Standards, or CAS, can result in decremented billing rates to U.S. government customers until the control deficiencies are corrected and their remediation is accepted by the Defense Contract Management Agency.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183"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If a review or investigation by a government agency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industries. If we incur a material penalty or administrative sanction or otherwise suffer harm to our reputation, our profitability, cash position and future prospects could be adversely affected.</w:t>
      </w:r>
    </w:p>
    <w:p>
      <w:pPr>
        <w:spacing w:after="0" w:line="17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and those refunds would negatively impact our revenue.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government.</w:t>
      </w:r>
    </w:p>
    <w:p>
      <w:pPr>
        <w:spacing w:after="0" w:line="2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5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Government contracts often contain provisions and are subject to laws and regulations that provide government clients with rights and remedies not typically found in commercial contracts. These rights and remedies allow government clients, among other things, to:</w:t>
      </w:r>
    </w:p>
    <w:p>
      <w:pPr>
        <w:spacing w:after="0" w:line="4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terminate existing contracts, with short notice, for convenience as well as for default;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reduce orders under or otherwise modify contracts;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85" w:lineRule="exact"/>
        <w:rPr>
          <w:sz w:val="20"/>
          <w:szCs w:val="20"/>
          <w:color w:val="auto"/>
        </w:rPr>
      </w:pPr>
    </w:p>
    <w:p>
      <w:pPr>
        <w:ind w:left="1020" w:right="6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for contracts subject to the Truthful Cost and Pricing statute, reduce the contract price or cost where it was increased because a contractor or subcontractor furnished cost or pricing data during negotiations that was not complete, accurate and current;</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for some contracts, (1) demand a refund, make a forward price adjustment or terminate a contract for default if a contractor provided inaccurate or incomplete data during the contract negotiation process and (2) reduce the contract price under triggering circumstances, including the revision of price lists or other documents upon which the contract award was predicated;</w:t>
      </w:r>
    </w:p>
    <w:p>
      <w:pPr>
        <w:spacing w:after="0" w:line="62" w:lineRule="exact"/>
        <w:rPr>
          <w:rFonts w:ascii="Times New Roman" w:cs="Times New Roman" w:eastAsia="Times New Roman" w:hAnsi="Times New Roman"/>
          <w:sz w:val="18"/>
          <w:szCs w:val="18"/>
          <w:color w:val="auto"/>
        </w:rPr>
      </w:pPr>
    </w:p>
    <w:p>
      <w:pPr>
        <w:ind w:left="1020" w:right="56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terminate our facility security clearances and thereby prevent us from receiving classified contracts and complete work on existing contracts;</w:t>
      </w:r>
    </w:p>
    <w:p>
      <w:pPr>
        <w:spacing w:after="0" w:line="46" w:lineRule="exact"/>
        <w:rPr>
          <w:rFonts w:ascii="Times New Roman" w:cs="Times New Roman" w:eastAsia="Times New Roman" w:hAnsi="Times New Roman"/>
          <w:sz w:val="18"/>
          <w:szCs w:val="18"/>
          <w:color w:val="auto"/>
        </w:rPr>
      </w:pPr>
    </w:p>
    <w:p>
      <w:pPr>
        <w:ind w:left="1020" w:right="88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cancel multi-year contracts and related task orders if funds for contract performance for any subsequent year become unavailable;</w:t>
      </w:r>
    </w:p>
    <w:p>
      <w:pPr>
        <w:spacing w:after="0" w:line="46"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decline to exercise an option to renew a multi-year contract or issue task orders in connection with indefinite delivery/indefinite quantity contracts, or IDIQ contracts;</w:t>
      </w:r>
    </w:p>
    <w:p>
      <w:pPr>
        <w:spacing w:after="0" w:line="46" w:lineRule="exact"/>
        <w:rPr>
          <w:rFonts w:ascii="Times New Roman" w:cs="Times New Roman" w:eastAsia="Times New Roman" w:hAnsi="Times New Roman"/>
          <w:sz w:val="18"/>
          <w:szCs w:val="18"/>
          <w:color w:val="auto"/>
        </w:rPr>
      </w:pPr>
    </w:p>
    <w:p>
      <w:pPr>
        <w:jc w:val="both"/>
        <w:ind w:left="1020" w:right="6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claim rights in solutions, systems and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62"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62" w:lineRule="exact"/>
        <w:rPr>
          <w:rFonts w:ascii="Times New Roman" w:cs="Times New Roman" w:eastAsia="Times New Roman" w:hAnsi="Times New Roman"/>
          <w:sz w:val="18"/>
          <w:szCs w:val="18"/>
          <w:color w:val="auto"/>
        </w:rPr>
      </w:pPr>
    </w:p>
    <w:p>
      <w:pPr>
        <w:jc w:val="both"/>
        <w:ind w:left="1020" w:right="38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debar us from doing business with the applicable government;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control or prohibit the export of our services.</w:t>
      </w:r>
    </w:p>
    <w:p>
      <w:pPr>
        <w:spacing w:after="0" w:line="22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government client were to unexpectedly terminate, cancel, or decline to exercise an option to renew with respect to one or more of our significant contracts, or suspend or debar us from doing business with such government, our revenue and operating results would be materially harmed.</w:t>
      </w:r>
    </w:p>
    <w:p>
      <w:pPr>
        <w:spacing w:after="0" w:line="286"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Our revenue and growth prospects may be harmed if we or our employees are unable to obtain government granted eligibility or other qualifications, we and they need to perform services for our customers.</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 number of government programs require contractors to have certain kinds of government granted eligibility, such as security clearance credentials. Depending on the project, eligibility can be difficult and time-consuming to obtain. If we or our employees are unable to obtain or retain the necessary eligibility, including local ownership requirements, we may not be able to win new business, and our existing customers could terminate their contracts with us or decide not to renew them. To the extent we cannot obtain or maintain the required security clearances for our employees working on a particular contract, we may not derive the revenue or profit anticipated from such contract.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Operations and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could suffer if we are not able to timely and effectively utilize our employees or manage our cost structure.</w:t>
      </w:r>
    </w:p>
    <w:p>
      <w:pPr>
        <w:spacing w:after="0" w:line="102"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46" w:lineRule="exact"/>
        <w:rPr>
          <w:sz w:val="20"/>
          <w:szCs w:val="20"/>
          <w:color w:val="auto"/>
        </w:rPr>
      </w:pPr>
    </w:p>
    <w:p>
      <w:pPr>
        <w:ind w:left="1020" w:right="78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transition employees from completed projects to new assignments and to hire, assimilate and deploy new employees;</w:t>
      </w:r>
    </w:p>
    <w:p>
      <w:pPr>
        <w:spacing w:after="0" w:line="46" w:lineRule="exact"/>
        <w:rPr>
          <w:rFonts w:ascii="Times New Roman" w:cs="Times New Roman" w:eastAsia="Times New Roman" w:hAnsi="Times New Roman"/>
          <w:sz w:val="18"/>
          <w:szCs w:val="18"/>
          <w:color w:val="auto"/>
        </w:rPr>
      </w:pPr>
    </w:p>
    <w:p>
      <w:pPr>
        <w:ind w:left="1020" w:right="40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forecast demand for our services and to maintain and deploy headcount that is aligned with demand, including employees with the right mix of skills and experience to support our projects;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employees’ ability to obtain or retain necessary security clearances or required certifications;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or delays or cancellations of projects, as a result of governmental budgetary processes or otherwise;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manage attrition;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upon the cost of services and materials provided to customers;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devote time and resources to training, business development, and other non-chargeable activities.</w:t>
      </w:r>
    </w:p>
    <w:p>
      <w:pPr>
        <w:spacing w:after="0" w:line="22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If our employees are under-utilized, our profit margin and profitability could suffer. Additionally, if our employees are over-utilized, it could have a material adverse effect on employee morale and attrition, which would in turn have a material adverse impact on our business, financial condition or results of operations.</w:t>
      </w:r>
    </w:p>
    <w:p>
      <w:pPr>
        <w:spacing w:after="0" w:line="169" w:lineRule="exact"/>
        <w:rPr>
          <w:sz w:val="20"/>
          <w:szCs w:val="20"/>
          <w:color w:val="auto"/>
        </w:rPr>
      </w:pPr>
    </w:p>
    <w:p>
      <w:pPr>
        <w:ind w:right="360" w:firstLine="509"/>
        <w:spacing w:after="0" w:line="247" w:lineRule="auto"/>
        <w:rPr>
          <w:sz w:val="20"/>
          <w:szCs w:val="20"/>
          <w:color w:val="auto"/>
        </w:rPr>
      </w:pPr>
      <w:r>
        <w:rPr>
          <w:rFonts w:ascii="Arial" w:cs="Arial" w:eastAsia="Arial" w:hAnsi="Arial"/>
          <w:sz w:val="18"/>
          <w:szCs w:val="18"/>
          <w:color w:val="auto"/>
        </w:rPr>
        <w:t>Our profitability is also affected by the extent to which we are able to effectively manage our overall cost structure for operating expenses, such as wages and benefits, real estate expenses, overhead and capital and other investment-related expenditures. If we are unable to effectively manage our costs and expenses and achieve efficiencies, our competitiveness and profitability may be adversely affected.</w:t>
      </w:r>
    </w:p>
    <w:p>
      <w:pPr>
        <w:spacing w:after="0" w:line="284"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3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focused on growing our presence in our addressable markets by enhancing and optimizing our core operations, extending into opportunity-rich adjacent markets and acquiring and integrating transformative, disruptive technologies. These efforts entail inherent risks associated with innovation and competition from other participants in those areas, potential failure to help our clients respond to the challenges they face, our ability to comply with uncertain evolving legal standards applicable to some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described in additional detail below.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8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our financial condition.</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addition, our ability to grow our business by leveraging our operating model to deploy our people efficiently and effectively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financial condition and results of operations.</w:t>
      </w:r>
    </w:p>
    <w:p>
      <w:pPr>
        <w:spacing w:after="0" w:line="176"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financial condition and results of operations.</w:t>
      </w:r>
    </w:p>
    <w:p>
      <w:pPr>
        <w:spacing w:after="0" w:line="289"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have submitted claims and change orders to clients for work we performed beyond the initial scope of some of our contracts. If these clients do not approve these claims and change orders, our results of operations could be adversely impacted.</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typically have pending claims and change orders submitted under some of our contracts for payment of work performed beyond the initial contractual requirements for which we have already recorded revenue. Our client may dispute these change orders and claims, and we cannot guarantee that such claims will be approved in whole, in part, or at all. Often, these claims and disputes can be the subject of lengthy arbitration or litigation proceedings, and it is difficult to accurately predict when these claims and disputes will be fully resolved. We may also renegotiate contracts to address these additional costs. When these types of events occur, we have used working capital in projects to cover cost overruns. If our claims are not approved or resolved, our revenue may be reduced in future periods.</w:t>
      </w:r>
    </w:p>
    <w:p>
      <w:pPr>
        <w:spacing w:after="0" w:line="28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b w:val="1"/>
          <w:bCs w:val="1"/>
          <w:i w:val="1"/>
          <w:iCs w:val="1"/>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5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design and develop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 Our offerings cannot be tested and proven in all situations and are otherwise subject to unforeseen problems that could negatively affect revenue and profitability such as problems with governmental inaction, quality and workmanship, delivery of subcontractor components or services, unplanned degradation of product performance, unavailability of vendor materials and changes in the project scope requested by our clients. Among the factors that may adversely affect our business, financial condition or results of operations could be unforeseen costs and expenses not covered by insurance or indemnification from the customer, diversion of management focus in responding to unforeseen problems, loss of follow-on work, damage to our reputation and repayment to the customer of contract cost and fee payments we previously received.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30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We face aggressive competition that can impact our ability to obtain contracts and may affect our future revenues, profitability and growth prospects.</w:t>
      </w:r>
    </w:p>
    <w:p>
      <w:pPr>
        <w:spacing w:after="0" w:line="3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For example,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 award contracts. Our failure to compete effectively in this procurement environment would adversely affect our business, financial condition and results of operations.</w:t>
      </w:r>
    </w:p>
    <w:p>
      <w:pPr>
        <w:spacing w:after="0" w:line="186"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Projects may be awarded based solely upon price, but often take into account other factors, such as technical qualifications, proposed project team, schedule and past performance on similar projects. We compete with larger companies that have greater name recognition, financial resources and larger technical staffs and with smaller, more specialized companies that are able to concentrate their resources on particular areas. Additionally, we may compete with a government’s own capabilities. Technology-focused companies may also develop products and services that could disrupt our business or compete with our services. To remain competitive, we must consistently provide superior service, technology and performance on a cost-effective basis to our customers and there is no assurance that we will do so.</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global tax laws or their interpretation could have a material impact on our effective income tax rate.</w:t>
      </w:r>
    </w:p>
    <w:p>
      <w:pPr>
        <w:spacing w:after="0" w:line="212" w:lineRule="exact"/>
        <w:rPr>
          <w:sz w:val="20"/>
          <w:szCs w:val="20"/>
          <w:color w:val="auto"/>
        </w:rPr>
      </w:pPr>
    </w:p>
    <w:p>
      <w:pPr>
        <w:ind w:right="200" w:firstLine="509"/>
        <w:spacing w:after="0" w:line="255" w:lineRule="auto"/>
        <w:rPr>
          <w:sz w:val="20"/>
          <w:szCs w:val="20"/>
          <w:color w:val="auto"/>
        </w:rPr>
      </w:pPr>
      <w:r>
        <w:rPr>
          <w:rFonts w:ascii="Arial" w:cs="Arial" w:eastAsia="Arial" w:hAnsi="Arial"/>
          <w:sz w:val="17"/>
          <w:szCs w:val="17"/>
          <w:color w:val="auto"/>
        </w:rPr>
        <w:t>We are subject to income taxes in the U.S. and numerous foreign jurisdictions. Accordingly, our effective tax rate is impacted by changes in the mix among earnings in countries with differing tax rates. Due to economic and political conditions, many tax jurisdictions, including the U.S., have called for comprehensive changes to fiscal and tax policies that could significantly impact how we are taxed on our domestic and foreign earnings. Such changes, if enacted into law, could increase our effective tax rate and have a material adverse impact on our financial condition and results of operations. For example, the Organization for Economic Co-Operation and Development continues to advance proposals for modernizing international tax rules, including the release of global minimum tax standards referred to as the Pillar Two Model Rules (and also referred to as the Global Anti-Base Erosion (“GloBE” rules). Several jurisdictions in which we operate have enacted these rules, some of which became effective for the Company’s 2024 fiscal year. The Company has considered the impact of the GloBE implementation in its provision for income taxes and continues to monitor the impacts of the GloBE rules implementation.</w:t>
      </w:r>
    </w:p>
    <w:p>
      <w:pPr>
        <w:spacing w:after="0" w:line="169"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We are also subject regularly to examination by tax authorities. Although we believe that our positions are reasonable, they could be materially affected by many factors, including the final outcome of tax audits, introduction of new tax legislation or regulations and related interpretations. We regularly assess the likelihood of an adverse outcome resulting from these examinations to determine the adequacy of our provision for taxes. There can be no assurance as to the outcome of these examinations. If the ultimate determination of our taxes owed is for an amount in excess of amounts previously accrued, our financial condition and results operation could be materially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Acquisitions and Joint Ventures</w:t>
      </w:r>
    </w:p>
    <w:p>
      <w:pPr>
        <w:spacing w:after="0" w:line="21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may make acquisitions, investments, joint ventures and divestitures in the future that involve numerous risks, which if realized, may adversely affect our business and our future results.</w:t>
      </w:r>
    </w:p>
    <w:p>
      <w:pPr>
        <w:spacing w:after="0" w:line="3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may make strategic acquisitions, engage in joint ventures or divest existing businesses, which could cause us to incur unforeseen expenses and have disruptive effects on our business and may not yield the benefits we expect. Our Credit Agreement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68" w:lineRule="exact"/>
        <w:rPr>
          <w:sz w:val="20"/>
          <w:szCs w:val="20"/>
          <w:color w:val="auto"/>
        </w:rPr>
      </w:pPr>
    </w:p>
    <w:p>
      <w:pPr>
        <w:ind w:left="1020" w:right="34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retain key employees (including those with needed security clearances), customers and business partners of an acquired business in the future;</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successfully integrate acquired businesses, such as failing to successfully integrate information technology and other control systems relating to the operations of any acquired business;</w:t>
      </w:r>
    </w:p>
    <w:p>
      <w:pPr>
        <w:spacing w:after="0" w:line="46"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normally require a significant investment of time and resources, which may disrupt our business and distract our management from other important responsibilities;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5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If any acquisitions, investments or joint ventures fail, perform poorly or their value is otherwise impaired for any reason, including contractions in credit markets and global economic conditions, our business, financial condition and results of operations could be adversely affected.</w:t>
      </w:r>
    </w:p>
    <w:p>
      <w:pPr>
        <w:spacing w:after="0" w:line="169" w:lineRule="exact"/>
        <w:rPr>
          <w:sz w:val="20"/>
          <w:szCs w:val="20"/>
          <w:color w:val="auto"/>
        </w:rPr>
      </w:pPr>
    </w:p>
    <w:p>
      <w:pPr>
        <w:ind w:right="340" w:firstLine="509"/>
        <w:spacing w:after="0" w:line="242" w:lineRule="auto"/>
        <w:rPr>
          <w:sz w:val="20"/>
          <w:szCs w:val="20"/>
          <w:color w:val="auto"/>
        </w:rPr>
      </w:pPr>
      <w:r>
        <w:rPr>
          <w:rFonts w:ascii="Arial" w:cs="Arial" w:eastAsia="Arial" w:hAnsi="Arial"/>
          <w:sz w:val="18"/>
          <w:szCs w:val="18"/>
          <w:color w:val="auto"/>
        </w:rPr>
        <w:t>In addition, we may periodically divest or plan to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business, financial condition or results of operations. When we determine that we would like to divest a business, we may not be able to divest that business on attractive terms or at all.</w:t>
      </w:r>
    </w:p>
    <w:p>
      <w:pPr>
        <w:spacing w:after="0" w:line="28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conduct a portion of our work through joint venture entities, some of which we do not have management control over, and with which we typically have joint and several liability with our joint venture partners.</w:t>
      </w:r>
    </w:p>
    <w:p>
      <w:pPr>
        <w:spacing w:after="0" w:line="3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12% of our revenue during fiscal 2024, 13% of our revenue during fiscal 2023 and 12% of our revenue during fiscal 2022 was derived from our operations through consolidated joint ventures. In addition, 2.7% of our revenue during fiscal 2024, 3.9% of our revenue during fiscal 2023 and 5.1% of our revenues in fiscal 2022 related to services we provided to our unconsolidated joint ventures, where control resides with unaffiliated third parties, and 5.5% of our operating income during fiscal 2024, 16.6% of our operating income during fiscal 2023 and 8.8% of our operating income during fiscal 2022 was derived from equity in our unconsolidated joint ventures. As with most joint venture arrangements, differences in views among the joint venture participants may result in delayed decisions or disputes. We also cannot control the actions of our joint venture partners and we typically have joint and several liability with our joint venture partners under the applicable contracts for joint venture projects. These factors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could potentially adversely impact the business and operations of a joint venture and, in turn, our business and operations.</w:t>
      </w:r>
    </w:p>
    <w:p>
      <w:pPr>
        <w:spacing w:after="0" w:line="21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Operating through joint ventures in which we are a minority holder results in us having limited control over many decisions made with respect to projects and internal controls relating to projects. We generally do not have control of these unconsolidated joint ventures. These joint ventures may not be subject to the same requirements regarding internal controls and internal control over financial reporting that we follow. As a result, internal control problems may arise with respect to these joint ventures, which could have a material adverse effect on our business, financial condition and results of operations and could also affect our reputation in the industries we serve.</w:t>
      </w:r>
    </w:p>
    <w:p>
      <w:pPr>
        <w:spacing w:after="0" w:line="28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participate in joint ventures where we provide guarantees and may be adversely impacted by the failure of such joint venture or its participants to fulfill their obligations.</w:t>
      </w:r>
    </w:p>
    <w:p>
      <w:pPr>
        <w:spacing w:after="0" w:line="31"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We have investments in and commitments to joint ventures with unrelated parties. These joint ventures from time to time may borrow money to help finance their activities and, in some circumstances, we may be required to provide guarantees of the obligations of our affiliated entities. As of December 31, 2024, we had $176.7 million of letters of credit and guarantees that relate to joint ventures. If these entities are not able to honor their obligations under the guarantees, we may be required to expend additional resources or suffer losses, which could be significant.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may not achieve their full intended benefits or may disrupt our plans and operations.</w:t>
      </w:r>
    </w:p>
    <w:p>
      <w:pPr>
        <w:spacing w:after="0" w:line="10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We cannot assure you that we will be able to successfully integrate acquired companies with our business or otherwise realize the expected benefits of our acquisitions. For example, in the last several years we have made four large acquisitions. The combination of multiple independent businesses will be a complex, costly, and time-consuming process. Our business may be negatively impacted following acquisitions if we are unable to effectively manage our expanded operations. The integration process will require significant time and focus from our management team and may divert attention from the day-to-day operations of the combined business. Additionally, consummation of acquisitions could disrupt our current plans and operations, which could delay the achievement of our strategic objectives.</w:t>
      </w:r>
    </w:p>
    <w:p>
      <w:pPr>
        <w:spacing w:after="0" w:line="17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expected synergies and operating efficiencies of the acquisitions may not be fully realized, which could result in increased costs and have a material adverse effect on our business, financial condition and results of operations. In addition, the overall integration of the businesses may result in material unanticipated problems, expenses, liabilities, competitive responses, loss of customer relationships and diversion of management’s attention, among other potential adverse consequences. The risks of combining our operations of the businesses include, among others:</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underestimated the costs to integrate the information systems of acquired companies with ours;</w:t>
      </w:r>
    </w:p>
    <w:p>
      <w:pPr>
        <w:spacing w:after="0" w:line="116"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difficulties in integrating employees, integrating different corporate cultures and in attracting and retaining key personnel;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challenges in keeping existing contracts and customers.</w:t>
      </w:r>
    </w:p>
    <w:p>
      <w:pPr>
        <w:spacing w:after="0" w:line="22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Many of these risks will be outside of our control and any one of them could result in increased costs, decreases in the amount of expected revenue, and diversion of our management’s time and energy, which could have a material adverse effect on our business, financial condition and results of operations. In addition, even if our operations are integrated successfully, we may not realize the full benefits of the acquisitions, including the synergies, operating efficiencies, or sales or growth opportunities that are expected. These benefits may not be achieved within the anticipated time frame or at all.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30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We depend on our teaming arrangements and relationships with other contractors and subcontractors. If we are not able to maintain these relationships, of if these parties fail to satisfy their obligations to us or the customer, our revenues, profitability and growth prospects could be adversely affected.</w:t>
      </w:r>
    </w:p>
    <w:p>
      <w:pPr>
        <w:spacing w:after="0" w:line="5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the other contractors eliminate or reduce their contract relationships with us, of if our government clients terminate or reduce these other contractors’ programs, do not award them new contracts or refuse to pay under a contract. Companies that do not have access to government contracts or experience with our customers may perform services as our subcontractor that we cannot otherwise provide ourselves, and that exposure could enhance such companies’ prospects of securing a future position as a prime government contractor which could increase competition for future contracts and impair our ability to win these contracts.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Whenever our subcontractors fail to timely meet their contractual obligations, have regulatory compliance or other problems, our ability to fulfill our obligations as a prime contractor or higher tier subcontractor may be jeopardized. Subcontractor performance deficiencies under subcontracts with us as the prime contractor could lead to significant losses in future periods and could result in our termination for default as the prime contractor even though it was the subcontractor that failed to perform and not our personnel.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Estimates and Accounting</w:t>
      </w:r>
    </w:p>
    <w:p>
      <w:pPr>
        <w:spacing w:after="0" w:line="214"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generate revenue under various types of contracts, which include time-and-materials, cost-plus and fixed-price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fee contracts, is finally determined. Cost-plus and time-and-materials contracts generally have lower profitability than fixed-price contracts. To varying degrees, each of our contract types involves some risk that we could underestimate the costs and resources necessary to fulfill the contract. Our profitability is adversely affected when we incur costs on cost-plus and time-and-materials contracts that we cannot bill to our customers. While fixed-price contracts allow us to benefit from cost savings, these contracts also increase our exposure to the risk of cost overruns.</w:t>
      </w:r>
    </w:p>
    <w:p>
      <w:pPr>
        <w:spacing w:after="0" w:line="18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Revenue derived from fixed-price contracts represented 42% of our total revenue during fiscal 2024, 33% of our total revenue during fiscal 2023, and 27% of our total revenue during fiscal 2022. When making proposals on fixed-price contracts, we rely heavily on our estimates of costs, scope and timing for completing the associated projects, as well as assumptions regarding technical issues. In particular, contracts in our Critical Infrastructure segment are often won in a hard-bid process, in which clients primarily select the lowest price from a qualified bidder with the understanding that they will not pay above the bid amount, even if we perform work beyond the initial scope of our contract. In each case, our failure to accurately estimate costs, scope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303"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use estimates in recognizing revenues and, if we make changes to estimates used in recognizing revenues, our profitability may be adversely affected.</w:t>
      </w:r>
    </w:p>
    <w:p>
      <w:pPr>
        <w:spacing w:after="0" w:line="3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 significant portion of our contract revenues are recognized using the cost-to-cost measure of progress method. This method requires estimates of total costs at completion or measurement of progress towards completion. Particularly due to the technical nature of the services being performed and the length of the contracts, this estimation process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immediately.</w:t>
      </w:r>
    </w:p>
    <w:p>
      <w:pPr>
        <w:spacing w:after="0" w:line="4"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Changes in the underlying assumptions, circumstances or estimates could result in adjustments that may adversely affect our financial results of operations.</w:t>
      </w:r>
    </w:p>
    <w:p>
      <w:pPr>
        <w:spacing w:after="0" w:line="282" w:lineRule="exact"/>
        <w:rPr>
          <w:sz w:val="20"/>
          <w:szCs w:val="20"/>
          <w:color w:val="auto"/>
        </w:rPr>
      </w:pPr>
    </w:p>
    <w:p>
      <w:pPr>
        <w:ind w:right="660"/>
        <w:spacing w:after="0" w:line="278" w:lineRule="auto"/>
        <w:rPr>
          <w:sz w:val="20"/>
          <w:szCs w:val="20"/>
          <w:color w:val="auto"/>
        </w:rPr>
      </w:pPr>
      <w:r>
        <w:rPr>
          <w:rFonts w:ascii="Arial" w:cs="Arial" w:eastAsia="Arial" w:hAnsi="Arial"/>
          <w:sz w:val="18"/>
          <w:szCs w:val="18"/>
          <w:b w:val="1"/>
          <w:bCs w:val="1"/>
          <w:i w:val="1"/>
          <w:iCs w:val="1"/>
          <w:color w:val="auto"/>
        </w:rPr>
        <w:t>Goodwill and intangible assets represent a significant amount of our total assets and any impairment of these assets would negatively impact our results of operations.</w:t>
      </w:r>
    </w:p>
    <w:p>
      <w:pPr>
        <w:spacing w:after="0" w:line="3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of December 31, 2024, we had goodwill and intangible assets of $2.4 billion. Goodwill is tested for impairment annually, or more often if indicators of potential impairment exist, and intangible assets are tested for impairment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Technology Systems</w:t>
      </w:r>
    </w:p>
    <w:p>
      <w:pPr>
        <w:spacing w:after="0" w:line="21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The cyber and security threats that our clients face have grown more frequent and sophisticated. A security breach in one of these systems could cause serious harm to our business, damage our reputation, and prevent us from being eligible for further work on sensitive systems for government or commercial clients. Work for non-government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business, financial condition and results of operations.</w:t>
      </w:r>
    </w:p>
    <w:p>
      <w:pPr>
        <w:spacing w:after="0" w:line="293"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b w:val="1"/>
          <w:bCs w:val="1"/>
          <w:i w:val="1"/>
          <w:iCs w:val="1"/>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5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help our clients detect, monitor and mitigate threats to their people, information and facilities. These threats may originate from nation states, terrorist or criminal actors, activist hackers or others who seek to harm our clients. There are many factors, some of which are beyond our control, which could result in the failure of our products to detect, monitor or mitigate these threats. Successful attacks on our clients may cause physical or reputational harm to us and our clients, as well as lead to liability claims against us by our clients or third parties, particularly if such attacks are a result of a failure or perceived failure of our services or technologies. In addition, as a result of our involvement with some clients or projects, our staff, information and facilities may be targeted by these or other threat actors and may be at risk for loss, or physical or reputational harm.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0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5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may be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financial condition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financial condition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18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4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lose revenue due to adverse client reaction;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provide additional services to a client at no charge;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related to remediation, monitoring and increasing our cybersecurity;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lose revenue due to the deployment of internal staff for remediation efforts instead of client assignments;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w:t>
      </w:r>
    </w:p>
    <w:p>
      <w:pPr>
        <w:spacing w:after="0" w:line="116"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to successfully market services that are reliant on the creation and maintaining of secure information technology systems to government and commercial clients;</w:t>
      </w:r>
    </w:p>
    <w:p>
      <w:pPr>
        <w:spacing w:after="0" w:line="4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suffer claims by clients or impacted third parties for substantial damages, particularly as a result of any successful network or systems breach and exfiltration of client and/or third-party information; or</w:t>
      </w:r>
    </w:p>
    <w:p>
      <w:pPr>
        <w:spacing w:after="0" w:line="46"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incur significant costs, including fines from government regulators related to complying with applicable federal or state law, including laws pertaining to the security and protection of personal information.</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1" w:name="page42"/>
    <w:bookmarkEnd w:id="41"/>
    <w:p>
      <w:pPr>
        <w:spacing w:after="0" w:line="193"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5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some new business areas, we may not be able to obtain sufficient insurance and may decide not to accept or solicit business in these areas.</w:t>
      </w:r>
    </w:p>
    <w:p>
      <w:pPr>
        <w:spacing w:after="0" w:line="18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As a contractor supporting defense and national security clients, we are also subject to regulatory compliance requirements under the Federal Acquisition Regulations, the Defense Federal Acquisition Regulation Supplement and other federal regulations requiring that our networks and information technology systems comply with the security and privacy controls in National Institute of Standards and Technology Special Publications and similar documents. To the extent that we do not comply with the applicable security and control requirements, whether imposed by regulation or contract, unauthorized access or disclosure of sensitive information could potentially result in a contract termination that has a material adverse effect on our business, financial condition and results of operations and reputational harm.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Related to Legal Matters and Insurance</w:t>
      </w:r>
    </w:p>
    <w:p>
      <w:pPr>
        <w:spacing w:after="0" w:line="214"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Unavailability or cancellation of third-party insurance coverage would increase our overall risk exposure as well as disrupt the management of our business operations.</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maintain insurance coverage from third-party insurers as part of our overall risk management strategy and because some of our contracts require us to maintain specific insurance coverage limits. 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there can be no assurance that any of our existing insurance coverage will be renewable upon the expiration of the coverage period or that future coverage will be affordable at the required limits.</w:t>
      </w:r>
    </w:p>
    <w:p>
      <w:pPr>
        <w:spacing w:after="0" w:line="28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Adverse judgments or settlements in legal disputes could result in materially adverse monetary damages or injunctive relief and damage our reputation.</w:t>
      </w:r>
    </w:p>
    <w:p>
      <w:pPr>
        <w:spacing w:after="0" w:line="31"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w:t>
      </w:r>
    </w:p>
    <w:p>
      <w:pPr>
        <w:spacing w:after="0" w:line="174"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The results of litigation and other legal proceedings, including the claims described under “Business—Legal Proceedings”, are inherently uncertain and adverse judgments or settlements in some or all of these legal disputes may result in materially adverse monetary damages or injunctive relief against us. Additionally, our insurance policies may not protect us against potential liability due to various exclusions in the policies and self-insured retention amounts. Partially or completely uninsured claims, if successful and of significant magnitude, could have a material adverse effect on our business, financial condition and results of operations. Furthermore, any claims or litigation, even if fully indemnified or insured, could damage our reputation and make it more difficult to compete effectively or obtain adequate insurance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0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addition to government contract procurement laws and regulations, we are subject to numerous other federal, state and foreign legal requirements on matters as varied as data privacy and protection, employment and labor relations, immigration, taxation, anti-corruption, import/export controls, trade restrictions, internal and disclosure control obligations, securities regulation and anti-competition. Compliance with complex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work and allegations by our customers that we have not performed our contractual obligations.</w:t>
      </w:r>
    </w:p>
    <w:p>
      <w:pPr>
        <w:spacing w:after="0" w:line="183"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could adversely affect our business, financial condition and results of operations. Such misconduct could include fraud or other improper activities such as falsifying time or other records, failure to comply with our policies and procedures or violations of applicable laws and regulations.</w:t>
      </w:r>
    </w:p>
    <w:p>
      <w:pPr>
        <w:spacing w:after="0" w:line="286"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services and operations sometimes involve handling or disposing of hazardous substances or dangerous materials, and we are subject to environmental requirements and risks which could result in significant costs, liabilities and obligations.</w:t>
      </w:r>
    </w:p>
    <w:p>
      <w:pPr>
        <w:spacing w:after="0" w:line="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operations are subject to stringent and complex federal, state and local laws and regulations governing the discharge of materials into the environment, the health and safety aspects of our operations, or otherwise relating to environmental protection. Some of our services and operations involve the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Numerous governmental authorities, such as the U.S. Environmental Protection Agency, or the EPA, and analogous state agencies, have the power to enforce compliance with these laws and regulations and the permits issued under them. Such enforcement actions often involve difficult and costly compliance measures or corrective actions.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and could also result in investigations, the imposition of corrective action or remedial obligations, and the issuance of orders limiting or prohibiting some or all of our operations. In certain instances, citizen groups also have the ability to bring legal proceedings against us if we are not in compliance with environmental laws. In addition, claims for damages to persons or property, including natural resources, may result from the environmental, health and safety impacts of our operations. We, like other businesses, can never completely eliminate the risk of contamination or injury from certain materials that we use in our business. If we have any violations of, or incur liabilities pursuant to, these laws or regulations, it may result in a material adverse effect on our business, financial condition or results of operations.</w:t>
      </w:r>
    </w:p>
    <w:p>
      <w:pPr>
        <w:spacing w:after="0" w:line="184"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Certain environmental laws impose strict liability (i.e., no showing of “fault” is required)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9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received waste generated by our operations, regardless of whether such contamination resulted from the conduct of others or from the consequences of our own actions that were in compliance with all applicable laws at the time those actions were taken.</w:t>
      </w:r>
    </w:p>
    <w:p>
      <w:pPr>
        <w:spacing w:after="0" w:line="154"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We have limited, and potentially insufficient, insurance coverage for expenses and losses that may arise in connection with environmental contamination. Finally, in connection with certain acquisitions, we could acquire, or be required to provide indemnification against, environmental liabilities that could expose us to material losses.</w:t>
      </w:r>
    </w:p>
    <w:p>
      <w:pPr>
        <w:spacing w:after="0" w:line="27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Our failure to meet contractual schedule requirements, meet a required performance standard, meet our internal contractual performance projections or otherwise perform adequately on a project could adversely affect our business, financial condition or results of operations.</w:t>
      </w:r>
    </w:p>
    <w:p>
      <w:pPr>
        <w:spacing w:after="0" w:line="5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Under some of our contracts, we can incur liquidated or other damages if we do not achieve project completion by a scheduled date. In addition, our costs generally increase from schedule delays and/or could exceed our projections for a particular project. Project performance can be affected by a number of factors beyond our control, including unavoidable delays from governmental inaction, public opposition, inability to obtain financing, weather conditions, unavailability of vendor materials, changes in the project scope of services requested by our clients, industrial accidents, environmental hazards, labor disruptions and other factors. Any defects or errors, or failures to meet our clients’ expectations, in our projects or services could result in claims for damages against us and could adversely affect our reputation. Material performance problems for existing and future contracts could cause actual results of operations to differ from those anticipated by us and also could cause us to suffer damage to our reputation within our industries and client base.</w:t>
      </w:r>
    </w:p>
    <w:p>
      <w:pPr>
        <w:spacing w:after="0" w:line="290" w:lineRule="exact"/>
        <w:rPr>
          <w:sz w:val="20"/>
          <w:szCs w:val="20"/>
          <w:color w:val="auto"/>
        </w:rPr>
      </w:pPr>
    </w:p>
    <w:p>
      <w:pPr>
        <w:ind w:right="640"/>
        <w:spacing w:after="0" w:line="278" w:lineRule="auto"/>
        <w:rPr>
          <w:sz w:val="20"/>
          <w:szCs w:val="20"/>
          <w:color w:val="auto"/>
        </w:rPr>
      </w:pPr>
      <w:r>
        <w:rPr>
          <w:rFonts w:ascii="Arial" w:cs="Arial" w:eastAsia="Arial" w:hAnsi="Arial"/>
          <w:sz w:val="18"/>
          <w:szCs w:val="18"/>
          <w:b w:val="1"/>
          <w:bCs w:val="1"/>
          <w:i w:val="1"/>
          <w:iCs w:val="1"/>
          <w:color w:val="auto"/>
        </w:rPr>
        <w:t>Failure to adequately protect, maintain, or enforce our rights in our intellectual property may adversely limit our competitive position.</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290"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31" w:lineRule="exact"/>
        <w:rPr>
          <w:sz w:val="20"/>
          <w:szCs w:val="20"/>
          <w:color w:val="auto"/>
        </w:rPr>
      </w:pPr>
    </w:p>
    <w:p>
      <w:pPr>
        <w:ind w:right="340" w:firstLine="509"/>
        <w:spacing w:after="0" w:line="244" w:lineRule="auto"/>
        <w:rPr>
          <w:sz w:val="20"/>
          <w:szCs w:val="20"/>
          <w:color w:val="auto"/>
        </w:rPr>
      </w:pPr>
      <w:r>
        <w:rPr>
          <w:rFonts w:ascii="Arial" w:cs="Arial" w:eastAsia="Arial" w:hAnsi="Arial"/>
          <w:sz w:val="18"/>
          <w:szCs w:val="18"/>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financial condition or results of operations may be adversely affected.</w:t>
      </w:r>
    </w:p>
    <w:p>
      <w:pPr>
        <w:spacing w:after="0" w:line="176"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products or services, or take other actions to resolve the claims. These actions, if required, may be costly or unavailable on terms acceptable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International Operations</w:t>
      </w:r>
    </w:p>
    <w:p>
      <w:pPr>
        <w:spacing w:after="0" w:line="21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operations outside the United States expose us to legal, political and economic risks in different countries as well as currency exchange rate fluctuations that could harm our business and financial results.</w:t>
      </w:r>
    </w:p>
    <w:p>
      <w:pPr>
        <w:spacing w:after="0" w:line="31"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Revenue attributable to our services provided outside of the United States as a percentage of our total revenue was 22.6% in 2024, 24.4% in 2023 and 24.9% in 2022. There are risks inherent in doing business internationally, including:</w:t>
      </w:r>
    </w:p>
    <w:p>
      <w:pPr>
        <w:spacing w:after="0" w:line="4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governmental controls and changes in laws, regulations or policies;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and economic instability and turmoil internationally, including countries in the Middle East;</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civil unrest, acts of terrorism, force majeure, war, or other armed conflict, including the ongoing war and unrest in Israel, which has the potential to impact other countries in the Middle East;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greater physical security risks;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U.S. and other national government trade policies affecting the markets for our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practices, tariffs and taxes;</w:t>
      </w:r>
    </w:p>
    <w:p>
      <w:pPr>
        <w:spacing w:after="0" w:line="116" w:lineRule="exact"/>
        <w:rPr>
          <w:rFonts w:ascii="Times New Roman" w:cs="Times New Roman" w:eastAsia="Times New Roman" w:hAnsi="Times New Roman"/>
          <w:sz w:val="18"/>
          <w:szCs w:val="18"/>
          <w:color w:val="auto"/>
        </w:rPr>
      </w:pPr>
    </w:p>
    <w:p>
      <w:pPr>
        <w:ind w:left="1020" w:right="7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non-compliance with a wide variety of laws and regulations, including anti-corruption, U.S. export controls and economic and trade sanctions, and anti-boycott laws and similar non-U.S. laws and regulations;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labor conditions;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logistical and communication challenges;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currency exchange rate fluctuations, devaluations and other conversion restrictions;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health and safety concerns, including those related to the COVID-19 pandemic, variants and other potential epidemics.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factors could have a material adverse effect on our business, financial condition or results of operations.</w:t>
      </w:r>
    </w:p>
    <w:p>
      <w:pPr>
        <w:spacing w:after="0" w:line="32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have operations in the Middle East, neighboring regions, and other regions across the globe, and these regions may experience turmoil, political upheaval or similar crises that may impact our current projects, future business and financial stability.</w:t>
      </w:r>
    </w:p>
    <w:p>
      <w:pPr>
        <w:spacing w:after="0" w:line="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currently have operations in the Middle East, including in Oman, Qatar, Saudi Arabia, and the United Arab Emirates. This part of the world often has conflicts, such as the current Israel-Hamas situation. Further, we may undertake work in other countries that may experience turmoil, political upheaval, or other similar crises. This uncertainty may affect our ability to continue our projects in these regions due to lack of resources, local support, and safety for our workers. If we are unable to finish these projects, it is likely that our finances will be impacted. Furthermore, we may experience liability regarding our employees and their safety and security in these locations. We also may incur material costs to maintain the safety of our personnel. Despite these precautions, the safety of our personnel in these locations may continue to be at risk. Acts of terrorism and threats of armed conflicts in or around various areas in which we operate could limit or disrupt markets and our operations, including disruptions resulting from the evacuation of personnel, cancellation of contracts, or the loss of key employees, contractors or assets.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303"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We operate in many different jurisdictions, and we could be adversely affected by violations of the U.S. Foreign Corrupt Practices Act and similar worldwide anti-corruption laws.</w:t>
      </w:r>
    </w:p>
    <w:p>
      <w:pPr>
        <w:spacing w:after="0" w:line="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FCPA and similar worldwide anti-corruption laws, including the U.K. Bribery Act of 2010, generally prohibit companies and their intermediaries from making improper payments to non-U.S. officials for the purpose of obtaining or retaining business. Our internal policies mandate compliance with these anti-corruption laws, including the requirements to maintain accurate information and internal controls which may fall within the purview of the FCPA, its books and records provisions or its anti-bribery provisions. We operate in many parts of the world that have experienced governmental corruption to some degree; and, in some circumstances, strict compliance with anticorruption laws may conflict with local customs and practices. Despite our training and compliance programs, we cannot be certain that our internal control policies and procedures always will protect us from reckless or criminal acts committed by our employees or agents. In addition, from time to time, government investigations of corruption in industries we operate in may affect us and our peers. Violations of these laws, or allegations of such violations, could disrupt our business and result in a material adverse effect on our business, financial condition or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Debt and Backlog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full value of our backlog, which may result in lower-than-expected revenue.</w:t>
      </w:r>
    </w:p>
    <w:p>
      <w:pPr>
        <w:spacing w:after="0" w:line="10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As of December 31, 2024, our total backlog was $8.9 billion, of which $5.9 billion was funded. Our backlog includes orders under contracts that can extend for several years. We historically have not realized all of the revenue included in our total backlog, and we may not realize all of the revenue included in our total backlog in the future. There is a somewhat higher degree of risk in this regard with respect to unfunded backlog and backlog related to unexercised options years and IDIQ contracts for which task orders have not yet been issued.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government spending; in the case of funded backlog, the period of performance for the contract has expired; in the case of unfunded backlog, funding may not be available; in the case of backlog related to unexercised option years, the contract option is not yet exercised or may ever be exercised; and, in the case of backlog related to IDIQ contracts where task orders have not been issued, no further task orders may be issued. In addition, headcount growth is the primary means by which we are able to achieve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appropriations that reflect changes in government policies or priorities resulting from various military, political, economic or international developments; changes in the use of government contracting vehicles, and the provisions therein used to procure our services; and adjustments to the scope of services under, or cancellation of contracts, by the applicable government at any time. Furthermore, even if our backlog results in revenue, the contracts may not be profitable.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303"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As of December 31, 2024, our accounts receivable, net was $1.1 billion We depend on the timely collection of our receivables to generate cash flow, provide working capital and continue our business operations. If our customers fail to pay or delay the payment of invoices for any reason, our business and financial condition may be materially and adversely affected. Our customers have in the past and may in the future delay or fail to pay invoices for a number of reasons, including lack of appropriated funds, lack of an approved budget or as a result of audit findings by government regulatory agencies. We also experience longer payment cycles in the Middle East. We cannot assure you that we will collect all our accounts receivable in excess of our allowance for doubtful accounts in a timely manner, which would impact our cash flows.</w:t>
      </w:r>
    </w:p>
    <w:p>
      <w:pPr>
        <w:spacing w:after="0" w:line="295"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The agreements governing our debt contain a number of restrictive covenants which may limit our ability to finance future operations, acquisitions or capital needs or engage in other business activities that may be in our interest.</w:t>
      </w:r>
    </w:p>
    <w:p>
      <w:pPr>
        <w:spacing w:after="0" w:line="31"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As of December 31, 2024, our total indebtedness was approximately $1.2 billion. Our Credit Agreement and the agreements governing our Delayed Draw Term Loan and Convertible Notes contain a number of covenants that impose operating and other restrictions on us and our subsidiaries. Such restrictions affect or will affect, and in many respects limit or prohibit our ability and the ability of our subsidiaries to, among other things:</w:t>
      </w:r>
    </w:p>
    <w:p>
      <w:pPr>
        <w:spacing w:after="0" w:line="6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indebtedness;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and make other distributions in respect of our equity securities;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redeem our equity securities;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make loans, advances, investments or other restricted payments;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sell assets or receivables;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certain business activities;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amend our ESOP’s plan documents;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effect mergers or consolidations.</w:t>
      </w:r>
    </w:p>
    <w:p>
      <w:pPr>
        <w:spacing w:after="0" w:line="22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In addition, our Credit Agreement also requires us to comply with certain financial ratio covenants, including a debt leverage ratio and an interest charge coverage ratio. Our ability to comply with these ratios may be affected by events beyond our control.</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w:t>
      </w:r>
    </w:p>
    <w:p>
      <w:pPr>
        <w:spacing w:after="0" w:line="16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A breach of any of these covenants or our inability to comply with the required financial ratios could result in a default under our debt instruments. If an event of default occurs, our creditors could elect to:</w:t>
      </w:r>
    </w:p>
    <w:p>
      <w:pPr>
        <w:spacing w:after="0" w:line="4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declare all borrowings outstanding, together with accrued and unpaid interest, to be immediately due and payable;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apply all of our available cash to repay the borrowings;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making debt service payments on some of our borrowings.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3"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If we were unable to repay or otherwise refinance these borrowings when due, the lenders under our Credit Agreement could demand payment from subsidiary guarantors, as provided under our Credit Agreement. These guarantors constitute substantially all of our domestic, wholly owned subsidiaries’ assets.</w:t>
      </w:r>
    </w:p>
    <w:p>
      <w:pPr>
        <w:spacing w:after="0" w:line="27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Prior to our initial public offering, we were 100% owned by the ESOP, which is a retirement plan that is intended to be qualified under the Internal Revenue Code. If the ESOP failed to meet the requirements of a tax qualified retirement plan, we could be subject to substantial penalties.</w:t>
      </w:r>
    </w:p>
    <w:p>
      <w:pPr>
        <w:spacing w:after="0" w:line="5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ESOP is a defined contribution retirement plan subject to the requirements of the Internal Revenue Code (Code) and the Employment Retirement Income Security Act (ERISA). The ESOP received a determination letter, dated January 31, 2012, from the Internal Revenue Service (IRS) that it meets the requirements of a tax qualified retirement plan in form, and we endeavor to maintain and administer the ESOP in compliance with all requirements of the Code and ERISA. However, the rules regarding tax qualified plans, and especially ESOPs, are complex and change frequently. Accordingly, it is possible that the ESOP may not have been administered in full compliance with all applicable rules under the Code or ERISA at all times.</w:t>
      </w:r>
    </w:p>
    <w:p>
      <w:pPr>
        <w:spacing w:after="0" w:line="179"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If the ESOP were determined not to be in material compliance with the Code or ERISA, then the ESOP could lose its tax qualified status and we could be subject to substantial penalties under the Code and ERISA which could have a material adverse effect on our business, financial condition or results of operations. Additionally, loss of the ESOP’s tax-qualified status would adversely impact our prior treatment as an S Corporation.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Employees</w:t>
      </w:r>
    </w:p>
    <w:p>
      <w:pPr>
        <w:spacing w:after="0" w:line="214"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A failure to attract, train and retain skilled employees and our senior management team would adversely affect our ability to execute our strategy and may disrupt our operations.</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business relies heavily upon the expertise and services of our employees. Our continued success depends on our ability to recruit and retain highly-trained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recruiting, training and retaining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business, financial condition and results of operations.</w:t>
      </w:r>
    </w:p>
    <w:p>
      <w:pPr>
        <w:spacing w:after="0" w:line="180"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spacing w:after="0" w:line="279"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We may lose one or more members of our senior management team or fail to develop new leaders, which could cause a disruption in the management of our business.</w:t>
      </w:r>
    </w:p>
    <w:p>
      <w:pPr>
        <w:spacing w:after="0" w:line="3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line="8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and our ability to identify new business opportunities. We do not have any employment agreements providing for a specific term of employment with any members of our senior management. The loss of any member of our senior management or our failure to continue to develop new members could impair our ability to identify and secure new contracts, to maintain good client relations, and to otherwise manage our business, and could have a material adverse effect on our business, financial condition and results of operations.</w:t>
      </w:r>
    </w:p>
    <w:p>
      <w:pPr>
        <w:spacing w:after="0" w:line="28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Negotiations with labor unions and possible work actions could divert management attention and disrupt operations. In addition, new collective bargaining agreements or amendments to existing agreements could increase our labor costs and operating expenses.</w:t>
      </w:r>
    </w:p>
    <w:p>
      <w:pPr>
        <w:spacing w:after="0" w:line="5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are signatory to approximately fourteen active union collective bargaining agreements as of December 31, 2024 and employ more than 300 employees represented by unions. The outcome of any future negotiations relating to union representation or collective bargaining agreements for these or other employees in the future may not be favorable to us. We may reach agreements in collective bargaining that increase our operating expenses and lower our net income as a result of higher wages or benefit expenses. In addition, negotiations with unions could divert management attention and disrupt operations, which may adversely affect our results of operations. If we are unable to negotiate acceptable collective bargaining agreements, we may have to address the threat of union-initiated work actions, including strikes. Depending on the nature of the threat or the type and duration of any work action, these actions could disrupt our operations and adversely affect our operating results.</w:t>
      </w:r>
    </w:p>
    <w:p>
      <w:pPr>
        <w:spacing w:after="0" w:line="29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51"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Our field project sites and facilities, particularly in our Critical Infrastructure business, often put our employees and others in close proximity with mechanized equipment, moving vehicles, chemical and manufacturing processes, and highly regulated materials. On some field project sites and in some of our facilities, we may be responsible for safety and, accordingly, we have an obligation to implement effective safety procedures. If these procedures are not appropriately implemented or are ineffective, our employees could be injured or killed, and we could be exposed to possible litigation. As a result, our failure to maintain adequate safety standards and equipment could result in reduced profitability or the loss of projects or clients and could have a material adverse impact on our business, financial condition, and results of operations.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Related to Our Common Stock</w:t>
      </w:r>
    </w:p>
    <w:p>
      <w:pPr>
        <w:spacing w:after="0" w:line="214"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If we are unable to maintain effective internal control over financial reporting in the future, investors may lose confidence in the accuracy and completeness of our financial reports and the market price of our common stock may be negatively affected.</w:t>
      </w:r>
    </w:p>
    <w:p>
      <w:pPr>
        <w:spacing w:after="0" w:line="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 The process of designing, implementing and testing the internal control over financial reporting required to comply with this obligation is time-consuming, costly and complicated. If we identify material weaknesses in our internal control over financial reporting, or if we are unable to comply in a timely manner with the management certification requirements of Section 404 of the Sarbanes-Oxley Act as to the effectiveness of our internal control over financial reporting or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negatively affected, and we could become subject to investigations by our stock exchange, the SEC or other regulatory authorities, which could require additional financial and management resources.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stock price fluctuates, you could lose a significant part of your investment.</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stock may be influenced by many factors, some of which are beyond our control, including the following:</w:t>
      </w:r>
    </w:p>
    <w:p>
      <w:pPr>
        <w:spacing w:after="0" w:line="10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opinions and estimates of any securities analysts who publish research about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contracts, acquisitions or capital commitments;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quarterly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future sales of our common stock;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investor perception of us and the industries we operate in.</w:t>
      </w:r>
    </w:p>
    <w:p>
      <w:pPr>
        <w:spacing w:after="0" w:line="22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As a result of these factors, investors in our common stock may not be able to resell their shares at or above the initial purchase price. These broad market and industry factors may materially reduce the market price of our common stock, regardless of our operating performance.</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common stock may drop.</w:t>
      </w:r>
    </w:p>
    <w:p>
      <w:pPr>
        <w:spacing w:after="0" w:line="10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Quarterly operating results may fluctuate.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6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broader stock market;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 of new products or services by us or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awards, backlog and book-to-bill ratios in a given period;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issuance of new or changed securities analysts’ reports or recommendations;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operations that vary from expectations of securities analysis and investors;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actions by us or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by us, our competitors or our acquisition targets;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sales, or anticipated sales, of large blocks of our stock;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departures of key personnel;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legal or political developments;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85"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and governmental investigations;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seasonality associated with U.S. federal, state, regional and local government funding and spending;</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changing economic conditions;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default under agreements governing our indebtedness;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exchange rate fluctuations; and</w:t>
      </w:r>
    </w:p>
    <w:p>
      <w:pPr>
        <w:spacing w:after="0" w:line="116" w:lineRule="exact"/>
        <w:rPr>
          <w:rFonts w:ascii="Times New Roman" w:cs="Times New Roman" w:eastAsia="Times New Roman" w:hAnsi="Times New Roman"/>
          <w:sz w:val="18"/>
          <w:szCs w:val="18"/>
          <w:color w:val="auto"/>
        </w:rPr>
      </w:pPr>
    </w:p>
    <w:p>
      <w:pPr>
        <w:ind w:left="1020" w:right="68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other events or factors, including those from natural disasters, war, actors of terrorism or responses to these events and pandemics, such as the COVID-19 pandemic.</w:t>
      </w:r>
    </w:p>
    <w:p>
      <w:pPr>
        <w:spacing w:after="0" w:line="15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95"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Sales of outstanding shares of our common stock into the market in the future by the ESOP could cause the market price of our common stock to drop significantly.</w:t>
      </w:r>
    </w:p>
    <w:p>
      <w:pPr>
        <w:spacing w:after="0" w:line="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At December 31, 2024, we had 146,656,225 shares of our common stock issued and 106,775,350 outstanding. Of these shares, 54,117,904 shares are owned by the ESOP, 52,657,447 shares are publicly owned, and 39,880,875 shares are Treasury stock. We are party to a registration rights agreement with the ESOP Trustee, providing the ESOP with certain demand registration rights related to shares held by the ESOP in the event the ESOP Trustee determines in good faith, in exercising its fiduciary duties under ERISA, that the ESOP is required to sell its shares, which we believe is only likely to occur if our business, financial condition or results of operations have materially and adversely deteriorated.</w:t>
      </w:r>
    </w:p>
    <w:p>
      <w:pPr>
        <w:spacing w:after="0" w:line="289"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Qualifying ESOP participants have the right to receive distributions of shares of our common stock from the ESOP and can sell such shares in the market.</w:t>
      </w:r>
    </w:p>
    <w:p>
      <w:pPr>
        <w:spacing w:after="0" w:line="31"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auto"/>
        </w:rPr>
        <w:t>As of December 31, 2024, there were 54,117,904 shares of common stock held in the ESOP. Shares held in the ESOP are eligible for sale in the public market, subject to applicable Rule 144 limitations, vesting restrictions and any applicable market standoff agreements and lock-up agreements. Participants are generally entitled to distributions from the ESOP only following termination of employment or upon death and in order to diversify their accounts upon attaining a specified age and completing a specified number of years of service. As previously noted in the section of Part 1, Item 1 entitled “Employee Stock Ownership Plan”, in December 2020, the board of directors approved an amendment to the Employee Stock Ownership Plan to provide more flexible diversification rights for participants, and in January 2021, the board of directors approved the modification of the thresholds for distributions to participants in the ESOP effective March 1, 2021. In April 2022, the board of directors approved an amendment providing for lump sum distributions to participants and removing the annual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installments. Annual diversification elections and five-year vested termination distributions are not impacted by this amendment and will still occur annually and over installments as outlined in the Plan.</w:t>
      </w:r>
    </w:p>
    <w:p>
      <w:pPr>
        <w:spacing w:after="0" w:line="15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ESOP distributions are made in the form of shares of our common stock (other than distributions in respect of fractional shares, which will be made in cash). Upon receiving a distribution of our common stock from the ESOP, a participant will be able to sell such shares in the market. As a result, we cannot predict the effect, if any, that these distributions and the corresponding sales of shares by the participants may have on the market price of our common stock. Distribution of substantial amounts of our common stock to participants may cause the market price of our common stock to decline.</w:t>
      </w:r>
    </w:p>
    <w:p>
      <w:pPr>
        <w:spacing w:after="0" w:line="286"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The issuance of additional stock, not reserved for issuance under our equity incentive plans or otherwise, will dilute all other stockholdings.</w:t>
      </w:r>
    </w:p>
    <w:p>
      <w:pPr>
        <w:spacing w:after="0" w:line="3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have an aggregate of 853,343,775 shares of common stock authorized but not outstanding and not reserved for issuance under our 2021 Plan, under our existing Incentive Plans or otherwise. We may issue all of these shares without any action or approval by our stockholders. The issuance of additional shares could be dilutive to existing holders. We historically have made annual contributions of our common stock to the ESOP. We made contributions of 633,033 shares in fiscal 2024, 915,113 shares in fiscal 2023, and 1,188,129 shares in fiscal 2022 of our common stock to the ESOP and intend to continue to make annual contributions in shares of our common stock to the ESOP. In fiscal 2024, 2023 and 2022, we made annual contributions to the ESOP in shares of our common stock in the amount of 8% of the participants’ cash compensation for the applicable year (net of shares forfeited by participants in the applicable year). For future fiscal years, the annual contribution to the ESOP shall be in amounts as determined by the board of directors.</w:t>
      </w:r>
    </w:p>
    <w:p>
      <w:pPr>
        <w:spacing w:after="0" w:line="2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Your ability to influence corporate matters may be limited because the ESOP beneficially owns a majority of our stock and therefore our ESOP participants, voting the shares allocated to them under the ESOP, or the ESOP Trustee, who will have the right to vote shares for which no voting instructions are provided by employees, could have substantial control over us.</w:t>
      </w:r>
    </w:p>
    <w:p>
      <w:pPr>
        <w:spacing w:after="0" w:line="5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Our common stock has one vote per share. The ESOP beneficially owns approximately 51% of our outstanding common stock, 40% of which is owned by current employees of Parsons Corporation. Under the terms of the ESOP, each participant has the ability to direct the ESOP Trustee on the voting of the shares allocated to his or her account under the ESOP. However, the ESOP Trustee will vote any shares that a participant does not direct the voting, or any shares that are held by the ESOP which are not allocated to participants’ accounts. As such, the ESOP Trustee may be able to exercise a greater influence than otherwise over matters requiring stockholder approval, including the election of directors and approval of significant corporate transactions.</w:t>
      </w:r>
    </w:p>
    <w:p>
      <w:pPr>
        <w:spacing w:after="0" w:line="179"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purpose of the ESOP is to provide retirement income to employees and their beneficiaries. Accordingly, the interests of the ESOP and the ESOP participants may be contrary to yours as an outside investor.</w:t>
      </w:r>
    </w:p>
    <w:p>
      <w:pPr>
        <w:spacing w:after="0" w:line="15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ERISA sets forth certain fiduciary requirements that require an ERISA fiduciary, like the ESOP Trustee, to act solely in the interests of plan participants and their beneficiaries for the purpose of providing retirement benefits. The Department of Labor, which is the agency with the authority to interpret and enforce the fiduciary sections of ERISA, has indicated in its interpretative guidance that voting is an ERISA fiduciary act. The ESOP Trustee’s fiduciary duties under ERISA to the ESOP and its participants may cause the ESOP Trustee to override participants’ voting directions to the extent that following such directions would violate ERISA. In such case, the ESOP Trustee will be able to exercise voting control over all of the ESOP’s shares. Further, the interests of the minority stockholders may not be aligned with those of the ESOP as the majority stockholder, because the ESOP Trustee is required under ERISA to act in the best interest of the ESOP participants and beneficiaries, this may present a conflict.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a result, the concentration of ownership in our company by the ESOP could delay or prevent a change in control of our company or otherwise discourage a potential acquirer from attempting to obtain control of our company, which in turn could reduce the price of our common stock.</w:t>
      </w:r>
    </w:p>
    <w:p>
      <w:pPr>
        <w:spacing w:after="0" w:line="27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5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ESOP holds common stock representing approximately 51% of the voting power of our common stock as of December 31, 2024. As a result, we are considered a “controlled company” for the purposes of New York Stock Exchange (“NYSE”) rules and corporate governance standards. As a controlled company, we are exempt from certain NYSE corporate governance requirements, including those that would otherwise require our board of directors to have a majority of independent directors and require that we either establish compensation and nominating and corporate governance board committees, each comprised entirely of independent directors, or otherwise ensure that the compensation of our executive officers and nominees for directors are determined or recommended to the board of directors by the independent members of the board of directors. While we intend to have a majority of independent directors, and our compensation and nominating and corporate governance committees to consist entirely of independent directors, we may decide at a later time to rely on one of the “controlled company” exemptions. Accordingly, our common stock may not have the same protections afforded to stockholders of companies that are subject to all of the NYSE corporate governance requirements.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which could limit our business plan or adversely affect your investment.</w:t>
      </w:r>
    </w:p>
    <w:p>
      <w:pPr>
        <w:spacing w:after="0" w:line="10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business and strategic plans may consume resources faster than we anticipate. In the future, we may need to raise additional funds through the issuance of new equity securities, debt or a combination of both. However, any decline in the market price of our common stock could impair our ability to raise capital. Separately, additional financing may not be available on favorable terms, or at all. If adequate funds are not available on acceptable terms, we may be unable to fund our operations or new investments.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a change in management and limit our share price.</w:t>
      </w:r>
    </w:p>
    <w:p>
      <w:pPr>
        <w:spacing w:after="0" w:line="10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69"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We have a number of anti-takeover devices that could hinder takeover attempts and could reduce the market value of our common stock or prevent sale at a premium. Our anti-takeover provisions:</w:t>
      </w:r>
    </w:p>
    <w:p>
      <w:pPr>
        <w:spacing w:after="0" w:line="46"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11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our board of directors is classified into three classes with staggered, three-year terms and that directors may only be removed for cause;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5" w:lineRule="exact"/>
        <w:rPr>
          <w:sz w:val="20"/>
          <w:szCs w:val="20"/>
          <w:color w:val="auto"/>
        </w:rPr>
      </w:pPr>
    </w:p>
    <w:p>
      <w:pPr>
        <w:ind w:left="1020" w:right="300" w:hanging="503"/>
        <w:spacing w:after="0" w:line="252"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specify that special meetings of our stockholders can be called only by our board of directors, or a board committee authorized with the power to call such meetings;</w:t>
      </w:r>
    </w:p>
    <w:p>
      <w:pPr>
        <w:spacing w:after="0" w:line="4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prohibit stockholder action by written consent, which has the effect of requiring all stockholder actions to be taken at a meeting of our stockholders;</w:t>
      </w:r>
    </w:p>
    <w:p>
      <w:pPr>
        <w:spacing w:after="0" w:line="46"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prohibit cumulative voting in the election of directors; and</w:t>
      </w:r>
    </w:p>
    <w:p>
      <w:pPr>
        <w:spacing w:after="0" w:line="11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stockholders’ meetings.</w:t>
      </w:r>
    </w:p>
    <w:p>
      <w:pPr>
        <w:spacing w:after="0" w:line="154" w:lineRule="exact"/>
        <w:rPr>
          <w:sz w:val="20"/>
          <w:szCs w:val="20"/>
          <w:color w:val="auto"/>
        </w:rPr>
      </w:pPr>
    </w:p>
    <w:p>
      <w:pPr>
        <w:ind w:right="600" w:firstLine="509"/>
        <w:spacing w:after="0" w:line="253"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(DGCL). These provisions may prohibit large stockholders, in particular those owning 15% or more of our outstanding voting stock, from merging or combining with us for a period of time.</w:t>
      </w:r>
    </w:p>
    <w:p>
      <w:pPr>
        <w:spacing w:after="0" w:line="27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5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the following civil actions:</w:t>
      </w:r>
    </w:p>
    <w:p>
      <w:pPr>
        <w:spacing w:after="0" w:line="4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20" w:right="94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by any of our directors, officers, employees or agents or our stockholders;</w:t>
      </w:r>
    </w:p>
    <w:p>
      <w:pPr>
        <w:spacing w:after="0" w:line="4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arising pursuant to any provision of the DGCL or our certificate of incorporation or bylaws or as to which the DGCL confers jurisdiction on the Court of Chancery of the State of Delaware; or</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governed by the internal affairs doctrine.</w:t>
      </w:r>
    </w:p>
    <w:p>
      <w:pPr>
        <w:spacing w:after="0" w:line="224"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the stockholder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current plans to declare dividends.</w:t>
      </w:r>
    </w:p>
    <w:p>
      <w:pPr>
        <w:spacing w:after="0" w:line="102" w:lineRule="exact"/>
        <w:rPr>
          <w:sz w:val="20"/>
          <w:szCs w:val="20"/>
          <w:color w:val="auto"/>
        </w:rPr>
      </w:pPr>
    </w:p>
    <w:p>
      <w:pPr>
        <w:ind w:right="440" w:firstLine="509"/>
        <w:spacing w:after="0" w:line="247" w:lineRule="auto"/>
        <w:rPr>
          <w:sz w:val="20"/>
          <w:szCs w:val="20"/>
          <w:color w:val="auto"/>
        </w:rPr>
      </w:pPr>
      <w:r>
        <w:rPr>
          <w:rFonts w:ascii="Arial" w:cs="Arial" w:eastAsia="Arial" w:hAnsi="Arial"/>
          <w:sz w:val="18"/>
          <w:szCs w:val="18"/>
          <w:color w:val="auto"/>
        </w:rPr>
        <w:t>We do not currently pay a dividend and have no current plans to declare any cash dividends to holders of our common stock.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Consequently, investors may need to sell all or part of their holdings of our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common stock after price appreciation, which may never occur, as the only way to realize any future gains on their investment. Investors seeking cash dividends should not purchase our common stock.</w:t>
      </w:r>
    </w:p>
    <w:p>
      <w:pPr>
        <w:spacing w:after="0" w:line="264"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31"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an analyst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04"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61" w:lineRule="exact"/>
        <w:rPr>
          <w:sz w:val="20"/>
          <w:szCs w:val="20"/>
          <w:color w:val="auto"/>
        </w:rPr>
      </w:pPr>
    </w:p>
    <w:p>
      <w:pPr>
        <w:ind w:firstLine="869"/>
        <w:spacing w:after="0" w:line="261" w:lineRule="auto"/>
        <w:rPr>
          <w:sz w:val="20"/>
          <w:szCs w:val="20"/>
          <w:color w:val="auto"/>
        </w:rPr>
      </w:pPr>
      <w:r>
        <w:rPr>
          <w:rFonts w:ascii="Arial" w:cs="Arial" w:eastAsia="Arial" w:hAnsi="Arial"/>
          <w:sz w:val="18"/>
          <w:szCs w:val="18"/>
          <w:color w:val="auto"/>
        </w:rPr>
        <w:t>We use NIST Cybersecurity Framework and CIS Critical Security Controls as a guide to help us identify, assess, and manage cybersecurity relevant to our business. We are also structured to CMMC which aligns with DOD/Federal contractor program compliance. This does not imply that we meet any particular technical standards, specifications, or requirements.</w:t>
      </w:r>
    </w:p>
    <w:p>
      <w:pPr>
        <w:spacing w:after="0" w:line="54" w:lineRule="exact"/>
        <w:rPr>
          <w:sz w:val="20"/>
          <w:szCs w:val="20"/>
          <w:color w:val="auto"/>
        </w:rPr>
      </w:pPr>
    </w:p>
    <w:p>
      <w:pPr>
        <w:ind w:right="140" w:firstLine="869"/>
        <w:spacing w:after="0" w:line="252" w:lineRule="auto"/>
        <w:rPr>
          <w:sz w:val="20"/>
          <w:szCs w:val="20"/>
          <w:color w:val="auto"/>
        </w:rPr>
      </w:pPr>
      <w:r>
        <w:rPr>
          <w:rFonts w:ascii="Arial" w:cs="Arial" w:eastAsia="Arial" w:hAnsi="Arial"/>
          <w:sz w:val="18"/>
          <w:szCs w:val="18"/>
          <w:color w:val="auto"/>
        </w:rPr>
        <w:t>Our cybersecurity risk management program is integrated with our overall enterprise risk management program, and shares common methodologies, reporting channels and governance processes that apply across the enterprise risk management program to other legal, compliance, strategic, operational, and financial risk areas. Our cybersecurity risk management program includes the following key elements:</w:t>
      </w:r>
    </w:p>
    <w:p>
      <w:pPr>
        <w:spacing w:after="0" w:line="62" w:lineRule="exact"/>
        <w:rPr>
          <w:sz w:val="20"/>
          <w:szCs w:val="20"/>
          <w:color w:val="auto"/>
        </w:rPr>
      </w:pPr>
    </w:p>
    <w:p>
      <w:pPr>
        <w:ind w:left="1020" w:right="36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information, services, and our broader enterprise IT environment;</w:t>
      </w:r>
    </w:p>
    <w:p>
      <w:pPr>
        <w:spacing w:after="0" w:line="46"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team comprised of IT security, IT infrastructure, and IT compliance personnel principally responsible for directing (1) our cybersecurity risk assessment processes; (2) our security processes; and (3) our response to cybersecurity incidents;</w:t>
      </w:r>
    </w:p>
    <w:p>
      <w:pPr>
        <w:spacing w:after="0" w:line="46"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cybersecurity service providers, where appropriate, to assess, test or otherwise assist with aspects of our security processes;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employees with access to our IT systems;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and Security Operations Center to respond to cybersecurity incidents;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risk management process for service providers.</w:t>
      </w:r>
    </w:p>
    <w:p>
      <w:pPr>
        <w:spacing w:after="0" w:line="11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85"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if realized, are reasonably likely to materially affect us, including our operations, business strategy, results of operations, or financial conditions, as we have described in the Risk Factors section of this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Cybersecurity Governance</w:t>
      </w:r>
    </w:p>
    <w:p>
      <w:pPr>
        <w:spacing w:after="0" w:line="104" w:lineRule="exact"/>
        <w:rPr>
          <w:sz w:val="20"/>
          <w:szCs w:val="20"/>
          <w:color w:val="auto"/>
        </w:rPr>
      </w:pPr>
    </w:p>
    <w:p>
      <w:pPr>
        <w:ind w:right="220" w:firstLine="869"/>
        <w:spacing w:after="0" w:line="261" w:lineRule="auto"/>
        <w:rPr>
          <w:sz w:val="20"/>
          <w:szCs w:val="20"/>
          <w:color w:val="auto"/>
        </w:rPr>
      </w:pPr>
      <w:r>
        <w:rPr>
          <w:rFonts w:ascii="Arial" w:cs="Arial" w:eastAsia="Arial" w:hAnsi="Arial"/>
          <w:sz w:val="18"/>
          <w:szCs w:val="18"/>
          <w:color w:val="auto"/>
        </w:rPr>
        <w:t>Our Board considers cybersecurity risk as critical to the enterprise and delegates the cybersecurity risk oversight function to the Audit and Risk Committee. The Audit and Risk Committee oversees management’s design, implementation, and enforcement of our cybersecurity risk management program.</w:t>
      </w:r>
    </w:p>
    <w:p>
      <w:pPr>
        <w:spacing w:after="0" w:line="54" w:lineRule="exact"/>
        <w:rPr>
          <w:sz w:val="20"/>
          <w:szCs w:val="20"/>
          <w:color w:val="auto"/>
        </w:rPr>
      </w:pPr>
    </w:p>
    <w:p>
      <w:pPr>
        <w:ind w:firstLine="869"/>
        <w:spacing w:after="0" w:line="247" w:lineRule="auto"/>
        <w:rPr>
          <w:sz w:val="20"/>
          <w:szCs w:val="20"/>
          <w:color w:val="auto"/>
        </w:rPr>
      </w:pPr>
      <w:r>
        <w:rPr>
          <w:rFonts w:ascii="Arial" w:cs="Arial" w:eastAsia="Arial" w:hAnsi="Arial"/>
          <w:sz w:val="18"/>
          <w:szCs w:val="18"/>
          <w:color w:val="auto"/>
        </w:rPr>
        <w:t>Our Chief Security &amp; Risk Officer reports to the Chief Technology Officer and works closely with the Chief Legal Officer to ensure that all disclosure or reporting requirements are satisfied if an incident were to occur. The Chief Security &amp; Risk Officer leads Parsons’ overall cybersecurity function and provides quarterly reports to the Audit and Risk Committee on our cybersecurity risks, including briefings on our cybersecurity risk management program and cybersecurity incidents. The Audit and Risk Committee also receives periodic presentations on relevant cybersecurity topics as part of the Committee and the Board’s continuing education on topics that impact public companies.</w:t>
      </w:r>
    </w:p>
    <w:p>
      <w:pPr>
        <w:spacing w:after="0" w:line="69" w:lineRule="exact"/>
        <w:rPr>
          <w:sz w:val="20"/>
          <w:szCs w:val="20"/>
          <w:color w:val="auto"/>
        </w:rPr>
      </w:pPr>
    </w:p>
    <w:p>
      <w:pPr>
        <w:ind w:right="20" w:firstLine="869"/>
        <w:spacing w:after="0" w:line="243" w:lineRule="auto"/>
        <w:rPr>
          <w:sz w:val="20"/>
          <w:szCs w:val="20"/>
          <w:color w:val="auto"/>
        </w:rPr>
      </w:pPr>
      <w:r>
        <w:rPr>
          <w:rFonts w:ascii="Arial" w:cs="Arial" w:eastAsia="Arial" w:hAnsi="Arial"/>
          <w:sz w:val="18"/>
          <w:szCs w:val="18"/>
          <w:color w:val="auto"/>
        </w:rPr>
        <w:t>Our Chief Security &amp; Risk Officer supervises efforts to prevent, detect, mitigation and remediate cybersecurity risks and incidents through various means, which include briefings from internal security personnel; threat intelligence and other information obtained from governmental, public or private sources, including external cybersecurity service providers; and alerts and reports produced by security tools deployed in the IT environment. Our Chief Security &amp; Risk Officer is responsible for assessing and managing our material risks from cybersecurity threats and has primary responsibility for leading our overall cybersecurity risks management program and supervises both our internal cybersecurity personnel and our external cybersecurity service providers. Our Chief Security &amp; Risk Officer has significant global experience in managing and leading IT and cybersecurity teams.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headquarters are located in Chantilly, Virginia. As of December 31, 2024, we leased 246 commercial facilities (including our headquarters) with an aggregate of approximately 2.7 million square feet of space across 38 U.S. states and 15 countries used in connection with the various services rendered to our customers. Additionally, we operate at several customer-accredited Sensitive Compartmented Information Facilities, which are highly specialized, secure facilities used to perform classified work for the United States intelligence community. We also have employees working at customer sites throughout the U.S. and in other countries. We believe our facilities are adequate for our current and presently foreseeable needs.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performance under our contracts and our compliance with the terms of those contracts and applicable laws and regulations are subject to continuous audit, review and investigation by our customers, including the U.S. federal government. In addition, we are from time to time involved in legal proceedings and investigations arising in the ordinary course of business, including those relating to employment matters, relationships with clients and contractors, intellectual property disputes, environmental matters and other business matters. Although the outcome of any such matter is inherently uncertain and may be materially adverse, based on current information, except as noted below, we believe there are no pending lawsuits or claims that may have a material adverse effect on our business, financial condition or results of operations.</w:t>
      </w:r>
    </w:p>
    <w:p>
      <w:pPr>
        <w:spacing w:after="0" w:line="185"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9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We are awaiting the court’s rulings upon such motions, which will determine whether a trial will be necessary for this matter in 2025.</w:t>
      </w:r>
    </w:p>
    <w:p>
      <w:pPr>
        <w:spacing w:after="0" w:line="17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and against Alstom Signaling Operations LLC (Alstom").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pre-judgment interest in the amount of $34.0 million and amended the judgment accordingly to include such interest. Alstom filed a Notice of Appeal and has posted a bond as required under California law.</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000"/>
        <w:spacing w:after="0" w:line="36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Arial" w:cs="Arial" w:eastAsia="Arial" w:hAnsi="Arial"/>
          <w:sz w:val="18"/>
          <w:szCs w:val="18"/>
          <w:color w:val="auto"/>
        </w:rPr>
        <w:t>Our common stock is listed on the NYSE under the ticker symbol “PSN”.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During the years ended December 31, 2024, 2023 and 2022, the Company did not declare any dividends. We currently do not intend to declare or pay any cash dividends in the foreseeable future. Any determination to pay dividends on our capital stock will be at the discretion of our board of directors, subject to applicable laws, and will depend on our financial condition, results of operations, capital requirements, restrictions under our Convertible Senior Notes, or the Delayed Draw Term Loan and Credit Agreement, and other factors that our board of directors considers relevant.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 to the records of our transfer agent, there were three shareholders of record as of February 11, 2025.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following table provides information as of December 31, 2024 regarding compensation plans under which our equity securities are authorized for issuance.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w:t>
            </w: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Issued upon Exercise of</w:t>
            </w:r>
          </w:p>
        </w:tc>
        <w:tc>
          <w:tcPr>
            <w:tcW w:w="2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Weighted-Average Exercise</w:t>
            </w: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under Equity Compensation</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 Warrants</w:t>
            </w:r>
          </w:p>
        </w:tc>
        <w:tc>
          <w:tcPr>
            <w:tcW w:w="2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Price of Outstanding Options,</w:t>
            </w: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and Rights</w:t>
            </w:r>
          </w:p>
        </w:tc>
        <w:tc>
          <w:tcPr>
            <w:tcW w:w="2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0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Equity compensation plans approved by</w:t>
            </w:r>
          </w:p>
        </w:tc>
        <w:tc>
          <w:tcPr>
            <w:tcW w:w="2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320" w:type="dxa"/>
            <w:vAlign w:val="bottom"/>
            <w:shd w:val="clear" w:color="auto" w:fill="CFF0FC"/>
          </w:tcPr>
          <w:p>
            <w:pPr>
              <w:jc w:val="center"/>
              <w:ind w:left="30"/>
              <w:spacing w:after="0" w:line="177"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1"/>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security holders (1)</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1,367,785</w:t>
            </w:r>
          </w:p>
        </w:tc>
        <w:tc>
          <w:tcPr>
            <w:tcW w:w="32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3" w:lineRule="exact"/>
              <w:rPr>
                <w:sz w:val="20"/>
                <w:szCs w:val="20"/>
                <w:color w:val="auto"/>
              </w:rPr>
            </w:pPr>
            <w:r>
              <w:rPr>
                <w:rFonts w:ascii="Arial" w:cs="Arial" w:eastAsia="Arial" w:hAnsi="Arial"/>
                <w:sz w:val="18"/>
                <w:szCs w:val="18"/>
                <w:color w:val="auto"/>
              </w:rPr>
              <w:t>Equity compensation plans not approved</w:t>
            </w:r>
          </w:p>
        </w:tc>
        <w:tc>
          <w:tcPr>
            <w:tcW w:w="2200" w:type="dxa"/>
            <w:vAlign w:val="bottom"/>
          </w:tcPr>
          <w:p>
            <w:pPr>
              <w:spacing w:after="0"/>
              <w:rPr>
                <w:sz w:val="15"/>
                <w:szCs w:val="15"/>
                <w:color w:val="auto"/>
              </w:rPr>
            </w:pPr>
          </w:p>
        </w:tc>
        <w:tc>
          <w:tcPr>
            <w:tcW w:w="280" w:type="dxa"/>
            <w:vAlign w:val="bottom"/>
          </w:tcPr>
          <w:p>
            <w:pPr>
              <w:jc w:val="center"/>
              <w:ind w:left="10"/>
              <w:spacing w:after="0" w:line="183" w:lineRule="exact"/>
              <w:rPr>
                <w:sz w:val="20"/>
                <w:szCs w:val="20"/>
                <w:color w:val="auto"/>
              </w:rPr>
            </w:pPr>
            <w:r>
              <w:rPr>
                <w:rFonts w:ascii="Arial" w:cs="Arial" w:eastAsia="Arial" w:hAnsi="Arial"/>
                <w:sz w:val="18"/>
                <w:szCs w:val="18"/>
                <w:color w:val="auto"/>
                <w:w w:val="99"/>
              </w:rPr>
              <w:t>(</w:t>
            </w: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by security holders</w:t>
            </w: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1,883,018</w:t>
            </w:r>
          </w:p>
        </w:tc>
        <w:tc>
          <w:tcPr>
            <w:tcW w:w="28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3</w:t>
            </w:r>
          </w:p>
        </w:tc>
        <w:tc>
          <w:tcPr>
            <w:tcW w:w="2200" w:type="dxa"/>
            <w:vAlign w:val="bottom"/>
          </w:tcPr>
          <w:p>
            <w:pPr>
              <w:spacing w:after="0"/>
              <w:rPr>
                <w:sz w:val="17"/>
                <w:szCs w:val="17"/>
                <w:color w:val="auto"/>
              </w:rPr>
            </w:pPr>
          </w:p>
        </w:tc>
        <w:tc>
          <w:tcPr>
            <w:tcW w:w="260" w:type="dxa"/>
            <w:vAlign w:val="bottom"/>
            <w:vMerge w:val="restart"/>
          </w:tcPr>
          <w:p>
            <w:pPr>
              <w:spacing w:after="0"/>
              <w:rPr>
                <w:sz w:val="17"/>
                <w:szCs w:val="17"/>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7,651,085</w:t>
            </w:r>
          </w:p>
        </w:tc>
        <w:tc>
          <w:tcPr>
            <w:tcW w:w="3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2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3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1,883,018</w:t>
            </w:r>
          </w:p>
        </w:tc>
        <w:tc>
          <w:tcPr>
            <w:tcW w:w="280" w:type="dxa"/>
            <w:vAlign w:val="bottom"/>
            <w:tcBorders>
              <w:bottom w:val="single" w:sz="8" w:color="CFF0FC"/>
            </w:tcBorders>
            <w:shd w:val="clear" w:color="auto" w:fill="CFF0FC"/>
          </w:tcPr>
          <w:p>
            <w:pPr>
              <w:spacing w:after="0"/>
              <w:rPr>
                <w:sz w:val="20"/>
                <w:szCs w:val="20"/>
                <w:color w:val="auto"/>
              </w:rPr>
            </w:pPr>
          </w:p>
        </w:tc>
        <w:tc>
          <w:tcPr>
            <w:tcW w:w="2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9,018,870</w:t>
            </w:r>
          </w:p>
        </w:tc>
        <w:tc>
          <w:tcPr>
            <w:tcW w:w="3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-24765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the 2020 Employee Stock Purchase Plan.</w:t>
      </w:r>
    </w:p>
    <w:p>
      <w:pPr>
        <w:spacing w:after="0" w:line="15" w:lineRule="exact"/>
        <w:rPr>
          <w:rFonts w:ascii="Arial" w:cs="Arial" w:eastAsia="Arial" w:hAnsi="Arial"/>
          <w:sz w:val="14"/>
          <w:szCs w:val="14"/>
          <w:color w:val="auto"/>
        </w:rPr>
      </w:pPr>
    </w:p>
    <w:p>
      <w:pPr>
        <w:ind w:left="520" w:right="160" w:hanging="512"/>
        <w:spacing w:after="0" w:line="241"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 represents 1,367,785 shares remaining available for future issuance under the 2020 Employee Stock Purchase Plan (of which 47,860 shares were purchased pursuant to the offering period that ended on December 31, 2024).</w:t>
      </w:r>
    </w:p>
    <w:p>
      <w:pPr>
        <w:ind w:left="520" w:right="480" w:hanging="512"/>
        <w:spacing w:after="0" w:line="241" w:lineRule="auto"/>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 represents the sum of 1,883,018 shares of common stock subject to outstanding RSU and PSU awards under the 2019 Incentive Plan (with PSU awards reflected at “target” levels),</w:t>
      </w: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 represents 7,651,085 shares remaining available for future issuance under the 2019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04" w:lineRule="exact"/>
        <w:rPr>
          <w:sz w:val="20"/>
          <w:szCs w:val="20"/>
          <w:color w:val="auto"/>
        </w:rPr>
      </w:pPr>
    </w:p>
    <w:p>
      <w:pPr>
        <w:ind w:right="260" w:firstLine="509"/>
        <w:spacing w:after="0" w:line="244" w:lineRule="auto"/>
        <w:rPr>
          <w:sz w:val="20"/>
          <w:szCs w:val="20"/>
          <w:color w:val="auto"/>
        </w:rPr>
      </w:pPr>
      <w:r>
        <w:rPr>
          <w:rFonts w:ascii="Arial" w:cs="Arial" w:eastAsia="Arial" w:hAnsi="Arial"/>
          <w:sz w:val="18"/>
          <w:szCs w:val="18"/>
          <w:color w:val="auto"/>
        </w:rPr>
        <w:t>The following graph compares the cumulative total return, from December 31, 2019 through December 31, 2024, to shareholders of Parsons Corporation common stock relative to the cumulative total returns of the Russell 2000 Index and the Standard and Poor’s IT Consulting &amp; Other Services Index. The graph assumes that the value of the initial investment in our common stock and each of the two indexes was $100 on December 31, 2019, and tracks it through December 31, 2024 (including reinvestment of dividends). The stock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115570</wp:posOffset>
            </wp:positionV>
            <wp:extent cx="5349240" cy="4440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60" w:type="dxa"/>
            <w:vAlign w:val="bottom"/>
          </w:tcPr>
          <w:p>
            <w:pPr>
              <w:spacing w:after="0"/>
              <w:rPr>
                <w:sz w:val="19"/>
                <w:szCs w:val="19"/>
                <w:color w:val="auto"/>
              </w:rPr>
            </w:pPr>
          </w:p>
        </w:tc>
        <w:tc>
          <w:tcPr>
            <w:tcW w:w="1640" w:type="dxa"/>
            <w:vAlign w:val="bottom"/>
          </w:tcPr>
          <w:p>
            <w:pPr>
              <w:jc w:val="right"/>
              <w:ind w:right="339"/>
              <w:spacing w:after="0"/>
              <w:rPr>
                <w:sz w:val="20"/>
                <w:szCs w:val="20"/>
                <w:color w:val="auto"/>
              </w:rPr>
            </w:pPr>
            <w:r>
              <w:rPr>
                <w:rFonts w:ascii="Arial" w:cs="Arial" w:eastAsia="Arial" w:hAnsi="Arial"/>
                <w:sz w:val="16"/>
                <w:szCs w:val="16"/>
                <w:b w:val="1"/>
                <w:bCs w:val="1"/>
                <w:color w:val="auto"/>
              </w:rPr>
              <w:t>12/19</w:t>
            </w: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12/20</w:t>
            </w: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12/21</w:t>
            </w: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12/22</w:t>
            </w: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12/23</w:t>
            </w:r>
          </w:p>
        </w:tc>
        <w:tc>
          <w:tcPr>
            <w:tcW w:w="820" w:type="dxa"/>
            <w:vAlign w:val="bottom"/>
          </w:tcPr>
          <w:p>
            <w:pPr>
              <w:jc w:val="right"/>
              <w:ind w:right="179"/>
              <w:spacing w:after="0"/>
              <w:rPr>
                <w:sz w:val="20"/>
                <w:szCs w:val="20"/>
                <w:color w:val="auto"/>
              </w:rPr>
            </w:pPr>
            <w:r>
              <w:rPr>
                <w:rFonts w:ascii="Arial" w:cs="Arial" w:eastAsia="Arial" w:hAnsi="Arial"/>
                <w:sz w:val="16"/>
                <w:szCs w:val="16"/>
                <w:b w:val="1"/>
                <w:bCs w:val="1"/>
                <w:color w:val="auto"/>
              </w:rPr>
              <w:t>12/24</w:t>
            </w:r>
          </w:p>
        </w:tc>
      </w:tr>
      <w:tr>
        <w:trPr>
          <w:trHeight w:val="425"/>
        </w:trPr>
        <w:tc>
          <w:tcPr>
            <w:tcW w:w="4860" w:type="dxa"/>
            <w:vAlign w:val="bottom"/>
          </w:tcPr>
          <w:p>
            <w:pPr>
              <w:spacing w:after="0"/>
              <w:rPr>
                <w:sz w:val="20"/>
                <w:szCs w:val="20"/>
                <w:color w:val="auto"/>
              </w:rPr>
            </w:pPr>
            <w:r>
              <w:rPr>
                <w:rFonts w:ascii="Arial" w:cs="Arial" w:eastAsia="Arial" w:hAnsi="Arial"/>
                <w:sz w:val="16"/>
                <w:szCs w:val="16"/>
                <w:b w:val="1"/>
                <w:bCs w:val="1"/>
                <w:color w:val="auto"/>
              </w:rPr>
              <w:t>Parsons Corp.</w:t>
            </w: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100.00</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88.20</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81.52</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112.04</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151.91</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223.47</w:t>
            </w:r>
          </w:p>
        </w:tc>
      </w:tr>
      <w:tr>
        <w:trPr>
          <w:trHeight w:val="216"/>
        </w:trPr>
        <w:tc>
          <w:tcPr>
            <w:tcW w:w="4860" w:type="dxa"/>
            <w:vAlign w:val="bottom"/>
          </w:tcPr>
          <w:p>
            <w:pPr>
              <w:spacing w:after="0"/>
              <w:rPr>
                <w:sz w:val="20"/>
                <w:szCs w:val="20"/>
                <w:color w:val="auto"/>
              </w:rPr>
            </w:pPr>
            <w:r>
              <w:rPr>
                <w:rFonts w:ascii="Arial" w:cs="Arial" w:eastAsia="Arial" w:hAnsi="Arial"/>
                <w:sz w:val="16"/>
                <w:szCs w:val="16"/>
                <w:b w:val="1"/>
                <w:bCs w:val="1"/>
                <w:color w:val="auto"/>
              </w:rPr>
              <w:t>Russell 2000</w:t>
            </w: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100.00</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119.96</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137.74</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109.59</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128.14</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142.93</w:t>
            </w:r>
          </w:p>
        </w:tc>
      </w:tr>
      <w:tr>
        <w:trPr>
          <w:trHeight w:val="223"/>
        </w:trPr>
        <w:tc>
          <w:tcPr>
            <w:tcW w:w="4860" w:type="dxa"/>
            <w:vAlign w:val="bottom"/>
          </w:tcPr>
          <w:p>
            <w:pPr>
              <w:spacing w:after="0"/>
              <w:rPr>
                <w:sz w:val="20"/>
                <w:szCs w:val="20"/>
                <w:color w:val="auto"/>
              </w:rPr>
            </w:pPr>
            <w:r>
              <w:rPr>
                <w:rFonts w:ascii="Arial" w:cs="Arial" w:eastAsia="Arial" w:hAnsi="Arial"/>
                <w:sz w:val="16"/>
                <w:szCs w:val="16"/>
                <w:b w:val="1"/>
                <w:bCs w:val="1"/>
                <w:color w:val="auto"/>
              </w:rPr>
              <w:t>S&amp;P Composite 1500 IT Consulting &amp; Other Services</w:t>
            </w: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100.00</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113.44</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156.48</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119.55</w:t>
            </w: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151.77</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172.40</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to our 2024 Proxy Statement.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w:t>
      </w:r>
    </w:p>
    <w:p>
      <w:pPr>
        <w:spacing w:after="0" w:line="176"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At the time of the February 2024 authorization, the Company had repurchased shares with an aggregated market value (including fees) of $54.7 million. The aggregate market value of shares of Common Stock the Company is authorized to acquire, from both the August 2021 and February 2024 authorizations, is not greater than $154.7 million.</w:t>
      </w:r>
    </w:p>
    <w:p>
      <w:pPr>
        <w:spacing w:after="0" w:line="61"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As of December 31, 2024, the Company has spent $ 79.7 million (which includes commissions paid of $34 thousand) repurchasing 1,713,481 shares of Common Stock at an average price of $46.51 per share.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Company’s purchase of equity securities for the three months ended December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28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center"/>
              <w:ind w:right="296"/>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(or approximate</w:t>
            </w:r>
          </w:p>
        </w:tc>
        <w:tc>
          <w:tcPr>
            <w:tcW w:w="0" w:type="dxa"/>
            <w:vAlign w:val="bottom"/>
          </w:tcPr>
          <w:p>
            <w:pPr>
              <w:spacing w:after="0"/>
              <w:rPr>
                <w:sz w:val="1"/>
                <w:szCs w:val="1"/>
                <w:color w:val="auto"/>
              </w:rPr>
            </w:pPr>
          </w:p>
        </w:tc>
      </w:tr>
      <w:tr>
        <w:trPr>
          <w:trHeight w:val="162"/>
        </w:trPr>
        <w:tc>
          <w:tcPr>
            <w:tcW w:w="442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 paid</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15"/>
        </w:trPr>
        <w:tc>
          <w:tcPr>
            <w:tcW w:w="4420" w:type="dxa"/>
            <w:vAlign w:val="bottom"/>
            <w:vMerge w:val="continue"/>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 units</w:t>
            </w:r>
          </w:p>
        </w:tc>
        <w:tc>
          <w:tcPr>
            <w:tcW w:w="280" w:type="dxa"/>
            <w:vAlign w:val="bottom"/>
          </w:tcPr>
          <w:p>
            <w:pPr>
              <w:spacing w:after="0"/>
              <w:rPr>
                <w:sz w:val="10"/>
                <w:szCs w:val="10"/>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per share (or unit)</w:t>
            </w:r>
          </w:p>
        </w:tc>
        <w:tc>
          <w:tcPr>
            <w:tcW w:w="24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80" w:type="dxa"/>
            <w:vAlign w:val="bottom"/>
          </w:tcPr>
          <w:p>
            <w:pPr>
              <w:spacing w:after="0"/>
              <w:rPr>
                <w:sz w:val="10"/>
                <w:szCs w:val="10"/>
                <w:color w:val="auto"/>
              </w:rPr>
            </w:pPr>
          </w:p>
        </w:tc>
        <w:tc>
          <w:tcPr>
            <w:tcW w:w="16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shares (or units) that</w:t>
            </w:r>
          </w:p>
        </w:tc>
        <w:tc>
          <w:tcPr>
            <w:tcW w:w="0" w:type="dxa"/>
            <w:vAlign w:val="bottom"/>
          </w:tcPr>
          <w:p>
            <w:pPr>
              <w:spacing w:after="0"/>
              <w:rPr>
                <w:sz w:val="1"/>
                <w:szCs w:val="1"/>
                <w:color w:val="auto"/>
              </w:rPr>
            </w:pPr>
          </w:p>
        </w:tc>
      </w:tr>
      <w:tr>
        <w:trPr>
          <w:trHeight w:val="47"/>
        </w:trPr>
        <w:tc>
          <w:tcPr>
            <w:tcW w:w="44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center"/>
              <w:ind w:right="296"/>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8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plans programs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October 1 to 31, 2024</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90,000,219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November 1 to 30, 2024</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104,527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95.67</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104,527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80,000,351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1 to 31, 2024</w:t>
            </w: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51,425</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97.22</w:t>
            </w:r>
          </w:p>
        </w:tc>
        <w:tc>
          <w:tcPr>
            <w:tcW w:w="24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51,425</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75,000,926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155,952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96.18</w:t>
            </w:r>
          </w:p>
        </w:tc>
        <w:tc>
          <w:tcPr>
            <w:tcW w:w="17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155,952</w:t>
            </w: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75,000,926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-162560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-162560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left="900" w:hanging="518"/>
        <w:spacing w:after="0"/>
        <w:tabs>
          <w:tab w:leader="none" w:pos="9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commissions and calculated at the average price per share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Annual Report on Form 10-K. Certain amounts may not foot due to rounding.</w:t>
      </w:r>
    </w:p>
    <w:p>
      <w:pPr>
        <w:spacing w:after="0" w:line="172" w:lineRule="exact"/>
        <w:rPr>
          <w:sz w:val="20"/>
          <w:szCs w:val="20"/>
          <w:color w:val="auto"/>
        </w:rPr>
      </w:pPr>
    </w:p>
    <w:p>
      <w:pPr>
        <w:ind w:right="20" w:firstLine="509"/>
        <w:spacing w:after="0" w:line="265" w:lineRule="auto"/>
        <w:rPr>
          <w:sz w:val="20"/>
          <w:szCs w:val="20"/>
          <w:color w:val="auto"/>
        </w:rPr>
      </w:pPr>
      <w:r>
        <w:rPr>
          <w:rFonts w:ascii="Arial" w:cs="Arial" w:eastAsia="Arial" w:hAnsi="Arial"/>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3008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 and intelligence, space and missile defense, critical infrastructure protection, transportation, environmental remediation and urban development. By combining our talented team of professionals and advanced technology, we solve complex technical challenges to enable a safer, smarter, more secure and more connected world.</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61" w:name="page62"/>
    <w:bookmarkEnd w:id="61"/>
    <w:p>
      <w:pPr>
        <w:spacing w:after="0" w:line="193"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is an advanced technology provider to the U.S. government. Our Critical Infrastructure business provides integrated design and engineering services for complex physical and digital infrastructure around the globe.</w:t>
      </w:r>
    </w:p>
    <w:p>
      <w:pPr>
        <w:spacing w:after="0" w:line="169"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Period Ended</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220" w:type="dxa"/>
            <w:vAlign w:val="bottom"/>
          </w:tcPr>
          <w:p>
            <w:pPr>
              <w:spacing w:after="0"/>
              <w:rPr>
                <w:sz w:val="13"/>
                <w:szCs w:val="13"/>
                <w:color w:val="auto"/>
              </w:rPr>
            </w:pPr>
          </w:p>
        </w:tc>
        <w:tc>
          <w:tcPr>
            <w:tcW w:w="138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3"/>
                <w:szCs w:val="13"/>
                <w:color w:val="auto"/>
              </w:rPr>
            </w:pPr>
          </w:p>
        </w:tc>
      </w:tr>
      <w:tr>
        <w:trPr>
          <w:trHeight w:val="196"/>
        </w:trPr>
        <w:tc>
          <w:tcPr>
            <w:tcW w:w="6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Awards</w:t>
            </w:r>
          </w:p>
        </w:tc>
        <w:tc>
          <w:tcPr>
            <w:tcW w:w="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7,039,272</w:t>
            </w:r>
          </w:p>
        </w:tc>
        <w:tc>
          <w:tcPr>
            <w:tcW w:w="480" w:type="dxa"/>
            <w:vAlign w:val="bottom"/>
            <w:gridSpan w:val="2"/>
            <w:shd w:val="clear" w:color="auto" w:fill="CFF0FC"/>
          </w:tcPr>
          <w:p>
            <w:pPr>
              <w:ind w:left="26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5,996,780</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4,274,721</w:t>
            </w:r>
          </w:p>
        </w:tc>
        <w:tc>
          <w:tcPr>
            <w:tcW w:w="100" w:type="dxa"/>
            <w:vAlign w:val="bottom"/>
            <w:shd w:val="clear" w:color="auto" w:fill="CFF0FC"/>
          </w:tcPr>
          <w:p>
            <w:pPr>
              <w:spacing w:after="0"/>
              <w:rPr>
                <w:sz w:val="17"/>
                <w:szCs w:val="17"/>
                <w:color w:val="auto"/>
              </w:rPr>
            </w:pP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Backlog (1)</w:t>
            </w:r>
          </w:p>
        </w:tc>
        <w:tc>
          <w:tcPr>
            <w:tcW w:w="3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8,893,915</w:t>
            </w:r>
          </w:p>
        </w:tc>
        <w:tc>
          <w:tcPr>
            <w:tcW w:w="4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8,592,271</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8,179,245</w:t>
            </w:r>
          </w:p>
        </w:tc>
        <w:tc>
          <w:tcPr>
            <w:tcW w:w="100" w:type="dxa"/>
            <w:vAlign w:val="bottom"/>
          </w:tcPr>
          <w:p>
            <w:pPr>
              <w:spacing w:after="0"/>
              <w:rPr>
                <w:sz w:val="17"/>
                <w:szCs w:val="17"/>
                <w:color w:val="auto"/>
              </w:rPr>
            </w:pPr>
          </w:p>
        </w:tc>
      </w:tr>
      <w:tr>
        <w:trPr>
          <w:trHeight w:val="203"/>
        </w:trPr>
        <w:tc>
          <w:tcPr>
            <w:tcW w:w="6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Book-to-Bill</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r>
    </w:tbl>
    <w:p>
      <w:pPr>
        <w:spacing w:after="0" w:line="224" w:lineRule="exact"/>
        <w:rPr>
          <w:sz w:val="20"/>
          <w:szCs w:val="20"/>
          <w:color w:val="auto"/>
        </w:rPr>
      </w:pPr>
    </w:p>
    <w:p>
      <w:pPr>
        <w:jc w:val="both"/>
        <w:ind w:left="520" w:right="220" w:hanging="512"/>
        <w:spacing w:after="0" w:line="25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Difference between our backlog of $8.9 billion and our remaining unsatisfied performance obligations, or RUPO, of $6.7 billion, each as of December 31, 2024,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jc w:val="both"/>
        <w:ind w:right="340" w:firstLine="509"/>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total value of new awards for the periods presented below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480" w:type="dxa"/>
            <w:vAlign w:val="bottom"/>
          </w:tcPr>
          <w:p>
            <w:pPr>
              <w:spacing w:after="0"/>
              <w:rPr>
                <w:sz w:val="13"/>
                <w:szCs w:val="13"/>
                <w:color w:val="auto"/>
              </w:rPr>
            </w:pPr>
          </w:p>
        </w:tc>
        <w:tc>
          <w:tcPr>
            <w:tcW w:w="138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138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3"/>
                <w:szCs w:val="13"/>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Solutions</w:t>
            </w:r>
          </w:p>
        </w:tc>
        <w:tc>
          <w:tcPr>
            <w:tcW w:w="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3,880,290</w:t>
            </w:r>
          </w:p>
        </w:tc>
        <w:tc>
          <w:tcPr>
            <w:tcW w:w="60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3,259,052</w:t>
            </w:r>
          </w:p>
        </w:tc>
        <w:tc>
          <w:tcPr>
            <w:tcW w:w="580" w:type="dxa"/>
            <w:vAlign w:val="bottom"/>
            <w:gridSpan w:val="2"/>
            <w:shd w:val="clear" w:color="auto" w:fill="CFF0FC"/>
          </w:tcPr>
          <w:p>
            <w:pPr>
              <w:ind w:left="26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1,921,123</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Critical Infrastructure</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3,158,982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2,737,728</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2,353,598</w:t>
            </w:r>
          </w:p>
        </w:tc>
        <w:tc>
          <w:tcPr>
            <w:tcW w:w="100" w:type="dxa"/>
            <w:vAlign w:val="bottom"/>
          </w:tcPr>
          <w:p>
            <w:pPr>
              <w:spacing w:after="0"/>
              <w:rPr>
                <w:sz w:val="17"/>
                <w:szCs w:val="17"/>
                <w:color w:val="auto"/>
              </w:rPr>
            </w:pPr>
          </w:p>
        </w:tc>
      </w:tr>
      <w:tr>
        <w:trPr>
          <w:trHeight w:val="23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Awards</w:t>
            </w:r>
          </w:p>
        </w:tc>
        <w:tc>
          <w:tcPr>
            <w:tcW w:w="3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7,039,272</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5,996,780</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4,274,721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w:t>
      </w:r>
    </w:p>
    <w:p>
      <w:pPr>
        <w:spacing w:after="0" w:line="15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change in new awards in both our Federal Solutions and Critical Infrastructure segments for the year ended December 31, 2024 when compared to the corresponding period last year was primarily due to significant option period awards in our Federal Solutions segment and three large transportation awards and a mining award in our Critical Infrastructure segment.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1020" w:right="50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46" w:lineRule="exact"/>
        <w:rPr>
          <w:rFonts w:ascii="Times New Roman" w:cs="Times New Roman" w:eastAsia="Times New Roman" w:hAnsi="Times New Roman"/>
          <w:sz w:val="18"/>
          <w:szCs w:val="18"/>
          <w:color w:val="auto"/>
        </w:rPr>
      </w:pPr>
    </w:p>
    <w:p>
      <w:pPr>
        <w:ind w:left="1020" w:right="120" w:hanging="503"/>
        <w:spacing w:after="0" w:line="246"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 Unfunded backlog does not include potential task orders expected to be awarded under multiple awards IDIQ contract vehicles, where task orders are competitively awarded and separately priced.</w:t>
      </w:r>
    </w:p>
    <w:p>
      <w:pPr>
        <w:spacing w:after="0" w:line="177"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value of our backlog at the respective dates presented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Federal Solutions:</w:t>
            </w:r>
          </w:p>
        </w:tc>
        <w:tc>
          <w:tcPr>
            <w:tcW w:w="138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138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Funded</w:t>
            </w:r>
          </w:p>
        </w:tc>
        <w:tc>
          <w:tcPr>
            <w:tcW w:w="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1,712,627</w:t>
            </w:r>
          </w:p>
        </w:tc>
        <w:tc>
          <w:tcPr>
            <w:tcW w:w="56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1,454,581</w:t>
            </w:r>
          </w:p>
        </w:tc>
        <w:tc>
          <w:tcPr>
            <w:tcW w:w="58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1,257,537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Unfunded</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2,961,356</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3,490,781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3,586,791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Federal Solutions</w:t>
            </w: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4,673,983</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4,945,362</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4,844,328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color w:val="auto"/>
              </w:rPr>
              <w:t>Critical Infrastructure:</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Funded</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4,167,611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3,578,902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3,280,701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80"/>
              <w:spacing w:after="0" w:line="202" w:lineRule="exact"/>
              <w:rPr>
                <w:sz w:val="20"/>
                <w:szCs w:val="20"/>
                <w:color w:val="auto"/>
              </w:rPr>
            </w:pPr>
            <w:r>
              <w:rPr>
                <w:rFonts w:ascii="Arial" w:cs="Arial" w:eastAsia="Arial" w:hAnsi="Arial"/>
                <w:sz w:val="18"/>
                <w:szCs w:val="18"/>
                <w:color w:val="auto"/>
              </w:rPr>
              <w:t>Unfunded</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52,321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68,007</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54,216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Critical Infrastructure</w:t>
            </w: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4,219,932</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3,646,909</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3,334,917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color w:val="auto"/>
              </w:rPr>
              <w:t>Total Backlog (1)</w:t>
            </w:r>
          </w:p>
        </w:tc>
        <w:tc>
          <w:tcPr>
            <w:tcW w:w="34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8,893,915</w:t>
            </w:r>
          </w:p>
        </w:tc>
        <w:tc>
          <w:tcPr>
            <w:tcW w:w="560" w:type="dxa"/>
            <w:vAlign w:val="bottom"/>
            <w:gridSpan w:val="2"/>
          </w:tcPr>
          <w:p>
            <w:pPr>
              <w:ind w:left="2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8,592,271</w:t>
            </w:r>
          </w:p>
        </w:tc>
        <w:tc>
          <w:tcPr>
            <w:tcW w:w="58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8,179,245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-693420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-693420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-161925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-161925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ind w:left="520" w:right="40" w:hanging="512"/>
        <w:spacing w:after="0" w:line="253"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Difference between our backlog of $8.9 billion and our RUPO of $6.7 billion, each as of December 31, 2024,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We expect to recognize $3.9 billion of our funded backlog at December 31, 2024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Factors—Risks Relating to Our Business—We may not realize the full value of our backlog, which may result in lower than expected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3"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 Our backlog will fluctuate in any given period based on the volume of awards issued and the rate of revenue generated from our existing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Fiscal Year Ended</w:t>
            </w:r>
          </w:p>
        </w:tc>
        <w:tc>
          <w:tcPr>
            <w:tcW w:w="1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2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Pr>
          <w:p>
            <w:pPr>
              <w:spacing w:after="0"/>
              <w:rPr>
                <w:sz w:val="19"/>
                <w:szCs w:val="19"/>
                <w:color w:val="auto"/>
              </w:rPr>
            </w:pPr>
          </w:p>
        </w:tc>
        <w:tc>
          <w:tcPr>
            <w:tcW w:w="1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9"/>
                <w:szCs w:val="19"/>
                <w:color w:val="auto"/>
              </w:rPr>
            </w:pPr>
          </w:p>
        </w:tc>
      </w:tr>
      <w:tr>
        <w:trPr>
          <w:trHeight w:val="196"/>
        </w:trPr>
        <w:tc>
          <w:tcPr>
            <w:tcW w:w="6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Solutions</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16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7"/>
                <w:szCs w:val="17"/>
                <w:color w:val="auto"/>
              </w:rPr>
            </w:pPr>
          </w:p>
        </w:tc>
      </w:tr>
      <w:tr>
        <w:trPr>
          <w:trHeight w:val="202"/>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Critical Infrastructure</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Overall</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r>
    </w:tbl>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well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BCC Engin</w:t>
      </w:r>
      <w:r>
        <w:rPr>
          <w:rFonts w:ascii="Arial" w:cs="Arial" w:eastAsia="Arial" w:hAnsi="Arial"/>
          <w:sz w:val="18"/>
          <w:szCs w:val="18"/>
          <w:color w:val="auto"/>
        </w:rPr>
        <w:t>eering, LLC</w:t>
      </w:r>
    </w:p>
    <w:p>
      <w:pPr>
        <w:spacing w:after="0" w:line="104" w:lineRule="exact"/>
        <w:rPr>
          <w:sz w:val="20"/>
          <w:szCs w:val="20"/>
          <w:color w:val="auto"/>
        </w:rPr>
      </w:pPr>
    </w:p>
    <w:p>
      <w:pPr>
        <w:ind w:right="560" w:firstLine="509"/>
        <w:spacing w:after="0" w:line="244" w:lineRule="auto"/>
        <w:rPr>
          <w:sz w:val="20"/>
          <w:szCs w:val="20"/>
          <w:color w:val="auto"/>
        </w:rPr>
      </w:pPr>
      <w:r>
        <w:rPr>
          <w:rFonts w:ascii="Arial" w:cs="Arial" w:eastAsia="Arial" w:hAnsi="Arial"/>
          <w:sz w:val="18"/>
          <w:szCs w:val="18"/>
          <w:color w:val="auto"/>
        </w:rPr>
        <w:t>On November 1, 2024, the Company acquired a 100% ownership interest in BCC Engineering, LLC ("BCC") a privately owned company, for $ 232.7 million.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The financial results of BCC have been included in our consolidated results of operations from October 18, 2024 onward.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BlackSignal Technologies, LLC</w:t>
      </w:r>
    </w:p>
    <w:p>
      <w:pPr>
        <w:spacing w:after="0" w:line="10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$203.7 million. Headquartered in Chantilly, Virginia, BlackSignal is a next-generation digital signal processing, electronic warfare, and cyber security provider built to counter near peer threats. Parsons believes that the acquisition will expand Parsons' customer base across the Department of Defense and Intelligence Community and significantly strengthen Parsons' positioning within cyber warfare, while adding new capabilities in the counterspace radio frequency domain. The financial results of BlackSignal have been included in our consolidated results of operations from August 16, 2024 onward.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 Engineers, LLC</w:t>
      </w:r>
    </w:p>
    <w:p>
      <w:pPr>
        <w:spacing w:after="0" w:line="10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October 31, 2023, the Company entered into a Membership Interest Purchase Agreement to acquire a 100% ownership interest in I.S. Engineers, LLC, a privately-owned company, for $12.2 million, subject to certain adjustments. Headquartered in Texas, I.S. Engineers, LLC provides full-service consulting specializing in transportation engineering, including roads and highways, and program management. The financial results of I.S. Engineers have been included in our consolidated results of operations from October 31, 2023 onward.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Sealing Technologies, Inc.</w:t>
      </w:r>
    </w:p>
    <w:p>
      <w:pPr>
        <w:spacing w:after="0" w:line="10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On August 23, 2023, the Company acquired a 100% ownership interest in Sealing Technologies, Inc (“SealingTech”), a privately-owned company, for $176.0 million and up to an additional $25 million in the event an earn out revenue target is exceeded.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The financial results of SealingTech have been included in our consolidated results of operations from August 23, 2023 onward.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IPKeys Power Partners</w:t>
      </w:r>
    </w:p>
    <w:p>
      <w:pPr>
        <w:spacing w:after="0" w:line="10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financial results of IPKeys have been included in our consolidated results of operations from April 13, 2023 onward.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Xator Corporation</w:t>
      </w:r>
    </w:p>
    <w:p>
      <w:pPr>
        <w:spacing w:after="0" w:line="102"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On May 31, 2022, the Company acquired Xator Corporation for $387.5 million. This strategic acquisition expands Parsons’ presence within the U.S. Special Operations Command, the Intelligence Community, Federal Civilian customers, and global critical infrastructure markets, while providing new customer access at the Department of State. Xator also expands Parsons’ customer base and brings differentiated technical capabilities in critical infrastructure protection, counter-unmanned aircraft systems (cUAS), intelligence and cyber solutions, biometrics, and global threat assessment and operations, increasing our addressable market in both the Federal Solutions and Critical Infrastructure segments. The financial results of Xator have been included in our consolidated results of operations from May 31, 2022 onward.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540" w:right="20" w:hanging="514"/>
        <w:spacing w:after="0" w:line="246" w:lineRule="auto"/>
        <w:tabs>
          <w:tab w:leader="none" w:pos="154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540" w:right="280" w:hanging="514"/>
        <w:spacing w:after="0" w:line="252" w:lineRule="auto"/>
        <w:tabs>
          <w:tab w:leader="none" w:pos="154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w:t>
      </w:r>
      <w:r>
        <w:rPr>
          <w:rFonts w:ascii="Arial" w:cs="Arial" w:eastAsia="Arial" w:hAnsi="Arial"/>
          <w:sz w:val="18"/>
          <w:szCs w:val="18"/>
          <w:i w:val="1"/>
          <w:iCs w:val="1"/>
          <w:color w:val="auto"/>
        </w:rPr>
        <w:t>Summary of Significant Accounting Polices</w:t>
      </w:r>
      <w:r>
        <w:rPr>
          <w:rFonts w:ascii="Arial" w:cs="Arial" w:eastAsia="Arial" w:hAnsi="Arial"/>
          <w:sz w:val="18"/>
          <w:szCs w:val="18"/>
          <w:color w:val="auto"/>
        </w:rPr>
        <w:t>” in the notes to our consolidated financial statements included elsewhere in this Annual Report on Form 10-K for a description of our policies on revenue recognition applicable to each type of contract.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 Ended</w:t>
            </w: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237"/>
        </w:trPr>
        <w:tc>
          <w:tcPr>
            <w:tcW w:w="65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Fixed-price</w:t>
            </w:r>
          </w:p>
        </w:tc>
        <w:tc>
          <w:tcPr>
            <w:tcW w:w="148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42%</w:t>
            </w:r>
          </w:p>
        </w:tc>
        <w:tc>
          <w:tcPr>
            <w:tcW w:w="162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9"/>
              </w:rPr>
              <w:t>33%</w:t>
            </w:r>
          </w:p>
        </w:tc>
        <w:tc>
          <w:tcPr>
            <w:tcW w:w="162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w w:val="99"/>
              </w:rPr>
              <w:t>27%</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Time-and-materials</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9"/>
              </w:rPr>
              <w:t>21%</w:t>
            </w:r>
          </w:p>
        </w:tc>
        <w:tc>
          <w:tcPr>
            <w:tcW w:w="162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25%</w:t>
            </w:r>
          </w:p>
        </w:tc>
        <w:tc>
          <w:tcPr>
            <w:tcW w:w="162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28%</w:t>
            </w: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Cost-plus</w:t>
            </w:r>
          </w:p>
        </w:tc>
        <w:tc>
          <w:tcPr>
            <w:tcW w:w="14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37%</w:t>
            </w:r>
          </w:p>
        </w:tc>
        <w:tc>
          <w:tcPr>
            <w:tcW w:w="162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9"/>
              </w:rPr>
              <w:t>42%</w:t>
            </w:r>
          </w:p>
        </w:tc>
        <w:tc>
          <w:tcPr>
            <w:tcW w:w="162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9"/>
              </w:rPr>
              <w:t>45%</w:t>
            </w:r>
          </w:p>
        </w:tc>
      </w:tr>
    </w:tbl>
    <w:p>
      <w:pPr>
        <w:spacing w:after="0" w:line="22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86"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The significant change in the contract mix for the year ended December 31, 2024 compared to the corresponding period last year relates to increased business volume from a significant fixed price contract in our Federal Solutions segment.</w:t>
      </w:r>
    </w:p>
    <w:p>
      <w:pPr>
        <w:spacing w:after="0" w:line="154"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169"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The Company is involved in a significant volume of contracts with the United States federal government and state and local governments. Approximately 59%, 55%, and 53% of consolidated revenues for the years ended December 31, 2024, December 31, 2023 and December 31, 2022,</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3"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respectively were derived from contracts with the United States federal government. No other customers represented 10% or more of consolidated revenues or accounts receivable in any of the periods presented.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(losses) of unconsolidated joint ventures. Our revenues included $182.6 million in 2024, $213.8 million in 2023, and $217.4 million in 2022 related to services we provided to our unconsolidated joint ventures.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In 2024, 2023 and 2022, we made annual contributions to the ESOP in the amount of 8% of the participants’ cash compensation for the applicable year. Total ESOP contribution expense was $59.8 million for 2024, $58.2 million for 2023, and $54.7 million for fiscal 2022, and is recorded in “Direct cost of contracts” and “Selling, general and administrative expenses.” We expect operating expenses to increase due to our anticipated growth. However, on a forward-looking basis, we generally expect these costs to decline as a percentage of our total revenue as we realize the benefits of scale.</w:t>
      </w:r>
    </w:p>
    <w:p>
      <w:pPr>
        <w:spacing w:after="0" w:line="185"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860" w:firstLine="509"/>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expense consists of interest expense incurred under our Convertible Senior Notes, Credit Agreement and Delayed Draw Term</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194"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transaction gain or loss related to movements in foreign currency exchange rates, contingent consideration and convertible debt repurchase loss.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8" w:name="page69"/>
    <w:bookmarkEnd w:id="68"/>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2024 compared to year ended December 31, 2023</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fiscal 2024 and fiscal 2023 as a percentage of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8"/>
          </w:tcPr>
          <w:p>
            <w:pPr>
              <w:jc w:val="center"/>
              <w:ind w:right="14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40" w:type="dxa"/>
            <w:vAlign w:val="bottom"/>
            <w:tcBorders>
              <w:top w:val="single" w:sz="8" w:color="auto"/>
            </w:tcBorders>
            <w:gridSpan w:val="6"/>
          </w:tcPr>
          <w:p>
            <w:pPr>
              <w:ind w:left="180"/>
              <w:spacing w:after="0" w:line="155" w:lineRule="exact"/>
              <w:rPr>
                <w:sz w:val="20"/>
                <w:szCs w:val="20"/>
                <w:color w:val="auto"/>
              </w:rPr>
            </w:pPr>
            <w:r>
              <w:rPr>
                <w:rFonts w:ascii="Arial" w:cs="Arial" w:eastAsia="Arial" w:hAnsi="Arial"/>
                <w:sz w:val="14"/>
                <w:szCs w:val="14"/>
                <w:b w:val="1"/>
                <w:bCs w:val="1"/>
                <w:color w:val="auto"/>
              </w:rPr>
              <w:t>December 31, 2024</w:t>
            </w:r>
          </w:p>
        </w:tc>
        <w:tc>
          <w:tcPr>
            <w:tcW w:w="1500" w:type="dxa"/>
            <w:vAlign w:val="bottom"/>
            <w:tcBorders>
              <w:top w:val="single" w:sz="8" w:color="auto"/>
            </w:tcBorders>
            <w:gridSpan w:val="3"/>
          </w:tcPr>
          <w:p>
            <w:pPr>
              <w:jc w:val="right"/>
              <w:ind w:right="119"/>
              <w:spacing w:after="0" w:line="155" w:lineRule="exact"/>
              <w:rPr>
                <w:sz w:val="20"/>
                <w:szCs w:val="20"/>
                <w:color w:val="auto"/>
              </w:rPr>
            </w:pPr>
            <w:r>
              <w:rPr>
                <w:rFonts w:ascii="Arial" w:cs="Arial" w:eastAsia="Arial" w:hAnsi="Arial"/>
                <w:sz w:val="14"/>
                <w:szCs w:val="14"/>
                <w:b w:val="1"/>
                <w:bCs w:val="1"/>
                <w:color w:val="auto"/>
              </w:rPr>
              <w:t>December 31, 2023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line="196" w:lineRule="exact"/>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38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Direct costs of contracts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79.2 %</w:t>
            </w:r>
          </w:p>
        </w:tc>
        <w:tc>
          <w:tcPr>
            <w:tcW w:w="180" w:type="dxa"/>
            <w:vAlign w:val="bottom"/>
            <w:shd w:val="clear" w:color="auto" w:fill="CFF0FC"/>
          </w:tcPr>
          <w:p>
            <w:pPr>
              <w:spacing w:after="0"/>
              <w:rPr>
                <w:sz w:val="17"/>
                <w:szCs w:val="17"/>
                <w:color w:val="auto"/>
              </w:rPr>
            </w:pPr>
          </w:p>
        </w:tc>
        <w:tc>
          <w:tcPr>
            <w:tcW w:w="1760" w:type="dxa"/>
            <w:vAlign w:val="bottom"/>
            <w:gridSpan w:val="5"/>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77.8 %</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Equity in (losses) earnings of unconsolidated joint ventures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(0.3 )%</w:t>
            </w:r>
          </w:p>
        </w:tc>
        <w:tc>
          <w:tcPr>
            <w:tcW w:w="180" w:type="dxa"/>
            <w:vAlign w:val="bottom"/>
          </w:tcPr>
          <w:p>
            <w:pPr>
              <w:spacing w:after="0"/>
              <w:rPr>
                <w:sz w:val="17"/>
                <w:szCs w:val="17"/>
                <w:color w:val="auto"/>
              </w:rPr>
            </w:pPr>
          </w:p>
        </w:tc>
        <w:tc>
          <w:tcPr>
            <w:tcW w:w="176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14.1 %</w:t>
            </w:r>
          </w:p>
        </w:tc>
        <w:tc>
          <w:tcPr>
            <w:tcW w:w="180" w:type="dxa"/>
            <w:vAlign w:val="bottom"/>
            <w:shd w:val="clear" w:color="auto" w:fill="CFF0FC"/>
          </w:tcPr>
          <w:p>
            <w:pPr>
              <w:spacing w:after="0"/>
              <w:rPr>
                <w:sz w:val="17"/>
                <w:szCs w:val="17"/>
                <w:color w:val="auto"/>
              </w:rPr>
            </w:pPr>
          </w:p>
        </w:tc>
        <w:tc>
          <w:tcPr>
            <w:tcW w:w="1760" w:type="dxa"/>
            <w:vAlign w:val="bottom"/>
            <w:gridSpan w:val="5"/>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ind w:left="280"/>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6.3 %</w:t>
            </w:r>
          </w:p>
        </w:tc>
        <w:tc>
          <w:tcPr>
            <w:tcW w:w="180" w:type="dxa"/>
            <w:vAlign w:val="bottom"/>
          </w:tcPr>
          <w:p>
            <w:pPr>
              <w:spacing w:after="0"/>
              <w:rPr>
                <w:sz w:val="17"/>
                <w:szCs w:val="17"/>
                <w:color w:val="auto"/>
              </w:rPr>
            </w:pPr>
          </w:p>
        </w:tc>
        <w:tc>
          <w:tcPr>
            <w:tcW w:w="1760" w:type="dxa"/>
            <w:vAlign w:val="bottom"/>
            <w:gridSpan w:val="5"/>
          </w:tcPr>
          <w:p>
            <w:pPr>
              <w:jc w:val="right"/>
              <w:ind w:right="80"/>
              <w:spacing w:after="0" w:line="196"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0.2 %</w:t>
            </w:r>
          </w:p>
        </w:tc>
        <w:tc>
          <w:tcPr>
            <w:tcW w:w="180" w:type="dxa"/>
            <w:vAlign w:val="bottom"/>
            <w:shd w:val="clear" w:color="auto" w:fill="CFF0FC"/>
          </w:tcPr>
          <w:p>
            <w:pPr>
              <w:spacing w:after="0"/>
              <w:rPr>
                <w:sz w:val="17"/>
                <w:szCs w:val="17"/>
                <w:color w:val="auto"/>
              </w:rPr>
            </w:pPr>
          </w:p>
        </w:tc>
        <w:tc>
          <w:tcPr>
            <w:tcW w:w="1760" w:type="dxa"/>
            <w:vAlign w:val="bottom"/>
            <w:gridSpan w:val="5"/>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(0.8 )%</w:t>
            </w:r>
          </w:p>
        </w:tc>
        <w:tc>
          <w:tcPr>
            <w:tcW w:w="180" w:type="dxa"/>
            <w:vAlign w:val="bottom"/>
          </w:tcPr>
          <w:p>
            <w:pPr>
              <w:spacing w:after="0"/>
              <w:rPr>
                <w:sz w:val="17"/>
                <w:szCs w:val="17"/>
                <w:color w:val="auto"/>
              </w:rPr>
            </w:pPr>
          </w:p>
        </w:tc>
        <w:tc>
          <w:tcPr>
            <w:tcW w:w="176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Convertible debt repurchase loss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(0.3 )%</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(0.0 )%</w:t>
            </w:r>
          </w:p>
        </w:tc>
        <w:tc>
          <w:tcPr>
            <w:tcW w:w="180" w:type="dxa"/>
            <w:vAlign w:val="bottom"/>
          </w:tcPr>
          <w:p>
            <w:pPr>
              <w:spacing w:after="0"/>
              <w:rPr>
                <w:sz w:val="17"/>
                <w:szCs w:val="17"/>
                <w:color w:val="auto"/>
              </w:rPr>
            </w:pPr>
          </w:p>
        </w:tc>
        <w:tc>
          <w:tcPr>
            <w:tcW w:w="176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other income benefit (expense)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(0.9 )%</w:t>
            </w:r>
          </w:p>
        </w:tc>
        <w:tc>
          <w:tcPr>
            <w:tcW w:w="180" w:type="dxa"/>
            <w:vAlign w:val="bottom"/>
            <w:shd w:val="clear" w:color="auto" w:fill="CFF0FC"/>
          </w:tcPr>
          <w:p>
            <w:pPr>
              <w:spacing w:after="0"/>
              <w:rPr>
                <w:sz w:val="17"/>
                <w:szCs w:val="17"/>
                <w:color w:val="auto"/>
              </w:rPr>
            </w:pPr>
          </w:p>
        </w:tc>
        <w:tc>
          <w:tcPr>
            <w:tcW w:w="1760" w:type="dxa"/>
            <w:vAlign w:val="bottom"/>
            <w:gridSpan w:val="5"/>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ind w:left="280"/>
              <w:spacing w:after="0" w:line="196" w:lineRule="exact"/>
              <w:rPr>
                <w:sz w:val="20"/>
                <w:szCs w:val="20"/>
                <w:color w:val="auto"/>
              </w:rPr>
            </w:pPr>
            <w:r>
              <w:rPr>
                <w:rFonts w:ascii="Arial" w:cs="Arial" w:eastAsia="Arial" w:hAnsi="Arial"/>
                <w:sz w:val="18"/>
                <w:szCs w:val="18"/>
                <w:color w:val="auto"/>
              </w:rPr>
              <w:t>Income before income tax expense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5.4 %</w:t>
            </w:r>
          </w:p>
        </w:tc>
        <w:tc>
          <w:tcPr>
            <w:tcW w:w="180" w:type="dxa"/>
            <w:vAlign w:val="bottom"/>
          </w:tcPr>
          <w:p>
            <w:pPr>
              <w:spacing w:after="0"/>
              <w:rPr>
                <w:sz w:val="17"/>
                <w:szCs w:val="17"/>
                <w:color w:val="auto"/>
              </w:rPr>
            </w:pPr>
          </w:p>
        </w:tc>
        <w:tc>
          <w:tcPr>
            <w:tcW w:w="1760" w:type="dxa"/>
            <w:vAlign w:val="bottom"/>
            <w:gridSpan w:val="5"/>
          </w:tcPr>
          <w:p>
            <w:pPr>
              <w:jc w:val="right"/>
              <w:ind w:right="80"/>
              <w:spacing w:after="0" w:line="196" w:lineRule="exact"/>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(1.1 )%</w:t>
            </w:r>
          </w:p>
        </w:tc>
        <w:tc>
          <w:tcPr>
            <w:tcW w:w="180" w:type="dxa"/>
            <w:vAlign w:val="bottom"/>
            <w:shd w:val="clear" w:color="auto" w:fill="CFF0FC"/>
          </w:tcPr>
          <w:p>
            <w:pPr>
              <w:spacing w:after="0"/>
              <w:rPr>
                <w:sz w:val="17"/>
                <w:szCs w:val="17"/>
                <w:color w:val="auto"/>
              </w:rPr>
            </w:pPr>
          </w:p>
        </w:tc>
        <w:tc>
          <w:tcPr>
            <w:tcW w:w="1760" w:type="dxa"/>
            <w:vAlign w:val="bottom"/>
            <w:gridSpan w:val="5"/>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ind w:left="28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4.3 %</w:t>
            </w:r>
          </w:p>
        </w:tc>
        <w:tc>
          <w:tcPr>
            <w:tcW w:w="180" w:type="dxa"/>
            <w:vAlign w:val="bottom"/>
          </w:tcPr>
          <w:p>
            <w:pPr>
              <w:spacing w:after="0"/>
              <w:rPr>
                <w:sz w:val="17"/>
                <w:szCs w:val="17"/>
                <w:color w:val="auto"/>
              </w:rPr>
            </w:pPr>
          </w:p>
        </w:tc>
        <w:tc>
          <w:tcPr>
            <w:tcW w:w="1760" w:type="dxa"/>
            <w:vAlign w:val="bottom"/>
            <w:gridSpan w:val="5"/>
          </w:tcPr>
          <w:p>
            <w:pPr>
              <w:jc w:val="right"/>
              <w:ind w:right="80"/>
              <w:spacing w:after="0" w:line="196"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(0.8 )%</w:t>
            </w:r>
          </w:p>
        </w:tc>
        <w:tc>
          <w:tcPr>
            <w:tcW w:w="180" w:type="dxa"/>
            <w:vAlign w:val="bottom"/>
            <w:shd w:val="clear" w:color="auto" w:fill="CFF0FC"/>
          </w:tcPr>
          <w:p>
            <w:pPr>
              <w:spacing w:after="0"/>
              <w:rPr>
                <w:sz w:val="17"/>
                <w:szCs w:val="17"/>
                <w:color w:val="auto"/>
              </w:rPr>
            </w:pPr>
          </w:p>
        </w:tc>
        <w:tc>
          <w:tcPr>
            <w:tcW w:w="1760" w:type="dxa"/>
            <w:vAlign w:val="bottom"/>
            <w:gridSpan w:val="5"/>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ind w:left="28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3.5 %</w:t>
            </w:r>
          </w:p>
        </w:tc>
        <w:tc>
          <w:tcPr>
            <w:tcW w:w="180" w:type="dxa"/>
            <w:vAlign w:val="bottom"/>
          </w:tcPr>
          <w:p>
            <w:pPr>
              <w:spacing w:after="0"/>
              <w:rPr>
                <w:sz w:val="17"/>
                <w:szCs w:val="17"/>
                <w:color w:val="auto"/>
              </w:rPr>
            </w:pPr>
          </w:p>
        </w:tc>
        <w:tc>
          <w:tcPr>
            <w:tcW w:w="1760" w:type="dxa"/>
            <w:vAlign w:val="bottom"/>
            <w:gridSpan w:val="5"/>
          </w:tcPr>
          <w:p>
            <w:pPr>
              <w:jc w:val="right"/>
              <w:ind w:right="80"/>
              <w:spacing w:after="0" w:line="196"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i w:val="1"/>
                <w:iCs w:val="1"/>
                <w:color w:val="auto"/>
              </w:rPr>
              <w:t>Revenue</w:t>
            </w: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ind w:left="680"/>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December 31,</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Dollar</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w w:val="99"/>
              </w:rPr>
              <w:t>6,750,576</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340"/>
              <w:spacing w:after="0" w:line="196" w:lineRule="exact"/>
              <w:rPr>
                <w:sz w:val="20"/>
                <w:szCs w:val="20"/>
                <w:color w:val="auto"/>
              </w:rPr>
            </w:pPr>
            <w:r>
              <w:rPr>
                <w:rFonts w:ascii="Arial" w:cs="Arial" w:eastAsia="Arial" w:hAnsi="Arial"/>
                <w:sz w:val="18"/>
                <w:szCs w:val="18"/>
                <w:color w:val="auto"/>
                <w:w w:val="99"/>
              </w:rPr>
              <w:t>5,442,749</w:t>
            </w:r>
          </w:p>
        </w:tc>
        <w:tc>
          <w:tcPr>
            <w:tcW w:w="4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1,307,827</w:t>
            </w:r>
          </w:p>
        </w:tc>
        <w:tc>
          <w:tcPr>
            <w:tcW w:w="1760" w:type="dxa"/>
            <w:vAlign w:val="bottom"/>
            <w:gridSpan w:val="5"/>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-2425065</wp:posOffset>
            </wp:positionV>
            <wp:extent cx="1625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-2425065</wp:posOffset>
            </wp:positionV>
            <wp:extent cx="1631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-1628140</wp:posOffset>
            </wp:positionV>
            <wp:extent cx="1625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-1628140</wp:posOffset>
            </wp:positionV>
            <wp:extent cx="1631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-1362710</wp:posOffset>
            </wp:positionV>
            <wp:extent cx="1625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-1362710</wp:posOffset>
            </wp:positionV>
            <wp:extent cx="1631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-1096645</wp:posOffset>
            </wp:positionV>
            <wp:extent cx="1625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-1096645</wp:posOffset>
            </wp:positionV>
            <wp:extent cx="1631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19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Revenue for the year ended December 31, 2024 compared to the prior year increased $1.3 billion. Revenue increased in both the Federal Solutions and Critical Infrastructure segments by $986.4 million and $321.4 million, respectively. See “—Segment Results” below for further discussion.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Fiscal Year Ended</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Direct cost of contracts</w:t>
            </w:r>
          </w:p>
        </w:tc>
        <w:tc>
          <w:tcPr>
            <w:tcW w:w="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5,344,154</w:t>
            </w:r>
          </w:p>
        </w:tc>
        <w:tc>
          <w:tcPr>
            <w:tcW w:w="78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4,236,735</w:t>
            </w:r>
          </w:p>
        </w:tc>
        <w:tc>
          <w:tcPr>
            <w:tcW w:w="5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1,107,419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Direct cost of contracts for the year ended December 31, 2024 compared to the prior year increased $1.1 billion. Direct cost of contracts increased in both the Federal Solutions and Critical Infrastructure segments by $812.5 million and $294.9 million, respectively. The increase in direct costs of contracts in both the Federal Solutions and Critical Infrastructure segments was primarily related to increased volume from new and existing contracts.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earnings of unconsolidated joint ventures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Fiscal Year Ended</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vMerge w:val="continue"/>
          </w:tcPr>
          <w:p>
            <w:pPr>
              <w:spacing w:after="0"/>
              <w:rPr>
                <w:sz w:val="13"/>
                <w:szCs w:val="13"/>
                <w:color w:val="auto"/>
              </w:rPr>
            </w:pPr>
          </w:p>
        </w:tc>
        <w:tc>
          <w:tcPr>
            <w:tcW w:w="144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Equity in losses of unconsolidated joint ventures</w:t>
            </w:r>
          </w:p>
        </w:tc>
        <w:tc>
          <w:tcPr>
            <w:tcW w:w="460" w:type="dxa"/>
            <w:vAlign w:val="bottom"/>
            <w:shd w:val="clear" w:color="auto" w:fill="CFF0FC"/>
          </w:tcPr>
          <w:p>
            <w:pPr>
              <w:jc w:val="right"/>
              <w:ind w:right="259"/>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(23,361 )</w:t>
            </w:r>
          </w:p>
        </w:tc>
        <w:tc>
          <w:tcPr>
            <w:tcW w:w="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(47,751 )  $</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24,390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51.1 %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20"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Equity in losses of unconsolidated joint ventures for the year ended December 31, 2024 improved by $ 24.4 million compared to the prior year. Impacting equity in losses of unconsolidated joint ventures for the year ended December 31, 2024 were write-downs of $51.7 million related to Parsons' participation in a design build joint venture. For the year ended December 31, 2023 the Company had write-downs of $ 83.4 million, inclusive of $57.9 million related to the design build joint venture referenced above. Results for the year ended December 31, 2023 also included earnings on higher margin change orders which did not reoccur for the year ended December 31, 2024. Joint venture volume has decreased year-over-year as we move away from our participation in construction joint ventures.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4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Fiscal Year Ended</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1540" w:type="dxa"/>
            <w:vAlign w:val="bottom"/>
            <w:tcBorders>
              <w:bottom w:val="single" w:sz="8" w:color="auto"/>
            </w:tcBorders>
            <w:gridSpan w:val="2"/>
          </w:tcPr>
          <w:p>
            <w:pPr>
              <w:jc w:val="right"/>
              <w:ind w:right="39"/>
              <w:spacing w:after="0" w:line="155" w:lineRule="exact"/>
              <w:rPr>
                <w:sz w:val="20"/>
                <w:szCs w:val="20"/>
                <w:color w:val="auto"/>
              </w:rPr>
            </w:pPr>
            <w:r>
              <w:rPr>
                <w:rFonts w:ascii="Arial" w:cs="Arial" w:eastAsia="Arial" w:hAnsi="Arial"/>
                <w:sz w:val="14"/>
                <w:szCs w:val="14"/>
                <w:b w:val="1"/>
                <w:bCs w:val="1"/>
                <w:color w:val="auto"/>
              </w:rPr>
              <w:t>December 31, 2024</w:t>
            </w:r>
          </w:p>
        </w:tc>
        <w:tc>
          <w:tcPr>
            <w:tcW w:w="280" w:type="dxa"/>
            <w:vAlign w:val="bottom"/>
          </w:tcPr>
          <w:p>
            <w:pPr>
              <w:spacing w:after="0"/>
              <w:rPr>
                <w:sz w:val="13"/>
                <w:szCs w:val="13"/>
                <w:color w:val="auto"/>
              </w:rPr>
            </w:pPr>
          </w:p>
        </w:tc>
        <w:tc>
          <w:tcPr>
            <w:tcW w:w="152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December 31, 2023</w:t>
            </w: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480" w:type="dxa"/>
            <w:vAlign w:val="bottom"/>
            <w:shd w:val="clear" w:color="auto" w:fill="CFF0FC"/>
          </w:tcPr>
          <w:p>
            <w:pPr>
              <w:jc w:val="right"/>
              <w:ind w:right="279"/>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954,995</w:t>
            </w:r>
          </w:p>
        </w:tc>
        <w:tc>
          <w:tcPr>
            <w:tcW w:w="940" w:type="dxa"/>
            <w:vAlign w:val="bottom"/>
            <w:gridSpan w:val="2"/>
            <w:shd w:val="clear" w:color="auto" w:fill="CFF0FC"/>
          </w:tcPr>
          <w:p>
            <w:pPr>
              <w:jc w:val="right"/>
              <w:ind w:right="488"/>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869,905</w:t>
            </w:r>
          </w:p>
        </w:tc>
        <w:tc>
          <w:tcPr>
            <w:tcW w:w="6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85,090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As a percentage of revenue, SG&amp;A decreased by 1.9% to 14.1% for the year ended December 31, 2024 compared to16.0% for the corresponding period last year.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460" w:type="dxa"/>
            <w:vAlign w:val="bottom"/>
          </w:tcPr>
          <w:p>
            <w:pPr>
              <w:spacing w:after="0"/>
              <w:rPr>
                <w:sz w:val="14"/>
                <w:szCs w:val="14"/>
                <w:color w:val="auto"/>
              </w:rPr>
            </w:pPr>
          </w:p>
        </w:tc>
        <w:tc>
          <w:tcPr>
            <w:tcW w:w="300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Pr>
          <w:p>
            <w:pPr>
              <w:spacing w:after="0"/>
              <w:rPr>
                <w:sz w:val="14"/>
                <w:szCs w:val="14"/>
                <w:color w:val="auto"/>
              </w:rPr>
            </w:pPr>
          </w:p>
        </w:tc>
        <w:tc>
          <w:tcPr>
            <w:tcW w:w="1640" w:type="dxa"/>
            <w:vAlign w:val="bottom"/>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80" w:type="dxa"/>
            <w:vAlign w:val="bottom"/>
            <w:tcBorders>
              <w:top w:val="single" w:sz="8" w:color="auto"/>
            </w:tcBorders>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December 31, 2024</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rPr>
              <w:t>December 31, 2023</w:t>
            </w: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3"/>
          </w:tcPr>
          <w:p>
            <w:pPr>
              <w:ind w:left="200"/>
              <w:spacing w:after="0" w:line="155" w:lineRule="exact"/>
              <w:rPr>
                <w:sz w:val="20"/>
                <w:szCs w:val="20"/>
                <w:color w:val="auto"/>
              </w:rPr>
            </w:pPr>
            <w:r>
              <w:rPr>
                <w:rFonts w:ascii="Arial" w:cs="Arial" w:eastAsia="Arial" w:hAnsi="Arial"/>
                <w:sz w:val="14"/>
                <w:szCs w:val="14"/>
                <w:b w:val="1"/>
                <w:bCs w:val="1"/>
                <w:color w:val="auto"/>
              </w:rPr>
              <w:t>Dollar</w:t>
            </w:r>
          </w:p>
        </w:tc>
        <w:tc>
          <w:tcPr>
            <w:tcW w:w="110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60" w:type="dxa"/>
            <w:vAlign w:val="bottom"/>
          </w:tcPr>
          <w:p>
            <w:pPr>
              <w:ind w:left="260"/>
              <w:spacing w:after="0" w:line="196" w:lineRule="exact"/>
              <w:rPr>
                <w:sz w:val="20"/>
                <w:szCs w:val="20"/>
                <w:color w:val="auto"/>
              </w:rPr>
            </w:pPr>
            <w:r>
              <w:rPr>
                <w:rFonts w:ascii="Arial" w:cs="Arial" w:eastAsia="Arial" w:hAnsi="Arial"/>
                <w:sz w:val="18"/>
                <w:szCs w:val="18"/>
                <w:color w:val="auto"/>
              </w:rPr>
              <w:t>Interest income</w:t>
            </w:r>
          </w:p>
        </w:tc>
        <w:tc>
          <w:tcPr>
            <w:tcW w:w="460" w:type="dxa"/>
            <w:vAlign w:val="bottom"/>
            <w:tcBorders>
              <w:top w:val="single" w:sz="8" w:color="auto"/>
            </w:tcBorders>
          </w:tcPr>
          <w:p>
            <w:pPr>
              <w:jc w:val="right"/>
              <w:ind w:right="27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11,428</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2,191</w:t>
            </w:r>
          </w:p>
        </w:tc>
        <w:tc>
          <w:tcPr>
            <w:tcW w:w="22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9,237</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421.6</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2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Interest expense</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(51,582 )</w:t>
            </w:r>
          </w:p>
        </w:tc>
        <w:tc>
          <w:tcPr>
            <w:tcW w:w="1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(31,497 )</w:t>
            </w: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(20,085 )</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(63.8 )%</w:t>
            </w:r>
          </w:p>
        </w:tc>
        <w:tc>
          <w:tcPr>
            <w:tcW w:w="0" w:type="dxa"/>
            <w:vAlign w:val="bottom"/>
          </w:tcPr>
          <w:p>
            <w:pPr>
              <w:spacing w:after="0"/>
              <w:rPr>
                <w:sz w:val="1"/>
                <w:szCs w:val="1"/>
                <w:color w:val="auto"/>
              </w:rPr>
            </w:pPr>
          </w:p>
        </w:tc>
      </w:tr>
      <w:tr>
        <w:trPr>
          <w:trHeight w:val="203"/>
        </w:trPr>
        <w:tc>
          <w:tcPr>
            <w:tcW w:w="4260" w:type="dxa"/>
            <w:vAlign w:val="bottom"/>
          </w:tcPr>
          <w:p>
            <w:pPr>
              <w:ind w:left="260"/>
              <w:spacing w:after="0" w:line="202" w:lineRule="exact"/>
              <w:rPr>
                <w:sz w:val="20"/>
                <w:szCs w:val="20"/>
                <w:color w:val="auto"/>
              </w:rPr>
            </w:pPr>
            <w:r>
              <w:rPr>
                <w:rFonts w:ascii="Arial" w:cs="Arial" w:eastAsia="Arial" w:hAnsi="Arial"/>
                <w:sz w:val="18"/>
                <w:szCs w:val="18"/>
                <w:color w:val="auto"/>
              </w:rPr>
              <w:t>Convertible debt repurchase loss</w:t>
            </w:r>
          </w:p>
        </w:tc>
        <w:tc>
          <w:tcPr>
            <w:tcW w:w="4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(18,355 )</w:t>
            </w:r>
          </w:p>
        </w:tc>
        <w:tc>
          <w:tcPr>
            <w:tcW w:w="1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(18,355 )</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(1,906 )</w:t>
            </w: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5,001</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(6,907 )</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(138.1 )%</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Pr>
          <w:p>
            <w:pPr>
              <w:ind w:left="260"/>
              <w:spacing w:after="0" w:line="196" w:lineRule="exact"/>
              <w:rPr>
                <w:sz w:val="20"/>
                <w:szCs w:val="20"/>
                <w:color w:val="auto"/>
              </w:rPr>
            </w:pPr>
            <w:r>
              <w:rPr>
                <w:rFonts w:ascii="Arial" w:cs="Arial" w:eastAsia="Arial" w:hAnsi="Arial"/>
                <w:sz w:val="18"/>
                <w:szCs w:val="18"/>
                <w:color w:val="auto"/>
              </w:rPr>
              <w:t>Total other income (expense)</w:t>
            </w:r>
          </w:p>
        </w:tc>
        <w:tc>
          <w:tcPr>
            <w:tcW w:w="460" w:type="dxa"/>
            <w:vAlign w:val="bottom"/>
          </w:tcPr>
          <w:p>
            <w:pPr>
              <w:jc w:val="right"/>
              <w:ind w:right="276"/>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(60,415 )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(24,305 )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(36,110 )</w:t>
            </w:r>
          </w:p>
        </w:tc>
        <w:tc>
          <w:tcPr>
            <w:tcW w:w="280" w:type="dxa"/>
            <w:vAlign w:val="bottom"/>
          </w:tcPr>
          <w:p>
            <w:pPr>
              <w:spacing w:after="0"/>
              <w:rPr>
                <w:sz w:val="17"/>
                <w:szCs w:val="17"/>
                <w:color w:val="auto"/>
              </w:rPr>
            </w:pP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(148.6 )%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-161925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-161925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-161925</wp:posOffset>
            </wp:positionV>
            <wp:extent cx="1625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6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Interest income is related to interest earned on investments in government money funds. Interest income increased for the year ended December 31, 2024 compared to the corresponding period last year is due to higher cash balances held and increased interest rates compared to the corresponding period last year.</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Interest expense for the year ended December 31, 2024 is primarily due to debt related to our Convertible Senior Notes and Delayed Draw Term Loan. The increase in Interest expense for the year ended December 31, 2024 compared to the corresponding period last year is primarily related to an increase in debt balances and a $3.2 million charge from the acceleration of the amortization of debt issuance costs associated with the partial repurchase of the 0.25% Convertible Senior Notes due 2025 discussed below.</w:t>
      </w:r>
    </w:p>
    <w:p>
      <w:pPr>
        <w:spacing w:after="0" w:line="174" w:lineRule="exact"/>
        <w:rPr>
          <w:sz w:val="20"/>
          <w:szCs w:val="20"/>
          <w:color w:val="auto"/>
        </w:rPr>
      </w:pPr>
    </w:p>
    <w:p>
      <w:pPr>
        <w:ind w:right="80" w:firstLine="509"/>
        <w:spacing w:after="0" w:line="230" w:lineRule="auto"/>
        <w:rPr>
          <w:sz w:val="20"/>
          <w:szCs w:val="20"/>
          <w:color w:val="auto"/>
        </w:rPr>
      </w:pPr>
      <w:r>
        <w:rPr>
          <w:rFonts w:ascii="Arial" w:cs="Arial" w:eastAsia="Arial" w:hAnsi="Arial"/>
          <w:sz w:val="18"/>
          <w:szCs w:val="18"/>
          <w:color w:val="auto"/>
        </w:rPr>
        <w:t>During the year ended December 31, 2024, we paid $495.6 million in cash to repurchase $284.6 million aggregate principal amount of our Convertible Senior Notes due 2025 (the "Repurchase Transaction") concurrently with the offering of 2.625% Convertible Senior Notes due 2029. As a result of the Repurchase Transaction, we incurred an $18.4 convertible debt repurchase loss</w:t>
      </w:r>
      <w:r>
        <w:rPr>
          <w:rFonts w:ascii="Arial" w:cs="Arial" w:eastAsia="Arial" w:hAnsi="Arial"/>
          <w:sz w:val="24"/>
          <w:szCs w:val="24"/>
          <w:color w:val="auto"/>
          <w:vertAlign w:val="superscript"/>
        </w:rPr>
        <w:t>1</w:t>
      </w:r>
      <w:r>
        <w:rPr>
          <w:rFonts w:ascii="Arial" w:cs="Arial" w:eastAsia="Arial" w:hAnsi="Arial"/>
          <w:sz w:val="18"/>
          <w:szCs w:val="18"/>
          <w:color w:val="auto"/>
        </w:rPr>
        <w:t>. The Repurchase Transaction is a partial repurchase of our Convertible Senior Notes due 2025. See “Note 11 – Debt and Credit Facilities,” for a further discussion of this transaction.</w:t>
      </w:r>
    </w:p>
    <w:p>
      <w:pPr>
        <w:spacing w:after="0" w:line="190" w:lineRule="exact"/>
        <w:rPr>
          <w:sz w:val="20"/>
          <w:szCs w:val="20"/>
          <w:color w:val="auto"/>
        </w:rPr>
      </w:pPr>
    </w:p>
    <w:p>
      <w:pPr>
        <w:ind w:left="460" w:right="20"/>
        <w:spacing w:after="0" w:line="216"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5"/>
          <w:szCs w:val="15"/>
          <w:color w:val="auto"/>
        </w:rPr>
        <w:t>During the first quarter of 2024, prior to the early adoption of ASU 2024-04, the Company recorded a $211.0 million loss on debt extinguishment associated with the 0.25% Convertible Senior Notes due 2025. Please see "Note 2—Summary of Significant Accounting Policies—New Accounting Pronouncements" for a discussion of the Company's adoption of ASU 2024-04. As a result of the early adoption, the extinguishment charge was reversed from the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Company's consolidated financial statements and a convertible debt repurchase loss was recorded as described above.</w:t>
      </w:r>
    </w:p>
    <w:p>
      <w:pPr>
        <w:spacing w:after="0" w:line="204"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sublease income, and a change in the fair value of contingent consideration.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December 31, 2024</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December 31, 2023</w:t>
            </w:r>
          </w:p>
        </w:tc>
        <w:tc>
          <w:tcPr>
            <w:tcW w:w="30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6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76,986</w:t>
            </w:r>
          </w:p>
        </w:tc>
        <w:tc>
          <w:tcPr>
            <w:tcW w:w="4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56,138</w:t>
            </w:r>
          </w:p>
        </w:tc>
        <w:tc>
          <w:tcPr>
            <w:tcW w:w="1360" w:type="dxa"/>
            <w:vAlign w:val="bottom"/>
            <w:gridSpan w:val="2"/>
            <w:shd w:val="clear" w:color="auto" w:fill="CFF0FC"/>
          </w:tcPr>
          <w:p>
            <w:pPr>
              <w:jc w:val="right"/>
              <w:ind w:right="888"/>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20,848</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Income tax expense increased in fiscal 2024 primarily due to an increase in overall pre-tax income, increases in current year foreign Net Operating Losses (NOLs) subject to valuation allowances and an increase in non-deductible executive compensation subject to Section 162(m), partially offset by increases in the foreign-derived intangible income (FDII) deduction, and increased equity based-compensation deductions.</w:t>
      </w:r>
    </w:p>
    <w:p>
      <w:pPr>
        <w:spacing w:after="0" w:line="174" w:lineRule="exact"/>
        <w:rPr>
          <w:sz w:val="20"/>
          <w:szCs w:val="20"/>
          <w:color w:val="auto"/>
        </w:rPr>
      </w:pPr>
    </w:p>
    <w:p>
      <w:pPr>
        <w:ind w:right="160" w:firstLine="509"/>
        <w:spacing w:after="0" w:line="266" w:lineRule="auto"/>
        <w:rPr>
          <w:sz w:val="20"/>
          <w:szCs w:val="20"/>
          <w:color w:val="auto"/>
        </w:rPr>
      </w:pPr>
      <w:r>
        <w:rPr>
          <w:rFonts w:ascii="Arial" w:cs="Arial" w:eastAsia="Arial" w:hAnsi="Arial"/>
          <w:sz w:val="17"/>
          <w:szCs w:val="17"/>
          <w:color w:val="auto"/>
        </w:rPr>
        <w:t>Our effective tax rate was 20.9% and 21.3% for the years ended December 31, 2024 and 2023, respectively. The difference between the statutory U.S. federal income tax rate of 21% and the effective tax rate for the year ended December 31, 2024 primarily relates to state income taxes, valuation allowance and executive compensations subject to Section 162(m) offset by benefits related to untaxed income attributable to noncontrolling interests, earnings in lower tax jurisdictions, the FDII deduction, and equity-based compensation.</w:t>
      </w:r>
    </w:p>
    <w:p>
      <w:pPr>
        <w:spacing w:after="0" w:line="15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2021 the Organization for Economic Co-operation and Development (OECD) announced an inclusive Framework on Base Erosion and Profit Shifting (BEPS) including Pillar Two Model Rules defining the global minimum tax, also known as the Global Anti-Base Erosion (GloBE), which aims to ensure that multinational enterprises (MNEs) pay a 15% minimum level of tax regardless of where the MNE operates. The OECD released additional administrative guidance in June 2024 and January 2025. Many non-US tax jurisdictions have either recently enacted legislation to adopt components of the Pillar Two Model Rules beginning in 2024 and/or have announced their plans to enact legislation in future years. The Company has evaluated the implementation of Pillar Two on its 2024 income tax position based on currently enacted legislation and has determined there is no material impact. We are continuing to evaluate the potential impact on future periods of the Pillar Two Framework, pending enactment of legislation by individual countries.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2023 compared to year ended December 31, 2022</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fiscal 2023 and fiscal 2022 as a percentage of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7"/>
          </w:tcPr>
          <w:p>
            <w:pPr>
              <w:jc w:val="right"/>
              <w:ind w:right="14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tcBorders>
              <w:top w:val="single" w:sz="8" w:color="auto"/>
              <w:bottom w:val="single" w:sz="8" w:color="auto"/>
            </w:tcBorders>
            <w:gridSpan w:val="4"/>
          </w:tcPr>
          <w:p>
            <w:pPr>
              <w:ind w:left="120"/>
              <w:spacing w:after="0" w:line="155" w:lineRule="exact"/>
              <w:rPr>
                <w:sz w:val="20"/>
                <w:szCs w:val="20"/>
                <w:color w:val="auto"/>
              </w:rPr>
            </w:pPr>
            <w:r>
              <w:rPr>
                <w:rFonts w:ascii="Arial" w:cs="Arial" w:eastAsia="Arial" w:hAnsi="Arial"/>
                <w:sz w:val="14"/>
                <w:szCs w:val="14"/>
                <w:b w:val="1"/>
                <w:bCs w:val="1"/>
                <w:color w:val="auto"/>
              </w:rPr>
              <w:t>December 31, 2023</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December 31, 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100.0 %</w:t>
            </w:r>
          </w:p>
        </w:tc>
        <w:tc>
          <w:tcPr>
            <w:tcW w:w="120" w:type="dxa"/>
            <w:vAlign w:val="bottom"/>
            <w:shd w:val="clear" w:color="auto" w:fill="CFF0FC"/>
          </w:tcPr>
          <w:p>
            <w:pPr>
              <w:spacing w:after="0"/>
              <w:rPr>
                <w:sz w:val="17"/>
                <w:szCs w:val="17"/>
                <w:color w:val="auto"/>
              </w:rPr>
            </w:pPr>
          </w:p>
        </w:tc>
        <w:tc>
          <w:tcPr>
            <w:tcW w:w="1720" w:type="dxa"/>
            <w:vAlign w:val="bottom"/>
            <w:gridSpan w:val="4"/>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Direct costs of contracts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77.8 %</w:t>
            </w:r>
          </w:p>
        </w:tc>
        <w:tc>
          <w:tcPr>
            <w:tcW w:w="120" w:type="dxa"/>
            <w:vAlign w:val="bottom"/>
          </w:tcPr>
          <w:p>
            <w:pPr>
              <w:spacing w:after="0"/>
              <w:rPr>
                <w:sz w:val="17"/>
                <w:szCs w:val="17"/>
                <w:color w:val="auto"/>
              </w:rPr>
            </w:pPr>
          </w:p>
        </w:tc>
        <w:tc>
          <w:tcPr>
            <w:tcW w:w="172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77.4 %</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in earnings of unconsolidated joint ventures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(0.9 )%</w:t>
            </w:r>
          </w:p>
        </w:tc>
        <w:tc>
          <w:tcPr>
            <w:tcW w:w="120" w:type="dxa"/>
            <w:vAlign w:val="bottom"/>
            <w:shd w:val="clear" w:color="auto" w:fill="CFF0FC"/>
          </w:tcPr>
          <w:p>
            <w:pPr>
              <w:spacing w:after="0"/>
              <w:rPr>
                <w:sz w:val="17"/>
                <w:szCs w:val="17"/>
                <w:color w:val="auto"/>
              </w:rPr>
            </w:pPr>
          </w:p>
        </w:tc>
        <w:tc>
          <w:tcPr>
            <w:tcW w:w="1720" w:type="dxa"/>
            <w:vAlign w:val="bottom"/>
            <w:gridSpan w:val="4"/>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16.0 %</w:t>
            </w:r>
          </w:p>
        </w:tc>
        <w:tc>
          <w:tcPr>
            <w:tcW w:w="120" w:type="dxa"/>
            <w:vAlign w:val="bottom"/>
          </w:tcPr>
          <w:p>
            <w:pPr>
              <w:spacing w:after="0"/>
              <w:rPr>
                <w:sz w:val="17"/>
                <w:szCs w:val="17"/>
                <w:color w:val="auto"/>
              </w:rPr>
            </w:pPr>
          </w:p>
        </w:tc>
        <w:tc>
          <w:tcPr>
            <w:tcW w:w="172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5.3 %</w:t>
            </w:r>
          </w:p>
        </w:tc>
        <w:tc>
          <w:tcPr>
            <w:tcW w:w="120" w:type="dxa"/>
            <w:vAlign w:val="bottom"/>
            <w:shd w:val="clear" w:color="auto" w:fill="CFF0FC"/>
          </w:tcPr>
          <w:p>
            <w:pPr>
              <w:spacing w:after="0"/>
              <w:rPr>
                <w:sz w:val="17"/>
                <w:szCs w:val="17"/>
                <w:color w:val="auto"/>
              </w:rPr>
            </w:pPr>
          </w:p>
        </w:tc>
        <w:tc>
          <w:tcPr>
            <w:tcW w:w="1720" w:type="dxa"/>
            <w:vAlign w:val="bottom"/>
            <w:gridSpan w:val="4"/>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0.0 %</w:t>
            </w:r>
          </w:p>
        </w:tc>
        <w:tc>
          <w:tcPr>
            <w:tcW w:w="120" w:type="dxa"/>
            <w:vAlign w:val="bottom"/>
          </w:tcPr>
          <w:p>
            <w:pPr>
              <w:spacing w:after="0"/>
              <w:rPr>
                <w:sz w:val="17"/>
                <w:szCs w:val="17"/>
                <w:color w:val="auto"/>
              </w:rPr>
            </w:pPr>
          </w:p>
        </w:tc>
        <w:tc>
          <w:tcPr>
            <w:tcW w:w="17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(0.6 )%</w:t>
            </w:r>
          </w:p>
        </w:tc>
        <w:tc>
          <w:tcPr>
            <w:tcW w:w="120" w:type="dxa"/>
            <w:vAlign w:val="bottom"/>
            <w:shd w:val="clear" w:color="auto" w:fill="CFF0FC"/>
          </w:tcPr>
          <w:p>
            <w:pPr>
              <w:spacing w:after="0"/>
              <w:rPr>
                <w:sz w:val="17"/>
                <w:szCs w:val="17"/>
                <w:color w:val="auto"/>
              </w:rPr>
            </w:pPr>
          </w:p>
        </w:tc>
        <w:tc>
          <w:tcPr>
            <w:tcW w:w="172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0.1 %</w:t>
            </w:r>
          </w:p>
        </w:tc>
        <w:tc>
          <w:tcPr>
            <w:tcW w:w="120" w:type="dxa"/>
            <w:vAlign w:val="bottom"/>
          </w:tcPr>
          <w:p>
            <w:pPr>
              <w:spacing w:after="0"/>
              <w:rPr>
                <w:sz w:val="17"/>
                <w:szCs w:val="17"/>
                <w:color w:val="auto"/>
              </w:rPr>
            </w:pPr>
          </w:p>
        </w:tc>
        <w:tc>
          <w:tcPr>
            <w:tcW w:w="172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other income benefit (expense)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8"/>
              <w:spacing w:after="0" w:line="196" w:lineRule="exact"/>
              <w:rPr>
                <w:sz w:val="20"/>
                <w:szCs w:val="20"/>
                <w:color w:val="auto"/>
              </w:rPr>
            </w:pPr>
            <w:r>
              <w:rPr>
                <w:rFonts w:ascii="Arial" w:cs="Arial" w:eastAsia="Arial" w:hAnsi="Arial"/>
                <w:sz w:val="18"/>
                <w:szCs w:val="18"/>
                <w:color w:val="auto"/>
              </w:rPr>
              <w:t>(0.4 )%</w:t>
            </w:r>
          </w:p>
        </w:tc>
        <w:tc>
          <w:tcPr>
            <w:tcW w:w="120" w:type="dxa"/>
            <w:vAlign w:val="bottom"/>
            <w:shd w:val="clear" w:color="auto" w:fill="CFF0FC"/>
          </w:tcPr>
          <w:p>
            <w:pPr>
              <w:spacing w:after="0"/>
              <w:rPr>
                <w:sz w:val="17"/>
                <w:szCs w:val="17"/>
                <w:color w:val="auto"/>
              </w:rPr>
            </w:pPr>
          </w:p>
        </w:tc>
        <w:tc>
          <w:tcPr>
            <w:tcW w:w="1720" w:type="dxa"/>
            <w:vAlign w:val="bottom"/>
            <w:gridSpan w:val="4"/>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ind w:left="280"/>
              <w:spacing w:after="0" w:line="196" w:lineRule="exact"/>
              <w:rPr>
                <w:sz w:val="20"/>
                <w:szCs w:val="20"/>
                <w:color w:val="auto"/>
              </w:rPr>
            </w:pPr>
            <w:r>
              <w:rPr>
                <w:rFonts w:ascii="Arial" w:cs="Arial" w:eastAsia="Arial" w:hAnsi="Arial"/>
                <w:sz w:val="18"/>
                <w:szCs w:val="18"/>
                <w:color w:val="auto"/>
              </w:rPr>
              <w:t>Income before income tax expense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4.9 %</w:t>
            </w:r>
          </w:p>
        </w:tc>
        <w:tc>
          <w:tcPr>
            <w:tcW w:w="120" w:type="dxa"/>
            <w:vAlign w:val="bottom"/>
          </w:tcPr>
          <w:p>
            <w:pPr>
              <w:spacing w:after="0"/>
              <w:rPr>
                <w:sz w:val="17"/>
                <w:szCs w:val="17"/>
                <w:color w:val="auto"/>
              </w:rPr>
            </w:pPr>
          </w:p>
        </w:tc>
        <w:tc>
          <w:tcPr>
            <w:tcW w:w="17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(1.0 )%</w:t>
            </w:r>
          </w:p>
        </w:tc>
        <w:tc>
          <w:tcPr>
            <w:tcW w:w="120" w:type="dxa"/>
            <w:vAlign w:val="bottom"/>
            <w:shd w:val="clear" w:color="auto" w:fill="CFF0FC"/>
          </w:tcPr>
          <w:p>
            <w:pPr>
              <w:spacing w:after="0"/>
              <w:rPr>
                <w:sz w:val="17"/>
                <w:szCs w:val="17"/>
                <w:color w:val="auto"/>
              </w:rPr>
            </w:pPr>
          </w:p>
        </w:tc>
        <w:tc>
          <w:tcPr>
            <w:tcW w:w="172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ind w:left="28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3.8 %</w:t>
            </w:r>
          </w:p>
        </w:tc>
        <w:tc>
          <w:tcPr>
            <w:tcW w:w="120" w:type="dxa"/>
            <w:vAlign w:val="bottom"/>
          </w:tcPr>
          <w:p>
            <w:pPr>
              <w:spacing w:after="0"/>
              <w:rPr>
                <w:sz w:val="17"/>
                <w:szCs w:val="17"/>
                <w:color w:val="auto"/>
              </w:rPr>
            </w:pPr>
          </w:p>
        </w:tc>
        <w:tc>
          <w:tcPr>
            <w:tcW w:w="17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(0.9 )%</w:t>
            </w:r>
          </w:p>
        </w:tc>
        <w:tc>
          <w:tcPr>
            <w:tcW w:w="120" w:type="dxa"/>
            <w:vAlign w:val="bottom"/>
            <w:shd w:val="clear" w:color="auto" w:fill="CFF0FC"/>
          </w:tcPr>
          <w:p>
            <w:pPr>
              <w:spacing w:after="0"/>
              <w:rPr>
                <w:sz w:val="17"/>
                <w:szCs w:val="17"/>
                <w:color w:val="auto"/>
              </w:rPr>
            </w:pPr>
          </w:p>
        </w:tc>
        <w:tc>
          <w:tcPr>
            <w:tcW w:w="1720" w:type="dxa"/>
            <w:vAlign w:val="bottom"/>
            <w:gridSpan w:val="4"/>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Pr>
          <w:p>
            <w:pPr>
              <w:ind w:left="28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8"/>
              <w:spacing w:after="0" w:line="196" w:lineRule="exact"/>
              <w:rPr>
                <w:sz w:val="20"/>
                <w:szCs w:val="20"/>
                <w:color w:val="auto"/>
              </w:rPr>
            </w:pPr>
            <w:r>
              <w:rPr>
                <w:rFonts w:ascii="Arial" w:cs="Arial" w:eastAsia="Arial" w:hAnsi="Arial"/>
                <w:sz w:val="18"/>
                <w:szCs w:val="18"/>
                <w:color w:val="auto"/>
              </w:rPr>
              <w:t>3.0 %</w:t>
            </w:r>
          </w:p>
        </w:tc>
        <w:tc>
          <w:tcPr>
            <w:tcW w:w="120" w:type="dxa"/>
            <w:vAlign w:val="bottom"/>
          </w:tcPr>
          <w:p>
            <w:pPr>
              <w:spacing w:after="0"/>
              <w:rPr>
                <w:sz w:val="17"/>
                <w:szCs w:val="17"/>
                <w:color w:val="auto"/>
              </w:rPr>
            </w:pPr>
          </w:p>
        </w:tc>
        <w:tc>
          <w:tcPr>
            <w:tcW w:w="1720" w:type="dxa"/>
            <w:vAlign w:val="bottom"/>
            <w:gridSpan w:val="4"/>
          </w:tcPr>
          <w:p>
            <w:pPr>
              <w:jc w:val="right"/>
              <w:ind w:right="80"/>
              <w:spacing w:after="0" w:line="196"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i w:val="1"/>
                <w:iCs w:val="1"/>
                <w:color w:val="auto"/>
              </w:rPr>
              <w:t>Revenue</w:t>
            </w: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ind w:left="680"/>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6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ind w:left="40"/>
              <w:spacing w:after="0" w:line="147" w:lineRule="exact"/>
              <w:rPr>
                <w:sz w:val="20"/>
                <w:szCs w:val="20"/>
                <w:color w:val="auto"/>
              </w:rPr>
            </w:pPr>
            <w:r>
              <w:rPr>
                <w:rFonts w:ascii="Arial" w:cs="Arial" w:eastAsia="Arial" w:hAnsi="Arial"/>
                <w:sz w:val="14"/>
                <w:szCs w:val="14"/>
                <w:b w:val="1"/>
                <w:bCs w:val="1"/>
                <w:color w:val="auto"/>
              </w:rPr>
              <w:t>December 31,</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4"/>
                <w:szCs w:val="14"/>
                <w:color w:val="auto"/>
              </w:rPr>
            </w:pPr>
          </w:p>
        </w:tc>
        <w:tc>
          <w:tcPr>
            <w:tcW w:w="13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w w:val="99"/>
              </w:rPr>
              <w:t>5,442,749</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ind w:left="340"/>
              <w:spacing w:after="0" w:line="196" w:lineRule="exact"/>
              <w:rPr>
                <w:sz w:val="20"/>
                <w:szCs w:val="20"/>
                <w:color w:val="auto"/>
              </w:rPr>
            </w:pPr>
            <w:r>
              <w:rPr>
                <w:rFonts w:ascii="Arial" w:cs="Arial" w:eastAsia="Arial" w:hAnsi="Arial"/>
                <w:sz w:val="18"/>
                <w:szCs w:val="18"/>
                <w:color w:val="auto"/>
                <w:w w:val="99"/>
              </w:rPr>
              <w:t>4,195,272</w:t>
            </w:r>
          </w:p>
        </w:tc>
        <w:tc>
          <w:tcPr>
            <w:tcW w:w="4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1,247,477</w:t>
            </w:r>
          </w:p>
        </w:tc>
        <w:tc>
          <w:tcPr>
            <w:tcW w:w="1720" w:type="dxa"/>
            <w:vAlign w:val="bottom"/>
            <w:gridSpan w:val="4"/>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-2159635</wp:posOffset>
            </wp:positionV>
            <wp:extent cx="1631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-2159635</wp:posOffset>
            </wp:positionV>
            <wp:extent cx="1631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-1628140</wp:posOffset>
            </wp:positionV>
            <wp:extent cx="1631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-1628140</wp:posOffset>
            </wp:positionV>
            <wp:extent cx="1631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-1362075</wp:posOffset>
            </wp:positionV>
            <wp:extent cx="1631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-1362075</wp:posOffset>
            </wp:positionV>
            <wp:extent cx="1631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-1096645</wp:posOffset>
            </wp:positionV>
            <wp:extent cx="1631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-1096645</wp:posOffset>
            </wp:positionV>
            <wp:extent cx="1631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Revenue for the year ended December 31, 2023 compared to the prior year increased $1.2 billion. Revenue increased in both the Federal Solutions and Critical Infrastructure segments by $807.7 million and $439.8 million, respectively. See “—Segment Results” below for further discussion.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Fiscal Year Ended</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40" w:type="dxa"/>
            <w:vAlign w:val="bottom"/>
            <w:vMerge w:val="continue"/>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Direct cost of contracts</w:t>
            </w:r>
          </w:p>
        </w:tc>
        <w:tc>
          <w:tcPr>
            <w:tcW w:w="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4,236,735</w:t>
            </w:r>
          </w:p>
        </w:tc>
        <w:tc>
          <w:tcPr>
            <w:tcW w:w="78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3,248,550</w:t>
            </w:r>
          </w:p>
        </w:tc>
        <w:tc>
          <w:tcPr>
            <w:tcW w:w="5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988,185</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Direct cost of contracts for the year ended December 31, 2023 compared to the prior year increased $988.2 million. Direct cost of contracts increased in both the Federal Solutions and Critical Infrastructure segments by $672.1 million and $316.1 million, respectively. The increases were primarily due to an increase in business volume and from business acquisitions offset by a decrease of $37.9 million in the Critical Infrastructure segment related to a legal matter on a previously completed contract.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Fiscal Year Ended</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vMerge w:val="continue"/>
          </w:tcPr>
          <w:p>
            <w:pPr>
              <w:spacing w:after="0"/>
              <w:rPr>
                <w:sz w:val="13"/>
                <w:szCs w:val="13"/>
                <w:color w:val="auto"/>
              </w:rPr>
            </w:pPr>
          </w:p>
        </w:tc>
        <w:tc>
          <w:tcPr>
            <w:tcW w:w="1680" w:type="dxa"/>
            <w:vAlign w:val="bottom"/>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December 31, 2023</w:t>
            </w:r>
          </w:p>
        </w:tc>
        <w:tc>
          <w:tcPr>
            <w:tcW w:w="13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Dollar</w:t>
            </w:r>
          </w:p>
        </w:tc>
        <w:tc>
          <w:tcPr>
            <w:tcW w:w="10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76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Equity in (losses) earnings of unconsolidated joint</w:t>
            </w:r>
          </w:p>
        </w:tc>
        <w:tc>
          <w:tcPr>
            <w:tcW w:w="4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ventures</w:t>
            </w:r>
          </w:p>
        </w:tc>
        <w:tc>
          <w:tcPr>
            <w:tcW w:w="440" w:type="dxa"/>
            <w:vAlign w:val="bottom"/>
            <w:shd w:val="clear" w:color="auto" w:fill="CFF0FC"/>
          </w:tcPr>
          <w:p>
            <w:pPr>
              <w:jc w:val="right"/>
              <w:ind w:right="239"/>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(47,751 )</w:t>
            </w:r>
          </w:p>
        </w:tc>
        <w:tc>
          <w:tcPr>
            <w:tcW w:w="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16,347</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(64,098 )</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(392.1 )%</w:t>
            </w:r>
          </w:p>
        </w:tc>
        <w:tc>
          <w:tcPr>
            <w:tcW w:w="0" w:type="dxa"/>
            <w:vAlign w:val="bottom"/>
          </w:tcPr>
          <w:p>
            <w:pPr>
              <w:spacing w:after="0"/>
              <w:rPr>
                <w:sz w:val="1"/>
                <w:szCs w:val="1"/>
                <w:color w:val="auto"/>
              </w:rPr>
            </w:pPr>
          </w:p>
        </w:tc>
      </w:tr>
      <w:tr>
        <w:trPr>
          <w:trHeight w:val="881"/>
        </w:trPr>
        <w:tc>
          <w:tcPr>
            <w:tcW w:w="4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396"/>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3"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Equity in earnings of unconsolidated joint ventures for the year ended December 31, 2023 decreased by $64.1 million compared to the prior year. The decrease was primarily related to write-downs on joint ventures of $83.4 million. $57.9 million of the joint venture write-downs related to Parsons’ participation in a design build joint venture.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Fiscal Year Ended</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869,905</w:t>
            </w:r>
          </w:p>
        </w:tc>
        <w:tc>
          <w:tcPr>
            <w:tcW w:w="84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777,403</w:t>
            </w:r>
          </w:p>
        </w:tc>
        <w:tc>
          <w:tcPr>
            <w:tcW w:w="5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92,502</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As a percentage of revenue, SG&amp;A decreased by 2.5% to 16.0% for the year ended December 31, 2023 compared to 18.5% for the corresponding period last year.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(expense)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Fiscal Year Ended</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13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Interest income</w:t>
            </w:r>
          </w:p>
        </w:tc>
        <w:tc>
          <w:tcPr>
            <w:tcW w:w="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126.8 %</w:t>
            </w:r>
          </w:p>
        </w:tc>
        <w:tc>
          <w:tcPr>
            <w:tcW w:w="0" w:type="dxa"/>
            <w:vAlign w:val="bottom"/>
          </w:tcPr>
          <w:p>
            <w:pPr>
              <w:spacing w:after="0"/>
              <w:rPr>
                <w:sz w:val="1"/>
                <w:szCs w:val="1"/>
                <w:color w:val="auto"/>
              </w:rPr>
            </w:pPr>
          </w:p>
        </w:tc>
      </w:tr>
      <w:tr>
        <w:trPr>
          <w:trHeight w:val="203"/>
        </w:trPr>
        <w:tc>
          <w:tcPr>
            <w:tcW w:w="4820" w:type="dxa"/>
            <w:vAlign w:val="bottom"/>
          </w:tcPr>
          <w:p>
            <w:pPr>
              <w:ind w:left="280"/>
              <w:spacing w:after="0" w:line="202" w:lineRule="exact"/>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(31,497 )</w:t>
            </w:r>
          </w:p>
        </w:tc>
        <w:tc>
          <w:tcPr>
            <w:tcW w:w="62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(23,185 )</w:t>
            </w:r>
          </w:p>
        </w:tc>
        <w:tc>
          <w:tcPr>
            <w:tcW w:w="28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(8,312 )</w:t>
            </w:r>
          </w:p>
        </w:tc>
        <w:tc>
          <w:tcPr>
            <w:tcW w:w="32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5,001</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2,226</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80.2 %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ind w:left="280"/>
              <w:spacing w:after="0" w:line="196" w:lineRule="exact"/>
              <w:rPr>
                <w:sz w:val="20"/>
                <w:szCs w:val="20"/>
                <w:color w:val="auto"/>
              </w:rPr>
            </w:pPr>
            <w:r>
              <w:rPr>
                <w:rFonts w:ascii="Arial" w:cs="Arial" w:eastAsia="Arial" w:hAnsi="Arial"/>
                <w:sz w:val="18"/>
                <w:szCs w:val="18"/>
                <w:color w:val="auto"/>
              </w:rPr>
              <w:t>Total other income (expense)</w:t>
            </w:r>
          </w:p>
        </w:tc>
        <w:tc>
          <w:tcPr>
            <w:tcW w:w="4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(24,305 )</w:t>
            </w:r>
          </w:p>
        </w:tc>
        <w:tc>
          <w:tcPr>
            <w:tcW w:w="62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(19,444 )</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(4,861 )</w:t>
            </w:r>
          </w:p>
        </w:tc>
        <w:tc>
          <w:tcPr>
            <w:tcW w:w="320" w:type="dxa"/>
            <w:vAlign w:val="bottom"/>
          </w:tcPr>
          <w:p>
            <w:pPr>
              <w:spacing w:after="0"/>
              <w:rPr>
                <w:sz w:val="17"/>
                <w:szCs w:val="17"/>
                <w:color w:val="auto"/>
              </w:rPr>
            </w:pPr>
          </w:p>
        </w:tc>
        <w:tc>
          <w:tcPr>
            <w:tcW w:w="1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-162560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-162560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-162560</wp:posOffset>
            </wp:positionV>
            <wp:extent cx="1631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77"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Interest income is related to interest earned on investments in government money funds. Interest income increased for the year ended December 31, 2023 compared to the corresponding period last year primarily due to an increase in interest rates compared to the prior year on investments in government money funds.</w:t>
      </w:r>
    </w:p>
    <w:p>
      <w:pPr>
        <w:spacing w:after="0" w:line="169"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Interest expense is primarily due to debt related to our Convertible Senior Notes and Delayed Draw Term Loan. Interest expense increased for the year ended December 31, 2023 compared to the corresponding period last year primarily due to higher interest rates on borrowings.</w:t>
      </w:r>
    </w:p>
    <w:p>
      <w:pPr>
        <w:spacing w:after="0" w:line="169"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sublease income, and a change in the estimated fair value of contingent consideration.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4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Fiscal Year Ended</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40" w:type="dxa"/>
            <w:vAlign w:val="bottom"/>
            <w:vMerge w:val="continue"/>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expense</w:t>
            </w:r>
          </w:p>
        </w:tc>
        <w:tc>
          <w:tcPr>
            <w:tcW w:w="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56,138</w:t>
            </w:r>
          </w:p>
        </w:tc>
        <w:tc>
          <w:tcPr>
            <w:tcW w:w="90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39,657</w:t>
            </w:r>
          </w:p>
        </w:tc>
        <w:tc>
          <w:tcPr>
            <w:tcW w:w="5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16,481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Income tax expense increased in fiscal 2023 primarily due to an increase in overall earnings and an increase in foreign withholding taxes partially offset by increases in the foreign-derived intangible income (FDII) deduction and earnings in lower tax jurisdictions.</w:t>
      </w:r>
    </w:p>
    <w:p>
      <w:pPr>
        <w:spacing w:after="0" w:line="154" w:lineRule="exact"/>
        <w:rPr>
          <w:sz w:val="20"/>
          <w:szCs w:val="20"/>
          <w:color w:val="auto"/>
        </w:rPr>
      </w:pPr>
    </w:p>
    <w:p>
      <w:pPr>
        <w:jc w:val="both"/>
        <w:ind w:right="160" w:firstLine="509"/>
        <w:spacing w:after="0" w:line="275" w:lineRule="auto"/>
        <w:rPr>
          <w:sz w:val="20"/>
          <w:szCs w:val="20"/>
          <w:color w:val="auto"/>
        </w:rPr>
      </w:pPr>
      <w:r>
        <w:rPr>
          <w:rFonts w:ascii="Arial" w:cs="Arial" w:eastAsia="Arial" w:hAnsi="Arial"/>
          <w:sz w:val="17"/>
          <w:szCs w:val="17"/>
          <w:color w:val="auto"/>
        </w:rPr>
        <w:t>Our effective tax rate was 21.3% and 23.9% for the years ended December 31, 2023 and 2022, respectively. The difference between the statutory U.S. federal income tax rate of 21% and the effective tax rate for the year ended December 31, 2023 primarily relates to state income taxes, valuation allowance on foreign tax credit carryovers originating from foreign withholding taxes offset in part by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benefits related to income attributable to noncontrolling interests, earnings in lower tax jurisdictions, the FDII deduction, and federal business tax credits.</w:t>
      </w:r>
    </w:p>
    <w:p>
      <w:pPr>
        <w:spacing w:after="0" w:line="15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Effective for tax year 2022, the Tax Cuts and Jobs Act of 2017 eliminated the option to currently deduct research and development expenditures in the year incurred and requires taxpayers to amortize such expenditures over five years for tax purposes (15 years for foreign research and development expenditures). This provision resulted in additional cash tax liability for the 2023 tax year of approximately $12 million. To date, there has been no enacted legislation that would change the tax treatment of these research and development expenditures and the Company continues to capitalize and amortize these expenses in accordance with the law.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r>
      <w:tr>
        <w:trPr>
          <w:trHeight w:val="156"/>
        </w:trPr>
        <w:tc>
          <w:tcPr>
            <w:tcW w:w="65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Other Information:</w:t>
            </w: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6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Adjusted EBITDA (1)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604,953</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464,673</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352,782</w:t>
            </w:r>
          </w:p>
        </w:tc>
        <w:tc>
          <w:tcPr>
            <w:tcW w:w="160" w:type="dxa"/>
            <w:vAlign w:val="bottom"/>
            <w:shd w:val="clear" w:color="auto" w:fill="CFF0FC"/>
          </w:tcPr>
          <w:p>
            <w:pPr>
              <w:spacing w:after="0"/>
              <w:rPr>
                <w:sz w:val="14"/>
                <w:szCs w:val="14"/>
                <w:color w:val="auto"/>
              </w:rPr>
            </w:pPr>
          </w:p>
        </w:tc>
      </w:tr>
      <w:tr>
        <w:trPr>
          <w:trHeight w:val="162"/>
        </w:trPr>
        <w:tc>
          <w:tcPr>
            <w:tcW w:w="6520" w:type="dxa"/>
            <w:vAlign w:val="bottom"/>
          </w:tcPr>
          <w:p>
            <w:pPr>
              <w:ind w:left="20"/>
              <w:spacing w:after="0"/>
              <w:rPr>
                <w:sz w:val="20"/>
                <w:szCs w:val="20"/>
                <w:color w:val="auto"/>
              </w:rPr>
            </w:pPr>
            <w:r>
              <w:rPr>
                <w:rFonts w:ascii="Arial" w:cs="Arial" w:eastAsia="Arial" w:hAnsi="Arial"/>
                <w:sz w:val="14"/>
                <w:szCs w:val="14"/>
                <w:color w:val="auto"/>
              </w:rPr>
              <w:t>Net Income Margin (2)</w:t>
            </w:r>
          </w:p>
        </w:tc>
        <w:tc>
          <w:tcPr>
            <w:tcW w:w="14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4.3 %</w:t>
            </w:r>
          </w:p>
        </w:tc>
        <w:tc>
          <w:tcPr>
            <w:tcW w:w="14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3.8 %</w:t>
            </w:r>
          </w:p>
        </w:tc>
        <w:tc>
          <w:tcPr>
            <w:tcW w:w="1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3.0 %</w:t>
            </w:r>
          </w:p>
        </w:tc>
      </w:tr>
      <w:tr>
        <w:trPr>
          <w:trHeight w:val="162"/>
        </w:trPr>
        <w:tc>
          <w:tcPr>
            <w:tcW w:w="6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Adjusted EBITDA Margin (3)</w:t>
            </w:r>
          </w:p>
        </w:tc>
        <w:tc>
          <w:tcPr>
            <w:tcW w:w="1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9.0 %</w:t>
            </w:r>
          </w:p>
        </w:tc>
        <w:tc>
          <w:tcPr>
            <w:tcW w:w="14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8.5 %</w:t>
            </w:r>
          </w:p>
        </w:tc>
        <w:tc>
          <w:tcPr>
            <w:tcW w:w="1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8.4 %</w:t>
            </w:r>
          </w:p>
        </w:tc>
      </w:tr>
    </w:tbl>
    <w:p>
      <w:pPr>
        <w:spacing w:after="0" w:line="234"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reconciliation of net income attributable to Parsons Corporation to Adjusted EBITDA is set forth below (in thousands).</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Net Income Margin is calculated as net income including noncontrolling interest divided by revenue in the applicable period.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revenue in the applicable period.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4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56"/>
        </w:trPr>
        <w:tc>
          <w:tcPr>
            <w:tcW w:w="66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Net income attributable to Parsons Corporation</w:t>
            </w:r>
          </w:p>
        </w:tc>
        <w:tc>
          <w:tcPr>
            <w:tcW w:w="4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235,053</w:t>
            </w:r>
          </w:p>
        </w:tc>
        <w:tc>
          <w:tcPr>
            <w:tcW w:w="3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161,149</w:t>
            </w:r>
          </w:p>
        </w:tc>
        <w:tc>
          <w:tcPr>
            <w:tcW w:w="3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96,664</w:t>
            </w:r>
          </w:p>
        </w:tc>
        <w:tc>
          <w:tcPr>
            <w:tcW w:w="100" w:type="dxa"/>
            <w:vAlign w:val="bottom"/>
            <w:shd w:val="clear" w:color="auto" w:fill="CFF0FC"/>
          </w:tcPr>
          <w:p>
            <w:pPr>
              <w:spacing w:after="0"/>
              <w:rPr>
                <w:sz w:val="13"/>
                <w:szCs w:val="13"/>
                <w:color w:val="auto"/>
              </w:rPr>
            </w:pPr>
          </w:p>
        </w:tc>
      </w:tr>
      <w:tr>
        <w:trPr>
          <w:trHeight w:val="162"/>
        </w:trPr>
        <w:tc>
          <w:tcPr>
            <w:tcW w:w="664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40,154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29,306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22,219</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 expense (benefit)</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76,986</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56,138</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39,657</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99,251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119,973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120,501</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55,612</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46,766</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29,901</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61,492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36,151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24,354</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Transaction-related costs (a)</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17,138</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12,013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16,270</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
              <w:spacing w:after="0"/>
              <w:rPr>
                <w:sz w:val="20"/>
                <w:szCs w:val="20"/>
                <w:color w:val="auto"/>
              </w:rPr>
            </w:pPr>
            <w:r>
              <w:rPr>
                <w:rFonts w:ascii="Arial" w:cs="Arial" w:eastAsia="Arial" w:hAnsi="Arial"/>
                <w:sz w:val="14"/>
                <w:szCs w:val="14"/>
                <w:color w:val="auto"/>
              </w:rPr>
              <w:t>Convertible debt repurchase loss</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18,355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Restructuring (b)</w:t>
            </w:r>
          </w:p>
        </w:tc>
        <w:tc>
          <w:tcPr>
            <w:tcW w:w="4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FF0FC"/>
          </w:tcPr>
          <w:p>
            <w:pPr>
              <w:spacing w:after="0"/>
              <w:rPr>
                <w:sz w:val="14"/>
                <w:szCs w:val="14"/>
                <w:color w:val="auto"/>
              </w:rPr>
            </w:pPr>
          </w:p>
        </w:tc>
      </w:tr>
      <w:tr>
        <w:trPr>
          <w:trHeight w:val="162"/>
        </w:trPr>
        <w:tc>
          <w:tcPr>
            <w:tcW w:w="6640" w:type="dxa"/>
            <w:vAlign w:val="bottom"/>
          </w:tcPr>
          <w:p>
            <w:pPr>
              <w:ind w:left="20"/>
              <w:spacing w:after="0"/>
              <w:rPr>
                <w:sz w:val="20"/>
                <w:szCs w:val="20"/>
                <w:color w:val="auto"/>
              </w:rPr>
            </w:pPr>
            <w:r>
              <w:rPr>
                <w:rFonts w:ascii="Arial" w:cs="Arial" w:eastAsia="Arial" w:hAnsi="Arial"/>
                <w:sz w:val="14"/>
                <w:szCs w:val="14"/>
                <w:color w:val="auto"/>
              </w:rPr>
              <w:t>Other (c)</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1,933</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w:t>
            </w:r>
          </w:p>
        </w:tc>
        <w:tc>
          <w:tcPr>
            <w:tcW w:w="100" w:type="dxa"/>
            <w:vAlign w:val="bottom"/>
          </w:tcPr>
          <w:p>
            <w:pPr>
              <w:spacing w:after="0"/>
              <w:rPr>
                <w:sz w:val="14"/>
                <w:szCs w:val="14"/>
                <w:color w:val="auto"/>
              </w:rPr>
            </w:pPr>
          </w:p>
        </w:tc>
      </w:tr>
      <w:tr>
        <w:trPr>
          <w:trHeight w:val="195"/>
        </w:trPr>
        <w:tc>
          <w:tcPr>
            <w:tcW w:w="664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Adjusted EBITDA</w:t>
            </w:r>
          </w:p>
        </w:tc>
        <w:tc>
          <w:tcPr>
            <w:tcW w:w="44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604,953</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464,673</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352,782</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costs incurred in connection with acquisitions, and other non-recurring transaction costs, primarily fees paid for professional services and employee retention.</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costs associated with and related to our corporate restructuring initiatives.</w:t>
      </w:r>
    </w:p>
    <w:p>
      <w:pPr>
        <w:spacing w:after="0" w:line="1" w:lineRule="exact"/>
        <w:rPr>
          <w:rFonts w:ascii="Arial" w:cs="Arial" w:eastAsia="Arial" w:hAnsi="Arial"/>
          <w:sz w:val="14"/>
          <w:szCs w:val="14"/>
          <w:color w:val="auto"/>
        </w:rPr>
      </w:pPr>
    </w:p>
    <w:p>
      <w:pPr>
        <w:ind w:left="520" w:right="380" w:hanging="512"/>
        <w:spacing w:after="0" w:line="264"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a combination of gain/loss related to sale of fixed assets, software implementation costs, and other individually insignificant items that are non-recurring in nature.</w:t>
      </w:r>
    </w:p>
    <w:p>
      <w:pPr>
        <w:spacing w:after="0" w:line="162"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Adjusted EBITDA is a supplemental measure of our operating performance included in this Annual Report on Form 10-K because it is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to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Adjusted EBITDA is not a U.S. GAAP measure of our financial performance or liquidity and should not be considered as an alternative to net income as a measure of financial performance or cash flows from operations as measures of liquidity, or any other performance measure derived in accordance with U.S. GAAP. We define Adjusted EBITDA as net income attributable to Parsons Corporation, adjusted to include net income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things, impairment of goodwill, intangible and other assets, interest and other expenses recognized on litigation matters, expenses incurred in connection with acquisitions and other non-recurring transaction costs, equity-based compensation,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U.S. GAAP results in addition to using Adjusted EBITDA supplementally. Our measure of Adjusted EBITDA is not necessarily comparable to similarly titled captions of other companies due to different methods of calculation.</w:t>
      </w:r>
    </w:p>
    <w:p>
      <w:pPr>
        <w:spacing w:after="0" w:line="183"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See “Segment Results” below and "Note 20—</w:t>
      </w:r>
      <w:r>
        <w:rPr>
          <w:rFonts w:ascii="Arial" w:cs="Arial" w:eastAsia="Arial" w:hAnsi="Arial"/>
          <w:sz w:val="18"/>
          <w:szCs w:val="18"/>
          <w:i w:val="1"/>
          <w:iCs w:val="1"/>
          <w:color w:val="auto"/>
        </w:rPr>
        <w:t>Segments Information</w:t>
      </w:r>
      <w:r>
        <w:rPr>
          <w:rFonts w:ascii="Arial" w:cs="Arial" w:eastAsia="Arial" w:hAnsi="Arial"/>
          <w:sz w:val="18"/>
          <w:szCs w:val="18"/>
          <w:color w:val="auto"/>
        </w:rPr>
        <w:t>” in the notes to our consolidated financial statements included elsewhere in this Annual Report on Form 10-K for further discussion regarding our segment Adjusted EBITDA attributable to Parsons Corporation</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820" w:firstLine="509"/>
        <w:spacing w:after="0" w:line="253"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 noncontrolling interests.</w:t>
      </w:r>
    </w:p>
    <w:p>
      <w:pPr>
        <w:spacing w:after="0" w:line="169"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60" w:type="dxa"/>
            <w:vAlign w:val="bottom"/>
            <w:vMerge w:val="continue"/>
          </w:tcPr>
          <w:p>
            <w:pPr>
              <w:spacing w:after="0"/>
              <w:rPr>
                <w:sz w:val="13"/>
                <w:szCs w:val="13"/>
                <w:color w:val="auto"/>
              </w:rPr>
            </w:pPr>
          </w:p>
        </w:tc>
        <w:tc>
          <w:tcPr>
            <w:tcW w:w="13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3"/>
                <w:szCs w:val="13"/>
                <w:color w:val="auto"/>
              </w:rPr>
            </w:pPr>
          </w:p>
        </w:tc>
        <w:tc>
          <w:tcPr>
            <w:tcW w:w="14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13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Solutions Adjusted EBITDA attributable to Parsons Corporation</w:t>
            </w:r>
          </w:p>
        </w:tc>
        <w:tc>
          <w:tcPr>
            <w:tcW w:w="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415,338</w:t>
            </w:r>
          </w:p>
        </w:tc>
        <w:tc>
          <w:tcPr>
            <w:tcW w:w="66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289,250</w:t>
            </w:r>
          </w:p>
        </w:tc>
        <w:tc>
          <w:tcPr>
            <w:tcW w:w="640" w:type="dxa"/>
            <w:vAlign w:val="bottom"/>
            <w:gridSpan w:val="2"/>
            <w:shd w:val="clear" w:color="auto" w:fill="CFF0FC"/>
          </w:tcPr>
          <w:p>
            <w:pPr>
              <w:ind w:left="2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199,004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Critical Infrastructure Adjusted EBITDA attributable to Parsons Corporation</w:t>
            </w:r>
          </w:p>
        </w:tc>
        <w:tc>
          <w:tcPr>
            <w:tcW w:w="3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132,901</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127,785</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123,385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56,714</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47,638</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30,393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Pr>
          <w:p>
            <w:pPr>
              <w:ind w:left="280"/>
              <w:spacing w:after="0" w:line="196" w:lineRule="exact"/>
              <w:rPr>
                <w:sz w:val="20"/>
                <w:szCs w:val="20"/>
                <w:color w:val="auto"/>
              </w:rPr>
            </w:pPr>
            <w:r>
              <w:rPr>
                <w:rFonts w:ascii="Arial" w:cs="Arial" w:eastAsia="Arial" w:hAnsi="Arial"/>
                <w:sz w:val="18"/>
                <w:szCs w:val="18"/>
                <w:color w:val="auto"/>
              </w:rPr>
              <w:t>Total Adjusted EBITDA</w:t>
            </w:r>
          </w:p>
        </w:tc>
        <w:tc>
          <w:tcPr>
            <w:tcW w:w="3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604,953</w:t>
            </w:r>
          </w:p>
        </w:tc>
        <w:tc>
          <w:tcPr>
            <w:tcW w:w="660" w:type="dxa"/>
            <w:vAlign w:val="bottom"/>
            <w:gridSpan w:val="2"/>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464,673</w:t>
            </w:r>
          </w:p>
        </w:tc>
        <w:tc>
          <w:tcPr>
            <w:tcW w:w="64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352,782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-162560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4" w:lineRule="exact"/>
        <w:rPr>
          <w:sz w:val="20"/>
          <w:szCs w:val="20"/>
          <w:color w:val="auto"/>
        </w:rPr>
      </w:pPr>
    </w:p>
    <w:p>
      <w:pPr>
        <w:ind w:right="4800"/>
        <w:spacing w:after="0" w:line="394" w:lineRule="auto"/>
        <w:rPr>
          <w:sz w:val="20"/>
          <w:szCs w:val="20"/>
          <w:color w:val="auto"/>
        </w:rPr>
      </w:pPr>
      <w:r>
        <w:rPr>
          <w:rFonts w:ascii="Arial" w:cs="Arial" w:eastAsia="Arial" w:hAnsi="Arial"/>
          <w:sz w:val="18"/>
          <w:szCs w:val="18"/>
          <w:b w:val="1"/>
          <w:bCs w:val="1"/>
          <w:i w:val="1"/>
          <w:iCs w:val="1"/>
          <w:color w:val="auto"/>
        </w:rPr>
        <w:t xml:space="preserve">Year ended December 31, 2024 compared to year ended December 31, 2023 </w:t>
      </w:r>
      <w:r>
        <w:rPr>
          <w:rFonts w:ascii="Arial" w:cs="Arial" w:eastAsia="Arial" w:hAnsi="Arial"/>
          <w:sz w:val="18"/>
          <w:szCs w:val="18"/>
          <w:i w:val="1"/>
          <w:iCs w:val="1"/>
          <w:color w:val="auto"/>
        </w:rPr>
        <w:t>Federal Solutions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The Year Ended</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4,007,114</w:t>
            </w:r>
          </w:p>
        </w:tc>
        <w:tc>
          <w:tcPr>
            <w:tcW w:w="74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3,020,701</w:t>
            </w:r>
          </w:p>
        </w:tc>
        <w:tc>
          <w:tcPr>
            <w:tcW w:w="5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986,413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32.7 %</w:t>
            </w:r>
          </w:p>
        </w:tc>
        <w:tc>
          <w:tcPr>
            <w:tcW w:w="0" w:type="dxa"/>
            <w:vAlign w:val="bottom"/>
          </w:tcPr>
          <w:p>
            <w:pPr>
              <w:spacing w:after="0"/>
              <w:rPr>
                <w:sz w:val="1"/>
                <w:szCs w:val="1"/>
                <w:color w:val="auto"/>
              </w:rPr>
            </w:pPr>
          </w:p>
        </w:tc>
      </w:tr>
      <w:tr>
        <w:trPr>
          <w:trHeight w:val="239"/>
        </w:trPr>
        <w:tc>
          <w:tcPr>
            <w:tcW w:w="484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415,338</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289,250</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126,088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43.6 %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increase in Federal Solutions revenue for the year ended December 31, 2024 compared to the corresponding period last year was primarily related to organic growth of 30% and $73.6 million from business acquisitions. Organic growth was primarily due to the ramp up of recent awards including growth on a significant contract, growth of existing contracts, partially offset by the winding down of certain contracts. Revenue for the year ended December 31, 2023 included incentive fees on two contracts of approximately $20 million that did not reoccur for the year ended December 31, 2024.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3"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The increase in Federal Solutions Adjusted EBITDA attributable to Parsons Corporation for the year ended December 31, 2024 compared to the prior year was primarily due to the factors impacting revenue discussed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The Year Ended</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3"/>
                <w:szCs w:val="13"/>
                <w:color w:val="auto"/>
              </w:rPr>
            </w:pPr>
          </w:p>
        </w:tc>
        <w:tc>
          <w:tcPr>
            <w:tcW w:w="13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2,743,462</w:t>
            </w:r>
          </w:p>
        </w:tc>
        <w:tc>
          <w:tcPr>
            <w:tcW w:w="740" w:type="dxa"/>
            <w:vAlign w:val="bottom"/>
            <w:gridSpan w:val="2"/>
            <w:shd w:val="clear" w:color="auto" w:fill="CFF0FC"/>
          </w:tcPr>
          <w:p>
            <w:pPr>
              <w:ind w:left="28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2,422,048</w:t>
            </w:r>
          </w:p>
        </w:tc>
        <w:tc>
          <w:tcPr>
            <w:tcW w:w="5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321,414</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39"/>
        </w:trPr>
        <w:tc>
          <w:tcPr>
            <w:tcW w:w="484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132,901</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127,785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increase in Critical Infrastructure revenue for the year ended December 31, 2024 compared to the corresponding period last year was primarily related to organic growth of 12% and $29.9 million from business acquisitions. Organic growth was primarily due to an increase in business volume from existing contracts and ramping up of recent awards offset by the winding down of certain contracts and contract write-downs of $44.5 million.</w:t>
      </w:r>
    </w:p>
    <w:p>
      <w:pPr>
        <w:spacing w:after="0" w:line="17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increase in Critical Infrastructure Adjusted EBITDA attributable to Parsons for the year ended December 31, 2024 compared to the corresponding period last year was primarily due to the increase in organic revenue. This increase was offset by the contract write-downs discussed above along with a write-down in equity in losses from unconsolidated joint ventures of $ 51.7 million compared to write-downs of $83.4 million for the year ended December 31, 2023. Also impacting Adjusted EBITDA were higher margin change orders on an unconsolidated joint venture for the year ended December 31, 2023 which did not reoccur for the year ended December 31, 2024.</w:t>
      </w:r>
    </w:p>
    <w:p>
      <w:pPr>
        <w:spacing w:after="0" w:line="286" w:lineRule="exact"/>
        <w:rPr>
          <w:sz w:val="20"/>
          <w:szCs w:val="20"/>
          <w:color w:val="auto"/>
        </w:rPr>
      </w:pPr>
    </w:p>
    <w:p>
      <w:pPr>
        <w:ind w:right="4800"/>
        <w:spacing w:after="0" w:line="394" w:lineRule="auto"/>
        <w:rPr>
          <w:sz w:val="20"/>
          <w:szCs w:val="20"/>
          <w:color w:val="auto"/>
        </w:rPr>
      </w:pPr>
      <w:r>
        <w:rPr>
          <w:rFonts w:ascii="Arial" w:cs="Arial" w:eastAsia="Arial" w:hAnsi="Arial"/>
          <w:sz w:val="18"/>
          <w:szCs w:val="18"/>
          <w:b w:val="1"/>
          <w:bCs w:val="1"/>
          <w:i w:val="1"/>
          <w:iCs w:val="1"/>
          <w:color w:val="auto"/>
        </w:rPr>
        <w:t xml:space="preserve">Year ended December 31, 2023 compared to year ended December 31, 2022 </w:t>
      </w:r>
      <w:r>
        <w:rPr>
          <w:rFonts w:ascii="Arial" w:cs="Arial" w:eastAsia="Arial" w:hAnsi="Arial"/>
          <w:sz w:val="18"/>
          <w:szCs w:val="18"/>
          <w:i w:val="1"/>
          <w:iCs w:val="1"/>
          <w:color w:val="auto"/>
        </w:rPr>
        <w:t>Federal Solutions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The Year Ended</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Variance</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vMerge w:val="continue"/>
          </w:tcPr>
          <w:p>
            <w:pPr>
              <w:spacing w:after="0"/>
              <w:rPr>
                <w:sz w:val="13"/>
                <w:szCs w:val="13"/>
                <w:color w:val="auto"/>
              </w:rPr>
            </w:pPr>
          </w:p>
        </w:tc>
        <w:tc>
          <w:tcPr>
            <w:tcW w:w="14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2023</w:t>
            </w:r>
          </w:p>
        </w:tc>
        <w:tc>
          <w:tcPr>
            <w:tcW w:w="220" w:type="dxa"/>
            <w:vAlign w:val="bottom"/>
          </w:tcPr>
          <w:p>
            <w:pPr>
              <w:spacing w:after="0"/>
              <w:rPr>
                <w:sz w:val="13"/>
                <w:szCs w:val="13"/>
                <w:color w:val="auto"/>
              </w:rPr>
            </w:pPr>
          </w:p>
        </w:tc>
        <w:tc>
          <w:tcPr>
            <w:tcW w:w="148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7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96"/>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3,020,701</w:t>
            </w:r>
          </w:p>
        </w:tc>
        <w:tc>
          <w:tcPr>
            <w:tcW w:w="760" w:type="dxa"/>
            <w:vAlign w:val="bottom"/>
            <w:gridSpan w:val="2"/>
            <w:shd w:val="clear" w:color="auto" w:fill="CFF0FC"/>
          </w:tcPr>
          <w:p>
            <w:pPr>
              <w:jc w:val="right"/>
              <w:ind w:right="348"/>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2,212,987</w:t>
            </w:r>
          </w:p>
        </w:tc>
        <w:tc>
          <w:tcPr>
            <w:tcW w:w="4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807,714</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289,250</w:t>
            </w:r>
          </w:p>
        </w:tc>
        <w:tc>
          <w:tcPr>
            <w:tcW w:w="76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199,004</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90,246</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increase in Federal Solutions revenue for the year ended December 31, 2023 compared to the corresponding period last year was primarily due to organic growth of 25% and increases from business acquisitions of $264.1 million.</w:t>
      </w:r>
    </w:p>
    <w:p>
      <w:pPr>
        <w:spacing w:after="0" w:line="15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increase in Federal Solutions Adjusted EBITDA attributable to Parsons Corporation for the year ended December 31, 2023 compared to the prior year was primarily due to the factors impacting revenue discussed above and non-recurring incentive fees of approximately $20 million. These increases were offset by higher selling general and administrative costs from business acquisitions, business development and sales activities, and incentive compensation costs as a result of the company's strong operating performance and growing employee base.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(U.S. dollars in thousands)</w:t>
            </w: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The Year Ended</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Variance</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vMerge w:val="continue"/>
          </w:tcPr>
          <w:p>
            <w:pPr>
              <w:spacing w:after="0"/>
              <w:rPr>
                <w:sz w:val="13"/>
                <w:szCs w:val="13"/>
                <w:color w:val="auto"/>
              </w:rPr>
            </w:pPr>
          </w:p>
        </w:tc>
        <w:tc>
          <w:tcPr>
            <w:tcW w:w="14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2023</w:t>
            </w:r>
          </w:p>
        </w:tc>
        <w:tc>
          <w:tcPr>
            <w:tcW w:w="220" w:type="dxa"/>
            <w:vAlign w:val="bottom"/>
          </w:tcPr>
          <w:p>
            <w:pPr>
              <w:spacing w:after="0"/>
              <w:rPr>
                <w:sz w:val="13"/>
                <w:szCs w:val="13"/>
                <w:color w:val="auto"/>
              </w:rPr>
            </w:pPr>
          </w:p>
        </w:tc>
        <w:tc>
          <w:tcPr>
            <w:tcW w:w="14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80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76"/>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2,422,048</w:t>
            </w:r>
          </w:p>
        </w:tc>
        <w:tc>
          <w:tcPr>
            <w:tcW w:w="760" w:type="dxa"/>
            <w:vAlign w:val="bottom"/>
            <w:gridSpan w:val="2"/>
            <w:shd w:val="clear" w:color="auto" w:fill="CFF0FC"/>
          </w:tcPr>
          <w:p>
            <w:pPr>
              <w:jc w:val="right"/>
              <w:ind w:right="36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1,982,285</w:t>
            </w:r>
          </w:p>
        </w:tc>
        <w:tc>
          <w:tcPr>
            <w:tcW w:w="4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439,763</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39"/>
        </w:trPr>
        <w:tc>
          <w:tcPr>
            <w:tcW w:w="5420" w:type="dxa"/>
            <w:vAlign w:val="bottom"/>
          </w:tcPr>
          <w:p>
            <w:pPr>
              <w:ind w:left="20"/>
              <w:spacing w:after="0"/>
              <w:rPr>
                <w:sz w:val="20"/>
                <w:szCs w:val="20"/>
                <w:color w:val="auto"/>
              </w:rPr>
            </w:pPr>
            <w:r>
              <w:rPr>
                <w:rFonts w:ascii="Arial" w:cs="Arial" w:eastAsia="Arial" w:hAnsi="Arial"/>
                <w:sz w:val="18"/>
                <w:szCs w:val="18"/>
                <w:color w:val="auto"/>
              </w:rPr>
              <w:t>Adjusted EBITDA attributable to Parsons Corporation</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127,785</w:t>
            </w:r>
          </w:p>
        </w:tc>
        <w:tc>
          <w:tcPr>
            <w:tcW w:w="7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123,385</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4,400</w:t>
            </w: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increase in Critical Infrastructure revenue for the year ended December 31, 2023 compared to the corresponding period last year was substantially due to organic growth.</w:t>
      </w:r>
    </w:p>
    <w:p>
      <w:pPr>
        <w:spacing w:after="0" w:line="15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increase in Critical Infrastructure Adjusted EBITDA attributable to Parsons for the year ended December 31, 2023 compared to the corresponding period last year was primarily due to increases in business volume and a decrease in direct cost of contracts of $38 million related to a legal matter on a previously completed contract, offset by write-downs on joint ventures discussed above and higher selling general and administrative costs from business development and sales activities and higher incentive compensation costs as a result of the company's strong operating performance and growing employee base.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Delayed Draw Term Loan and periodic borrowings under our Revolving Credit Facility.</w:t>
      </w:r>
    </w:p>
    <w:p>
      <w:pPr>
        <w:spacing w:after="0" w:line="15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Revolving Credit Facility.</w:t>
      </w:r>
    </w:p>
    <w:p>
      <w:pPr>
        <w:spacing w:after="0" w:line="174" w:lineRule="exact"/>
        <w:rPr>
          <w:sz w:val="20"/>
          <w:szCs w:val="20"/>
          <w:color w:val="auto"/>
        </w:rPr>
      </w:pPr>
    </w:p>
    <w:p>
      <w:pPr>
        <w:ind w:right="420" w:firstLine="509"/>
        <w:spacing w:after="0" w:line="244" w:lineRule="auto"/>
        <w:rPr>
          <w:sz w:val="20"/>
          <w:szCs w:val="20"/>
          <w:color w:val="auto"/>
        </w:rPr>
      </w:pPr>
      <w:r>
        <w:rPr>
          <w:rFonts w:ascii="Arial" w:cs="Arial" w:eastAsia="Arial" w:hAnsi="Arial"/>
          <w:sz w:val="18"/>
          <w:szCs w:val="18"/>
          <w:color w:val="auto"/>
        </w:rPr>
        <w:t>As of December 31, 2024,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185"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(net of project accruals, billings in excess of revenue and accounts payable) by (ii) average revenue per day (calculated by dividing trailing twelve months revenue by the number of days in that period). We focus on collecting outstanding receivables to reduce net DSO and improve working capital. Net DSO was 55 days at December 31, 2024, down from 59 days at December 31, 2023 and 69 days at December 31, 2022. Our working capital (current assets less current liabilities) was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$546.8 million at December 31, 2024, $726.6 million at December 31, 2023 and $611.7 million at December 31, 2022.</w:t>
      </w:r>
    </w:p>
    <w:p>
      <w:pPr>
        <w:spacing w:after="0" w:line="216"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Our cash and cash equivalents increased by $180.6 million to $ 453.5 million at December 31, 2024 from $272.9 million at December 31, 2023. This compares to an increase in cash and cash equivalents of $10.4 million to $272.9 million at December 31, 2023 from $262.5 million at December 31, 2022.</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 Ended</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00" w:type="dxa"/>
            <w:vAlign w:val="bottom"/>
          </w:tcPr>
          <w:p>
            <w:pPr>
              <w:spacing w:after="0"/>
              <w:rPr>
                <w:sz w:val="13"/>
                <w:szCs w:val="13"/>
                <w:color w:val="auto"/>
              </w:rPr>
            </w:pPr>
          </w:p>
        </w:tc>
        <w:tc>
          <w:tcPr>
            <w:tcW w:w="16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December 31, 2024</w:t>
            </w:r>
          </w:p>
        </w:tc>
        <w:tc>
          <w:tcPr>
            <w:tcW w:w="160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December 31, 2023</w:t>
            </w:r>
          </w:p>
        </w:tc>
        <w:tc>
          <w:tcPr>
            <w:tcW w:w="13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3"/>
                <w:szCs w:val="13"/>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523,606</w:t>
            </w:r>
          </w:p>
        </w:tc>
        <w:tc>
          <w:tcPr>
            <w:tcW w:w="2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407,699</w:t>
            </w:r>
          </w:p>
        </w:tc>
        <w:tc>
          <w:tcPr>
            <w:tcW w:w="2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237,526</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(556,715 )</w:t>
            </w:r>
          </w:p>
        </w:tc>
        <w:tc>
          <w:tcPr>
            <w:tcW w:w="36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(375,970 )</w:t>
            </w:r>
          </w:p>
        </w:tc>
        <w:tc>
          <w:tcPr>
            <w:tcW w:w="3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(417,468 )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218,749</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(21,871 )</w:t>
            </w: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100,368</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Effect of exchange rate changes</w:t>
            </w:r>
          </w:p>
        </w:tc>
        <w:tc>
          <w:tcPr>
            <w:tcW w:w="36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(5,035 )</w:t>
            </w:r>
          </w:p>
        </w:tc>
        <w:tc>
          <w:tcPr>
            <w:tcW w:w="3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(1,770 )</w:t>
            </w:r>
          </w:p>
        </w:tc>
      </w:tr>
      <w:tr>
        <w:trPr>
          <w:trHeight w:val="20"/>
        </w:trPr>
        <w:tc>
          <w:tcPr>
            <w:tcW w:w="6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180,605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10,404</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(81,344 )</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179" w:lineRule="exact"/>
        <w:rPr>
          <w:sz w:val="20"/>
          <w:szCs w:val="20"/>
          <w:color w:val="auto"/>
        </w:rPr>
      </w:pPr>
    </w:p>
    <w:p>
      <w:pPr>
        <w:ind w:right="320" w:firstLine="509"/>
        <w:spacing w:after="0" w:line="244" w:lineRule="auto"/>
        <w:rPr>
          <w:sz w:val="20"/>
          <w:szCs w:val="20"/>
          <w:color w:val="auto"/>
        </w:rPr>
      </w:pPr>
      <w:r>
        <w:rPr>
          <w:rFonts w:ascii="Arial" w:cs="Arial" w:eastAsia="Arial" w:hAnsi="Arial"/>
          <w:sz w:val="18"/>
          <w:szCs w:val="18"/>
          <w:color w:val="auto"/>
        </w:rPr>
        <w:t>Net cash provided by operating activities increased $115.9 million to $523.6 million during 2024 compared to $407.7 million during 2023. The increase in net cash provided by operating activities is primarily due to a $98.4 million change in net income after adjusting for non-cash items and convertible debt settlement and from changes in our working capital accounts of $46.4 million (primarily from contract assets and prepaid expenses and other assets offset by accounts payable, accrued expenses and other current liabilities, and contract liabilities). These increase were offset by a $29.0 million change in cash used for other long-term liabilities.</w:t>
      </w:r>
    </w:p>
    <w:p>
      <w:pPr>
        <w:spacing w:after="0" w:line="68"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Net cash provided by operating activities increased $170.2 million to $407.7 million during 2023 compared to $237.5 million during 2022. The increase in net cash provided by operating activities is primarily due to a $170.1 million change in net income after adjusting for non-cash items and the 10-day improvement in DSO. This increase was offset, in part, from changes in our working capital accounts of $6.3 million. The changes in the Company's various working capital accounts were driven primarily by the significant increase in business volume during the year ended December 31, 2023 compared to the corresponding period last year.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used in investing activities consists primarily of cash flows associated with capital expenditures and business acquisitions.</w:t>
      </w:r>
    </w:p>
    <w:p>
      <w:pPr>
        <w:spacing w:after="0" w:line="10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Net cash used in investing activities increased $180.7 million to $556.7 million during 2024 compared to $376.0 million during 2023. The change was primarily driven by a $206.8 million increase in payments for acquisitions, $14.3 million from investments in unconsolidated joint ventures, and $8.8 million from capital expenditures offset by a $49.9 million increase in return of investments in unconsolidated joint ventures.</w:t>
      </w:r>
    </w:p>
    <w:p>
      <w:pPr>
        <w:spacing w:after="0" w:line="66"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Net cash used in investing activities decreased $41.5 million to $376.0 million during 2023 compared to $417.5 million during 2022. The change was primarily driven by a $157.5 million reduction in payments for acquisitions offset in part by a $102.0 million increase in investments in unconsolidated joint ventures, a $9.8 million increase in capital expenditures (primarily from computer systems and equipment) and a change from return of investments in unconsolidated joint ventures of $4.4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Net cash provided by (used in) financing activities is primarily associated with proceeds from debt, the repayment thereof, transactions related to the Company’s common stock, and contributions by and distributions to noncontrolling interests.</w:t>
      </w:r>
    </w:p>
    <w:p>
      <w:pPr>
        <w:spacing w:after="0" w:line="15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Net cash provided by (used in) financing activities increased by $240.6 million to $218.7 million in 2024 compared to $(21.9) million in 2023. The change in cash flows from financing activities is primarily driven by net cash inflows from our convertible bond transactions which generated $285.4 million in cash. See “Note 11 – Debt and Credit Facilities,” for a further discussion of these transactions. This increase was offset in part by distributions to noncontrolling interests of $16.7 million, taxes paid on vested stock of $15.3 million and $14.0 million from repurchases of common stock.</w:t>
      </w:r>
    </w:p>
    <w:p>
      <w:pPr>
        <w:spacing w:after="0" w:line="68"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Net cash provided by (used in) financing activities changed by $122.2 million to $(21.9) million in 2023 compared to $ 100.4 million in 2022. This change was primarily due to a decrease of $150.0 million from net borrowing related activities and a $7.4 million change in contributions by noncontrolling interests offset by a decrease in distributions to noncontrolling interests of $11.6 billion, a decrease in cash used to repurchase common stock of $11.0 million and from $11.2 million of payments in warrants for the year ended December 31, 2022 that did not reoccur in 2023.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$328.4 million as of December 31, 2024. Letters of credit outstanding under the Credit Agreement total $43.0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significant accounting policies are described in “Note 2—</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to our consolidated financial statements included elsewhere in this Annual Report on Form 10-K. Management makes estimates and judgments in preparing our consolidated financial statements. These estimates and judgments affect the reported amounts of certain assets and liabilities and the revenues and expenses reported for the periods presented in the consolidated financial statements. Although such estimates and assumptions are based on information available through the date of the issuance of our consolidated financial statements, actual results could differ significantly from those estimates and assumptions. Our estimates, judgments and assumptions are evaluated periodically and adjusted accordingly.</w:t>
      </w:r>
    </w:p>
    <w:p>
      <w:pPr>
        <w:spacing w:after="0" w:line="185"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We believe that the following items are the most critical accounting policies and estimates that involved significant judgment as we prepared our financial statements. We consider an accounting policy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9" w:name="page80"/>
    <w:bookmarkEnd w:id="79"/>
    <w:p>
      <w:pPr>
        <w:spacing w:after="0" w:line="19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or estimate to be critical if the policy or estimate requires assumptions to be made that were uncertain at the time they were made and if changes in these assumptions could have a material impact on our financial condition or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Cost Estimation</w:t>
      </w:r>
    </w:p>
    <w:p>
      <w:pPr>
        <w:spacing w:after="0" w:line="10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 our industry, recognition of revenue and profit on long-term contracts requires the use of assumptions and estimates related to total contract revenue, total cost at completion, and the measurement of progress towards completion. Estimates are continually evaluated as work progresses and are revised when necessary. When a change in estimate is determined to have an impact on contract revenue or profit, we record a positive or negative adjustment to the consolidated statements of income.</w:t>
      </w:r>
    </w:p>
    <w:p>
      <w:pPr>
        <w:spacing w:after="0" w:line="174"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The transaction price of a contract is allocated to each distinct performance obligation and recognized as revenue when, or as, the performance obligation is satisfied. To the extent a contract is deemed to have multiple performance obligations, we allocate the transaction price of the contract to each performance obligation using our best estimate of the standalone selling price of each distinct good or service in the contract. We determine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we provide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we are not liable for the construction of the asset, but have an overall responsibility to oversee, coordinate, measure, and evaluate the quality of construction work and the performance of the construction contractor on behalf of the customer. Customers are generally billed as we satisfy our performance obligations and payment terms typically range from 30 to 120 days from the invoice date. Billings under certain fixed-price contracts may be based upon the achievement of specified milestones, while some arrangements may require advance customer payment. Our contracts generally do not include a significant financing component.</w:t>
      </w:r>
    </w:p>
    <w:p>
      <w:pPr>
        <w:spacing w:after="0" w:line="18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transaction price for our contracts may include variable consideration, which includes award and incentive fees, increases to the transaction price for approved and unpriced change orders, claims, and reductions to transaction price for liquidated damages. We recognize adjustments in estimated profit on contracts under the cumulative catch-up method. Under this method, the impact of the adjustment on profit recorded to-date is recognized in the period the adjustment is identified. If at any time the estimate of contract profitability indicates an anticipated loss on the contract, we recognize the total loss in the quarter it is identified.</w:t>
      </w:r>
    </w:p>
    <w:p>
      <w:pPr>
        <w:spacing w:after="0" w:line="17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Claims revenue is related to amounts in excess of agreed contract price that we seek to collect from clients or others for customer-caused delays, errors in specifications and designs, contract terminations, change orders that are either in dispute or are unapproved as to both price and scope, or other causes of unanticipated additional contract costs, including factors outside of our control, where we therefore believe we are entitled to additional compensation. Claims revenue, when recorded, is only recorded to the extent it is probable that a significant reversal of cumulative revenue recognized will not occur. We include certain unapproved claims in the transaction price when the claims are legally enforceable, we consider collection to be probable and believe we can reliably estimate the ultimate value. We continue to engage in negotiations with our customers on our outstanding claims. However, these claims may be resolved at amounts that differ from our current estimates, which could result in increases or decreases in future estimated contract profits or losses. Costs related to claims are recognized when they are incurred.</w:t>
      </w:r>
    </w:p>
    <w:p>
      <w:pPr>
        <w:spacing w:after="0" w:line="183"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Change orders, which are a normal and recurring part of our business, are generally not distinct and are accounted for as part of the existing contract. The effect of a change order that is not distinct on the transaction price and our measure of progress for the performance obligation to which it relates is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recognized on a cumulative catch-up basis. To the extent change orders included in the transaction price are not resolved in our favor, there could be reductions in, or reversals of previously reported amounts of, revenues and profits, and charges against current earnings. Costs relating to change orders are recognized when they are incurred.</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recognize revenue for most of our contracts over time as performance obligations are satisfied, as we are continuously transferring control to the customer. Typically, revenue is recognized over time using an input measure (i.e., costs incurred to date relative to total estimated costs at completion) to measure progress.</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often enter into contracts in which the amount billed to the customer corresponds directly with the amount of work performed. These contract types qualify for the “right to invoice” practical expedient method of measuring progress, in which the right to consideration corresponds directly with the value to the customer of our performance to date. For these contracts, revenue is recognized in the amount that we have the right to invoice.</w:t>
      </w:r>
    </w:p>
    <w:p>
      <w:pPr>
        <w:spacing w:after="0" w:line="174"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Provisions for anticipated losses on contracts, including those arising from disputes and other contingencies, are recorded in the period such loss becomes known; provisions not ultimately required are released as disputes or contingencies are resolved.</w:t>
      </w:r>
    </w:p>
    <w:p>
      <w:pPr>
        <w:spacing w:after="0" w:line="15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Contract costs include labor and materials, amounts payable to subcontractors, 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2"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interest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85"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93"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have operating and finance leases for corporate and project office spaces, vehicles, heavy machinery and office equipment. Our leases have remaining lease terms of one year to eleven years, some of which may include options to extend the leases for up to five years, and some of which may include options to terminate the leases up to the third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cost of an acquired company is assigned to the tangible and intangible assets purchased and the liabilities assumed on the basis of their fair values at the date of acquisition. The determination of fair values of assets acquired and liabilities assumed requires us to make estimates and use valuation techniques when a market value is not readily available. Any excess of purchase price over the fair value of tangible and intangible assets acquired and obligations assumed is allocated to goodwill. Goodwill typically represents the value paid for the assembled workforce and enhancement of our service offerings. Transaction costs associated with business combinations are expensed as incurred. The determination of fair values of assets acquired and liabilities assumed requires the Company to make estimates and use valuation techniques when a market value is not readily available. The Company adjusts the preliminary purchase prices allocation, as necessary, during the measurement period of up to one year after the acquisition closing date as the Company obtains more information as to facts and circumstances existing at the acquisition date.</w:t>
      </w:r>
    </w:p>
    <w:p>
      <w:pPr>
        <w:spacing w:after="0" w:line="75"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Certain business acquisitions include contingent earn-out arrangements, which are generally based on meeting a revenue target. The fair value of this contingent consideration is included as part of the purchase price of the acquired company on the acquisition date and recorded at its fair value within other liabilities or other long-term liabilities, as appropriate on the consolidated balance sheets.</w:t>
      </w:r>
    </w:p>
    <w:p>
      <w:pPr>
        <w:spacing w:after="0" w:line="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measure our contingent consideration at fair value on a recurring basis using significant unobservable inputs classified within Level 3 of the fair value hierarchy. The fair value of contingent consideration is determined using the option pricing method prescribed in the earnout valuation guide published by The Appraisal Foundation. We consider three major risks associated with earnout, i.e. risk in the underlying metric, risk in the earnout structure, and counterparty credit risk. Our valuation model is based on the Black Scholes option pricing formula and major assumptions including projected revenue, the revenue discount rate, the revenue volatility, and the Company's credit adjusted discount rate. Subsequent adjustments to these assumptions can cause changes to the measure of contingent consideration.</w:t>
      </w:r>
    </w:p>
    <w:p>
      <w:pPr>
        <w:spacing w:after="0" w:line="71"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The Company reassess the estimated fair value of contingent consideration on a quarterly basis with any change in the fair value recorded to selling, general and administrative expense in the current quarter. The updated fair value could differ materially from the acquisition date fair value. The amount of contingent consideration ultimately paid that is less than or equal to the liability on the acquisition date is reflected as cash used in financing activities in our consolidated statements of cash flows. Any amounts paid in excess of the liability on the acquisition date is reflected as cash used in operating activities in our consolidated statements of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Goodwill is not amortized but is subject to an annual impairment test. Interim testing for impairment is performed if indicators of potential impairment exist. For purposes of impairment testing, goodwill is allocated to the applicable reporting units based on the current reporting structure. When evaluating goodwill for impairment, we may decide to first perform a qualitative assessment, or “step zero” impairment test, to determine whether it is more likely than not that impairment has occurred. If we do not perform a qualitative assessment, or if we determine that it is not more likely than not that the fair value of our reporting units exceeds their carrying amounts, we perform a quantitative assessment and calculate the estimated fair value of the respective reporting unit. If the carrying amount of a reporting unit’s goodwill exceeds the fair value of that goodwill, an impairment loss is recognized.</w:t>
      </w:r>
    </w:p>
    <w:p>
      <w:pPr>
        <w:spacing w:after="0" w:line="185"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Our decision to perform a qualitative impairment assessment in a given year is influenced by a number of factors, including the significance of the excess of our estimated fair value over carrying value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9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at the last quantitative assessment date, the amount of time in between quantitative fair value assessments, and the date of the applicable acquisitions, if any.</w:t>
      </w:r>
    </w:p>
    <w:p>
      <w:pPr>
        <w:spacing w:after="0" w:line="159" w:lineRule="exact"/>
        <w:rPr>
          <w:sz w:val="20"/>
          <w:szCs w:val="20"/>
          <w:color w:val="auto"/>
        </w:rPr>
      </w:pPr>
    </w:p>
    <w:p>
      <w:pPr>
        <w:jc w:val="both"/>
        <w:ind w:right="40" w:firstLine="509"/>
        <w:spacing w:after="0" w:line="228" w:lineRule="auto"/>
        <w:rPr>
          <w:sz w:val="20"/>
          <w:szCs w:val="20"/>
          <w:color w:val="auto"/>
        </w:rPr>
      </w:pPr>
      <w:r>
        <w:rPr>
          <w:rFonts w:ascii="Arial" w:cs="Arial" w:eastAsia="Arial" w:hAnsi="Arial"/>
          <w:sz w:val="18"/>
          <w:szCs w:val="18"/>
          <w:color w:val="auto"/>
        </w:rPr>
        <w:t>We perform a goodwill impairment test annually, on October 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of each year, for each reporting unit that requires certain assumptions and estimates be made regarding industry economic factors and future profitability. For the years ended December 31, 2024, December 31, 2023 and December 31, 2022, we performed a quantitative analysis for all of our reporting units. It was determined that the fair value of each of our reporting units substantially exceeded their carrying values. As a result, no goodwill impairments were identified for those periods.</w:t>
      </w:r>
    </w:p>
    <w:p>
      <w:pPr>
        <w:spacing w:after="0" w:line="18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goodwill impairment test involves determination of the fair value of our reporting units. This process requires significant judgments and estimates, including assumptions about our strategic plans for operations as well as the interpretation of current economic indicators. Development of the present value of future cash flow projections includes assumptions and estimates derived from a review of our expected revenue growth rates, profit margins, business plans, cost of capital and tax rates. We also make certain assumptions about future market conditions, market prices, interest rates and changes in business strategies. Changes in assumptions or estimates could materially affect the determination of the fair value of a reporting unit. This could eliminate the excess of fair value over carrying value of a reporting unit entirely and, in some cases, result in impairment. Such changes in assumptions could be caused by a loss of one or more significant contracts, reductions in government or commercial client spending, or a decline in the demand for our services due to changing economic conditions. In the event that we determine that our goodwill is impaired, we would be required to record a non-cash charge that could result in a material adverse effect on our results of operations or financial position.</w:t>
      </w:r>
    </w:p>
    <w:p>
      <w:pPr>
        <w:spacing w:after="0" w:line="18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use the Income Approach and Market Approach (Guideline Transaction and Guideline Company Method) to determine the fair value of reporting units. The Income Approach utilizes the discounted cash flow method, which focuses on the expected cash flow of the reporting unit. In applying this approach, the cash flow is calculated for a finite period of years. Beyond the finite period, a terminal value is developed using a sustainable long-term annual growth rate estimate. Then the finite period cash flows and the terminal value are discounted to present value to arrive at an indication of fair value. We utilized internal financial projections through fiscal 2029. The Market Approach utilizes market comparable transactions and comparable companies to calculate the estimated fair value. The guideline company approach focuses on comparing the reporting unit to select reasonably similar (or ”guideline”) publicly traded companies. Under this method, valuation multiples are derived from the median of the operating data of selected guideline companies and applied to the operating data of the reporting unit to arrive at an indicative value. In the similar transactions approach, consideration is given to prices paid in recent transactions that have occurred in the reporting unit's industry or in related industries. For the Federal Solutions reporting unit, only the Guideline Company Method is used as the Federal Solutions reporting unit has gone through multiple acquisitions during the past two years, thus making Guideline Transaction Method difficult to apply. For the Critical Infrastructure reporting unit, both the Guideline Transaction Method and Guideline Company Method are utilized to calculate the estimated fair value. Equal weighing is given to each of the methods used to estimate the fair value of reporting units. Our last review at October 1, 2024 (i.e., the first day of our fourth quarter in fiscal 2024), indicated that we had no impairment of goodwill, and all of our reporting units had estimated fair values that were in excess of their carrying values, including goodwill.</w:t>
      </w:r>
    </w:p>
    <w:p>
      <w:pPr>
        <w:spacing w:after="0" w:line="18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ten years. These primarily consist of customer relationships, backlog, and covenants not to compete. We assess the recoverability of the unamortized balance of our intangible assets when indicators of impairment are present based on expected future profitability and undiscounted expected cash flows and their contribution to overall operations. Should the review indicate that the carrying value is not fully recoverable, the excess of the carrying value over the fair value of the intangible assets would be recognized as an impairment loss.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Joint Ventures and Variable Interest Entities</w:t>
      </w:r>
    </w:p>
    <w:p>
      <w:pPr>
        <w:spacing w:after="0" w:line="10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participate in joint ventures, which include partnerships and partially owned limited liability corporations, to bid, negotiate and complete specific projects. We are required to consolidate these joint ventures if we hold the majority voting interest or if we meet the criteria under the consolidation model as described below.</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 variable interest entity, or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Our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83"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We are required to perform an analysis to determine whether we are the primary beneficiary of our VIEs. We are deemed to be the primary beneficiary of a VIE if we have (i) the power to direct the activities of the VIE that most significantly impact the VIE’s economic performance; and (ii) the obligation to absorb losses or the right to receive benefits that could potentially be significant to the VIE.</w:t>
      </w:r>
    </w:p>
    <w:p>
      <w:pPr>
        <w:spacing w:after="0" w:line="16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Many of the joint ventures we enter into are deemed to be VIEs because they lack sufficient equity to finance the activities of the joint venture. We use a qualitative approach to determine if we are the primary beneficiary of the VIE, which considers factors that indicate a party has the power to direct the activities that most significantly impact the joint venture’s economic performance. In determining whether we are the primary beneficiary of the VIE,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including which joint venture partner provides the project manager; and (6) reviewing the funding and operating agreements. We analyze each joint venture initially to determine if it should be consolidated or unconsolidated into our financial statements:</w:t>
      </w:r>
    </w:p>
    <w:p>
      <w:pPr>
        <w:spacing w:after="0" w:line="72" w:lineRule="exact"/>
        <w:rPr>
          <w:sz w:val="20"/>
          <w:szCs w:val="20"/>
          <w:color w:val="auto"/>
        </w:rPr>
      </w:pPr>
    </w:p>
    <w:p>
      <w:pPr>
        <w:ind w:left="1020" w:right="4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 joint venture is consolidated into our financial statements if we are the primary beneficiary of a VIE or hold the majority of voting interests of a non-VIE (and no significant participative rights are available to the other partners).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 joint venture is not consolidated into our financial statements if we are not the primary beneficiary of a VIE, or do not hold the majority of voting interest of a non-VIE.</w:t>
      </w:r>
    </w:p>
    <w:p>
      <w:pPr>
        <w:spacing w:after="0" w:line="15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We account for our unconsolidated joint ventures using the equity method of accounting. Under this method, we recognize our proportionate share of the net earnings of these joint ventures as “Equity in earnings (loss) of unconsolidated joint ventures”. Our maximum exposure to loss as a result of our investments in unconsolidated variable interest entities is typically limited to the aggregate of the carrying value of the investment and future funding commitments in these entities.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ESOP</w:t>
      </w:r>
    </w:p>
    <w:p>
      <w:pPr>
        <w:spacing w:after="0" w:line="102"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Throughout the year, as employee services are rendered, we record compensation expense based on salaries of eligible employees. Contributions of our common stock to the ESOP are made annually in amounts determined by our board of directors and are held in trust for the sole benefit of the participants. Shares allocated to a participant’s account are fully vested after three years of credited service, or in the event(s) of reaching age 65, death or disability while an active employee, whichever occurs first.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193"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our common stock based on quoted prices of a share of our common stock on the NYSE. A participant will be able to sell such shares of common stock in the market, subject to any requirements of the federal securities laws.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0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measure the value of services received from employees and directors in exchange for an equity-based award based on the grant date fair value. We issue equity-based awards that settle in shares of our common stock. Awards containing performance measures are adjusted at each reporting period for the number of shares expected to be earned. Compensation cost for performance awards are trued-up at each reporting period for changes in expected shares pro-rated for the portion of the requisite service period rendered. We recognize compensation costs for these awards on either a straight-line or accelerated basis over the vesting period of the award in “Selling, general and administrative expenses” in the consolidated statements of income. For awards that include market conditions, the grant date fair value is determined using a Monte Carlo simulation.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02" w:lineRule="exact"/>
        <w:rPr>
          <w:sz w:val="20"/>
          <w:szCs w:val="20"/>
          <w:color w:val="auto"/>
        </w:rPr>
      </w:pPr>
    </w:p>
    <w:p>
      <w:pPr>
        <w:ind w:right="240" w:firstLine="509"/>
        <w:spacing w:after="0" w:line="242" w:lineRule="auto"/>
        <w:rPr>
          <w:sz w:val="20"/>
          <w:szCs w:val="20"/>
          <w:color w:val="auto"/>
        </w:rPr>
      </w:pPr>
      <w:r>
        <w:rPr>
          <w:rFonts w:ascii="Arial" w:cs="Arial" w:eastAsia="Arial" w:hAnsi="Arial"/>
          <w:sz w:val="18"/>
          <w:szCs w:val="18"/>
          <w:color w:val="auto"/>
        </w:rPr>
        <w:t>We are self-insured for a portion of our losses and liabilities primarily associated with workers’ compensation, general, professional, automobile, employee matters, certain medical plans, and project specific liability claims. Losses are accrued based upon our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 Actual losses and related expenses may deviate, perhaps substantially, from the self-insurance liability estimates reflected in our financial statements.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right="1100" w:firstLine="509"/>
        <w:spacing w:after="0" w:line="301" w:lineRule="auto"/>
        <w:rPr>
          <w:sz w:val="20"/>
          <w:szCs w:val="20"/>
          <w:color w:val="auto"/>
        </w:rPr>
      </w:pPr>
      <w:r>
        <w:rPr>
          <w:rFonts w:ascii="Arial" w:cs="Arial" w:eastAsia="Arial" w:hAnsi="Arial"/>
          <w:sz w:val="17"/>
          <w:szCs w:val="17"/>
          <w:color w:val="auto"/>
        </w:rPr>
        <w:t>See the information set forth in “Note 2—</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—Recently Adopted Accounting Pronouncements” in the notes to our consolidated financial statements included elsewhere in this Annual Report on Form 10-K.</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Off-Balance Sheet Arrangements</w:t>
      </w:r>
    </w:p>
    <w:p>
      <w:pPr>
        <w:spacing w:after="0" w:line="21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As of December 31, 2024,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Commitments and Contingencies</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certain claims and assessments that arise in the ordinary course of business. Additionally, Parsons has been named as a defendant in lawsuits alleging personal injuries as a result of contact with asbestos products at various project sites. We believe that any significant costs relating to these claims will be reimbursed by applicable insurance and do not expect any of these claims to have a material adverse effect on our financial condition or results of operations. We record a liability when we believe that it is both probable that a loss has been incurred and the amount can be reasonably estimated. Management judgment is required to determine the outcome and the estimated amount of a loss related to such matters. Management believes that there are no claims or assessments outstanding which would materially affect our consolidated results of operations or our financial position.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interest rate risks related to the Company’s Revolving Credit Facility and Delayed Draw Term Loan.</w:t>
      </w:r>
    </w:p>
    <w:p>
      <w:pPr>
        <w:spacing w:after="0" w:line="212"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As of December 31, 2024 and December 31, 2023, there were no amounts outstanding under the Revolving Credit Facility. Borrowings under the Revolving Credit Facility effective June 2021 bear interest at either an adjusted Term SOFR rate plus a margin between 1.0% and 1.625%, or a base rate (as defined in the Credit Agreement) plus a margin of between 0% and 0.625%, both based on the leverage ratio of the Company at the end of each quarter.</w:t>
      </w:r>
    </w:p>
    <w:p>
      <w:pPr>
        <w:spacing w:after="0" w:line="17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of December 31, 2024, there was $350.0 million outstanding under the 2022 Delayed Draw Term Loan.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The interest rate at December 31, 2024 and December 31, 2023 was 5.6% and 6.6%,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40"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information required by this item 8 is submitted as a separate section beginning on page F-1 of this Annual Report on Form 10-K and is incorporated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management carried out, as of December 31, 2024,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December 31, 2024, our disclosure controls and procedures were effective to provide reasonable assurance that information required to be disclosed by us in reports we file or submit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6" w:name="page87"/>
    <w:bookmarkEnd w:id="86"/>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Management is responsible for establishing and maintaining for the Company adequate internal control over financial reporting, as defined in Rule 13a-15(f) under the Exchange Act. Management, with the participation of its Chair and Chief Executive Officer (principal executive officer) and Chief Financial Officer (principal financial officer), has assessed the effectiveness of the Company’s internal control over financial reporting as of December 31, 2024 based on the framework established in “Internal Control—Integrated Framework,” issued by the Committee of Sponsoring Organizations of the Treadway Commission (2013 framework). Based on this assessment, management has concluded that the Company’s internal control over financial reporting was effective as of December 31, 2024.</w:t>
      </w:r>
    </w:p>
    <w:p>
      <w:pPr>
        <w:spacing w:after="0" w:line="179" w:lineRule="exact"/>
        <w:rPr>
          <w:sz w:val="20"/>
          <w:szCs w:val="20"/>
          <w:color w:val="auto"/>
        </w:rPr>
      </w:pPr>
    </w:p>
    <w:p>
      <w:pPr>
        <w:ind w:right="380" w:firstLine="509"/>
        <w:spacing w:after="0" w:line="253" w:lineRule="auto"/>
        <w:rPr>
          <w:sz w:val="20"/>
          <w:szCs w:val="20"/>
          <w:color w:val="auto"/>
        </w:rPr>
      </w:pPr>
      <w:r>
        <w:rPr>
          <w:rFonts w:ascii="Arial" w:cs="Arial" w:eastAsia="Arial" w:hAnsi="Arial"/>
          <w:sz w:val="18"/>
          <w:szCs w:val="18"/>
          <w:color w:val="auto"/>
        </w:rPr>
        <w:t>The Company’s independent registered public accounting firm, PricewaterhouseCoopers LLP, which audited the Company’s consolidated financial statements included in this Annual Report on Form 10-K, also audited the effectiveness of our internal control over financial reporting as of December 31, 2024, as stated in their audit report included in this Annual Report on Form 10-K.</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Consistent with the guidance issued by the Securities and Exchange Commission Staff, management has excluded BlackSignal and BCC from its assessment of internal controls over financial reporting as of December 31, 2024. BlackSignal a wholly owned subsidiary, which we acquired on August 16, 2024, has total assets and revenue of 4.3% and 0.3%, respectively of the related consolidated financial statement amounts as of and for the year ended December 31, 2024. BCC a wholly owned subsidiary, which we acquired on November 1, 2024, has total assets and revenue of 4.8% and 0.3%, respectively of the related consolidated financial statement amounts as of and for the year ended December 31, 2024.</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Securities Exchange Act of 1934, that occurred during the quarter ended December 31, 2024 that materially affected, or are reasonably likely to materially affect, our internal control over financial reporting.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Insider Trading Relationships and Policies</w:t>
      </w:r>
    </w:p>
    <w:p>
      <w:pPr>
        <w:spacing w:after="0" w:line="10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During the fiscal quarter ended December 31, 2024, no director or named executive officer of the Company adopted or terminated a "Rule 10b5-1 trading arrangement" or a "non-Rule 10b5-1 trading arrangement" (in each case, as defined in Item 408 of Regulation 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ind w:left="52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6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Information related to our directors will be set forth under the caption “Proposal 1: Election of Directors” of our Proxy Statement for our Annual Meeting of Stockholders in 2025 (the “2025 Proxy Statement”). Such information is incorporated herein by reference.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relating to our Executive Officers is included in Part I of this Annual Report under the caption “Executive Officers.”</w:t>
      </w:r>
    </w:p>
    <w:p>
      <w:pPr>
        <w:spacing w:after="0" w:line="21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Information relating to compliance with Section 16(a) of the Exchange Act will be set forth under the caption “Section 16(a) Beneficial Ownership Reporting Compliance” of our 2025 Proxy Statement. Such information is incorporated herein by reference.</w:t>
      </w:r>
    </w:p>
    <w:p>
      <w:pPr>
        <w:spacing w:after="0" w:line="154" w:lineRule="exact"/>
        <w:rPr>
          <w:sz w:val="20"/>
          <w:szCs w:val="20"/>
          <w:color w:val="auto"/>
        </w:rPr>
      </w:pPr>
    </w:p>
    <w:p>
      <w:pPr>
        <w:ind w:right="140" w:firstLine="509"/>
        <w:spacing w:after="0" w:line="301" w:lineRule="auto"/>
        <w:rPr>
          <w:sz w:val="20"/>
          <w:szCs w:val="20"/>
          <w:color w:val="auto"/>
        </w:rPr>
      </w:pPr>
      <w:r>
        <w:rPr>
          <w:rFonts w:ascii="Arial" w:cs="Arial" w:eastAsia="Arial" w:hAnsi="Arial"/>
          <w:sz w:val="17"/>
          <w:szCs w:val="17"/>
          <w:color w:val="auto"/>
        </w:rPr>
        <w:t>Information related to our code of ethics will be set forth under the caption “Corporate Governance and General Information Concerning the Board of Directors and its Committees” of our 2025 Proxy Statement. Such information is incorporated herein by reference.</w:t>
      </w:r>
    </w:p>
    <w:p>
      <w:pPr>
        <w:spacing w:after="0" w:line="13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Information relating to the Audit Committee and Board of Directors determinations concerning whether a member of the Audit Committee is a “financial expert” as that term is defined under Item 407(d)(5) of Regulation S-K will be set forth under the caption “Corporate Governance and General Information Concerning the Board of Directors and its Committees” of our 2025 Proxy Statement. Such information is incorporated herein by reference.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Information relating to this item will be set forth under the captions “Compensation Discussion and Analysis,” “Director Compensation,” “Compensation Committee Interlocks and Insider Participation” and “Compensation Committee Report on Executive Compensation” of our 2025 Proxy Statement. Such information is incorporated herein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relating to the security ownership of certain beneficial owners and management will be included in our 2025 Proxy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Statement under the caption “Security Ownership of Certain Beneficial Owners and Management” and is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Information relating to this item will be set forth under the captions “Certain Relationships and Related Party Transactions” and “Corporate Governance and General Information Concerning the Board of Directors and its Committees” of our 2025 Proxy Statement. Such information is incorporated herein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Information relating to this item will be set forth under the caption “Independent Registered Public Accounting Firm Fees” of our 2025 Proxy Statement. Such information is incorporated herein by reference.</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88" w:name="page89"/>
    <w:bookmarkEnd w:id="88"/>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4"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List the following documents filed as a part of the report:</w:t>
      </w:r>
    </w:p>
    <w:p>
      <w:pPr>
        <w:spacing w:after="0" w:line="103" w:lineRule="exact"/>
        <w:rPr>
          <w:rFonts w:ascii="Arial" w:cs="Arial" w:eastAsia="Arial" w:hAnsi="Arial"/>
          <w:sz w:val="18"/>
          <w:szCs w:val="18"/>
          <w:color w:val="auto"/>
        </w:rPr>
      </w:pPr>
    </w:p>
    <w:p>
      <w:pPr>
        <w:jc w:val="both"/>
        <w:ind w:left="1540" w:right="20" w:hanging="514"/>
        <w:spacing w:after="0" w:line="275" w:lineRule="auto"/>
        <w:tabs>
          <w:tab w:leader="none" w:pos="15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Company’s Consolidated Financial Statements at December 31, 2024 and December 31, 2023 and for each of the three years in the period ended December 31, 2024, and the notes thereto, together with the report of the independent auditors on those Consolidated Financial Statements, are hereby filed as part of this report, beginning on page F-1.</w:t>
      </w:r>
    </w:p>
    <w:p>
      <w:pPr>
        <w:spacing w:after="0" w:line="43" w:lineRule="exact"/>
        <w:rPr>
          <w:rFonts w:ascii="Arial" w:cs="Arial" w:eastAsia="Arial" w:hAnsi="Arial"/>
          <w:sz w:val="17"/>
          <w:szCs w:val="17"/>
          <w:color w:val="auto"/>
        </w:rPr>
      </w:pPr>
    </w:p>
    <w:p>
      <w:pPr>
        <w:ind w:left="1540" w:hanging="514"/>
        <w:spacing w:after="0" w:line="271"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Valuation &amp; Qualifying Accounts for each of the three years in the period ended December 31, 2024 are hereby filed as part of this report on page F-59.</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See Exhibit Index below.</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17" w:right="5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47"/>
        </w:trPr>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20" w:type="dxa"/>
            <w:vAlign w:val="bottom"/>
            <w:gridSpan w:val="22"/>
          </w:tcPr>
          <w:p>
            <w:pPr>
              <w:jc w:val="center"/>
              <w:ind w:right="4820"/>
              <w:spacing w:after="0"/>
              <w:rPr>
                <w:sz w:val="20"/>
                <w:szCs w:val="20"/>
                <w:color w:val="auto"/>
              </w:rPr>
            </w:pPr>
            <w:r>
              <w:rPr>
                <w:rFonts w:ascii="Arial" w:cs="Arial" w:eastAsia="Arial" w:hAnsi="Arial"/>
                <w:sz w:val="18"/>
                <w:szCs w:val="18"/>
                <w:b w:val="1"/>
                <w:bCs w:val="1"/>
                <w:color w:val="auto"/>
                <w:w w:val="99"/>
              </w:rPr>
              <w:t>Exhibit Index</w:t>
            </w:r>
          </w:p>
        </w:tc>
        <w:tc>
          <w:tcPr>
            <w:tcW w:w="0" w:type="dxa"/>
            <w:vAlign w:val="bottom"/>
          </w:tcPr>
          <w:p>
            <w:pPr>
              <w:spacing w:after="0"/>
              <w:rPr>
                <w:sz w:val="1"/>
                <w:szCs w:val="1"/>
                <w:color w:val="auto"/>
              </w:rPr>
            </w:pPr>
          </w:p>
        </w:tc>
      </w:tr>
      <w:tr>
        <w:trPr>
          <w:trHeight w:val="127"/>
        </w:trPr>
        <w:tc>
          <w:tcPr>
            <w:tcW w:w="10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0020" w:type="dxa"/>
            <w:vAlign w:val="bottom"/>
            <w:tcBorders>
              <w:bottom w:val="single" w:sz="8" w:color="auto"/>
            </w:tcBorders>
            <w:gridSpan w:val="32"/>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71"/>
        </w:trPr>
        <w:tc>
          <w:tcPr>
            <w:tcW w:w="1020" w:type="dxa"/>
            <w:vAlign w:val="bottom"/>
          </w:tcPr>
          <w:p>
            <w:pPr>
              <w:ind w:left="2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65">
              <w:r>
                <w:rPr>
                  <w:rFonts w:ascii="Arial" w:cs="Arial" w:eastAsia="Arial" w:hAnsi="Arial"/>
                  <w:sz w:val="18"/>
                  <w:szCs w:val="18"/>
                  <w:color w:val="0000FF"/>
                </w:rPr>
                <w:t>Amended and Restated Certificate of Incorporation of Parsons Corporation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ind w:left="2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66">
              <w:r>
                <w:rPr>
                  <w:rFonts w:ascii="Arial" w:cs="Arial" w:eastAsia="Arial" w:hAnsi="Arial"/>
                  <w:sz w:val="18"/>
                  <w:szCs w:val="18"/>
                  <w:color w:val="0000FF"/>
                </w:rPr>
                <w:t>Amended and Restated Bylaws of Parsons Corporation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ind w:left="2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67">
              <w:r>
                <w:rPr>
                  <w:rFonts w:ascii="Arial" w:cs="Arial" w:eastAsia="Arial" w:hAnsi="Arial"/>
                  <w:sz w:val="18"/>
                  <w:szCs w:val="18"/>
                  <w:color w:val="0000FF"/>
                </w:rPr>
                <w:t>Second Amended and Restated Bylaws of Parsons Corporation.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2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68">
              <w:r>
                <w:rPr>
                  <w:rFonts w:ascii="Arial" w:cs="Arial" w:eastAsia="Arial" w:hAnsi="Arial"/>
                  <w:sz w:val="18"/>
                  <w:szCs w:val="18"/>
                  <w:color w:val="0000FF"/>
                </w:rPr>
                <w:t>Description of Capital Stock of Parsons Corporation.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ind w:left="2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69">
              <w:r>
                <w:rPr>
                  <w:rFonts w:ascii="Arial" w:cs="Arial" w:eastAsia="Arial" w:hAnsi="Arial"/>
                  <w:sz w:val="18"/>
                  <w:szCs w:val="18"/>
                  <w:color w:val="0000FF"/>
                </w:rPr>
                <w:t>Indenture, dated as of August 20, 2020, between Parsons Corporation and U.S. Bank National Association.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2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70">
              <w:r>
                <w:rPr>
                  <w:rFonts w:ascii="Arial" w:cs="Arial" w:eastAsia="Arial" w:hAnsi="Arial"/>
                  <w:sz w:val="18"/>
                  <w:szCs w:val="18"/>
                  <w:color w:val="0000FF"/>
                </w:rPr>
                <w:t>Indenture, Dated as of February 26, 2024, between Parsons Corporation and U.S. Bank Trust Company, National</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6"/>
              </w:rPr>
            </w:pPr>
            <w:hyperlink r:id="rId170">
              <w:r>
                <w:rPr>
                  <w:rFonts w:ascii="Arial" w:cs="Arial" w:eastAsia="Arial" w:hAnsi="Arial"/>
                  <w:sz w:val="18"/>
                  <w:szCs w:val="18"/>
                  <w:color w:val="0000FF"/>
                  <w:w w:val="96"/>
                </w:rPr>
                <w:t>Association.</w:t>
              </w:r>
            </w:hyperlink>
          </w:p>
        </w:tc>
        <w:tc>
          <w:tcPr>
            <w:tcW w:w="8120" w:type="dxa"/>
            <w:vAlign w:val="bottom"/>
            <w:tcBorders>
              <w:top w:val="single" w:sz="8" w:color="0000FF"/>
            </w:tcBorders>
            <w:gridSpan w:val="24"/>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70">
              <w:r>
                <w:rPr>
                  <w:rFonts w:ascii="Arial" w:cs="Arial" w:eastAsia="Arial" w:hAnsi="Arial"/>
                  <w:sz w:val="18"/>
                  <w:szCs w:val="18"/>
                  <w:color w:val="0000FF"/>
                </w:rPr>
                <w:t>Form of 2.625% Convertible Senior Notes due 2029 (included in Exhibit 4.3).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ind w:left="1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w w:val="99"/>
              </w:rPr>
            </w:pPr>
            <w:hyperlink r:id="rId171">
              <w:r>
                <w:rPr>
                  <w:rFonts w:ascii="Arial" w:cs="Arial" w:eastAsia="Arial" w:hAnsi="Arial"/>
                  <w:sz w:val="18"/>
                  <w:szCs w:val="18"/>
                  <w:color w:val="0000FF"/>
                  <w:w w:val="99"/>
                </w:rPr>
                <w:t>2012 Amendment and Restatement of Parsons Employee Stock Ownership Plan (including all amendments to date), currently</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in effect</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72">
              <w:r>
                <w:rPr>
                  <w:rFonts w:ascii="Arial" w:cs="Arial" w:eastAsia="Arial" w:hAnsi="Arial"/>
                  <w:sz w:val="18"/>
                  <w:szCs w:val="18"/>
                  <w:color w:val="0000FF"/>
                </w:rPr>
                <w:t>2019 Amendment and Restatement of Parsons Employee Stock Ownership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vMerge w:val="restart"/>
          </w:tcPr>
          <w:p>
            <w:pPr>
              <w:ind w:left="1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w w:val="99"/>
              </w:rPr>
            </w:pPr>
            <w:hyperlink r:id="rId173">
              <w:r>
                <w:rPr>
                  <w:rFonts w:ascii="Arial" w:cs="Arial" w:eastAsia="Arial" w:hAnsi="Arial"/>
                  <w:sz w:val="18"/>
                  <w:szCs w:val="18"/>
                  <w:color w:val="0000FF"/>
                  <w:w w:val="99"/>
                </w:rPr>
                <w:t>First Amendment to the 2019 Amendment and Restatement of Parsons Employee Stock Ownership Plan, effective January 1,</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20" w:type="dxa"/>
            <w:vAlign w:val="bottom"/>
            <w:vMerge w:val="continue"/>
          </w:tcPr>
          <w:p>
            <w:pPr>
              <w:spacing w:after="0"/>
              <w:rPr>
                <w:sz w:val="10"/>
                <w:szCs w:val="10"/>
                <w:color w:val="auto"/>
              </w:rPr>
            </w:pPr>
          </w:p>
        </w:tc>
        <w:tc>
          <w:tcPr>
            <w:tcW w:w="200" w:type="dxa"/>
            <w:vAlign w:val="bottom"/>
            <w:vMerge w:val="restart"/>
          </w:tcPr>
          <w:p>
            <w:pPr>
              <w:spacing w:after="0"/>
              <w:rPr>
                <w:sz w:val="10"/>
                <w:szCs w:val="10"/>
                <w:color w:val="auto"/>
              </w:rPr>
            </w:pPr>
          </w:p>
        </w:tc>
        <w:tc>
          <w:tcPr>
            <w:tcW w:w="400" w:type="dxa"/>
            <w:vAlign w:val="bottom"/>
            <w:vMerge w:val="restart"/>
          </w:tcPr>
          <w:p>
            <w:pPr>
              <w:spacing w:after="0" w:line="182" w:lineRule="exact"/>
              <w:rPr>
                <w:rFonts w:ascii="Arial" w:cs="Arial" w:eastAsia="Arial" w:hAnsi="Arial"/>
                <w:sz w:val="18"/>
                <w:szCs w:val="18"/>
                <w:color w:val="0000FF"/>
                <w:w w:val="89"/>
              </w:rPr>
            </w:pPr>
            <w:hyperlink r:id="rId173">
              <w:r>
                <w:rPr>
                  <w:rFonts w:ascii="Arial" w:cs="Arial" w:eastAsia="Arial" w:hAnsi="Arial"/>
                  <w:sz w:val="18"/>
                  <w:szCs w:val="18"/>
                  <w:color w:val="0000FF"/>
                  <w:w w:val="89"/>
                </w:rPr>
                <w:t>2020</w:t>
              </w:r>
            </w:hyperlink>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vMerge w:val="restart"/>
          </w:tcPr>
          <w:p>
            <w:pPr>
              <w:ind w:left="1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74">
              <w:r>
                <w:rPr>
                  <w:rFonts w:ascii="Arial" w:cs="Arial" w:eastAsia="Arial" w:hAnsi="Arial"/>
                  <w:sz w:val="18"/>
                  <w:szCs w:val="18"/>
                  <w:color w:val="0000FF"/>
                </w:rPr>
                <w:t>Second Amendment to the 2019 Amendment and Restatement of Parsons Employee Stock Ownership Plan, effective May 8,</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020" w:type="dxa"/>
            <w:vAlign w:val="bottom"/>
            <w:vMerge w:val="continue"/>
          </w:tcPr>
          <w:p>
            <w:pPr>
              <w:spacing w:after="0"/>
              <w:rPr>
                <w:sz w:val="10"/>
                <w:szCs w:val="10"/>
                <w:color w:val="auto"/>
              </w:rPr>
            </w:pPr>
          </w:p>
        </w:tc>
        <w:tc>
          <w:tcPr>
            <w:tcW w:w="200" w:type="dxa"/>
            <w:vAlign w:val="bottom"/>
            <w:vMerge w:val="restart"/>
          </w:tcPr>
          <w:p>
            <w:pPr>
              <w:spacing w:after="0"/>
              <w:rPr>
                <w:sz w:val="10"/>
                <w:szCs w:val="10"/>
                <w:color w:val="auto"/>
              </w:rPr>
            </w:pPr>
          </w:p>
        </w:tc>
        <w:tc>
          <w:tcPr>
            <w:tcW w:w="460" w:type="dxa"/>
            <w:vAlign w:val="bottom"/>
            <w:gridSpan w:val="2"/>
            <w:vMerge w:val="restart"/>
          </w:tcPr>
          <w:p>
            <w:pPr>
              <w:spacing w:after="0" w:line="182" w:lineRule="exact"/>
              <w:rPr>
                <w:rFonts w:ascii="Arial" w:cs="Arial" w:eastAsia="Arial" w:hAnsi="Arial"/>
                <w:sz w:val="18"/>
                <w:szCs w:val="18"/>
                <w:color w:val="0000FF"/>
                <w:w w:val="93"/>
              </w:rPr>
            </w:pPr>
            <w:hyperlink r:id="rId174">
              <w:r>
                <w:rPr>
                  <w:rFonts w:ascii="Arial" w:cs="Arial" w:eastAsia="Arial" w:hAnsi="Arial"/>
                  <w:sz w:val="18"/>
                  <w:szCs w:val="18"/>
                  <w:color w:val="0000FF"/>
                  <w:w w:val="93"/>
                </w:rPr>
                <w:t>2019.</w:t>
              </w:r>
            </w:hyperlink>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ind w:left="12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75">
              <w:r>
                <w:rPr>
                  <w:rFonts w:ascii="Arial" w:cs="Arial" w:eastAsia="Arial" w:hAnsi="Arial"/>
                  <w:sz w:val="18"/>
                  <w:szCs w:val="18"/>
                  <w:color w:val="0000FF"/>
                </w:rPr>
                <w:t>Parsons Corporation Employee Stock Ownership Trust Agreement, effective as of December 31, 2005</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76">
              <w:r>
                <w:rPr>
                  <w:rFonts w:ascii="Arial" w:cs="Arial" w:eastAsia="Arial" w:hAnsi="Arial"/>
                  <w:sz w:val="18"/>
                  <w:szCs w:val="18"/>
                  <w:color w:val="0000FF"/>
                </w:rPr>
                <w:t>Parsons Corporation Restricted Award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77">
              <w:r>
                <w:rPr>
                  <w:rFonts w:ascii="Arial" w:cs="Arial" w:eastAsia="Arial" w:hAnsi="Arial"/>
                  <w:sz w:val="18"/>
                  <w:szCs w:val="18"/>
                  <w:color w:val="0000FF"/>
                </w:rPr>
                <w:t>Form of Restricted Award Units agreement under the Parsons Corporation Restricted Award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78">
              <w:r>
                <w:rPr>
                  <w:rFonts w:ascii="Arial" w:cs="Arial" w:eastAsia="Arial" w:hAnsi="Arial"/>
                  <w:sz w:val="18"/>
                  <w:szCs w:val="18"/>
                  <w:color w:val="0000FF"/>
                </w:rPr>
                <w:t>Parsons Corporation Annual Incentive Plan dated January 1, 2020</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79">
              <w:r>
                <w:rPr>
                  <w:rFonts w:ascii="Arial" w:cs="Arial" w:eastAsia="Arial" w:hAnsi="Arial"/>
                  <w:sz w:val="18"/>
                  <w:szCs w:val="18"/>
                  <w:color w:val="0000FF"/>
                </w:rPr>
                <w:t>Parsons Corporation Annual Incentive Plan Amended as of October 19,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80">
              <w:r>
                <w:rPr>
                  <w:rFonts w:ascii="Arial" w:cs="Arial" w:eastAsia="Arial" w:hAnsi="Arial"/>
                  <w:sz w:val="18"/>
                  <w:szCs w:val="18"/>
                  <w:color w:val="0000FF"/>
                </w:rPr>
                <w:t>Parsons Corporation Annual Incentive Plan Amendment dated January 1,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81">
              <w:r>
                <w:rPr>
                  <w:rFonts w:ascii="Arial" w:cs="Arial" w:eastAsia="Arial" w:hAnsi="Arial"/>
                  <w:sz w:val="18"/>
                  <w:szCs w:val="18"/>
                  <w:color w:val="0000FF"/>
                </w:rPr>
                <w:t>Parsons Corporation Shareholder Value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82">
              <w:r>
                <w:rPr>
                  <w:rFonts w:ascii="Arial" w:cs="Arial" w:eastAsia="Arial" w:hAnsi="Arial"/>
                  <w:sz w:val="18"/>
                  <w:szCs w:val="18"/>
                  <w:color w:val="0000FF"/>
                </w:rPr>
                <w:t>Parsons Corporation Long Term Growth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83">
              <w:r>
                <w:rPr>
                  <w:rFonts w:ascii="Arial" w:cs="Arial" w:eastAsia="Arial" w:hAnsi="Arial"/>
                  <w:sz w:val="18"/>
                  <w:szCs w:val="18"/>
                  <w:color w:val="0000FF"/>
                </w:rPr>
                <w:t>Parsons Corporation Share Value Retirement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84">
              <w:r>
                <w:rPr>
                  <w:rFonts w:ascii="Arial" w:cs="Arial" w:eastAsia="Arial" w:hAnsi="Arial"/>
                  <w:sz w:val="18"/>
                  <w:szCs w:val="18"/>
                  <w:color w:val="0000FF"/>
                </w:rPr>
                <w:t>Parsons Corporation Incentive Award Plan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Form of Restricted Stock Unit Agreement under the Parsons Corporation Incentive Award Plan.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86">
              <w:r>
                <w:rPr>
                  <w:rFonts w:ascii="Arial" w:cs="Arial" w:eastAsia="Arial" w:hAnsi="Arial"/>
                  <w:sz w:val="18"/>
                  <w:szCs w:val="18"/>
                  <w:color w:val="0000FF"/>
                </w:rPr>
                <w:t>Third Amendment to the 2019 Amendment and Restatement of Parsons Employee Stock Ownership Plan, effective January</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2"/>
              </w:rPr>
            </w:pPr>
            <w:hyperlink r:id="rId186">
              <w:r>
                <w:rPr>
                  <w:rFonts w:ascii="Arial" w:cs="Arial" w:eastAsia="Arial" w:hAnsi="Arial"/>
                  <w:sz w:val="18"/>
                  <w:szCs w:val="18"/>
                  <w:color w:val="0000FF"/>
                  <w:w w:val="92"/>
                </w:rPr>
                <w:t>1, 2021.</w:t>
              </w:r>
            </w:hyperlink>
          </w:p>
        </w:tc>
        <w:tc>
          <w:tcPr>
            <w:tcW w:w="3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ind w:left="120"/>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87">
              <w:r>
                <w:rPr>
                  <w:rFonts w:ascii="Arial" w:cs="Arial" w:eastAsia="Arial" w:hAnsi="Arial"/>
                  <w:sz w:val="18"/>
                  <w:szCs w:val="18"/>
                  <w:color w:val="0000FF"/>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Awards commencing in 2020).</w:t>
              </w:r>
            </w:hyperlink>
          </w:p>
        </w:tc>
        <w:tc>
          <w:tcPr>
            <w:tcW w:w="2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88">
              <w:r>
                <w:rPr>
                  <w:rFonts w:ascii="Arial" w:cs="Arial" w:eastAsia="Arial" w:hAnsi="Arial"/>
                  <w:sz w:val="18"/>
                  <w:szCs w:val="18"/>
                  <w:color w:val="0000FF"/>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Fee Deferral Awards commencing in 2020)</w:t>
              </w:r>
              <w:r>
                <w:rPr>
                  <w:rFonts w:ascii="Arial" w:cs="Arial" w:eastAsia="Arial" w:hAnsi="Arial"/>
                  <w:sz w:val="18"/>
                  <w:szCs w:val="18"/>
                  <w:color w:val="000000"/>
                </w:rPr>
                <w:t>.</w:t>
              </w:r>
            </w:hyperlink>
          </w:p>
        </w:tc>
        <w:tc>
          <w:tcPr>
            <w:tcW w:w="2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89">
              <w:r>
                <w:rPr>
                  <w:rFonts w:ascii="Arial" w:cs="Arial" w:eastAsia="Arial" w:hAnsi="Arial"/>
                  <w:sz w:val="18"/>
                  <w:szCs w:val="18"/>
                  <w:color w:val="0000FF"/>
                </w:rPr>
                <w:t>Form of Restricted Stock Unit Agreement under the Parsons Corporation Incentive Award Plan (for Non-Employee Director</w:t>
              </w:r>
            </w:hyperlink>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7"/>
              </w:rPr>
            </w:pPr>
            <w:hyperlink r:id="rId189">
              <w:r>
                <w:rPr>
                  <w:rFonts w:ascii="Arial" w:cs="Arial" w:eastAsia="Arial" w:hAnsi="Arial"/>
                  <w:sz w:val="18"/>
                  <w:szCs w:val="18"/>
                  <w:color w:val="0000FF"/>
                  <w:w w:val="97"/>
                </w:rPr>
                <w:t>Awards in 2019).</w:t>
              </w:r>
            </w:hyperlink>
          </w:p>
        </w:tc>
        <w:tc>
          <w:tcPr>
            <w:tcW w:w="20" w:type="dxa"/>
            <w:vAlign w:val="bottom"/>
            <w:tcBorders>
              <w:top w:val="single" w:sz="8" w:color="0000FF"/>
              <w:bottom w:val="single" w:sz="8" w:color="0000EE"/>
            </w:tcBorders>
          </w:tcPr>
          <w:p>
            <w:pPr>
              <w:spacing w:after="0"/>
              <w:rPr>
                <w:sz w:val="15"/>
                <w:szCs w:val="15"/>
                <w:color w:val="auto"/>
              </w:rPr>
            </w:pPr>
          </w:p>
        </w:tc>
        <w:tc>
          <w:tcPr>
            <w:tcW w:w="8440" w:type="dxa"/>
            <w:vAlign w:val="bottom"/>
            <w:tcBorders>
              <w:top w:val="single" w:sz="8" w:color="0000FF"/>
            </w:tcBorders>
            <w:gridSpan w:val="23"/>
          </w:tcPr>
          <w:p>
            <w:pPr>
              <w:spacing w:after="0"/>
              <w:rPr>
                <w:sz w:val="15"/>
                <w:szCs w:val="15"/>
                <w:color w:val="auto"/>
              </w:rPr>
            </w:pPr>
          </w:p>
        </w:tc>
        <w:tc>
          <w:tcPr>
            <w:tcW w:w="2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20" w:type="dxa"/>
            <w:vAlign w:val="bottom"/>
          </w:tcPr>
          <w:p>
            <w:pPr>
              <w:ind w:left="120"/>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90">
              <w:r>
                <w:rPr>
                  <w:rFonts w:ascii="Arial" w:cs="Arial" w:eastAsia="Arial" w:hAnsi="Arial"/>
                  <w:sz w:val="18"/>
                  <w:szCs w:val="18"/>
                  <w:color w:val="0000FF"/>
                </w:rPr>
                <w:t>Parsons Corporation Non-Employee Director Compensation Policy (as amended effective April 21,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FF"/>
            </w:tcBorders>
            <w:gridSpan w:val="13"/>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91">
              <w:r>
                <w:rPr>
                  <w:rFonts w:ascii="Arial" w:cs="Arial" w:eastAsia="Arial" w:hAnsi="Arial"/>
                  <w:sz w:val="18"/>
                  <w:szCs w:val="18"/>
                  <w:color w:val="0000FF"/>
                </w:rPr>
                <w:t>Fee Deferral Plan for Outside Directors of the Parsons Corporation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FF"/>
            </w:tcBorders>
            <w:gridSpan w:val="13"/>
            <w:shd w:val="clear" w:color="auto" w:fill="0000FF"/>
          </w:tcPr>
          <w:p>
            <w:pPr>
              <w:spacing w:after="0" w:line="20" w:lineRule="exact"/>
              <w:rPr>
                <w:sz w:val="1"/>
                <w:szCs w:val="1"/>
                <w:color w:val="auto"/>
              </w:rPr>
            </w:pPr>
          </w:p>
        </w:tc>
        <w:tc>
          <w:tcPr>
            <w:tcW w:w="1020" w:type="dxa"/>
            <w:vAlign w:val="bottom"/>
            <w:tcBorders>
              <w:right w:val="single" w:sz="8" w:color="0000FF"/>
            </w:tcBorders>
            <w:gridSpan w:val="3"/>
            <w:shd w:val="clear" w:color="auto" w:fill="0000FF"/>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2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92">
              <w:r>
                <w:rPr>
                  <w:rFonts w:ascii="Arial" w:cs="Arial" w:eastAsia="Arial" w:hAnsi="Arial"/>
                  <w:sz w:val="18"/>
                  <w:szCs w:val="18"/>
                  <w:color w:val="0000FF"/>
                </w:rPr>
                <w:t>Parsons Corporation Employee Stock Purchase Plan.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EE"/>
            </w:tcBorders>
            <w:gridSpan w:val="13"/>
            <w:shd w:val="clear" w:color="auto" w:fill="0000FF"/>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ind w:left="120"/>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24"/>
                <w:szCs w:val="24"/>
                <w:color w:val="auto"/>
              </w:rPr>
            </w:pPr>
          </w:p>
        </w:tc>
        <w:tc>
          <w:tcPr>
            <w:tcW w:w="10020" w:type="dxa"/>
            <w:vAlign w:val="bottom"/>
            <w:gridSpan w:val="32"/>
          </w:tcPr>
          <w:p>
            <w:pPr>
              <w:spacing w:after="0"/>
              <w:rPr>
                <w:rFonts w:ascii="Arial" w:cs="Arial" w:eastAsia="Arial" w:hAnsi="Arial"/>
                <w:sz w:val="18"/>
                <w:szCs w:val="18"/>
                <w:color w:val="0000FF"/>
              </w:rPr>
            </w:pPr>
            <w:hyperlink r:id="rId193">
              <w:r>
                <w:rPr>
                  <w:rFonts w:ascii="Arial" w:cs="Arial" w:eastAsia="Arial" w:hAnsi="Arial"/>
                  <w:sz w:val="18"/>
                  <w:szCs w:val="18"/>
                  <w:color w:val="0000FF"/>
                </w:rPr>
                <w:t>Parsons Corporation Prospectus to Employee Stock Purchase Plan dated November 1, 2021.</w:t>
              </w:r>
            </w:hyperlink>
          </w:p>
        </w:tc>
        <w:tc>
          <w:tcPr>
            <w:tcW w:w="0" w:type="dxa"/>
            <w:vAlign w:val="bottom"/>
          </w:tcPr>
          <w:p>
            <w:pPr>
              <w:spacing w:after="0"/>
              <w:rPr>
                <w:sz w:val="1"/>
                <w:szCs w:val="1"/>
                <w:color w:val="auto"/>
              </w:rPr>
            </w:pPr>
          </w:p>
        </w:tc>
      </w:tr>
      <w:tr>
        <w:trPr>
          <w:trHeight w:val="794"/>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20" w:type="dxa"/>
            <w:vAlign w:val="bottom"/>
            <w:tcBorders>
              <w:top w:val="single" w:sz="8" w:color="0000FF"/>
            </w:tcBorders>
            <w:gridSpan w:val="15"/>
          </w:tcPr>
          <w:p>
            <w:pPr>
              <w:jc w:val="right"/>
              <w:ind w:right="620"/>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10.26#+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10.27#+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10.28#+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10.29#+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10.39#+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10.40#+</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10.42#+</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10.43#+</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10.46#+</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10.47#+</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10.48#+</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color w:val="0000FF"/>
        </w:rPr>
      </w:pPr>
      <w:hyperlink r:id="rId196">
        <w:r>
          <w:rPr>
            <w:rFonts w:ascii="Arial" w:cs="Arial" w:eastAsia="Arial" w:hAnsi="Arial"/>
            <w:sz w:val="18"/>
            <w:szCs w:val="18"/>
            <w:u w:val="single" w:color="auto"/>
            <w:color w:val="0000FF"/>
          </w:rPr>
          <w:t>Supplemental Executive Retirement Plan dated January 1, 1997</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32454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3245485" cy="8255"/>
                    </a:xfrm>
                    <a:prstGeom prst="rect">
                      <a:avLst/>
                    </a:prstGeom>
                    <a:noFill/>
                  </pic:spPr>
                </pic:pic>
              </a:graphicData>
            </a:graphic>
          </wp:anchor>
        </w:drawing>
      </w:r>
    </w:p>
    <w:p>
      <w:pPr>
        <w:spacing w:after="0" w:line="84" w:lineRule="exact"/>
        <w:rPr>
          <w:sz w:val="20"/>
          <w:szCs w:val="20"/>
          <w:color w:val="auto"/>
        </w:rPr>
      </w:pPr>
    </w:p>
    <w:p>
      <w:pPr>
        <w:spacing w:after="0"/>
        <w:rPr>
          <w:rFonts w:ascii="Arial" w:cs="Arial" w:eastAsia="Arial" w:hAnsi="Arial"/>
          <w:sz w:val="18"/>
          <w:szCs w:val="18"/>
          <w:color w:val="0000FF"/>
        </w:rPr>
      </w:pPr>
      <w:hyperlink r:id="rId198">
        <w:r>
          <w:rPr>
            <w:rFonts w:ascii="Arial" w:cs="Arial" w:eastAsia="Arial" w:hAnsi="Arial"/>
            <w:sz w:val="18"/>
            <w:szCs w:val="18"/>
            <w:u w:val="single" w:color="auto"/>
            <w:color w:val="0000FF"/>
          </w:rPr>
          <w:t>First Amendment to the SERP effective January 1, 2020</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28384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84" w:lineRule="exact"/>
        <w:rPr>
          <w:sz w:val="20"/>
          <w:szCs w:val="20"/>
          <w:color w:val="auto"/>
        </w:rPr>
      </w:pPr>
    </w:p>
    <w:p>
      <w:pPr>
        <w:spacing w:after="0"/>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Change in Control Severance Agreement, dated August 6, 2021, by and between Parsons Corporation and Carey Smith.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1036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Change in Control Severance Agreement, dated August 9, 2021, by and between Parsons Corporation and Charles 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59956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5995670" cy="8890"/>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5651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565150" cy="8890"/>
                    </a:xfrm>
                    <a:prstGeom prst="rect">
                      <a:avLst/>
                    </a:prstGeom>
                    <a:noFill/>
                  </pic:spPr>
                </pic:pic>
              </a:graphicData>
            </a:graphic>
          </wp:anchor>
        </w:drawing>
      </w:r>
    </w:p>
    <w:p>
      <w:pPr>
        <w:spacing w:after="0" w:line="79" w:lineRule="exact"/>
        <w:rPr>
          <w:sz w:val="20"/>
          <w:szCs w:val="20"/>
          <w:color w:val="auto"/>
        </w:rPr>
      </w:pPr>
    </w:p>
    <w:p>
      <w:pPr>
        <w:spacing w:after="0"/>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Change in Control Severance Agreement, dated August 6, 2021, by and between Parsons Corporation and George 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0782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6078220" cy="825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Change in Control Severance Agreement, dated August 6, 2021, by and between Parsons Corporation and Michael 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3576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6357620" cy="825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Change in Control Severance Agreement, dated August 6, 2021, by and between Parsons Corporation and David Spille.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0782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6078220" cy="825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Change in Control Severance Agreement, dated October 6, 2021, by and between Parsons Corporation and Matthew Ofilos.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814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6281420" cy="8255"/>
                    </a:xfrm>
                    <a:prstGeom prst="rect">
                      <a:avLst/>
                    </a:prstGeom>
                    <a:noFill/>
                  </pic:spPr>
                </pic:pic>
              </a:graphicData>
            </a:graphic>
          </wp:anchor>
        </w:drawing>
      </w:r>
    </w:p>
    <w:p>
      <w:pPr>
        <w:spacing w:after="0" w:line="97"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George L. 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0775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7302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pacing w:after="0" w:line="26"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Charles L. 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0775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11176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26" w:lineRule="exact"/>
        <w:rPr>
          <w:sz w:val="20"/>
          <w:szCs w:val="20"/>
          <w:color w:val="auto"/>
        </w:rPr>
      </w:pPr>
    </w:p>
    <w:p>
      <w:pPr>
        <w:ind w:right="480"/>
        <w:spacing w:after="0" w:line="271" w:lineRule="auto"/>
        <w:rPr>
          <w:rFonts w:ascii="Arial" w:cs="Arial" w:eastAsia="Arial" w:hAnsi="Arial"/>
          <w:sz w:val="18"/>
          <w:szCs w:val="18"/>
          <w:color w:val="0000FF"/>
        </w:rPr>
      </w:pPr>
      <w:hyperlink r:id="rId219">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19">
        <w:r>
          <w:rPr>
            <w:rFonts w:ascii="Arial" w:cs="Arial" w:eastAsia="Arial" w:hAnsi="Arial"/>
            <w:sz w:val="18"/>
            <w:szCs w:val="18"/>
            <w:u w:val="single" w:color="auto"/>
            <w:color w:val="0000FF"/>
          </w:rPr>
          <w:t>Carey A. Smith</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0775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7683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68350" cy="8890"/>
                    </a:xfrm>
                    <a:prstGeom prst="rect">
                      <a:avLst/>
                    </a:prstGeom>
                    <a:noFill/>
                  </pic:spPr>
                </pic:pic>
              </a:graphicData>
            </a:graphic>
          </wp:anchor>
        </w:drawing>
      </w:r>
    </w:p>
    <w:p>
      <w:pPr>
        <w:spacing w:after="0" w:line="26"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Michael R. 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0775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10604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spacing w:after="0" w:line="26"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Form of Equity Award Amendment Letter Agreement, dated August 10, 2020, by and between Parsons Corporation and</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Debra Fiori.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0775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5969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26" w:lineRule="exact"/>
        <w:rPr>
          <w:sz w:val="20"/>
          <w:szCs w:val="20"/>
          <w:color w:val="auto"/>
        </w:rPr>
      </w:pPr>
    </w:p>
    <w:p>
      <w:pPr>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Form of Performance Stock Unit Award Amendment, dated July 19, 2021, by and between Parsons Corporation and Carey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3607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Smith.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238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79" w:lineRule="exact"/>
        <w:rPr>
          <w:sz w:val="20"/>
          <w:szCs w:val="20"/>
          <w:color w:val="auto"/>
        </w:rPr>
      </w:pPr>
    </w:p>
    <w:p>
      <w:pPr>
        <w:spacing w:after="0"/>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Form of Restricted Stock Unit Award Amendment, dated July 19, 2021, by and between Parsons Corporation and Carey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363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623633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Smith.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238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79" w:lineRule="exact"/>
        <w:rPr>
          <w:sz w:val="20"/>
          <w:szCs w:val="20"/>
          <w:color w:val="auto"/>
        </w:rPr>
      </w:pPr>
    </w:p>
    <w:p>
      <w:pPr>
        <w:ind w:right="100"/>
        <w:spacing w:after="0" w:line="271" w:lineRule="auto"/>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Form of Performance Stock Unit Award Amendment, dated July 19, 2021, by and between Parsons Corporation and Charles</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L. 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3252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63252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6921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692150" cy="8255"/>
                    </a:xfrm>
                    <a:prstGeom prst="rect">
                      <a:avLst/>
                    </a:prstGeom>
                    <a:noFill/>
                  </pic:spPr>
                </pic:pic>
              </a:graphicData>
            </a:graphic>
          </wp:anchor>
        </w:drawing>
      </w:r>
    </w:p>
    <w:p>
      <w:pPr>
        <w:spacing w:after="0" w:line="39" w:lineRule="exact"/>
        <w:rPr>
          <w:sz w:val="20"/>
          <w:szCs w:val="20"/>
          <w:color w:val="auto"/>
        </w:rPr>
      </w:pPr>
    </w:p>
    <w:p>
      <w:pPr>
        <w:spacing w:after="0"/>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Form of Restricted Stock Unit Award Amendment, dated July 19, 2021, by and between Parsons Corporation and Charles 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3125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631253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Harrington.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5651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79" w:lineRule="exact"/>
        <w:rPr>
          <w:sz w:val="20"/>
          <w:szCs w:val="20"/>
          <w:color w:val="auto"/>
        </w:rPr>
      </w:pPr>
    </w:p>
    <w:p>
      <w:pPr>
        <w:ind w:right="120"/>
        <w:spacing w:after="0" w:line="271" w:lineRule="auto"/>
        <w:rPr>
          <w:rFonts w:ascii="Arial" w:cs="Arial" w:eastAsia="Arial" w:hAnsi="Arial"/>
          <w:sz w:val="18"/>
          <w:szCs w:val="18"/>
          <w:u w:val="single" w:color="auto"/>
          <w:color w:val="0000FF"/>
        </w:rPr>
      </w:pPr>
      <w:hyperlink r:id="rId240">
        <w:r>
          <w:rPr>
            <w:rFonts w:ascii="Arial" w:cs="Arial" w:eastAsia="Arial" w:hAnsi="Arial"/>
            <w:sz w:val="18"/>
            <w:szCs w:val="18"/>
            <w:u w:val="single" w:color="auto"/>
            <w:color w:val="0000FF"/>
          </w:rPr>
          <w:t>Form of Performance Stock Unit Award Amendment, dated July 19, 2021, by and between Parsons Corporation and George</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3125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631253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2222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39" w:lineRule="exact"/>
        <w:rPr>
          <w:sz w:val="20"/>
          <w:szCs w:val="20"/>
          <w:color w:val="auto"/>
        </w:rPr>
      </w:pPr>
    </w:p>
    <w:p>
      <w:pPr>
        <w:ind w:right="340"/>
        <w:spacing w:after="0" w:line="271" w:lineRule="auto"/>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Form of Restricted Stock Unit Award Amendment, dated July 19, 2021, by and between Parsons Corporation and George</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Ball.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172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61728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2222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line="39" w:lineRule="exact"/>
        <w:rPr>
          <w:sz w:val="20"/>
          <w:szCs w:val="20"/>
          <w:color w:val="auto"/>
        </w:rPr>
      </w:pPr>
    </w:p>
    <w:p>
      <w:pPr>
        <w:ind w:right="100"/>
        <w:spacing w:after="0" w:line="271" w:lineRule="auto"/>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Form of Performance Stock Unit Award Amendment, dated July 19, 2021, by and between Parsons Corporation and Michael</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R. 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3252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632523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6350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39" w:lineRule="exact"/>
        <w:rPr>
          <w:sz w:val="20"/>
          <w:szCs w:val="20"/>
          <w:color w:val="auto"/>
        </w:rPr>
      </w:pPr>
    </w:p>
    <w:p>
      <w:pPr>
        <w:spacing w:after="0"/>
        <w:rPr>
          <w:rFonts w:ascii="Arial" w:cs="Arial" w:eastAsia="Arial" w:hAnsi="Arial"/>
          <w:sz w:val="18"/>
          <w:szCs w:val="18"/>
          <w:u w:val="single" w:color="auto"/>
          <w:color w:val="0000FF"/>
        </w:rPr>
      </w:pPr>
      <w:hyperlink r:id="rId249">
        <w:r>
          <w:rPr>
            <w:rFonts w:ascii="Arial" w:cs="Arial" w:eastAsia="Arial" w:hAnsi="Arial"/>
            <w:sz w:val="18"/>
            <w:szCs w:val="18"/>
            <w:u w:val="single" w:color="auto"/>
            <w:color w:val="0000FF"/>
          </w:rPr>
          <w:t>Form of Restricted Stock Unit Award Amendment, dated July 19, 2021, by and between Parsons Corporation and Michael 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3315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6331585" cy="8255"/>
                    </a:xfrm>
                    <a:prstGeom prst="rect">
                      <a:avLst/>
                    </a:prstGeom>
                    <a:noFill/>
                  </pic:spPr>
                </pic:pic>
              </a:graphicData>
            </a:graphic>
          </wp:anchor>
        </w:drawing>
      </w:r>
    </w:p>
    <w:p>
      <w:pPr>
        <w:spacing w:after="0"/>
        <w:rPr>
          <w:rFonts w:ascii="Arial" w:cs="Arial" w:eastAsia="Arial" w:hAnsi="Arial"/>
          <w:sz w:val="18"/>
          <w:szCs w:val="18"/>
          <w:u w:val="single" w:color="auto"/>
          <w:color w:val="0000FF"/>
        </w:rPr>
      </w:pPr>
      <w:hyperlink r:id="rId249">
        <w:r>
          <w:rPr>
            <w:rFonts w:ascii="Arial" w:cs="Arial" w:eastAsia="Arial" w:hAnsi="Arial"/>
            <w:sz w:val="18"/>
            <w:szCs w:val="18"/>
            <w:u w:val="single" w:color="auto"/>
            <w:color w:val="0000FF"/>
          </w:rPr>
          <w:t>Kolloway.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4889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79" w:lineRule="exact"/>
        <w:rPr>
          <w:sz w:val="20"/>
          <w:szCs w:val="20"/>
          <w:color w:val="auto"/>
        </w:rPr>
      </w:pPr>
    </w:p>
    <w:p>
      <w:pPr>
        <w:ind w:right="260"/>
        <w:spacing w:after="0" w:line="271" w:lineRule="auto"/>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Form of Performance Stock Unit Award Amendment, dated July 19, 2021, by and between Parsons Corporation and David</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Spille.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2236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3111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39" w:lineRule="exact"/>
        <w:rPr>
          <w:sz w:val="20"/>
          <w:szCs w:val="20"/>
          <w:color w:val="auto"/>
        </w:rPr>
      </w:pPr>
    </w:p>
    <w:p>
      <w:pPr>
        <w:ind w:right="480"/>
        <w:spacing w:after="0" w:line="271" w:lineRule="auto"/>
        <w:rPr>
          <w:rFonts w:ascii="Arial" w:cs="Arial" w:eastAsia="Arial" w:hAnsi="Arial"/>
          <w:sz w:val="18"/>
          <w:szCs w:val="18"/>
          <w:u w:val="single" w:color="auto"/>
          <w:color w:val="0000FF"/>
        </w:rPr>
      </w:pPr>
      <w:hyperlink r:id="rId255">
        <w:r>
          <w:rPr>
            <w:rFonts w:ascii="Arial" w:cs="Arial" w:eastAsia="Arial" w:hAnsi="Arial"/>
            <w:sz w:val="18"/>
            <w:szCs w:val="18"/>
            <w:u w:val="single" w:color="auto"/>
            <w:color w:val="0000FF"/>
          </w:rPr>
          <w:t>Form of Restricted Stock Unit Award Amendment, dated July 19, 2021, by and between Parsons Corporation and David</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Spille.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0839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60839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3111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3111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60" w:space="420"/>
            <w:col w:w="10020"/>
          </w:cols>
          <w:pgMar w:left="440" w:top="1417" w:right="359" w:bottom="1440" w:gutter="0" w:footer="0" w:header="0"/>
        </w:sectPr>
      </w:pPr>
    </w:p>
    <w:bookmarkStart w:id="91" w:name="page92"/>
    <w:bookmarkEnd w:id="91"/>
    <w:p>
      <w:pPr>
        <w:ind w:left="1200" w:right="100" w:hanging="1087"/>
        <w:spacing w:after="0" w:line="244"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10.52#</w:t>
      </w:r>
      <w:r>
        <w:rPr>
          <w:sz w:val="20"/>
          <w:szCs w:val="20"/>
          <w:color w:val="auto"/>
        </w:rPr>
        <w:tab/>
      </w:r>
      <w:hyperlink r:id="rId259">
        <w:r>
          <w:rPr>
            <w:rFonts w:ascii="Arial" w:cs="Arial" w:eastAsia="Arial" w:hAnsi="Arial"/>
            <w:sz w:val="18"/>
            <w:szCs w:val="18"/>
            <w:u w:val="single" w:color="auto"/>
            <w:color w:val="0000FF"/>
          </w:rPr>
          <w:t>Fifth Amended and Restated Credit Agreement, dated as of November 15, 2017, by and among Parsons Corporation, the</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lenders from time to time party thereto, The Bank of Tokyo-Mitsubishi UFJ, Ltd., as administrative agent, swing line bank and</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co-lead arranger, Wells Fargo Bank, National Association, as syndication agent, The Bank of Nova Scotia, JPMorgan Chase</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Bank, N.A., Sumitomo Mitsui Banking Corporation and U.S. Bank National Association, as documentation agents, and Wells</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Fargo Securities, LLC, as co-lead arranger</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767715</wp:posOffset>
            </wp:positionH>
            <wp:positionV relativeFrom="paragraph">
              <wp:posOffset>-544195</wp:posOffset>
            </wp:positionV>
            <wp:extent cx="6198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619887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-415290</wp:posOffset>
            </wp:positionV>
            <wp:extent cx="63309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633095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-287020</wp:posOffset>
            </wp:positionV>
            <wp:extent cx="63125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631253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-158115</wp:posOffset>
            </wp:positionV>
            <wp:extent cx="6299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629983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-29845</wp:posOffset>
            </wp:positionV>
            <wp:extent cx="21590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2159000" cy="8255"/>
                    </a:xfrm>
                    <a:prstGeom prst="rect">
                      <a:avLst/>
                    </a:prstGeom>
                    <a:noFill/>
                  </pic:spPr>
                </pic:pic>
              </a:graphicData>
            </a:graphic>
          </wp:anchor>
        </w:drawing>
      </w:r>
    </w:p>
    <w:p>
      <w:pPr>
        <w:spacing w:after="0" w:line="62" w:lineRule="exact"/>
        <w:rPr>
          <w:rFonts w:ascii="Arial" w:cs="Arial" w:eastAsia="Arial" w:hAnsi="Arial"/>
          <w:sz w:val="18"/>
          <w:szCs w:val="18"/>
          <w:u w:val="single" w:color="auto"/>
          <w:color w:val="0000FF"/>
        </w:rPr>
      </w:pPr>
    </w:p>
    <w:p>
      <w:pPr>
        <w:ind w:left="1200" w:right="80" w:hanging="1087"/>
        <w:spacing w:after="0" w:line="271"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10.53#</w:t>
      </w:r>
      <w:r>
        <w:rPr>
          <w:sz w:val="20"/>
          <w:szCs w:val="20"/>
          <w:color w:val="auto"/>
        </w:rPr>
        <w:tab/>
      </w:r>
      <w:hyperlink r:id="rId265">
        <w:r>
          <w:rPr>
            <w:rFonts w:ascii="Arial" w:cs="Arial" w:eastAsia="Arial" w:hAnsi="Arial"/>
            <w:sz w:val="18"/>
            <w:szCs w:val="18"/>
            <w:u w:val="single" w:color="auto"/>
            <w:color w:val="0000FF"/>
          </w:rPr>
          <w:t>First Amendment to the Fifth Amended and Restated Credit Agreement, dated as of January 4, 2019, by and among Parsons</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Corporation, the Banks party thereto and MUFG Bank Ltd, as administrative agent</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-172720</wp:posOffset>
            </wp:positionV>
            <wp:extent cx="63506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6">
                      <a:extLst>
                        <a:ext uri="{28A0092B-C50C-407E-A947-70E740481C1C}"/>
                      </a:extLst>
                    </a:blip>
                    <a:srcRect/>
                    <a:stretch>
                      <a:fillRect/>
                    </a:stretch>
                  </pic:blipFill>
                  <pic:spPr bwMode="auto">
                    <a:xfrm>
                      <a:off x="0" y="0"/>
                      <a:ext cx="635063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-44450</wp:posOffset>
            </wp:positionV>
            <wp:extent cx="41535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7">
                      <a:extLst>
                        <a:ext uri="{28A0092B-C50C-407E-A947-70E740481C1C}"/>
                      </a:extLst>
                    </a:blip>
                    <a:srcRect/>
                    <a:stretch>
                      <a:fillRect/>
                    </a:stretch>
                  </pic:blipFill>
                  <pic:spPr bwMode="auto">
                    <a:xfrm>
                      <a:off x="0" y="0"/>
                      <a:ext cx="4153535" cy="8255"/>
                    </a:xfrm>
                    <a:prstGeom prst="rect">
                      <a:avLst/>
                    </a:prstGeom>
                    <a:noFill/>
                  </pic:spPr>
                </pic:pic>
              </a:graphicData>
            </a:graphic>
          </wp:anchor>
        </w:drawing>
      </w:r>
    </w:p>
    <w:p>
      <w:pPr>
        <w:spacing w:after="0" w:line="39" w:lineRule="exact"/>
        <w:rPr>
          <w:sz w:val="20"/>
          <w:szCs w:val="20"/>
          <w:color w:val="auto"/>
        </w:rPr>
      </w:pPr>
    </w:p>
    <w:p>
      <w:pPr>
        <w:ind w:left="1200" w:right="400" w:hanging="1087"/>
        <w:spacing w:after="0" w:line="271" w:lineRule="auto"/>
        <w:tabs>
          <w:tab w:leader="none" w:pos="1180"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268">
        <w:r>
          <w:rPr>
            <w:rFonts w:ascii="Arial" w:cs="Arial" w:eastAsia="Arial" w:hAnsi="Arial"/>
            <w:sz w:val="18"/>
            <w:szCs w:val="18"/>
            <w:u w:val="single" w:color="auto"/>
            <w:color w:val="0000FF"/>
          </w:rPr>
          <w:t>Credit Agreement dated June 25, 2021, among Parsons Corporation, the Guarantors, the Lenders, and Bank of America,</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N.A., as Administrative Agent, Swingline Lender, and an L/C Issuer.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-172720</wp:posOffset>
            </wp:positionV>
            <wp:extent cx="61417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614172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-44450</wp:posOffset>
            </wp:positionV>
            <wp:extent cx="34232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3423285" cy="8255"/>
                    </a:xfrm>
                    <a:prstGeom prst="rect">
                      <a:avLst/>
                    </a:prstGeom>
                    <a:noFill/>
                  </pic:spPr>
                </pic:pic>
              </a:graphicData>
            </a:graphic>
          </wp:anchor>
        </w:drawing>
      </w:r>
    </w:p>
    <w:p>
      <w:pPr>
        <w:spacing w:after="0" w:line="39" w:lineRule="exact"/>
        <w:rPr>
          <w:sz w:val="20"/>
          <w:szCs w:val="20"/>
          <w:color w:val="auto"/>
        </w:rPr>
      </w:pPr>
    </w:p>
    <w:p>
      <w:pPr>
        <w:ind w:left="1200" w:right="180" w:hanging="1087"/>
        <w:spacing w:after="0" w:line="253" w:lineRule="auto"/>
        <w:tabs>
          <w:tab w:leader="none" w:pos="1180" w:val="left"/>
        </w:tabs>
        <w:rPr>
          <w:rFonts w:ascii="Arial" w:cs="Arial" w:eastAsia="Arial" w:hAnsi="Arial"/>
          <w:sz w:val="18"/>
          <w:szCs w:val="18"/>
          <w:color w:val="0000FF"/>
        </w:rPr>
      </w:pPr>
      <w:r>
        <w:rPr>
          <w:rFonts w:ascii="Arial" w:cs="Arial" w:eastAsia="Arial" w:hAnsi="Arial"/>
          <w:sz w:val="18"/>
          <w:szCs w:val="18"/>
          <w:color w:val="auto"/>
        </w:rPr>
        <w:t>10.55#</w:t>
      </w:r>
      <w:r>
        <w:rPr>
          <w:sz w:val="20"/>
          <w:szCs w:val="20"/>
          <w:color w:val="auto"/>
        </w:rPr>
        <w:tab/>
      </w:r>
      <w:hyperlink r:id="rId271">
        <w:r>
          <w:rPr>
            <w:rFonts w:ascii="Arial" w:cs="Arial" w:eastAsia="Arial" w:hAnsi="Arial"/>
            <w:sz w:val="18"/>
            <w:szCs w:val="18"/>
            <w:u w:val="single" w:color="auto"/>
            <w:color w:val="0000FF"/>
          </w:rPr>
          <w:t>Term Loan Agreement, dated as of January 4, 2019, among Parsons Corporation, MUFG Union Bank, N.A., as</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administrative agent, The Bank of Nova Scotia, as syndication agent, the other financial institutions party thereto and MUFG</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Union Bank, N.A. and The Bank of Nova Scotia, as co-lead arrangers</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767715</wp:posOffset>
            </wp:positionH>
            <wp:positionV relativeFrom="paragraph">
              <wp:posOffset>-291465</wp:posOffset>
            </wp:positionV>
            <wp:extent cx="56711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2">
                      <a:extLst>
                        <a:ext uri="{28A0092B-C50C-407E-A947-70E740481C1C}"/>
                      </a:extLst>
                    </a:blip>
                    <a:srcRect/>
                    <a:stretch>
                      <a:fillRect/>
                    </a:stretch>
                  </pic:blipFill>
                  <pic:spPr bwMode="auto">
                    <a:xfrm>
                      <a:off x="0" y="0"/>
                      <a:ext cx="567118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-163195</wp:posOffset>
            </wp:positionV>
            <wp:extent cx="62871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3">
                      <a:extLst>
                        <a:ext uri="{28A0092B-C50C-407E-A947-70E740481C1C}"/>
                      </a:extLst>
                    </a:blip>
                    <a:srcRect/>
                    <a:stretch>
                      <a:fillRect/>
                    </a:stretch>
                  </pic:blipFill>
                  <pic:spPr bwMode="auto">
                    <a:xfrm>
                      <a:off x="0" y="0"/>
                      <a:ext cx="628713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-34290</wp:posOffset>
            </wp:positionV>
            <wp:extent cx="3505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169" w:lineRule="exact"/>
        <w:rPr>
          <w:rFonts w:ascii="Arial" w:cs="Arial" w:eastAsia="Arial" w:hAnsi="Arial"/>
          <w:sz w:val="18"/>
          <w:szCs w:val="18"/>
          <w:u w:val="single" w:color="auto"/>
          <w:color w:val="0000FF"/>
        </w:rPr>
      </w:pPr>
    </w:p>
    <w:p>
      <w:pPr>
        <w:ind w:left="120"/>
        <w:spacing w:after="0"/>
        <w:rPr>
          <w:sz w:val="20"/>
          <w:szCs w:val="20"/>
          <w:color w:val="auto"/>
        </w:rPr>
      </w:pPr>
      <w:r>
        <w:rPr>
          <w:rFonts w:ascii="Arial" w:cs="Arial" w:eastAsia="Arial" w:hAnsi="Arial"/>
          <w:sz w:val="18"/>
          <w:szCs w:val="18"/>
          <w:color w:val="auto"/>
        </w:rPr>
        <w:t>10.56#</w:t>
      </w:r>
    </w:p>
    <w:p>
      <w:pPr>
        <w:spacing w:after="0" w:line="225" w:lineRule="exact"/>
        <w:rPr>
          <w:rFonts w:ascii="Arial" w:cs="Arial" w:eastAsia="Arial" w:hAnsi="Arial"/>
          <w:sz w:val="18"/>
          <w:szCs w:val="18"/>
          <w:u w:val="single" w:color="auto"/>
          <w:color w:val="0000FF"/>
        </w:rPr>
      </w:pPr>
    </w:p>
    <w:p>
      <w:pPr>
        <w:ind w:left="120"/>
        <w:spacing w:after="0"/>
        <w:rPr>
          <w:sz w:val="20"/>
          <w:szCs w:val="20"/>
          <w:color w:val="auto"/>
        </w:rPr>
      </w:pPr>
      <w:r>
        <w:rPr>
          <w:rFonts w:ascii="Arial" w:cs="Arial" w:eastAsia="Arial" w:hAnsi="Arial"/>
          <w:sz w:val="18"/>
          <w:szCs w:val="18"/>
          <w:color w:val="auto"/>
        </w:rPr>
        <w:t>10.57#</w:t>
      </w:r>
    </w:p>
    <w:p>
      <w:pPr>
        <w:spacing w:after="0" w:line="117" w:lineRule="exact"/>
        <w:rPr>
          <w:rFonts w:ascii="Arial" w:cs="Arial" w:eastAsia="Arial" w:hAnsi="Arial"/>
          <w:sz w:val="18"/>
          <w:szCs w:val="18"/>
          <w:u w:val="single" w:color="auto"/>
          <w:color w:val="0000FF"/>
        </w:rPr>
      </w:pPr>
    </w:p>
    <w:p>
      <w:pPr>
        <w:ind w:left="120"/>
        <w:spacing w:after="0"/>
        <w:rPr>
          <w:sz w:val="20"/>
          <w:szCs w:val="20"/>
          <w:color w:val="auto"/>
        </w:rPr>
      </w:pPr>
      <w:r>
        <w:rPr>
          <w:rFonts w:ascii="Arial" w:cs="Arial" w:eastAsia="Arial" w:hAnsi="Arial"/>
          <w:sz w:val="18"/>
          <w:szCs w:val="18"/>
          <w:color w:val="auto"/>
        </w:rPr>
        <w:t>10.58#</w:t>
      </w:r>
    </w:p>
    <w:p>
      <w:pPr>
        <w:spacing w:after="0" w:line="117" w:lineRule="exact"/>
        <w:rPr>
          <w:rFonts w:ascii="Arial" w:cs="Arial" w:eastAsia="Arial" w:hAnsi="Arial"/>
          <w:sz w:val="18"/>
          <w:szCs w:val="18"/>
          <w:u w:val="single" w:color="auto"/>
          <w:color w:val="0000FF"/>
        </w:rPr>
      </w:pPr>
    </w:p>
    <w:p>
      <w:pPr>
        <w:ind w:left="120"/>
        <w:spacing w:after="0"/>
        <w:rPr>
          <w:sz w:val="20"/>
          <w:szCs w:val="20"/>
          <w:color w:val="auto"/>
        </w:rPr>
      </w:pPr>
      <w:r>
        <w:rPr>
          <w:rFonts w:ascii="Arial" w:cs="Arial" w:eastAsia="Arial" w:hAnsi="Arial"/>
          <w:sz w:val="18"/>
          <w:szCs w:val="18"/>
          <w:color w:val="auto"/>
        </w:rPr>
        <w:t>10.59#+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54" w:lineRule="exact"/>
        <w:rPr>
          <w:rFonts w:ascii="Arial" w:cs="Arial" w:eastAsia="Arial" w:hAnsi="Arial"/>
          <w:sz w:val="18"/>
          <w:szCs w:val="18"/>
          <w:u w:val="single" w:color="auto"/>
          <w:color w:val="0000FF"/>
        </w:rPr>
      </w:pPr>
    </w:p>
    <w:p>
      <w:pPr>
        <w:ind w:right="340"/>
        <w:spacing w:after="0" w:line="271" w:lineRule="auto"/>
        <w:rPr>
          <w:rFonts w:ascii="Arial" w:cs="Arial" w:eastAsia="Arial" w:hAnsi="Arial"/>
          <w:sz w:val="18"/>
          <w:szCs w:val="18"/>
          <w:u w:val="single" w:color="auto"/>
          <w:color w:val="0000FF"/>
        </w:rPr>
      </w:pPr>
      <w:hyperlink r:id="rId275">
        <w:r>
          <w:rPr>
            <w:rFonts w:ascii="Arial" w:cs="Arial" w:eastAsia="Arial" w:hAnsi="Arial"/>
            <w:sz w:val="18"/>
            <w:szCs w:val="18"/>
            <w:u w:val="single" w:color="auto"/>
            <w:color w:val="0000FF"/>
          </w:rPr>
          <w:t>Form of Employee Stockownership Trust Agreement, dated as of June 8, 2020, by and between Parsons Corporation and</w:t>
        </w:r>
      </w:hyperlink>
      <w:r>
        <w:rPr>
          <w:rFonts w:ascii="Arial" w:cs="Arial" w:eastAsia="Arial" w:hAnsi="Arial"/>
          <w:sz w:val="18"/>
          <w:szCs w:val="18"/>
          <w:u w:val="single" w:color="auto"/>
          <w:color w:val="0000FF"/>
        </w:rPr>
        <w:t xml:space="preserve"> </w:t>
      </w:r>
      <w:hyperlink r:id="rId275">
        <w:r>
          <w:rPr>
            <w:rFonts w:ascii="Arial" w:cs="Arial" w:eastAsia="Arial" w:hAnsi="Arial"/>
            <w:sz w:val="18"/>
            <w:szCs w:val="18"/>
            <w:u w:val="single" w:color="auto"/>
            <w:color w:val="0000FF"/>
          </w:rPr>
          <w:t>Newport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1791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6">
                      <a:extLst>
                        <a:ext uri="{28A0092B-C50C-407E-A947-70E740481C1C}"/>
                      </a:extLst>
                    </a:blip>
                    <a:srcRect/>
                    <a:stretch>
                      <a:fillRect/>
                    </a:stretch>
                  </pic:blipFill>
                  <pic:spPr bwMode="auto">
                    <a:xfrm>
                      <a:off x="0" y="0"/>
                      <a:ext cx="61791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12700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7">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39" w:lineRule="exact"/>
        <w:rPr>
          <w:sz w:val="20"/>
          <w:szCs w:val="20"/>
          <w:color w:val="auto"/>
        </w:rPr>
      </w:pPr>
    </w:p>
    <w:p>
      <w:pPr>
        <w:spacing w:after="0"/>
        <w:rPr>
          <w:rFonts w:ascii="Arial" w:cs="Arial" w:eastAsia="Arial" w:hAnsi="Arial"/>
          <w:sz w:val="18"/>
          <w:szCs w:val="18"/>
          <w:u w:val="single" w:color="auto"/>
          <w:color w:val="0000FF"/>
        </w:rPr>
      </w:pPr>
      <w:hyperlink r:id="rId278">
        <w:r>
          <w:rPr>
            <w:rFonts w:ascii="Arial" w:cs="Arial" w:eastAsia="Arial" w:hAnsi="Arial"/>
            <w:sz w:val="18"/>
            <w:szCs w:val="18"/>
            <w:u w:val="single" w:color="auto"/>
            <w:color w:val="0000FF"/>
          </w:rPr>
          <w:t>Form of Registration Rights Agreement by and between Parsons Corporation and Newport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54235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9">
                      <a:extLst>
                        <a:ext uri="{28A0092B-C50C-407E-A947-70E740481C1C}"/>
                      </a:extLst>
                    </a:blip>
                    <a:srcRect/>
                    <a:stretch>
                      <a:fillRect/>
                    </a:stretch>
                  </pic:blipFill>
                  <pic:spPr bwMode="auto">
                    <a:xfrm>
                      <a:off x="0" y="0"/>
                      <a:ext cx="5423535" cy="8255"/>
                    </a:xfrm>
                    <a:prstGeom prst="rect">
                      <a:avLst/>
                    </a:prstGeom>
                    <a:noFill/>
                  </pic:spPr>
                </pic:pic>
              </a:graphicData>
            </a:graphic>
          </wp:anchor>
        </w:drawing>
      </w:r>
    </w:p>
    <w:p>
      <w:pPr>
        <w:spacing w:after="0" w:line="97" w:lineRule="exact"/>
        <w:rPr>
          <w:sz w:val="20"/>
          <w:szCs w:val="20"/>
          <w:color w:val="auto"/>
        </w:rPr>
      </w:pPr>
    </w:p>
    <w:p>
      <w:pPr>
        <w:spacing w:after="0"/>
        <w:rPr>
          <w:rFonts w:ascii="Arial" w:cs="Arial" w:eastAsia="Arial" w:hAnsi="Arial"/>
          <w:sz w:val="18"/>
          <w:szCs w:val="18"/>
          <w:u w:val="single" w:color="auto"/>
          <w:color w:val="0000FF"/>
        </w:rPr>
      </w:pPr>
      <w:hyperlink r:id="rId280">
        <w:r>
          <w:rPr>
            <w:rFonts w:ascii="Arial" w:cs="Arial" w:eastAsia="Arial" w:hAnsi="Arial"/>
            <w:sz w:val="18"/>
            <w:szCs w:val="18"/>
            <w:u w:val="single" w:color="auto"/>
            <w:color w:val="0000FF"/>
          </w:rPr>
          <w:t>Form of Fifth Amendment to the Parsons Corporation Retirement Savings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40132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1">
                      <a:extLst>
                        <a:ext uri="{28A0092B-C50C-407E-A947-70E740481C1C}"/>
                      </a:extLst>
                    </a:blip>
                    <a:srcRect/>
                    <a:stretch>
                      <a:fillRect/>
                    </a:stretch>
                  </pic:blipFill>
                  <pic:spPr bwMode="auto">
                    <a:xfrm>
                      <a:off x="0" y="0"/>
                      <a:ext cx="4013200" cy="8255"/>
                    </a:xfrm>
                    <a:prstGeom prst="rect">
                      <a:avLst/>
                    </a:prstGeom>
                    <a:noFill/>
                  </pic:spPr>
                </pic:pic>
              </a:graphicData>
            </a:graphic>
          </wp:anchor>
        </w:drawing>
      </w:r>
    </w:p>
    <w:p>
      <w:pPr>
        <w:spacing w:after="0" w:line="97" w:lineRule="exact"/>
        <w:rPr>
          <w:sz w:val="20"/>
          <w:szCs w:val="20"/>
          <w:color w:val="auto"/>
        </w:rPr>
      </w:pPr>
    </w:p>
    <w:p>
      <w:pPr>
        <w:ind w:right="80"/>
        <w:spacing w:after="0" w:line="271" w:lineRule="auto"/>
        <w:rPr>
          <w:rFonts w:ascii="Arial" w:cs="Arial" w:eastAsia="Arial" w:hAnsi="Arial"/>
          <w:sz w:val="18"/>
          <w:szCs w:val="18"/>
          <w:u w:val="single" w:color="auto"/>
          <w:color w:val="0000FF"/>
        </w:rPr>
      </w:pPr>
      <w:hyperlink r:id="rId282">
        <w:r>
          <w:rPr>
            <w:rFonts w:ascii="Arial" w:cs="Arial" w:eastAsia="Arial" w:hAnsi="Arial"/>
            <w:sz w:val="18"/>
            <w:szCs w:val="18"/>
            <w:u w:val="single" w:color="auto"/>
            <w:color w:val="0000FF"/>
          </w:rPr>
          <w:t>Form of Fourth Amendment to the 2019 Amendment and Restatement of Parsons Employee Stock Ownership Plan, effective</w:t>
        </w:r>
      </w:hyperlink>
      <w:r>
        <w:rPr>
          <w:rFonts w:ascii="Arial" w:cs="Arial" w:eastAsia="Arial" w:hAnsi="Arial"/>
          <w:sz w:val="18"/>
          <w:szCs w:val="18"/>
          <w:u w:val="single" w:color="auto"/>
          <w:color w:val="0000FF"/>
        </w:rPr>
        <w:t xml:space="preserve"> </w:t>
      </w:r>
      <w:hyperlink r:id="rId282">
        <w:r>
          <w:rPr>
            <w:rFonts w:ascii="Arial" w:cs="Arial" w:eastAsia="Arial" w:hAnsi="Arial"/>
            <w:sz w:val="18"/>
            <w:szCs w:val="18"/>
            <w:u w:val="single" w:color="auto"/>
            <w:color w:val="0000FF"/>
          </w:rPr>
          <w:t>March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63506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3">
                      <a:extLst>
                        <a:ext uri="{28A0092B-C50C-407E-A947-70E740481C1C}"/>
                      </a:extLst>
                    </a:blip>
                    <a:srcRect/>
                    <a:stretch>
                      <a:fillRect/>
                    </a:stretch>
                  </pic:blipFill>
                  <pic:spPr bwMode="auto">
                    <a:xfrm>
                      <a:off x="0" y="0"/>
                      <a:ext cx="635063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-44450</wp:posOffset>
            </wp:positionV>
            <wp:extent cx="7620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4">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80" w:space="420"/>
            <w:col w:w="1004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vMerge w:val="restart"/>
          </w:tcPr>
          <w:p>
            <w:pPr>
              <w:ind w:left="120"/>
              <w:spacing w:after="0"/>
              <w:rPr>
                <w:sz w:val="20"/>
                <w:szCs w:val="20"/>
                <w:color w:val="auto"/>
              </w:rPr>
            </w:pPr>
            <w:r>
              <w:rPr>
                <w:rFonts w:ascii="Arial" w:cs="Arial" w:eastAsia="Arial" w:hAnsi="Arial"/>
                <w:sz w:val="18"/>
                <w:szCs w:val="18"/>
                <w:color w:val="auto"/>
              </w:rPr>
              <w:t>10.60#+</w:t>
            </w:r>
          </w:p>
        </w:tc>
        <w:tc>
          <w:tcPr>
            <w:tcW w:w="10020" w:type="dxa"/>
            <w:vAlign w:val="bottom"/>
            <w:gridSpan w:val="18"/>
          </w:tcPr>
          <w:p>
            <w:pPr>
              <w:spacing w:after="0"/>
              <w:rPr>
                <w:rFonts w:ascii="Arial" w:cs="Arial" w:eastAsia="Arial" w:hAnsi="Arial"/>
                <w:sz w:val="18"/>
                <w:szCs w:val="18"/>
                <w:color w:val="0000FF"/>
              </w:rPr>
            </w:pPr>
            <w:hyperlink r:id="rId285">
              <w:r>
                <w:rPr>
                  <w:rFonts w:ascii="Arial" w:cs="Arial" w:eastAsia="Arial" w:hAnsi="Arial"/>
                  <w:sz w:val="18"/>
                  <w:szCs w:val="18"/>
                  <w:color w:val="0000FF"/>
                </w:rPr>
                <w:t>Fourth Amendment to the Parsons Employee Stock Ownership Plan 2019 Amendment and Restatement, effective March 1,</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220" w:type="dxa"/>
            <w:vAlign w:val="bottom"/>
            <w:vMerge w:val="continue"/>
          </w:tcPr>
          <w:p>
            <w:pPr>
              <w:spacing w:after="0"/>
              <w:rPr>
                <w:sz w:val="10"/>
                <w:szCs w:val="10"/>
                <w:color w:val="auto"/>
              </w:rPr>
            </w:pPr>
          </w:p>
        </w:tc>
        <w:tc>
          <w:tcPr>
            <w:tcW w:w="1220" w:type="dxa"/>
            <w:vAlign w:val="bottom"/>
            <w:gridSpan w:val="2"/>
            <w:vMerge w:val="restart"/>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2021.</w:t>
              </w:r>
            </w:hyperlink>
          </w:p>
        </w:tc>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10.61#+</w:t>
            </w:r>
          </w:p>
        </w:tc>
        <w:tc>
          <w:tcPr>
            <w:tcW w:w="10020" w:type="dxa"/>
            <w:vAlign w:val="bottom"/>
            <w:gridSpan w:val="18"/>
          </w:tcPr>
          <w:p>
            <w:pPr>
              <w:spacing w:after="0"/>
              <w:rPr>
                <w:rFonts w:ascii="Arial" w:cs="Arial" w:eastAsia="Arial" w:hAnsi="Arial"/>
                <w:sz w:val="18"/>
                <w:szCs w:val="18"/>
                <w:color w:val="0000FF"/>
              </w:rPr>
            </w:pPr>
            <w:hyperlink r:id="rId286">
              <w:r>
                <w:rPr>
                  <w:rFonts w:ascii="Arial" w:cs="Arial" w:eastAsia="Arial" w:hAnsi="Arial"/>
                  <w:sz w:val="18"/>
                  <w:szCs w:val="18"/>
                  <w:color w:val="0000FF"/>
                </w:rPr>
                <w:t>Form of Indemnification Agreement between Parsons Corporation and certain of its directors and officers</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10.62#+</w:t>
            </w:r>
          </w:p>
        </w:tc>
        <w:tc>
          <w:tcPr>
            <w:tcW w:w="10020" w:type="dxa"/>
            <w:vAlign w:val="bottom"/>
            <w:gridSpan w:val="18"/>
          </w:tcPr>
          <w:p>
            <w:pPr>
              <w:spacing w:after="0"/>
              <w:rPr>
                <w:rFonts w:ascii="Arial" w:cs="Arial" w:eastAsia="Arial" w:hAnsi="Arial"/>
                <w:sz w:val="18"/>
                <w:szCs w:val="18"/>
                <w:color w:val="0000FF"/>
              </w:rPr>
            </w:pPr>
            <w:hyperlink r:id="rId287">
              <w:r>
                <w:rPr>
                  <w:rFonts w:ascii="Arial" w:cs="Arial" w:eastAsia="Arial" w:hAnsi="Arial"/>
                  <w:sz w:val="18"/>
                  <w:szCs w:val="18"/>
                  <w:color w:val="0000FF"/>
                </w:rPr>
                <w:t>Form of Transition Agreement, dated February 2022, by and between Parsons Corporation and Charles L. Harrington.</w:t>
              </w:r>
            </w:hyperlink>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10.63#</w:t>
            </w:r>
          </w:p>
        </w:tc>
        <w:tc>
          <w:tcPr>
            <w:tcW w:w="10020" w:type="dxa"/>
            <w:vAlign w:val="bottom"/>
            <w:gridSpan w:val="18"/>
          </w:tcPr>
          <w:p>
            <w:pPr>
              <w:spacing w:after="0"/>
              <w:rPr>
                <w:rFonts w:ascii="Arial" w:cs="Arial" w:eastAsia="Arial" w:hAnsi="Arial"/>
                <w:sz w:val="18"/>
                <w:szCs w:val="18"/>
                <w:color w:val="0000FF"/>
              </w:rPr>
            </w:pPr>
            <w:hyperlink r:id="rId288">
              <w:r>
                <w:rPr>
                  <w:rFonts w:ascii="Arial" w:cs="Arial" w:eastAsia="Arial" w:hAnsi="Arial"/>
                  <w:sz w:val="18"/>
                  <w:szCs w:val="18"/>
                  <w:color w:val="0000FF"/>
                </w:rPr>
                <w:t>Delayed Draw Term Loan Agreement and Form of First Amendment to Credit Agreement.</w:t>
              </w:r>
            </w:hyperlink>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10.65#+</w:t>
            </w:r>
          </w:p>
        </w:tc>
        <w:tc>
          <w:tcPr>
            <w:tcW w:w="10020" w:type="dxa"/>
            <w:vAlign w:val="bottom"/>
            <w:gridSpan w:val="18"/>
          </w:tcPr>
          <w:p>
            <w:pPr>
              <w:spacing w:after="0"/>
              <w:rPr>
                <w:rFonts w:ascii="Arial" w:cs="Arial" w:eastAsia="Arial" w:hAnsi="Arial"/>
                <w:sz w:val="18"/>
                <w:szCs w:val="18"/>
                <w:color w:val="0000FF"/>
              </w:rPr>
            </w:pPr>
            <w:hyperlink r:id="rId289">
              <w:r>
                <w:rPr>
                  <w:rFonts w:ascii="Arial" w:cs="Arial" w:eastAsia="Arial" w:hAnsi="Arial"/>
                  <w:sz w:val="18"/>
                  <w:szCs w:val="18"/>
                  <w:color w:val="0000FF"/>
                </w:rPr>
                <w:t>Seventh Amendment to The Parsons Corporation Retirement Savings Plan (2017 Amendment and Restatement).</w:t>
              </w:r>
            </w:hyperlink>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10.66#+</w:t>
            </w:r>
          </w:p>
        </w:tc>
        <w:tc>
          <w:tcPr>
            <w:tcW w:w="10020" w:type="dxa"/>
            <w:vAlign w:val="bottom"/>
            <w:gridSpan w:val="18"/>
          </w:tcPr>
          <w:p>
            <w:pPr>
              <w:spacing w:after="0"/>
              <w:rPr>
                <w:rFonts w:ascii="Arial" w:cs="Arial" w:eastAsia="Arial" w:hAnsi="Arial"/>
                <w:sz w:val="18"/>
                <w:szCs w:val="18"/>
                <w:color w:val="0000FF"/>
              </w:rPr>
            </w:pPr>
            <w:hyperlink r:id="rId290">
              <w:r>
                <w:rPr>
                  <w:rFonts w:ascii="Arial" w:cs="Arial" w:eastAsia="Arial" w:hAnsi="Arial"/>
                  <w:sz w:val="18"/>
                  <w:szCs w:val="18"/>
                  <w:color w:val="0000FF"/>
                </w:rPr>
                <w:t>Fifth Amendment to The Parsons Employee Stock Ownership Plan 2019 Amendment and Restatement.</w:t>
              </w:r>
            </w:hyperlink>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0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10.67#+</w:t>
            </w:r>
          </w:p>
        </w:tc>
        <w:tc>
          <w:tcPr>
            <w:tcW w:w="10020" w:type="dxa"/>
            <w:vAlign w:val="bottom"/>
            <w:gridSpan w:val="18"/>
          </w:tcPr>
          <w:p>
            <w:pPr>
              <w:spacing w:after="0"/>
              <w:rPr>
                <w:rFonts w:ascii="Arial" w:cs="Arial" w:eastAsia="Arial" w:hAnsi="Arial"/>
                <w:sz w:val="18"/>
                <w:szCs w:val="18"/>
                <w:color w:val="0000FF"/>
              </w:rPr>
            </w:pPr>
            <w:hyperlink r:id="rId291">
              <w:r>
                <w:rPr>
                  <w:rFonts w:ascii="Arial" w:cs="Arial" w:eastAsia="Arial" w:hAnsi="Arial"/>
                  <w:sz w:val="18"/>
                  <w:szCs w:val="18"/>
                  <w:color w:val="0000FF"/>
                </w:rPr>
                <w:t>Sixth Amendment to The Parsons Employee Stock Ownership Plan 2019 Amendment and Restatement.</w:t>
              </w:r>
            </w:hyperlink>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10.68#</w:t>
            </w:r>
          </w:p>
        </w:tc>
        <w:tc>
          <w:tcPr>
            <w:tcW w:w="10020" w:type="dxa"/>
            <w:vAlign w:val="bottom"/>
            <w:gridSpan w:val="18"/>
          </w:tcPr>
          <w:p>
            <w:pPr>
              <w:spacing w:after="0"/>
              <w:rPr>
                <w:rFonts w:ascii="Arial" w:cs="Arial" w:eastAsia="Arial" w:hAnsi="Arial"/>
                <w:sz w:val="18"/>
                <w:szCs w:val="18"/>
                <w:color w:val="0000FF"/>
              </w:rPr>
            </w:pPr>
            <w:hyperlink r:id="rId292">
              <w:r>
                <w:rPr>
                  <w:rFonts w:ascii="Arial" w:cs="Arial" w:eastAsia="Arial" w:hAnsi="Arial"/>
                  <w:sz w:val="18"/>
                  <w:szCs w:val="18"/>
                  <w:color w:val="0000FF"/>
                </w:rPr>
                <w:t>Form of Confirmations of Base and Additional Call Option Transactions, between Parsons Corporation and Option</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2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7"/>
              </w:rPr>
            </w:pPr>
            <w:hyperlink r:id="rId292">
              <w:r>
                <w:rPr>
                  <w:rFonts w:ascii="Arial" w:cs="Arial" w:eastAsia="Arial" w:hAnsi="Arial"/>
                  <w:sz w:val="18"/>
                  <w:szCs w:val="18"/>
                  <w:color w:val="0000FF"/>
                  <w:w w:val="97"/>
                </w:rPr>
                <w:t>Counterparties.</w:t>
              </w:r>
            </w:hyperlink>
          </w:p>
        </w:tc>
        <w:tc>
          <w:tcPr>
            <w:tcW w:w="20" w:type="dxa"/>
            <w:vAlign w:val="bottom"/>
            <w:tcBorders>
              <w:top w:val="single" w:sz="8" w:color="0000FF"/>
              <w:bottom w:val="single" w:sz="8" w:color="0000EE"/>
            </w:tcBorders>
          </w:tcPr>
          <w:p>
            <w:pPr>
              <w:spacing w:after="0"/>
              <w:rPr>
                <w:sz w:val="15"/>
                <w:szCs w:val="15"/>
                <w:color w:val="auto"/>
              </w:rPr>
            </w:pPr>
          </w:p>
        </w:tc>
        <w:tc>
          <w:tcPr>
            <w:tcW w:w="7860" w:type="dxa"/>
            <w:vAlign w:val="bottom"/>
            <w:tcBorders>
              <w:top w:val="single" w:sz="8" w:color="0000FF"/>
            </w:tcBorders>
            <w:gridSpan w:val="12"/>
          </w:tcPr>
          <w:p>
            <w:pPr>
              <w:spacing w:after="0"/>
              <w:rPr>
                <w:sz w:val="15"/>
                <w:szCs w:val="15"/>
                <w:color w:val="auto"/>
              </w:rPr>
            </w:pPr>
          </w:p>
        </w:tc>
        <w:tc>
          <w:tcPr>
            <w:tcW w:w="7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10.69#+</w:t>
            </w:r>
          </w:p>
        </w:tc>
        <w:tc>
          <w:tcPr>
            <w:tcW w:w="10020" w:type="dxa"/>
            <w:vAlign w:val="bottom"/>
            <w:gridSpan w:val="18"/>
          </w:tcPr>
          <w:p>
            <w:pPr>
              <w:spacing w:after="0"/>
              <w:rPr>
                <w:rFonts w:ascii="Arial" w:cs="Arial" w:eastAsia="Arial" w:hAnsi="Arial"/>
                <w:sz w:val="18"/>
                <w:szCs w:val="18"/>
                <w:color w:val="0000FF"/>
              </w:rPr>
            </w:pPr>
            <w:hyperlink r:id="rId293">
              <w:r>
                <w:rPr>
                  <w:rFonts w:ascii="Arial" w:cs="Arial" w:eastAsia="Arial" w:hAnsi="Arial"/>
                  <w:sz w:val="18"/>
                  <w:szCs w:val="18"/>
                  <w:color w:val="0000FF"/>
                </w:rPr>
                <w:t>Tenth Amendment To The Parsons Corporation Retirement Savings Plan (2017 Amendment and Restatement).</w:t>
              </w:r>
            </w:hyperlink>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10.70#+</w:t>
            </w:r>
          </w:p>
        </w:tc>
        <w:tc>
          <w:tcPr>
            <w:tcW w:w="10020" w:type="dxa"/>
            <w:vAlign w:val="bottom"/>
            <w:gridSpan w:val="18"/>
          </w:tcPr>
          <w:p>
            <w:pPr>
              <w:spacing w:after="0"/>
              <w:rPr>
                <w:rFonts w:ascii="Arial" w:cs="Arial" w:eastAsia="Arial" w:hAnsi="Arial"/>
                <w:sz w:val="18"/>
                <w:szCs w:val="18"/>
                <w:color w:val="0000FF"/>
              </w:rPr>
            </w:pPr>
            <w:hyperlink r:id="rId294">
              <w:r>
                <w:rPr>
                  <w:rFonts w:ascii="Arial" w:cs="Arial" w:eastAsia="Arial" w:hAnsi="Arial"/>
                  <w:sz w:val="18"/>
                  <w:szCs w:val="18"/>
                  <w:color w:val="0000FF"/>
                </w:rPr>
                <w:t>Seventh Amendment To The Parsons Employee Stock Ownership Plan 2019 Amendment and Restatement.</w:t>
              </w:r>
            </w:hyperlink>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2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20"/>
              <w:spacing w:after="0"/>
              <w:rPr>
                <w:sz w:val="20"/>
                <w:szCs w:val="20"/>
                <w:color w:val="auto"/>
              </w:rPr>
            </w:pPr>
            <w:r>
              <w:rPr>
                <w:rFonts w:ascii="Arial" w:cs="Arial" w:eastAsia="Arial" w:hAnsi="Arial"/>
                <w:sz w:val="18"/>
                <w:szCs w:val="18"/>
                <w:color w:val="auto"/>
              </w:rPr>
              <w:t>10.71#+*</w:t>
            </w:r>
          </w:p>
        </w:tc>
        <w:tc>
          <w:tcPr>
            <w:tcW w:w="10020" w:type="dxa"/>
            <w:vAlign w:val="bottom"/>
            <w:gridSpan w:val="18"/>
          </w:tcPr>
          <w:p>
            <w:pPr>
              <w:spacing w:after="0"/>
              <w:rPr>
                <w:sz w:val="20"/>
                <w:szCs w:val="20"/>
                <w:color w:val="auto"/>
              </w:rPr>
            </w:pPr>
            <w:r>
              <w:rPr>
                <w:rFonts w:ascii="Arial" w:cs="Arial" w:eastAsia="Arial" w:hAnsi="Arial"/>
                <w:sz w:val="18"/>
                <w:szCs w:val="18"/>
                <w:color w:val="0000FF"/>
              </w:rPr>
              <w:t>Eleventh Amendment To The Parsons Corporation Retirement Savings Plan (2017 Amendment and Restatement)</w:t>
            </w:r>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19.3#</w:t>
            </w:r>
          </w:p>
        </w:tc>
        <w:tc>
          <w:tcPr>
            <w:tcW w:w="10020" w:type="dxa"/>
            <w:vAlign w:val="bottom"/>
            <w:gridSpan w:val="18"/>
          </w:tcPr>
          <w:p>
            <w:pPr>
              <w:spacing w:after="0"/>
              <w:rPr>
                <w:rFonts w:ascii="Arial" w:cs="Arial" w:eastAsia="Arial" w:hAnsi="Arial"/>
                <w:sz w:val="18"/>
                <w:szCs w:val="18"/>
                <w:color w:val="0000FF"/>
              </w:rPr>
            </w:pPr>
            <w:hyperlink r:id="rId295">
              <w:r>
                <w:rPr>
                  <w:rFonts w:ascii="Arial" w:cs="Arial" w:eastAsia="Arial" w:hAnsi="Arial"/>
                  <w:sz w:val="18"/>
                  <w:szCs w:val="18"/>
                  <w:color w:val="0000FF"/>
                </w:rPr>
                <w:t>Parsons Corporation Insider Trading Compliance Policy</w:t>
              </w:r>
            </w:hyperlink>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21.1*</w:t>
            </w:r>
          </w:p>
        </w:tc>
        <w:tc>
          <w:tcPr>
            <w:tcW w:w="10020" w:type="dxa"/>
            <w:vAlign w:val="bottom"/>
            <w:gridSpan w:val="18"/>
          </w:tcPr>
          <w:p>
            <w:pPr>
              <w:spacing w:after="0"/>
              <w:rPr>
                <w:sz w:val="20"/>
                <w:szCs w:val="20"/>
                <w:color w:val="auto"/>
              </w:rPr>
            </w:pPr>
            <w:r>
              <w:rPr>
                <w:rFonts w:ascii="Arial" w:cs="Arial" w:eastAsia="Arial" w:hAnsi="Arial"/>
                <w:sz w:val="18"/>
                <w:szCs w:val="18"/>
                <w:color w:val="0000FF"/>
              </w:rPr>
              <w:t>List of Subsidiaries of the Registrant</w:t>
            </w:r>
          </w:p>
        </w:tc>
        <w:tc>
          <w:tcPr>
            <w:tcW w:w="0" w:type="dxa"/>
            <w:vAlign w:val="bottom"/>
          </w:tcPr>
          <w:p>
            <w:pPr>
              <w:spacing w:after="0"/>
              <w:rPr>
                <w:sz w:val="1"/>
                <w:szCs w:val="1"/>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23.1*</w:t>
            </w:r>
          </w:p>
        </w:tc>
        <w:tc>
          <w:tcPr>
            <w:tcW w:w="10020" w:type="dxa"/>
            <w:vAlign w:val="bottom"/>
            <w:gridSpan w:val="18"/>
          </w:tcPr>
          <w:p>
            <w:pPr>
              <w:spacing w:after="0"/>
              <w:rPr>
                <w:sz w:val="20"/>
                <w:szCs w:val="20"/>
                <w:color w:val="auto"/>
              </w:rPr>
            </w:pPr>
            <w:r>
              <w:rPr>
                <w:rFonts w:ascii="Arial" w:cs="Arial" w:eastAsia="Arial" w:hAnsi="Arial"/>
                <w:sz w:val="18"/>
                <w:szCs w:val="18"/>
                <w:color w:val="0000FF"/>
              </w:rPr>
              <w:t>Consent of PricewaterhouseCoopers LLP.</w:t>
            </w:r>
          </w:p>
        </w:tc>
        <w:tc>
          <w:tcPr>
            <w:tcW w:w="0" w:type="dxa"/>
            <w:vAlign w:val="bottom"/>
          </w:tcPr>
          <w:p>
            <w:pPr>
              <w:spacing w:after="0"/>
              <w:rPr>
                <w:sz w:val="1"/>
                <w:szCs w:val="1"/>
                <w:color w:val="auto"/>
              </w:rPr>
            </w:pPr>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2880" w:type="dxa"/>
            <w:vAlign w:val="bottom"/>
            <w:tcBorders>
              <w:right w:val="single" w:sz="8" w:color="0000EE"/>
            </w:tcBorders>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120"/>
              <w:spacing w:after="0"/>
              <w:rPr>
                <w:sz w:val="20"/>
                <w:szCs w:val="20"/>
                <w:color w:val="auto"/>
              </w:rPr>
            </w:pPr>
            <w:r>
              <w:rPr>
                <w:rFonts w:ascii="Arial" w:cs="Arial" w:eastAsia="Arial" w:hAnsi="Arial"/>
                <w:sz w:val="18"/>
                <w:szCs w:val="18"/>
                <w:color w:val="auto"/>
              </w:rPr>
              <w:t>31.1*</w:t>
            </w:r>
          </w:p>
        </w:tc>
        <w:tc>
          <w:tcPr>
            <w:tcW w:w="10020" w:type="dxa"/>
            <w:vAlign w:val="bottom"/>
            <w:gridSpan w:val="18"/>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88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2"/>
        </w:trPr>
        <w:tc>
          <w:tcPr>
            <w:tcW w:w="1220" w:type="dxa"/>
            <w:vAlign w:val="bottom"/>
          </w:tcPr>
          <w:p>
            <w:pPr>
              <w:spacing w:after="0"/>
              <w:rPr>
                <w:sz w:val="24"/>
                <w:szCs w:val="24"/>
                <w:color w:val="auto"/>
              </w:rPr>
            </w:pPr>
          </w:p>
        </w:tc>
        <w:tc>
          <w:tcPr>
            <w:tcW w:w="6220" w:type="dxa"/>
            <w:vAlign w:val="bottom"/>
            <w:tcBorders>
              <w:top w:val="single" w:sz="8" w:color="0000FF"/>
            </w:tcBorders>
            <w:gridSpan w:val="7"/>
          </w:tcPr>
          <w:p>
            <w:pPr>
              <w:jc w:val="right"/>
              <w:ind w:right="1720"/>
              <w:spacing w:after="0"/>
              <w:rPr>
                <w:sz w:val="20"/>
                <w:szCs w:val="20"/>
                <w:color w:val="auto"/>
              </w:rPr>
            </w:pPr>
            <w:r>
              <w:rPr>
                <w:rFonts w:ascii="Arial" w:cs="Arial" w:eastAsia="Arial" w:hAnsi="Arial"/>
                <w:sz w:val="18"/>
                <w:szCs w:val="18"/>
                <w:color w:val="auto"/>
              </w:rPr>
              <w:t>88</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92" w:name="page93"/>
    <w:bookmarkEnd w:id="92"/>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83"/>
        </w:trPr>
        <w:tc>
          <w:tcPr>
            <w:tcW w:w="1100" w:type="dxa"/>
            <w:vAlign w:val="bottom"/>
          </w:tcPr>
          <w:p>
            <w:pPr>
              <w:spacing w:after="0"/>
              <w:rPr>
                <w:sz w:val="15"/>
                <w:szCs w:val="15"/>
                <w:color w:val="auto"/>
              </w:rPr>
            </w:pPr>
          </w:p>
        </w:tc>
        <w:tc>
          <w:tcPr>
            <w:tcW w:w="978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140" w:type="dxa"/>
            <w:vAlign w:val="bottom"/>
          </w:tcPr>
          <w:p>
            <w:pPr>
              <w:spacing w:after="0"/>
              <w:rPr>
                <w:sz w:val="15"/>
                <w:szCs w:val="15"/>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920" w:type="dxa"/>
            <w:vAlign w:val="bottom"/>
            <w:gridSpan w:val="8"/>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1100" w:type="dxa"/>
            <w:vAlign w:val="bottom"/>
          </w:tcPr>
          <w:p>
            <w:pPr>
              <w:spacing w:after="0"/>
              <w:rPr>
                <w:sz w:val="15"/>
                <w:szCs w:val="15"/>
                <w:color w:val="auto"/>
              </w:rPr>
            </w:pPr>
          </w:p>
        </w:tc>
        <w:tc>
          <w:tcPr>
            <w:tcW w:w="972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Sarbanes-Oxley Act of 2002.</w:t>
            </w:r>
          </w:p>
        </w:tc>
        <w:tc>
          <w:tcPr>
            <w:tcW w:w="200" w:type="dxa"/>
            <w:vAlign w:val="bottom"/>
            <w:gridSpan w:val="2"/>
          </w:tcPr>
          <w:p>
            <w:pPr>
              <w:spacing w:after="0"/>
              <w:rPr>
                <w:sz w:val="15"/>
                <w:szCs w:val="15"/>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1100" w:type="dxa"/>
            <w:vAlign w:val="bottom"/>
          </w:tcPr>
          <w:p>
            <w:pPr>
              <w:spacing w:after="0"/>
              <w:rPr>
                <w:sz w:val="15"/>
                <w:szCs w:val="15"/>
                <w:color w:val="auto"/>
              </w:rPr>
            </w:pPr>
          </w:p>
        </w:tc>
        <w:tc>
          <w:tcPr>
            <w:tcW w:w="966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Sarbanes-Oxley Act of 2002.</w:t>
            </w:r>
          </w:p>
        </w:tc>
        <w:tc>
          <w:tcPr>
            <w:tcW w:w="260" w:type="dxa"/>
            <w:vAlign w:val="bottom"/>
            <w:gridSpan w:val="3"/>
          </w:tcPr>
          <w:p>
            <w:pPr>
              <w:spacing w:after="0"/>
              <w:rPr>
                <w:sz w:val="15"/>
                <w:szCs w:val="15"/>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97.1#</w:t>
            </w:r>
          </w:p>
        </w:tc>
        <w:tc>
          <w:tcPr>
            <w:tcW w:w="9920" w:type="dxa"/>
            <w:vAlign w:val="bottom"/>
            <w:gridSpan w:val="8"/>
          </w:tcPr>
          <w:p>
            <w:pPr>
              <w:spacing w:after="0"/>
              <w:rPr>
                <w:rFonts w:ascii="Arial" w:cs="Arial" w:eastAsia="Arial" w:hAnsi="Arial"/>
                <w:sz w:val="18"/>
                <w:szCs w:val="18"/>
                <w:color w:val="0000FF"/>
              </w:rPr>
            </w:pPr>
            <w:hyperlink r:id="rId298">
              <w:r>
                <w:rPr>
                  <w:rFonts w:ascii="Arial" w:cs="Arial" w:eastAsia="Arial" w:hAnsi="Arial"/>
                  <w:sz w:val="18"/>
                  <w:szCs w:val="18"/>
                  <w:color w:val="0000FF"/>
                </w:rPr>
                <w:t>Parsons Corporation Executive Compensation Clawback Policy</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06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97.2#</w:t>
            </w:r>
          </w:p>
        </w:tc>
        <w:tc>
          <w:tcPr>
            <w:tcW w:w="9920" w:type="dxa"/>
            <w:vAlign w:val="bottom"/>
            <w:gridSpan w:val="8"/>
          </w:tcPr>
          <w:p>
            <w:pPr>
              <w:spacing w:after="0"/>
              <w:rPr>
                <w:rFonts w:ascii="Arial" w:cs="Arial" w:eastAsia="Arial" w:hAnsi="Arial"/>
                <w:sz w:val="18"/>
                <w:szCs w:val="18"/>
                <w:color w:val="0000FF"/>
              </w:rPr>
            </w:pPr>
            <w:hyperlink r:id="rId299">
              <w:r>
                <w:rPr>
                  <w:rFonts w:ascii="Arial" w:cs="Arial" w:eastAsia="Arial" w:hAnsi="Arial"/>
                  <w:sz w:val="18"/>
                  <w:szCs w:val="18"/>
                  <w:color w:val="0000FF"/>
                </w:rPr>
                <w:t>Parsons Corporation Dodd-Frank Compliant Compensation Clawback Policy</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80" w:type="dxa"/>
            <w:vAlign w:val="bottom"/>
            <w:tcBorders>
              <w:right w:val="single" w:sz="8" w:color="0000EE"/>
            </w:tcBorders>
            <w:gridSpan w:val="3"/>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r>
      <w:tr>
        <w:trPr>
          <w:trHeight w:val="312"/>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920" w:type="dxa"/>
            <w:vAlign w:val="bottom"/>
            <w:gridSpan w:val="8"/>
          </w:tcPr>
          <w:p>
            <w:pPr>
              <w:spacing w:after="0"/>
              <w:rPr>
                <w:sz w:val="20"/>
                <w:szCs w:val="20"/>
                <w:color w:val="auto"/>
              </w:rPr>
            </w:pPr>
            <w:r>
              <w:rPr>
                <w:rFonts w:ascii="Arial" w:cs="Arial" w:eastAsia="Arial" w:hAnsi="Arial"/>
                <w:sz w:val="18"/>
                <w:szCs w:val="18"/>
                <w:color w:val="auto"/>
                <w:w w:val="99"/>
              </w:rPr>
              <w:t>The following financial statements from the Company’s Annual Report on Form 10-K for the year ended December 31, 2024,</w:t>
            </w:r>
          </w:p>
        </w:tc>
      </w:tr>
      <w:tr>
        <w:trPr>
          <w:trHeight w:val="203"/>
        </w:trPr>
        <w:tc>
          <w:tcPr>
            <w:tcW w:w="1100" w:type="dxa"/>
            <w:vAlign w:val="bottom"/>
          </w:tcPr>
          <w:p>
            <w:pPr>
              <w:spacing w:after="0"/>
              <w:rPr>
                <w:sz w:val="17"/>
                <w:szCs w:val="17"/>
                <w:color w:val="auto"/>
              </w:rPr>
            </w:pPr>
          </w:p>
        </w:tc>
        <w:tc>
          <w:tcPr>
            <w:tcW w:w="9920" w:type="dxa"/>
            <w:vAlign w:val="bottom"/>
            <w:gridSpan w:val="8"/>
          </w:tcPr>
          <w:p>
            <w:pPr>
              <w:spacing w:after="0" w:line="202" w:lineRule="exact"/>
              <w:rPr>
                <w:sz w:val="20"/>
                <w:szCs w:val="20"/>
                <w:color w:val="auto"/>
              </w:rPr>
            </w:pPr>
            <w:r>
              <w:rPr>
                <w:rFonts w:ascii="Arial" w:cs="Arial" w:eastAsia="Arial" w:hAnsi="Arial"/>
                <w:sz w:val="18"/>
                <w:szCs w:val="18"/>
                <w:color w:val="auto"/>
              </w:rPr>
              <w:t>formatted in Inline XBRL Taxonomy Extension Schema With Embedded Linkbases Document: (i) Consolidated Balance</w:t>
            </w:r>
          </w:p>
        </w:tc>
      </w:tr>
      <w:tr>
        <w:trPr>
          <w:trHeight w:val="203"/>
        </w:trPr>
        <w:tc>
          <w:tcPr>
            <w:tcW w:w="1100" w:type="dxa"/>
            <w:vAlign w:val="bottom"/>
          </w:tcPr>
          <w:p>
            <w:pPr>
              <w:spacing w:after="0"/>
              <w:rPr>
                <w:sz w:val="17"/>
                <w:szCs w:val="17"/>
                <w:color w:val="auto"/>
              </w:rPr>
            </w:pPr>
          </w:p>
        </w:tc>
        <w:tc>
          <w:tcPr>
            <w:tcW w:w="9920" w:type="dxa"/>
            <w:vAlign w:val="bottom"/>
            <w:gridSpan w:val="8"/>
          </w:tcPr>
          <w:p>
            <w:pPr>
              <w:spacing w:after="0" w:line="202" w:lineRule="exact"/>
              <w:rPr>
                <w:sz w:val="20"/>
                <w:szCs w:val="20"/>
                <w:color w:val="auto"/>
              </w:rPr>
            </w:pPr>
            <w:r>
              <w:rPr>
                <w:rFonts w:ascii="Arial" w:cs="Arial" w:eastAsia="Arial" w:hAnsi="Arial"/>
                <w:sz w:val="18"/>
                <w:szCs w:val="18"/>
                <w:color w:val="auto"/>
              </w:rPr>
              <w:t>Sheets, (ii) Consolidated Statements of Earnings, (iii) Consolidated Statements of Comprehensive Income (Loss), (iv)</w:t>
            </w:r>
          </w:p>
        </w:tc>
      </w:tr>
      <w:tr>
        <w:trPr>
          <w:trHeight w:val="203"/>
        </w:trPr>
        <w:tc>
          <w:tcPr>
            <w:tcW w:w="1100" w:type="dxa"/>
            <w:vAlign w:val="bottom"/>
          </w:tcPr>
          <w:p>
            <w:pPr>
              <w:spacing w:after="0"/>
              <w:rPr>
                <w:sz w:val="17"/>
                <w:szCs w:val="17"/>
                <w:color w:val="auto"/>
              </w:rPr>
            </w:pPr>
          </w:p>
        </w:tc>
        <w:tc>
          <w:tcPr>
            <w:tcW w:w="9920" w:type="dxa"/>
            <w:vAlign w:val="bottom"/>
            <w:gridSpan w:val="8"/>
          </w:tcPr>
          <w:p>
            <w:pPr>
              <w:spacing w:after="0" w:line="202" w:lineRule="exact"/>
              <w:rPr>
                <w:sz w:val="20"/>
                <w:szCs w:val="20"/>
                <w:color w:val="auto"/>
              </w:rPr>
            </w:pPr>
            <w:r>
              <w:rPr>
                <w:rFonts w:ascii="Arial" w:cs="Arial" w:eastAsia="Arial" w:hAnsi="Arial"/>
                <w:sz w:val="18"/>
                <w:szCs w:val="18"/>
                <w:color w:val="auto"/>
                <w:w w:val="99"/>
              </w:rPr>
              <w:t>Consolidated Statements of Stockholders’ Equity, (v) Consolidated Statements of Cash Flows and (vi) Notes to Consolidated</w:t>
            </w:r>
          </w:p>
        </w:tc>
      </w:tr>
      <w:tr>
        <w:trPr>
          <w:trHeight w:val="239"/>
        </w:trPr>
        <w:tc>
          <w:tcPr>
            <w:tcW w:w="1100" w:type="dxa"/>
            <w:vAlign w:val="bottom"/>
          </w:tcPr>
          <w:p>
            <w:pPr>
              <w:spacing w:after="0"/>
              <w:rPr>
                <w:sz w:val="20"/>
                <w:szCs w:val="20"/>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Financial Statements, tagged as blocks of text and including detailed tags.</w:t>
            </w:r>
          </w:p>
        </w:tc>
      </w:tr>
      <w:tr>
        <w:trPr>
          <w:trHeight w:val="288"/>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with applicable taxonomy extension information contained in</w:t>
            </w:r>
          </w:p>
        </w:tc>
      </w:tr>
      <w:tr>
        <w:trPr>
          <w:trHeight w:val="239"/>
        </w:trPr>
        <w:tc>
          <w:tcPr>
            <w:tcW w:w="1100" w:type="dxa"/>
            <w:vAlign w:val="bottom"/>
          </w:tcPr>
          <w:p>
            <w:pPr>
              <w:spacing w:after="0"/>
              <w:rPr>
                <w:sz w:val="20"/>
                <w:szCs w:val="20"/>
                <w:color w:val="auto"/>
              </w:rPr>
            </w:pPr>
          </w:p>
        </w:tc>
        <w:tc>
          <w:tcPr>
            <w:tcW w:w="9920" w:type="dxa"/>
            <w:vAlign w:val="bottom"/>
            <w:gridSpan w:val="8"/>
          </w:tcPr>
          <w:p>
            <w:pPr>
              <w:spacing w:after="0"/>
              <w:rPr>
                <w:sz w:val="20"/>
                <w:szCs w:val="20"/>
                <w:color w:val="auto"/>
              </w:rPr>
            </w:pPr>
            <w:r>
              <w:rPr>
                <w:rFonts w:ascii="Arial" w:cs="Arial" w:eastAsia="Arial" w:hAnsi="Arial"/>
                <w:sz w:val="18"/>
                <w:szCs w:val="18"/>
                <w:color w:val="auto"/>
              </w:rPr>
              <w:t>Exhibits 101).</w:t>
            </w:r>
          </w:p>
        </w:tc>
      </w:tr>
    </w:tbl>
    <w:p>
      <w:pPr>
        <w:spacing w:after="0" w:line="226" w:lineRule="exact"/>
        <w:rPr>
          <w:sz w:val="20"/>
          <w:szCs w:val="20"/>
          <w:color w:val="auto"/>
        </w:rPr>
      </w:pPr>
    </w:p>
    <w:p>
      <w:pPr>
        <w:ind w:left="480" w:hanging="472"/>
        <w:spacing w:after="0"/>
        <w:tabs>
          <w:tab w:leader="none" w:pos="4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Filed herewith</w:t>
      </w:r>
      <w:r>
        <w:rPr>
          <w:rFonts w:ascii="Arial" w:cs="Arial" w:eastAsia="Arial" w:hAnsi="Arial"/>
          <w:sz w:val="21"/>
          <w:szCs w:val="21"/>
          <w:color w:val="auto"/>
        </w:rPr>
        <w:t>.</w:t>
      </w:r>
    </w:p>
    <w:p>
      <w:pPr>
        <w:spacing w:after="0" w:line="15" w:lineRule="exact"/>
        <w:rPr>
          <w:rFonts w:ascii="Arial" w:cs="Arial" w:eastAsia="Arial" w:hAnsi="Arial"/>
          <w:sz w:val="22"/>
          <w:szCs w:val="22"/>
          <w:color w:val="auto"/>
        </w:rPr>
      </w:pPr>
    </w:p>
    <w:p>
      <w:pPr>
        <w:spacing w:after="0" w:line="234" w:lineRule="auto"/>
        <w:rPr>
          <w:rFonts w:ascii="Arial" w:cs="Arial" w:eastAsia="Arial" w:hAnsi="Arial"/>
          <w:sz w:val="22"/>
          <w:szCs w:val="22"/>
          <w:color w:val="auto"/>
        </w:rPr>
      </w:pPr>
      <w:r>
        <w:rPr>
          <w:rFonts w:ascii="Arial" w:cs="Arial" w:eastAsia="Arial" w:hAnsi="Arial"/>
          <w:sz w:val="18"/>
          <w:szCs w:val="18"/>
          <w:color w:val="auto"/>
        </w:rPr>
        <w:t>#   Previously filed.</w:t>
      </w:r>
    </w:p>
    <w:p>
      <w:pPr>
        <w:spacing w:after="0"/>
        <w:rPr>
          <w:rFonts w:ascii="Arial" w:cs="Arial" w:eastAsia="Arial" w:hAnsi="Arial"/>
          <w:sz w:val="22"/>
          <w:szCs w:val="22"/>
          <w:color w:val="auto"/>
        </w:rPr>
      </w:pPr>
      <w:r>
        <w:rPr>
          <w:rFonts w:ascii="Arial" w:cs="Arial" w:eastAsia="Arial" w:hAnsi="Arial"/>
          <w:sz w:val="18"/>
          <w:szCs w:val="18"/>
          <w:color w:val="auto"/>
        </w:rPr>
        <w:t>+   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19030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440" w:firstLine="509"/>
        <w:spacing w:after="0" w:line="28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ind w:left="20"/>
        <w:spacing w:after="0"/>
        <w:tabs>
          <w:tab w:leader="none" w:pos="5640" w:val="left"/>
          <w:tab w:leader="none" w:pos="7920" w:val="left"/>
        </w:tabs>
        <w:rPr>
          <w:sz w:val="20"/>
          <w:szCs w:val="20"/>
          <w:color w:val="auto"/>
        </w:rPr>
      </w:pPr>
      <w:r>
        <w:rPr>
          <w:rFonts w:ascii="Arial" w:cs="Arial" w:eastAsia="Arial" w:hAnsi="Arial"/>
          <w:sz w:val="18"/>
          <w:szCs w:val="18"/>
          <w:color w:val="auto"/>
        </w:rPr>
        <w:t>Date: February 19,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Carey A. Smith</w:t>
      </w:r>
    </w:p>
    <w:p>
      <w:pPr>
        <w:jc w:val="center"/>
        <w:ind w:left="606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7" w:right="339" w:bottom="1440" w:gutter="0" w:footer="0" w:header="0"/>
        </w:sectPr>
      </w:pP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Carey A. Smith</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Matthew M. Ofilos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George L. Ball</w:t>
      </w:r>
    </w:p>
    <w:p>
      <w:pPr>
        <w:spacing w:after="0" w:line="5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Mark K. Holdsworth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Mark K. Holdsworth</w:t>
      </w:r>
    </w:p>
    <w:p>
      <w:pPr>
        <w:spacing w:after="0" w:line="5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Steven F. Leer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Steven F. Leer</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Letitia 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Letitia A. Long</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Ellen M. 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Ellen M. Lord</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Darren W. McDew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Darren W. McDew</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Harry T.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Harry T. McMahon</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 M. Christian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14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M. Christian Mitchell</w:t>
      </w:r>
    </w:p>
    <w:p>
      <w:pPr>
        <w:spacing w:after="0" w:line="5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Suzanne M. Vautrinot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714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 w:lineRule="exact"/>
        <w:rPr>
          <w:sz w:val="20"/>
          <w:szCs w:val="20"/>
          <w:color w:val="auto"/>
        </w:rPr>
      </w:pPr>
    </w:p>
    <w:p>
      <w:pPr>
        <w:ind w:left="500" w:right="120"/>
        <w:spacing w:after="0" w:line="306" w:lineRule="auto"/>
        <w:rPr>
          <w:sz w:val="20"/>
          <w:szCs w:val="20"/>
          <w:color w:val="auto"/>
        </w:rPr>
      </w:pPr>
      <w:r>
        <w:rPr>
          <w:rFonts w:ascii="Arial" w:cs="Arial" w:eastAsia="Arial" w:hAnsi="Arial"/>
          <w:sz w:val="17"/>
          <w:szCs w:val="17"/>
          <w:color w:val="auto"/>
        </w:rPr>
        <w:t>Suzanne M. Vautrinot /s/ David C. Wajsgras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714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8"/>
          <w:szCs w:val="18"/>
          <w:color w:val="auto"/>
        </w:rPr>
        <w:t>David C. Wajsgras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120" w:type="dxa"/>
            <w:vAlign w:val="bottom"/>
          </w:tcPr>
          <w:p>
            <w:pPr>
              <w:spacing w:after="0"/>
              <w:rPr>
                <w:sz w:val="19"/>
                <w:szCs w:val="19"/>
                <w:color w:val="auto"/>
              </w:rPr>
            </w:pPr>
          </w:p>
        </w:tc>
        <w:tc>
          <w:tcPr>
            <w:tcW w:w="26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Date</w:t>
            </w:r>
          </w:p>
        </w:tc>
      </w:tr>
      <w:tr>
        <w:trPr>
          <w:trHeight w:val="272"/>
        </w:trPr>
        <w:tc>
          <w:tcPr>
            <w:tcW w:w="562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20" w:type="dxa"/>
            <w:vAlign w:val="bottom"/>
          </w:tcPr>
          <w:p>
            <w:pPr>
              <w:spacing w:after="0"/>
              <w:rPr>
                <w:sz w:val="23"/>
                <w:szCs w:val="23"/>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239"/>
        </w:trPr>
        <w:tc>
          <w:tcPr>
            <w:tcW w:w="56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61"/>
        </w:trPr>
        <w:tc>
          <w:tcPr>
            <w:tcW w:w="562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c>
          <w:tcPr>
            <w:tcW w:w="120" w:type="dxa"/>
            <w:vAlign w:val="bottom"/>
          </w:tcPr>
          <w:p>
            <w:pPr>
              <w:spacing w:after="0"/>
              <w:rPr>
                <w:sz w:val="22"/>
                <w:szCs w:val="22"/>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239"/>
        </w:trPr>
        <w:tc>
          <w:tcPr>
            <w:tcW w:w="5620" w:type="dxa"/>
            <w:vAlign w:val="bottom"/>
          </w:tcPr>
          <w:p>
            <w:pPr>
              <w:jc w:val="center"/>
              <w:spacing w:after="0"/>
              <w:rPr>
                <w:sz w:val="20"/>
                <w:szCs w:val="20"/>
                <w:color w:val="auto"/>
              </w:rPr>
            </w:pPr>
            <w:r>
              <w:rPr>
                <w:rFonts w:ascii="Arial" w:cs="Arial" w:eastAsia="Arial" w:hAnsi="Arial"/>
                <w:sz w:val="18"/>
                <w:szCs w:val="18"/>
                <w:color w:val="auto"/>
                <w:w w:val="99"/>
              </w:rPr>
              <w:t>(Principal Financial and Accounting Officer)</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378"/>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49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49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500"/>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r>
        <w:trPr>
          <w:trHeight w:val="499"/>
        </w:trPr>
        <w:tc>
          <w:tcPr>
            <w:tcW w:w="56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February 19, 2025</w:t>
            </w:r>
          </w:p>
        </w:tc>
      </w:tr>
    </w:tbl>
    <w:p>
      <w:pPr>
        <w:spacing w:after="0" w:line="388" w:lineRule="exact"/>
        <w:rPr>
          <w:sz w:val="20"/>
          <w:szCs w:val="20"/>
          <w:color w:val="auto"/>
        </w:rPr>
      </w:pPr>
    </w:p>
    <w:p>
      <w:pPr>
        <w:sectPr>
          <w:pgSz w:w="11900" w:h="16838" w:orient="portrait"/>
          <w:cols w:equalWidth="0" w:num="2">
            <w:col w:w="2340" w:space="480"/>
            <w:col w:w="8420"/>
          </w:cols>
          <w:pgMar w:left="320" w:top="1417"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94" w:name="page95"/>
    <w:bookmarkEnd w:id="94"/>
    <w:p>
      <w:pPr>
        <w:ind w:left="35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9" w:lineRule="exact"/>
        <w:rPr>
          <w:sz w:val="20"/>
          <w:szCs w:val="20"/>
          <w:color w:val="auto"/>
        </w:rPr>
      </w:pPr>
    </w:p>
    <w:p>
      <w:pPr>
        <w:ind w:right="4220"/>
        <w:spacing w:after="0" w:line="375" w:lineRule="auto"/>
        <w:rPr>
          <w:sz w:val="20"/>
          <w:szCs w:val="20"/>
          <w:color w:val="auto"/>
        </w:rPr>
      </w:pPr>
      <w:r>
        <w:rPr>
          <w:rFonts w:ascii="Arial" w:cs="Arial" w:eastAsia="Arial" w:hAnsi="Arial"/>
          <w:sz w:val="18"/>
          <w:szCs w:val="18"/>
          <w:u w:val="single" w:color="auto"/>
          <w:color w:val="0000FF"/>
        </w:rPr>
        <w:t>Report of Independent Registered Public Accounting Firm</w:t>
      </w:r>
      <w:r>
        <w:rPr>
          <w:rFonts w:ascii="Arial" w:cs="Arial" w:eastAsia="Arial" w:hAnsi="Arial"/>
          <w:sz w:val="18"/>
          <w:szCs w:val="18"/>
          <w:color w:val="0000FF"/>
        </w:rPr>
        <w:t xml:space="preserve"> </w:t>
      </w:r>
      <w:r>
        <w:rPr>
          <w:rFonts w:ascii="Arial" w:cs="Arial" w:eastAsia="Arial" w:hAnsi="Arial"/>
          <w:sz w:val="18"/>
          <w:szCs w:val="18"/>
          <w:color w:val="000000"/>
        </w:rPr>
        <w:t>(PCAOB ID 238)</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Consolidated Balance Sheets as of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-286385</wp:posOffset>
            </wp:positionV>
            <wp:extent cx="29216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7">
                      <a:extLst>
                        <a:ext uri="{28A0092B-C50C-407E-A947-70E740481C1C}"/>
                      </a:extLst>
                    </a:blip>
                    <a:srcRect/>
                    <a:stretch>
                      <a:fillRect/>
                    </a:stretch>
                  </pic:blipFill>
                  <pic:spPr bwMode="auto">
                    <a:xfrm>
                      <a:off x="0" y="0"/>
                      <a:ext cx="292163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-80645</wp:posOffset>
            </wp:positionV>
            <wp:extent cx="40716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8">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right="2840"/>
        <w:spacing w:after="0" w:line="271" w:lineRule="auto"/>
        <w:rPr>
          <w:sz w:val="20"/>
          <w:szCs w:val="20"/>
          <w:color w:val="auto"/>
        </w:rPr>
      </w:pPr>
      <w:r>
        <w:rPr>
          <w:rFonts w:ascii="Arial" w:cs="Arial" w:eastAsia="Arial" w:hAnsi="Arial"/>
          <w:sz w:val="18"/>
          <w:szCs w:val="18"/>
          <w:u w:val="single" w:color="auto"/>
          <w:color w:val="0000FF"/>
        </w:rPr>
        <w:t>Consolidated Statements of Income for the Years ended 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49796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9">
                      <a:extLst>
                        <a:ext uri="{28A0092B-C50C-407E-A947-70E740481C1C}"/>
                      </a:extLst>
                    </a:blip>
                    <a:srcRect/>
                    <a:stretch>
                      <a:fillRect/>
                    </a:stretch>
                  </pic:blipFill>
                  <pic:spPr bwMode="auto">
                    <a:xfrm>
                      <a:off x="0" y="0"/>
                      <a:ext cx="49796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12255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9" w:lineRule="exact"/>
        <w:rPr>
          <w:sz w:val="20"/>
          <w:szCs w:val="20"/>
          <w:color w:val="auto"/>
        </w:rPr>
      </w:pPr>
    </w:p>
    <w:p>
      <w:pPr>
        <w:spacing w:after="0" w:line="271" w:lineRule="auto"/>
        <w:rPr>
          <w:sz w:val="20"/>
          <w:szCs w:val="20"/>
          <w:color w:val="auto"/>
        </w:rPr>
      </w:pPr>
      <w:r>
        <w:rPr>
          <w:rFonts w:ascii="Arial" w:cs="Arial" w:eastAsia="Arial" w:hAnsi="Arial"/>
          <w:sz w:val="18"/>
          <w:szCs w:val="18"/>
          <w:u w:val="single" w:color="auto"/>
          <w:color w:val="0000FF"/>
        </w:rPr>
        <w:t>Consolidated Statements of Comprehensive Income for the Years ended 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67729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1">
                      <a:extLst>
                        <a:ext uri="{28A0092B-C50C-407E-A947-70E740481C1C}"/>
                      </a:extLst>
                    </a:blip>
                    <a:srcRect/>
                    <a:stretch>
                      <a:fillRect/>
                    </a:stretch>
                  </pic:blipFill>
                  <pic:spPr bwMode="auto">
                    <a:xfrm>
                      <a:off x="0" y="0"/>
                      <a:ext cx="67729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2540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2">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3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u w:val="single" w:color="auto"/>
          <w:color w:val="0000FF"/>
        </w:rPr>
        <w:t>Consolidated Statements of Changes in Shareholders’ Equity for the Years ended 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64909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3">
                      <a:extLst>
                        <a:ext uri="{28A0092B-C50C-407E-A947-70E740481C1C}"/>
                      </a:extLst>
                    </a:blip>
                    <a:srcRect/>
                    <a:stretch>
                      <a:fillRect/>
                    </a:stretch>
                  </pic:blipFill>
                  <pic:spPr bwMode="auto">
                    <a:xfrm>
                      <a:off x="0" y="0"/>
                      <a:ext cx="64909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10033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9" w:lineRule="exact"/>
        <w:rPr>
          <w:sz w:val="20"/>
          <w:szCs w:val="20"/>
          <w:color w:val="auto"/>
        </w:rPr>
      </w:pPr>
    </w:p>
    <w:p>
      <w:pPr>
        <w:ind w:right="4120"/>
        <w:spacing w:after="0" w:line="271" w:lineRule="auto"/>
        <w:rPr>
          <w:sz w:val="20"/>
          <w:szCs w:val="20"/>
          <w:color w:val="auto"/>
        </w:rPr>
      </w:pPr>
      <w:r>
        <w:rPr>
          <w:rFonts w:ascii="Arial" w:cs="Arial" w:eastAsia="Arial" w:hAnsi="Arial"/>
          <w:sz w:val="18"/>
          <w:szCs w:val="18"/>
          <w:u w:val="single" w:color="auto"/>
          <w:color w:val="0000FF"/>
        </w:rPr>
        <w:t>Consolidated Statements of Cash Flows for the Years ended 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41344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5">
                      <a:extLst>
                        <a:ext uri="{28A0092B-C50C-407E-A947-70E740481C1C}"/>
                      </a:extLst>
                    </a:blip>
                    <a:srcRect/>
                    <a:stretch>
                      <a:fillRect/>
                    </a:stretch>
                  </pic:blipFill>
                  <pic:spPr bwMode="auto">
                    <a:xfrm>
                      <a:off x="0" y="0"/>
                      <a:ext cx="413448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-44450</wp:posOffset>
            </wp:positionV>
            <wp:extent cx="22612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6">
                      <a:extLst>
                        <a:ext uri="{28A0092B-C50C-407E-A947-70E740481C1C}"/>
                      </a:extLst>
                    </a:blip>
                    <a:srcRect/>
                    <a:stretch>
                      <a:fillRect/>
                    </a:stretch>
                  </pic:blipFill>
                  <pic:spPr bwMode="auto">
                    <a:xfrm>
                      <a:off x="0" y="0"/>
                      <a:ext cx="226123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22231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7">
                      <a:extLst>
                        <a:ext uri="{28A0092B-C50C-407E-A947-70E740481C1C}"/>
                      </a:extLst>
                    </a:blip>
                    <a:srcRect/>
                    <a:stretch>
                      <a:fillRect/>
                    </a:stretch>
                  </pic:blipFill>
                  <pic:spPr bwMode="auto">
                    <a:xfrm>
                      <a:off x="0" y="0"/>
                      <a:ext cx="2223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F-10</w:t>
      </w:r>
    </w:p>
    <w:p>
      <w:pPr>
        <w:sectPr>
          <w:pgSz w:w="11900" w:h="16838" w:orient="portrait"/>
          <w:cols w:equalWidth="0" w:num="2">
            <w:col w:w="10640" w:space="200"/>
            <w:col w:w="360"/>
          </w:cols>
          <w:pgMar w:left="340" w:top="1417" w:right="359" w:bottom="1440" w:gutter="0" w:footer="0" w:header="0"/>
        </w:sectPr>
      </w:pPr>
    </w:p>
    <w:bookmarkStart w:id="95" w:name="page96"/>
    <w:bookmarkEnd w:id="95"/>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Parsons Corporation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1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We have audited the accompanying consolidated balance sheets of Parsons Corporation and its subsidiaries (the “Company”) as of December 31, 2024 and 2023, and the related consolidated statements of income, of comprehensive income, of changes in shareholders’ equity and of cash flows for each of the three years in the period ended December 31, 2024, including the related notes and schedule of valuation and qualifying accounts for each of the three years in the period ended December 31, 2024 appearing under Item 15(a)(2) (collectively referred to as the “consolidated financial statements”). We also have audited the Company's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(2013) issued by the Committee of Sponsoring Organizations of the Treadway Commission (COSO).</w:t>
      </w:r>
    </w:p>
    <w:p>
      <w:pPr>
        <w:spacing w:after="0" w:line="18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(2013) issued by the COSO.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Change in Accounting Principle</w:t>
      </w:r>
    </w:p>
    <w:p>
      <w:pPr>
        <w:spacing w:after="0" w:line="212"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debt with conversion and other options in 2024.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96" w:name="page97"/>
    <w:bookmarkEnd w:id="96"/>
    <w:p>
      <w:pPr>
        <w:spacing w:after="0" w:line="19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performing such other procedures as we considered necessary in the circumstances. We believe that our audits provide a reasonable basis for our opinions.</w:t>
      </w:r>
    </w:p>
    <w:p>
      <w:pPr>
        <w:spacing w:after="0" w:line="15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described in Management’s Annual Report on Internal Control over Financial Reporting, management has excluded BlackSignal Technologies, LLC (“BlackSignal”) and BCC Engineering, LLC (“BCC”) from its assessment of internal controls over financial reporting as of December 31, 2024, because they were acquired by the Company in purchase business combinations during 2024. We have also excluded BlackSignal and BCC from our audit of internal control over financial reporting. BlackSignal and BCC are wholly-owned subsidiaries whose total assets and total revenues excluded from management’s assessment and our audit of internal control over financial reporting represent approximately 4.3% and 4.8%, of total assets, respectively and approximately 0.3% and 0.3% of total revenues, respectively, of the related consolidated financial statement amounts as of and for the year ended December 31, 2024.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1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1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right="420"/>
        <w:spacing w:after="0" w:line="269" w:lineRule="auto"/>
        <w:rPr>
          <w:sz w:val="20"/>
          <w:szCs w:val="20"/>
          <w:color w:val="auto"/>
        </w:rPr>
      </w:pPr>
      <w:r>
        <w:rPr>
          <w:rFonts w:ascii="Arial" w:cs="Arial" w:eastAsia="Arial" w:hAnsi="Arial"/>
          <w:sz w:val="18"/>
          <w:szCs w:val="18"/>
          <w:i w:val="1"/>
          <w:iCs w:val="1"/>
          <w:color w:val="auto"/>
        </w:rPr>
        <w:t>Revenue Recognition – Determination of Estimated Contract Cost and Variable Consideration Related to Estimated Claims Revenue for Fixed-Price Contracts Recognized Over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Notes 2 and 4 to the consolidated financial statements, revenue is derived from long-term contracts with customers whereby the Company provides planning, design, engineering, technical, and construction and program management services. The Company enters into cost-plus, time-and-materials, and fixed-price contracts with its customers. Fixed-price contract revenue recognized was $2.8 billion for the year ended December 31, 2024, which accounts for approximately 42% of the Company’s consolidated revenue. Fixed-price contract revenue is recognized over time using an input measure (i.e., costs incurred to date relative to total estimated costs at completion) to measure progress. Under the cost-to-cost measure of progress method, the extent of progress towards completion is measured based on the ratio of total costs incurred-to-date to the total estimated costs at completion of the performance obligation. Revenues, including estimated fees or profits, are recorded proportionally as costs are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incurred. Management includes variable consideration, such as claims revenue, in the estimated transaction price to the extent it is probable that a significant reversal of cumulative revenue recognized will not occur or when the uncertainty associated with the variable consideration is resolved. Contract costs consist of direct costs on contracts, including labor and materials, amounts payable to subcontractors, direct overhead costs and equipment expense (primarily depreciation, fuel, maintenance and repairs). Changes to estimated contract costs, either due to unexpected events or revisions to management’s initial estimates, for a given project are recognized in the period in which they are determined. Recognition of profit on long-term contracts requires the use of assumptions and estimates related to total contract revenue and in particular estimated claims revenue, total estimated cost at completion, and the measurement of progress towards completion. Management’s estimates are continually evaluated as work progresses and are revised when necessary.</w:t>
      </w:r>
    </w:p>
    <w:p>
      <w:pPr>
        <w:spacing w:after="0" w:line="180"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specifically the determination of estimated contract cost and variable consideration related to estimated claims revenue for fixed-price contracts recognized over time is a critical audit matter are (i) the significant judgment by management in determining the estimated contract cost and variable consideration related to estimated claims revenue for fixed-price contracts recognized over time; (ii) a high degree of auditor judgment, subjectivity, and effort in performing procedures and evaluating audit evidence for the estimated contract cost and variable consideration related to estimated claims revenue for fixed-price contracts recognized over time.</w:t>
      </w:r>
    </w:p>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contract cost and variable consideration related to estimated claims revenue for fixed-price contracts recognized over time. These procedures also included, among others, for a selection of fixed-price contracts (i) evaluating and testing management’s process for determining the estimated contract cost and variable consideration related to estimated claims revenue, which included reading contracts and other documents related to the estimates, and testing of underlying incurred and estimated contract costs; (ii) assessing management’s ability to reasonably estimate total contract costs by performing a comparison of the actual estimated contract cost as compared with prior period estimates, including evaluating the timely identification of circumstances that may warrant a modification to the estimated contract cost; and (iii) evaluating estimated claims revenue by inquiry with external legal counsel regarding the underlying claim and agreeing estimated claims revenue to documents related to those estimates.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19, 2025</w:t>
      </w:r>
    </w:p>
    <w:p>
      <w:pPr>
        <w:spacing w:after="0" w:line="18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have served as the Company’s auditor since at least 1969. We have not been able to determine the specific year we began serving as auditor of the Company.</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shares and par value)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2"/>
        </w:trPr>
        <w:tc>
          <w:tcPr>
            <w:tcW w:w="7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$202,121 and $128,761 Cash of consolidated joint ventures)</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453,548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Accounts receivable, net (including $294,700 and $274,846 Accounts receivable of consolidated joint ventures, net)</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1,100,396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915,638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assets (including $7,906 and $11,096 Contract assets of consolidated joint ventures)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741,504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757,515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00" w:type="dxa"/>
            <w:vAlign w:val="bottom"/>
          </w:tcPr>
          <w:p>
            <w:pPr>
              <w:ind w:left="260"/>
              <w:spacing w:after="0" w:line="153" w:lineRule="exact"/>
              <w:rPr>
                <w:sz w:val="20"/>
                <w:szCs w:val="20"/>
                <w:color w:val="auto"/>
              </w:rPr>
            </w:pPr>
            <w:r>
              <w:rPr>
                <w:rFonts w:ascii="Arial" w:cs="Arial" w:eastAsia="Arial" w:hAnsi="Arial"/>
                <w:sz w:val="14"/>
                <w:szCs w:val="14"/>
                <w:color w:val="auto"/>
              </w:rPr>
              <w:t>Prepaid expenses and other current assets (including $14,723 and $11,929 Prepaid expenses and other current</w:t>
            </w:r>
          </w:p>
        </w:tc>
        <w:tc>
          <w:tcPr>
            <w:tcW w:w="10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166,952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191,430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260"/>
              <w:spacing w:after="0" w:line="158" w:lineRule="exact"/>
              <w:rPr>
                <w:sz w:val="20"/>
                <w:szCs w:val="20"/>
                <w:color w:val="auto"/>
              </w:rPr>
            </w:pPr>
            <w:r>
              <w:rPr>
                <w:rFonts w:ascii="Arial" w:cs="Arial" w:eastAsia="Arial" w:hAnsi="Arial"/>
                <w:sz w:val="14"/>
                <w:szCs w:val="14"/>
                <w:color w:val="auto"/>
              </w:rPr>
              <w:t>assets of consolidated joint ventures)</w:t>
            </w: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0" w:type="dxa"/>
            <w:vAlign w:val="bottom"/>
            <w:tcBorders>
              <w:bottom w:val="single" w:sz="8" w:color="CFF0FC"/>
            </w:tcBorders>
            <w:shd w:val="clear" w:color="auto" w:fill="CFF0FC"/>
          </w:tcPr>
          <w:p>
            <w:pPr>
              <w:ind w:left="440"/>
              <w:spacing w:after="0" w:line="155" w:lineRule="exact"/>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2,462,400</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2,137,526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FF0FC"/>
          </w:tcPr>
          <w:p>
            <w:pPr>
              <w:ind w:left="260"/>
              <w:spacing w:after="0" w:line="153" w:lineRule="exact"/>
              <w:rPr>
                <w:sz w:val="20"/>
                <w:szCs w:val="20"/>
                <w:color w:val="auto"/>
              </w:rPr>
            </w:pPr>
            <w:r>
              <w:rPr>
                <w:rFonts w:ascii="Arial" w:cs="Arial" w:eastAsia="Arial" w:hAnsi="Arial"/>
                <w:sz w:val="14"/>
                <w:szCs w:val="14"/>
                <w:color w:val="auto"/>
              </w:rPr>
              <w:t>Property and equipment, net (including $2,971 and $3,274 Property and equipment of consolidated joint ventures,</w:t>
            </w: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111,575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00" w:type="dxa"/>
            <w:vAlign w:val="bottom"/>
          </w:tcPr>
          <w:p>
            <w:pPr>
              <w:ind w:left="260"/>
              <w:spacing w:after="0" w:line="153" w:lineRule="exact"/>
              <w:rPr>
                <w:sz w:val="20"/>
                <w:szCs w:val="20"/>
                <w:color w:val="auto"/>
              </w:rPr>
            </w:pPr>
            <w:r>
              <w:rPr>
                <w:rFonts w:ascii="Arial" w:cs="Arial" w:eastAsia="Arial" w:hAnsi="Arial"/>
                <w:sz w:val="14"/>
                <w:szCs w:val="14"/>
                <w:color w:val="auto"/>
              </w:rPr>
              <w:t>Right of use assets, operating leases (including $5,726 and $9,885 Right of use assets, operating leases of</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60"/>
              <w:spacing w:after="0"/>
              <w:rPr>
                <w:sz w:val="20"/>
                <w:szCs w:val="20"/>
                <w:color w:val="auto"/>
              </w:rPr>
            </w:pPr>
            <w:r>
              <w:rPr>
                <w:rFonts w:ascii="Arial" w:cs="Arial" w:eastAsia="Arial" w:hAnsi="Arial"/>
                <w:sz w:val="14"/>
                <w:szCs w:val="14"/>
                <w:color w:val="auto"/>
              </w:rPr>
              <w:t>consolidated joint ventures)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153,048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159,211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2,082,680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1,792,665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138,759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128,204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349,937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275,566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133,450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140,162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56,113</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71,770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0" w:type="dxa"/>
            <w:vAlign w:val="bottom"/>
          </w:tcPr>
          <w:p>
            <w:pPr>
              <w:ind w:left="440"/>
              <w:spacing w:after="0" w:line="155" w:lineRule="exact"/>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5,487,962</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4,804,061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Accounts payable (including $28,214 and $49,234 Accounts payable of consolidated joint ventures)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207,589</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242,821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FF0FC"/>
          </w:tcPr>
          <w:p>
            <w:pPr>
              <w:ind w:left="260"/>
              <w:spacing w:after="0" w:line="153" w:lineRule="exact"/>
              <w:rPr>
                <w:sz w:val="20"/>
                <w:szCs w:val="20"/>
                <w:color w:val="auto"/>
              </w:rPr>
            </w:pPr>
            <w:r>
              <w:rPr>
                <w:rFonts w:ascii="Arial" w:cs="Arial" w:eastAsia="Arial" w:hAnsi="Arial"/>
                <w:sz w:val="14"/>
                <w:szCs w:val="14"/>
                <w:color w:val="auto"/>
              </w:rPr>
              <w:t>Accrued expenses and other current liabilities (including $198,797 and $145,040 Accrued expenses and other</w:t>
            </w: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liabilities of consolidated joint ventures)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894,425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801,423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Contract liabilities (including $66,144 and $61,234 Contract liabilities of consolidated joint ventures)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289,799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301,107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FF0FC"/>
          </w:tcPr>
          <w:p>
            <w:pPr>
              <w:ind w:left="260"/>
              <w:spacing w:after="0" w:line="153" w:lineRule="exact"/>
              <w:rPr>
                <w:sz w:val="20"/>
                <w:szCs w:val="20"/>
                <w:color w:val="auto"/>
              </w:rPr>
            </w:pPr>
            <w:r>
              <w:rPr>
                <w:rFonts w:ascii="Arial" w:cs="Arial" w:eastAsia="Arial" w:hAnsi="Arial"/>
                <w:sz w:val="14"/>
                <w:szCs w:val="14"/>
                <w:color w:val="auto"/>
              </w:rPr>
              <w:t>Short-term lease liabilities, operating leases (including $3,522 and $4,753 Short-term lease liabilities, operating</w:t>
            </w: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52,725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58,556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Income taxes payable</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7,701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Short-term debt</w:t>
            </w: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463,405</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0" w:type="dxa"/>
            <w:vAlign w:val="bottom"/>
          </w:tcPr>
          <w:p>
            <w:pPr>
              <w:ind w:left="440"/>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1,915,644</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1,410,884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Long-term employee incentives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31,818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22,924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784,096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745,963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00" w:type="dxa"/>
            <w:vAlign w:val="bottom"/>
          </w:tcPr>
          <w:p>
            <w:pPr>
              <w:ind w:left="260"/>
              <w:spacing w:after="0" w:line="153" w:lineRule="exact"/>
              <w:rPr>
                <w:sz w:val="20"/>
                <w:szCs w:val="20"/>
                <w:color w:val="auto"/>
              </w:rPr>
            </w:pPr>
            <w:r>
              <w:rPr>
                <w:rFonts w:ascii="Arial" w:cs="Arial" w:eastAsia="Arial" w:hAnsi="Arial"/>
                <w:sz w:val="14"/>
                <w:szCs w:val="14"/>
                <w:color w:val="auto"/>
              </w:rPr>
              <w:t>Long-term lease liabilities, operating leases (including $2,203 and $5,132 Long-term lease liabilities, operating</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60"/>
              <w:spacing w:after="0"/>
              <w:rPr>
                <w:sz w:val="20"/>
                <w:szCs w:val="20"/>
                <w:color w:val="auto"/>
              </w:rPr>
            </w:pPr>
            <w:r>
              <w:rPr>
                <w:rFonts w:ascii="Arial" w:cs="Arial" w:eastAsia="Arial" w:hAnsi="Arial"/>
                <w:sz w:val="14"/>
                <w:szCs w:val="14"/>
                <w:color w:val="auto"/>
              </w:rPr>
              <w:t>leases of consolidated joint ventures)</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114,386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117,505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Other long-term liabilities</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96,486</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0" w:type="dxa"/>
            <w:vAlign w:val="bottom"/>
            <w:tcBorders>
              <w:bottom w:val="single" w:sz="8" w:color="CFF0FC"/>
            </w:tcBorders>
            <w:shd w:val="clear" w:color="auto" w:fill="CFF0FC"/>
          </w:tcPr>
          <w:p>
            <w:pPr>
              <w:ind w:left="440"/>
              <w:spacing w:after="0" w:line="155" w:lineRule="exact"/>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2,953,473</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2,427,346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00" w:type="dxa"/>
            <w:vAlign w:val="bottom"/>
          </w:tcPr>
          <w:p>
            <w:pPr>
              <w:ind w:left="20"/>
              <w:spacing w:after="0" w:line="155" w:lineRule="exact"/>
              <w:rPr>
                <w:sz w:val="20"/>
                <w:szCs w:val="20"/>
                <w:color w:val="auto"/>
              </w:rPr>
            </w:pPr>
            <w:r>
              <w:rPr>
                <w:rFonts w:ascii="Arial" w:cs="Arial" w:eastAsia="Arial" w:hAnsi="Arial"/>
                <w:sz w:val="14"/>
                <w:szCs w:val="14"/>
                <w:color w:val="auto"/>
              </w:rPr>
              <w:t>Contingencies (Note 12)</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Shareholders' equity:</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800" w:type="dxa"/>
            <w:vAlign w:val="bottom"/>
          </w:tcPr>
          <w:p>
            <w:pPr>
              <w:ind w:left="260"/>
              <w:spacing w:after="0" w:line="153" w:lineRule="exact"/>
              <w:rPr>
                <w:sz w:val="20"/>
                <w:szCs w:val="20"/>
                <w:color w:val="auto"/>
              </w:rPr>
            </w:pPr>
            <w:r>
              <w:rPr>
                <w:rFonts w:ascii="Arial" w:cs="Arial" w:eastAsia="Arial" w:hAnsi="Arial"/>
                <w:sz w:val="14"/>
                <w:szCs w:val="14"/>
                <w:color w:val="auto"/>
              </w:rPr>
              <w:t>Common stock, $1 par value; authorized 1,000,000,000 shares; 146,656,225 and 146,341,363 shares issued;</w:t>
            </w: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260"/>
              <w:spacing w:after="0"/>
              <w:rPr>
                <w:sz w:val="20"/>
                <w:szCs w:val="20"/>
                <w:color w:val="auto"/>
              </w:rPr>
            </w:pPr>
            <w:r>
              <w:rPr>
                <w:rFonts w:ascii="Arial" w:cs="Arial" w:eastAsia="Arial" w:hAnsi="Arial"/>
                <w:sz w:val="14"/>
                <w:szCs w:val="14"/>
                <w:color w:val="auto"/>
              </w:rPr>
              <w:t>52,657,447 and 45,960,122 public shares outstanding; 54,117,904 and 59,879,857 ESOP shares outstanding</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146,655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146,341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Treasury stock, 39,880,875 shares at cost</w:t>
            </w:r>
          </w:p>
        </w:tc>
        <w:tc>
          <w:tcPr>
            <w:tcW w:w="10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(815,282 )</w:t>
            </w:r>
          </w:p>
        </w:tc>
        <w:tc>
          <w:tcPr>
            <w:tcW w:w="1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(827,311 )</w:t>
            </w: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2,684,829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2,779,365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426,781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203,724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4"/>
                <w:szCs w:val="14"/>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(26,594 )</w:t>
            </w:r>
          </w:p>
        </w:tc>
        <w:tc>
          <w:tcPr>
            <w:tcW w:w="100" w:type="dxa"/>
            <w:vAlign w:val="bottom"/>
          </w:tcPr>
          <w:p>
            <w:pPr>
              <w:spacing w:after="0"/>
              <w:rPr>
                <w:sz w:val="14"/>
                <w:szCs w:val="1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4"/>
                <w:szCs w:val="14"/>
                <w:color w:val="auto"/>
              </w:rPr>
              <w:t>(14,908 )</w:t>
            </w:r>
          </w:p>
        </w:tc>
        <w:tc>
          <w:tcPr>
            <w:tcW w:w="0" w:type="dxa"/>
            <w:vAlign w:val="bottom"/>
          </w:tcPr>
          <w:p>
            <w:pPr>
              <w:spacing w:after="0"/>
              <w:rPr>
                <w:sz w:val="1"/>
                <w:szCs w:val="1"/>
                <w:color w:val="auto"/>
              </w:rPr>
            </w:pPr>
          </w:p>
        </w:tc>
      </w:tr>
      <w:tr>
        <w:trPr>
          <w:trHeight w:val="155"/>
        </w:trPr>
        <w:tc>
          <w:tcPr>
            <w:tcW w:w="78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Parsons Corporation shareholders' equity</w:t>
            </w:r>
          </w:p>
        </w:tc>
        <w:tc>
          <w:tcPr>
            <w:tcW w:w="10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2,416,389</w:t>
            </w: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2,287,211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6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118,100</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0" w:type="dxa"/>
            <w:vAlign w:val="bottom"/>
            <w:tcBorders>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shareholders' equity</w:t>
            </w:r>
          </w:p>
        </w:tc>
        <w:tc>
          <w:tcPr>
            <w:tcW w:w="10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2,534,489</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2,376,715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0" w:type="dxa"/>
            <w:vAlign w:val="bottom"/>
          </w:tcPr>
          <w:p>
            <w:pPr>
              <w:ind w:left="44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5,487,962</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4,804,061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-4551045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-4551045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-3514090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-2245360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-1293495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-136525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9" w:name="page100"/>
    <w:bookmarkEnd w:id="9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b w:val="1"/>
          <w:bCs w:val="1"/>
          <w:color w:val="auto"/>
        </w:rPr>
        <w:t>Years Ended December 31, 2024, December 31, 2023 and December 31, 2022</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6,750,576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5,442,749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4,195,272</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Direct cost of contracts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5,344,154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4,236,735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3,248,550</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in (losses) earnings of unconsolidated joint ventures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(23,361 )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(47,751 )</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16,347</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954,995</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869,905</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777,403</w:t>
            </w:r>
          </w:p>
        </w:tc>
        <w:tc>
          <w:tcPr>
            <w:tcW w:w="100" w:type="dxa"/>
            <w:vAlign w:val="bottom"/>
          </w:tcPr>
          <w:p>
            <w:pPr>
              <w:spacing w:after="0"/>
              <w:rPr>
                <w:sz w:val="17"/>
                <w:szCs w:val="17"/>
                <w:color w:val="auto"/>
              </w:rPr>
            </w:pPr>
          </w:p>
        </w:tc>
      </w:tr>
      <w:tr>
        <w:trPr>
          <w:trHeight w:val="196"/>
        </w:trPr>
        <w:tc>
          <w:tcPr>
            <w:tcW w:w="66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428,066</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288,358</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185,666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11,428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966</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(51,582 )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(31,497 )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(23,185 )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Convertible debt repurchase loss</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(18,355 )</w:t>
            </w:r>
          </w:p>
        </w:tc>
        <w:tc>
          <w:tcPr>
            <w:tcW w:w="32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(1,906 )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2,775</w:t>
            </w:r>
          </w:p>
        </w:tc>
        <w:tc>
          <w:tcPr>
            <w:tcW w:w="100" w:type="dxa"/>
            <w:vAlign w:val="bottom"/>
            <w:shd w:val="clear" w:color="auto" w:fill="CFF0FC"/>
          </w:tcPr>
          <w:p>
            <w:pPr>
              <w:spacing w:after="0"/>
              <w:rPr>
                <w:sz w:val="17"/>
                <w:szCs w:val="17"/>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00" w:type="dxa"/>
            <w:vAlign w:val="bottom"/>
          </w:tcPr>
          <w:p>
            <w:pPr>
              <w:ind w:left="280"/>
              <w:spacing w:after="0" w:line="196" w:lineRule="exact"/>
              <w:rPr>
                <w:sz w:val="20"/>
                <w:szCs w:val="20"/>
                <w:color w:val="auto"/>
              </w:rPr>
            </w:pPr>
            <w:r>
              <w:rPr>
                <w:rFonts w:ascii="Arial" w:cs="Arial" w:eastAsia="Arial" w:hAnsi="Arial"/>
                <w:sz w:val="18"/>
                <w:szCs w:val="18"/>
                <w:color w:val="auto"/>
              </w:rPr>
              <w:t>Total other (expense) income</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(60,415 )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(24,305 )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(19,444 )</w:t>
            </w:r>
          </w:p>
        </w:tc>
      </w:tr>
      <w:tr>
        <w:trPr>
          <w:trHeight w:val="196"/>
        </w:trPr>
        <w:tc>
          <w:tcPr>
            <w:tcW w:w="660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Income before income tax expense</w:t>
            </w: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367,651</w:t>
            </w: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264,053</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166,222</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(76,986 )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(56,138 )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(39,657 )</w:t>
            </w:r>
          </w:p>
        </w:tc>
      </w:tr>
      <w:tr>
        <w:trPr>
          <w:trHeight w:val="196"/>
        </w:trPr>
        <w:tc>
          <w:tcPr>
            <w:tcW w:w="660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290,665</w:t>
            </w: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207,915</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126,565</w:t>
            </w:r>
          </w:p>
        </w:tc>
        <w:tc>
          <w:tcPr>
            <w:tcW w:w="100" w:type="dxa"/>
            <w:vAlign w:val="bottom"/>
            <w:shd w:val="clear" w:color="auto" w:fill="CFF0FC"/>
          </w:tcPr>
          <w:p>
            <w:pPr>
              <w:spacing w:after="0"/>
              <w:rPr>
                <w:sz w:val="17"/>
                <w:szCs w:val="17"/>
                <w:color w:val="auto"/>
              </w:rPr>
            </w:pPr>
          </w:p>
        </w:tc>
      </w:tr>
      <w:tr>
        <w:trPr>
          <w:trHeight w:val="202"/>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(55,612 )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(46,766 )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(29,901 )</w:t>
            </w:r>
          </w:p>
        </w:tc>
      </w:tr>
      <w:tr>
        <w:trPr>
          <w:trHeight w:val="236"/>
        </w:trPr>
        <w:tc>
          <w:tcPr>
            <w:tcW w:w="66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235,053</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161,149</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96,664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6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1.53</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6600" w:type="dxa"/>
            <w:vAlign w:val="bottom"/>
          </w:tcPr>
          <w:p>
            <w:pPr>
              <w:ind w:left="280"/>
              <w:spacing w:after="0" w:line="183" w:lineRule="exact"/>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2.12</w:t>
            </w:r>
          </w:p>
        </w:tc>
        <w:tc>
          <w:tcPr>
            <w:tcW w:w="26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1.42</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0.87</w:t>
            </w:r>
          </w:p>
        </w:tc>
        <w:tc>
          <w:tcPr>
            <w:tcW w:w="100" w:type="dxa"/>
            <w:vAlign w:val="bottom"/>
          </w:tcPr>
          <w:p>
            <w:pPr>
              <w:spacing w:after="0"/>
              <w:rPr>
                <w:sz w:val="15"/>
                <w:szCs w:val="15"/>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-1790700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-1268095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-1268095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-462280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-445135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-462280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-445135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-179070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-161925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-161925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jc w:val="center"/>
        <w:spacing w:after="0" w:line="248" w:lineRule="auto"/>
        <w:rPr>
          <w:sz w:val="20"/>
          <w:szCs w:val="20"/>
          <w:color w:val="auto"/>
        </w:rPr>
      </w:pPr>
      <w:r>
        <w:rPr>
          <w:rFonts w:ascii="Arial" w:cs="Arial" w:eastAsia="Arial" w:hAnsi="Arial"/>
          <w:sz w:val="18"/>
          <w:szCs w:val="18"/>
          <w:b w:val="1"/>
          <w:bCs w:val="1"/>
          <w:color w:val="auto"/>
        </w:rPr>
        <w:t xml:space="preserve">PARSONS CORPORATION AND SUBSIDIARIES Consolidated Statements of Comprehensive Income Years Ended December 31, 2024, December 31, 2023 and December 31, 2022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290,665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207,915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126,565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(11,546 )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(7,752 )</w:t>
            </w: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Pension adjustments, net of tax</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(131 )</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568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(547 )</w:t>
            </w:r>
          </w:p>
        </w:tc>
        <w:tc>
          <w:tcPr>
            <w:tcW w:w="0" w:type="dxa"/>
            <w:vAlign w:val="bottom"/>
          </w:tcPr>
          <w:p>
            <w:pPr>
              <w:spacing w:after="0"/>
              <w:rPr>
                <w:sz w:val="1"/>
                <w:szCs w:val="1"/>
                <w:color w:val="auto"/>
              </w:rPr>
            </w:pPr>
          </w:p>
        </w:tc>
      </w:tr>
      <w:tr>
        <w:trPr>
          <w:trHeight w:val="177"/>
        </w:trPr>
        <w:tc>
          <w:tcPr>
            <w:tcW w:w="6600" w:type="dxa"/>
            <w:vAlign w:val="bottom"/>
            <w:shd w:val="clear" w:color="auto" w:fill="CFF0FC"/>
          </w:tcPr>
          <w:p>
            <w:pPr>
              <w:ind w:left="520"/>
              <w:spacing w:after="0" w:line="177" w:lineRule="exact"/>
              <w:rPr>
                <w:sz w:val="20"/>
                <w:szCs w:val="20"/>
                <w:color w:val="auto"/>
              </w:rPr>
            </w:pPr>
            <w:r>
              <w:rPr>
                <w:rFonts w:ascii="Arial" w:cs="Arial" w:eastAsia="Arial" w:hAnsi="Arial"/>
                <w:sz w:val="18"/>
                <w:szCs w:val="18"/>
                <w:color w:val="auto"/>
              </w:rPr>
              <w:t>Comprehensive income including noncontrolling</w:t>
            </w: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FF0FC"/>
          </w:tcPr>
          <w:p>
            <w:pPr>
              <w:ind w:left="680"/>
              <w:spacing w:after="0"/>
              <w:rPr>
                <w:sz w:val="20"/>
                <w:szCs w:val="20"/>
                <w:color w:val="auto"/>
              </w:rPr>
            </w:pPr>
            <w:r>
              <w:rPr>
                <w:rFonts w:ascii="Arial" w:cs="Arial" w:eastAsia="Arial" w:hAnsi="Arial"/>
                <w:sz w:val="18"/>
                <w:szCs w:val="18"/>
                <w:color w:val="auto"/>
              </w:rPr>
              <w:t>interests, net of tax</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278,988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Comprehensive income attributable to noncontrolling interests, net of tax</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(55,621 )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(46,768 )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(29,883 )</w:t>
            </w:r>
          </w:p>
        </w:tc>
        <w:tc>
          <w:tcPr>
            <w:tcW w:w="0" w:type="dxa"/>
            <w:vAlign w:val="bottom"/>
          </w:tcPr>
          <w:p>
            <w:pPr>
              <w:spacing w:after="0"/>
              <w:rPr>
                <w:sz w:val="1"/>
                <w:szCs w:val="1"/>
                <w:color w:val="auto"/>
              </w:rPr>
            </w:pPr>
          </w:p>
        </w:tc>
      </w:tr>
      <w:tr>
        <w:trPr>
          <w:trHeight w:val="177"/>
        </w:trPr>
        <w:tc>
          <w:tcPr>
            <w:tcW w:w="6600" w:type="dxa"/>
            <w:vAlign w:val="bottom"/>
            <w:shd w:val="clear" w:color="auto" w:fill="CFF0FC"/>
          </w:tcPr>
          <w:p>
            <w:pPr>
              <w:ind w:left="520"/>
              <w:spacing w:after="0" w:line="177" w:lineRule="exact"/>
              <w:rPr>
                <w:sz w:val="20"/>
                <w:szCs w:val="20"/>
                <w:color w:val="auto"/>
              </w:rPr>
            </w:pPr>
            <w:r>
              <w:rPr>
                <w:rFonts w:ascii="Arial" w:cs="Arial" w:eastAsia="Arial" w:hAnsi="Arial"/>
                <w:sz w:val="18"/>
                <w:szCs w:val="18"/>
                <w:color w:val="auto"/>
              </w:rPr>
              <w:t>Comprehensive income attributable to Parsons</w:t>
            </w:r>
          </w:p>
        </w:tc>
        <w:tc>
          <w:tcPr>
            <w:tcW w:w="320" w:type="dxa"/>
            <w:vAlign w:val="bottom"/>
            <w:tcBorders>
              <w:top w:val="single" w:sz="8" w:color="auto"/>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223,367</w:t>
            </w:r>
          </w:p>
        </w:tc>
        <w:tc>
          <w:tcPr>
            <w:tcW w:w="260" w:type="dxa"/>
            <w:vAlign w:val="bottom"/>
            <w:shd w:val="clear" w:color="auto" w:fill="CFF0FC"/>
          </w:tcPr>
          <w:p>
            <w:pPr>
              <w:spacing w:after="0"/>
              <w:rPr>
                <w:sz w:val="15"/>
                <w:szCs w:val="15"/>
                <w:color w:val="auto"/>
              </w:rPr>
            </w:pPr>
          </w:p>
        </w:tc>
        <w:tc>
          <w:tcPr>
            <w:tcW w:w="320" w:type="dxa"/>
            <w:vAlign w:val="bottom"/>
            <w:tcBorders>
              <w:top w:val="single" w:sz="8" w:color="auto"/>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164,090</w:t>
            </w:r>
          </w:p>
        </w:tc>
        <w:tc>
          <w:tcPr>
            <w:tcW w:w="260" w:type="dxa"/>
            <w:vAlign w:val="bottom"/>
            <w:shd w:val="clear" w:color="auto" w:fill="CFF0FC"/>
          </w:tcPr>
          <w:p>
            <w:pPr>
              <w:spacing w:after="0"/>
              <w:rPr>
                <w:sz w:val="15"/>
                <w:szCs w:val="15"/>
                <w:color w:val="auto"/>
              </w:rPr>
            </w:pPr>
          </w:p>
        </w:tc>
        <w:tc>
          <w:tcPr>
            <w:tcW w:w="300" w:type="dxa"/>
            <w:vAlign w:val="bottom"/>
            <w:tcBorders>
              <w:top w:val="single" w:sz="8" w:color="auto"/>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88,383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600" w:type="dxa"/>
            <w:vAlign w:val="bottom"/>
            <w:tcBorders>
              <w:bottom w:val="single" w:sz="8" w:color="CFF0FC"/>
            </w:tcBorders>
            <w:shd w:val="clear" w:color="auto" w:fill="CFF0FC"/>
          </w:tcPr>
          <w:p>
            <w:pPr>
              <w:ind w:left="680"/>
              <w:spacing w:after="0" w:line="161" w:lineRule="exact"/>
              <w:rPr>
                <w:sz w:val="20"/>
                <w:szCs w:val="20"/>
                <w:color w:val="auto"/>
              </w:rPr>
            </w:pPr>
            <w:r>
              <w:rPr>
                <w:rFonts w:ascii="Arial" w:cs="Arial" w:eastAsia="Arial" w:hAnsi="Arial"/>
                <w:sz w:val="18"/>
                <w:szCs w:val="18"/>
                <w:color w:val="auto"/>
              </w:rPr>
              <w:t>Corporation, net of tax</w:t>
            </w:r>
          </w:p>
        </w:tc>
        <w:tc>
          <w:tcPr>
            <w:tcW w:w="3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4"/>
          <w:szCs w:val="14"/>
          <w:b w:val="1"/>
          <w:bCs w:val="1"/>
          <w:color w:val="auto"/>
        </w:rPr>
        <w:t>PARSONS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Shareholders’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 December 31, 2024, December 31, 2023 and December 31,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380"/>
              <w:spacing w:after="0" w:line="131" w:lineRule="exact"/>
              <w:rPr>
                <w:sz w:val="20"/>
                <w:szCs w:val="20"/>
                <w:color w:val="auto"/>
              </w:rPr>
            </w:pPr>
            <w:r>
              <w:rPr>
                <w:rFonts w:ascii="Arial" w:cs="Arial" w:eastAsia="Arial" w:hAnsi="Arial"/>
                <w:sz w:val="13"/>
                <w:szCs w:val="13"/>
                <w:b w:val="1"/>
                <w:bCs w:val="1"/>
                <w:color w:val="auto"/>
                <w:w w:val="98"/>
              </w:rPr>
              <w:t>Retained</w:t>
            </w:r>
          </w:p>
        </w:tc>
        <w:tc>
          <w:tcPr>
            <w:tcW w:w="1140" w:type="dxa"/>
            <w:vAlign w:val="bottom"/>
            <w:tcBorders>
              <w:top w:val="single" w:sz="8" w:color="auto"/>
            </w:tcBorders>
            <w:gridSpan w:val="3"/>
          </w:tcPr>
          <w:p>
            <w:pPr>
              <w:jc w:val="center"/>
              <w:ind w:right="240"/>
              <w:spacing w:after="0" w:line="131"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80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9"/>
              </w:rPr>
              <w:t>Commo</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9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6"/>
              </w:rPr>
              <w:t>Earnings</w:t>
            </w:r>
          </w:p>
        </w:tc>
        <w:tc>
          <w:tcPr>
            <w:tcW w:w="180" w:type="dxa"/>
            <w:vAlign w:val="bottom"/>
          </w:tcPr>
          <w:p>
            <w:pPr>
              <w:spacing w:after="0"/>
              <w:rPr>
                <w:sz w:val="11"/>
                <w:szCs w:val="11"/>
                <w:color w:val="auto"/>
              </w:rPr>
            </w:pPr>
          </w:p>
        </w:tc>
        <w:tc>
          <w:tcPr>
            <w:tcW w:w="96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8"/>
              </w:rPr>
              <w:t>Treasury</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6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(Accumulate</w:t>
            </w: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n</w:t>
            </w: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74"/>
              </w:rPr>
              <w:t>d</w:t>
            </w:r>
          </w:p>
        </w:tc>
        <w:tc>
          <w:tcPr>
            <w:tcW w:w="180" w:type="dxa"/>
            <w:vAlign w:val="bottom"/>
          </w:tcPr>
          <w:p>
            <w:pPr>
              <w:spacing w:after="0"/>
              <w:rPr>
                <w:sz w:val="11"/>
                <w:szCs w:val="11"/>
                <w:color w:val="auto"/>
              </w:rPr>
            </w:pPr>
          </w:p>
        </w:tc>
        <w:tc>
          <w:tcPr>
            <w:tcW w:w="96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2"/>
              </w:rPr>
              <w:t>e</w:t>
            </w:r>
          </w:p>
        </w:tc>
        <w:tc>
          <w:tcPr>
            <w:tcW w:w="140" w:type="dxa"/>
            <w:vAlign w:val="bottom"/>
          </w:tcPr>
          <w:p>
            <w:pPr>
              <w:spacing w:after="0"/>
              <w:rPr>
                <w:sz w:val="11"/>
                <w:szCs w:val="11"/>
                <w:color w:val="auto"/>
              </w:rPr>
            </w:pPr>
          </w:p>
        </w:tc>
        <w:tc>
          <w:tcPr>
            <w:tcW w:w="100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3"/>
              </w:rPr>
              <w:t>Parsons</w:t>
            </w: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Deficit)</w:t>
            </w:r>
          </w:p>
        </w:tc>
        <w:tc>
          <w:tcPr>
            <w:tcW w:w="220" w:type="dxa"/>
            <w:vAlign w:val="bottom"/>
          </w:tcPr>
          <w:p>
            <w:pPr>
              <w:spacing w:after="0"/>
              <w:rPr>
                <w:sz w:val="13"/>
                <w:szCs w:val="13"/>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(Loss) Income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rPr>
              <w:t>Equity</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Interests</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920" w:type="dxa"/>
            <w:vAlign w:val="bottom"/>
            <w:gridSpan w:val="2"/>
            <w:shd w:val="clear" w:color="auto" w:fill="CFF0FC"/>
          </w:tcPr>
          <w:p>
            <w:pPr>
              <w:ind w:left="20"/>
              <w:spacing w:after="0" w:line="111" w:lineRule="exact"/>
              <w:rPr>
                <w:sz w:val="20"/>
                <w:szCs w:val="20"/>
                <w:color w:val="auto"/>
              </w:rPr>
            </w:pPr>
            <w:r>
              <w:rPr>
                <w:rFonts w:ascii="Arial" w:cs="Arial" w:eastAsia="Arial" w:hAnsi="Arial"/>
                <w:sz w:val="12"/>
                <w:szCs w:val="12"/>
                <w:b w:val="1"/>
                <w:bCs w:val="1"/>
                <w:color w:val="auto"/>
              </w:rPr>
              <w:t>Balances at December 31, 2021</w:t>
            </w:r>
          </w:p>
        </w:tc>
        <w:tc>
          <w:tcPr>
            <w:tcW w:w="48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color w:val="auto"/>
              </w:rPr>
              <w:t>146,27</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(867,391 )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2,684,979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(53,529 )</w:t>
            </w: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(9,568 )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1,900,768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36,344</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1,937,112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20" w:type="dxa"/>
            <w:vAlign w:val="bottom"/>
            <w:tcBorders>
              <w:top w:val="single" w:sz="8" w:color="CFF0FC"/>
            </w:tcBorders>
          </w:tcPr>
          <w:p>
            <w:pPr>
              <w:ind w:left="20"/>
              <w:spacing w:after="0" w:line="129" w:lineRule="exact"/>
              <w:rPr>
                <w:sz w:val="20"/>
                <w:szCs w:val="20"/>
                <w:color w:val="auto"/>
              </w:rPr>
            </w:pPr>
            <w:r>
              <w:rPr>
                <w:rFonts w:ascii="Arial" w:cs="Arial" w:eastAsia="Arial" w:hAnsi="Arial"/>
                <w:sz w:val="13"/>
                <w:szCs w:val="13"/>
                <w:color w:val="auto"/>
              </w:rPr>
              <w:t>Comprehensive income</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FF0FC"/>
          </w:tcPr>
          <w:p>
            <w:pPr>
              <w:ind w:left="200"/>
              <w:spacing w:after="0" w:line="135" w:lineRule="exact"/>
              <w:rPr>
                <w:sz w:val="20"/>
                <w:szCs w:val="20"/>
                <w:color w:val="auto"/>
              </w:rPr>
            </w:pPr>
            <w:r>
              <w:rPr>
                <w:rFonts w:ascii="Arial" w:cs="Arial" w:eastAsia="Arial" w:hAnsi="Arial"/>
                <w:sz w:val="13"/>
                <w:szCs w:val="13"/>
                <w:color w:val="auto"/>
              </w:rPr>
              <w:t>Net income</w:t>
            </w: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96,664</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96,664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29,901</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126,565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gridSpan w:val="2"/>
          </w:tcPr>
          <w:p>
            <w:pPr>
              <w:ind w:left="200"/>
              <w:spacing w:after="0" w:line="117" w:lineRule="exact"/>
              <w:rPr>
                <w:sz w:val="20"/>
                <w:szCs w:val="20"/>
                <w:color w:val="auto"/>
              </w:rPr>
            </w:pPr>
            <w:r>
              <w:rPr>
                <w:rFonts w:ascii="Arial" w:cs="Arial" w:eastAsia="Arial" w:hAnsi="Arial"/>
                <w:sz w:val="13"/>
                <w:szCs w:val="13"/>
                <w:color w:val="auto"/>
              </w:rPr>
              <w:t>Foreign currency</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300"/>
              <w:spacing w:after="0"/>
              <w:rPr>
                <w:sz w:val="20"/>
                <w:szCs w:val="20"/>
                <w:color w:val="auto"/>
              </w:rPr>
            </w:pPr>
            <w:r>
              <w:rPr>
                <w:rFonts w:ascii="Arial" w:cs="Arial" w:eastAsia="Arial" w:hAnsi="Arial"/>
                <w:sz w:val="13"/>
                <w:szCs w:val="13"/>
                <w:color w:val="auto"/>
              </w:rPr>
              <w:t>translation gain</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(7,734 )</w:t>
            </w:r>
          </w:p>
        </w:tc>
        <w:tc>
          <w:tcPr>
            <w:tcW w:w="1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(7,734 )</w:t>
            </w:r>
          </w:p>
        </w:tc>
        <w:tc>
          <w:tcPr>
            <w:tcW w:w="14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(18 )</w:t>
            </w:r>
          </w:p>
        </w:tc>
        <w:tc>
          <w:tcPr>
            <w:tcW w:w="2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(7,752 )</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FF0FC"/>
          </w:tcPr>
          <w:p>
            <w:pPr>
              <w:ind w:left="200"/>
              <w:spacing w:after="0" w:line="135" w:lineRule="exact"/>
              <w:rPr>
                <w:sz w:val="20"/>
                <w:szCs w:val="20"/>
                <w:color w:val="auto"/>
              </w:rPr>
            </w:pPr>
            <w:r>
              <w:rPr>
                <w:rFonts w:ascii="Arial" w:cs="Arial" w:eastAsia="Arial" w:hAnsi="Arial"/>
                <w:sz w:val="13"/>
                <w:szCs w:val="13"/>
                <w:color w:val="auto"/>
              </w:rPr>
              <w:t>Pension adjustments, net</w:t>
            </w: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(547 )</w:t>
            </w: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(547 )</w:t>
            </w: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(547 )</w:t>
            </w:r>
          </w:p>
        </w:tc>
        <w:tc>
          <w:tcPr>
            <w:tcW w:w="0" w:type="dxa"/>
            <w:vAlign w:val="bottom"/>
          </w:tcPr>
          <w:p>
            <w:pPr>
              <w:spacing w:after="0"/>
              <w:rPr>
                <w:sz w:val="1"/>
                <w:szCs w:val="1"/>
                <w:color w:val="auto"/>
              </w:rPr>
            </w:pPr>
          </w:p>
        </w:tc>
      </w:tr>
      <w:tr>
        <w:trPr>
          <w:trHeight w:val="117"/>
        </w:trPr>
        <w:tc>
          <w:tcPr>
            <w:tcW w:w="2920" w:type="dxa"/>
            <w:vAlign w:val="bottom"/>
            <w:gridSpan w:val="2"/>
          </w:tcPr>
          <w:p>
            <w:pPr>
              <w:ind w:left="20"/>
              <w:spacing w:after="0" w:line="117" w:lineRule="exact"/>
              <w:rPr>
                <w:sz w:val="20"/>
                <w:szCs w:val="20"/>
                <w:color w:val="auto"/>
              </w:rPr>
            </w:pPr>
            <w:r>
              <w:rPr>
                <w:rFonts w:ascii="Arial" w:cs="Arial" w:eastAsia="Arial" w:hAnsi="Arial"/>
                <w:sz w:val="13"/>
                <w:szCs w:val="13"/>
                <w:color w:val="auto"/>
              </w:rPr>
              <w:t>Contributions of treasury</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20"/>
              <w:spacing w:after="0"/>
              <w:rPr>
                <w:sz w:val="20"/>
                <w:szCs w:val="20"/>
                <w:color w:val="auto"/>
              </w:rPr>
            </w:pPr>
            <w:r>
              <w:rPr>
                <w:rFonts w:ascii="Arial" w:cs="Arial" w:eastAsia="Arial" w:hAnsi="Arial"/>
                <w:sz w:val="13"/>
                <w:szCs w:val="13"/>
                <w:color w:val="auto"/>
              </w:rPr>
              <w:t>stock to ESOP</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22,455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31,346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53,801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53,801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Contributions</w:t>
            </w: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10,266</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10,266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Distributions</w:t>
            </w: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(24,128 )</w:t>
            </w:r>
          </w:p>
        </w:tc>
        <w:tc>
          <w:tcPr>
            <w:tcW w:w="22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(24,128 )</w:t>
            </w: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FF0FC"/>
          </w:tcPr>
          <w:p>
            <w:pPr>
              <w:ind w:left="20"/>
              <w:spacing w:after="0" w:line="117" w:lineRule="exact"/>
              <w:rPr>
                <w:sz w:val="20"/>
                <w:szCs w:val="20"/>
                <w:color w:val="auto"/>
              </w:rPr>
            </w:pPr>
            <w:r>
              <w:rPr>
                <w:rFonts w:ascii="Arial" w:cs="Arial" w:eastAsia="Arial" w:hAnsi="Arial"/>
                <w:sz w:val="13"/>
                <w:szCs w:val="13"/>
                <w:color w:val="auto"/>
              </w:rPr>
              <w:t>Issuance of equity securities,</w:t>
            </w: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net of retirements</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(773 )</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(46 )</w:t>
            </w: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(390 )</w:t>
            </w: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(390 )</w:t>
            </w:r>
          </w:p>
        </w:tc>
        <w:tc>
          <w:tcPr>
            <w:tcW w:w="0" w:type="dxa"/>
            <w:vAlign w:val="bottom"/>
          </w:tcPr>
          <w:p>
            <w:pPr>
              <w:spacing w:after="0"/>
              <w:rPr>
                <w:sz w:val="1"/>
                <w:szCs w:val="1"/>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Repurchases of common stock</w:t>
            </w: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(574 )</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(21,426 )</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(22,000 )</w:t>
            </w:r>
          </w:p>
        </w:tc>
        <w:tc>
          <w:tcPr>
            <w:tcW w:w="14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(22,000 )</w:t>
            </w:r>
          </w:p>
        </w:tc>
        <w:tc>
          <w:tcPr>
            <w:tcW w:w="0" w:type="dxa"/>
            <w:vAlign w:val="bottom"/>
          </w:tcPr>
          <w:p>
            <w:pPr>
              <w:spacing w:after="0"/>
              <w:rPr>
                <w:sz w:val="1"/>
                <w:szCs w:val="1"/>
                <w:color w:val="auto"/>
              </w:rPr>
            </w:pPr>
          </w:p>
        </w:tc>
      </w:tr>
      <w:tr>
        <w:trPr>
          <w:trHeight w:val="135"/>
        </w:trPr>
        <w:tc>
          <w:tcPr>
            <w:tcW w:w="2820" w:type="dxa"/>
            <w:vAlign w:val="bottom"/>
            <w:tcBorders>
              <w:bottom w:val="single" w:sz="8" w:color="CFF0FC"/>
            </w:tcBorders>
            <w:shd w:val="clear" w:color="auto" w:fill="CFF0FC"/>
          </w:tcPr>
          <w:p>
            <w:pPr>
              <w:ind w:left="20"/>
              <w:spacing w:after="0" w:line="135" w:lineRule="exact"/>
              <w:rPr>
                <w:sz w:val="20"/>
                <w:szCs w:val="20"/>
                <w:color w:val="auto"/>
              </w:rPr>
            </w:pPr>
            <w:r>
              <w:rPr>
                <w:rFonts w:ascii="Arial" w:cs="Arial" w:eastAsia="Arial" w:hAnsi="Arial"/>
                <w:sz w:val="13"/>
                <w:szCs w:val="13"/>
                <w:color w:val="auto"/>
              </w:rPr>
              <w:t>Stock-based compensation</w:t>
            </w:r>
          </w:p>
        </w:tc>
        <w:tc>
          <w:tcPr>
            <w:tcW w:w="10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23,008</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23,008</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23,008</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920" w:type="dxa"/>
            <w:vAlign w:val="bottom"/>
            <w:gridSpan w:val="2"/>
          </w:tcPr>
          <w:p>
            <w:pPr>
              <w:ind w:left="20"/>
              <w:spacing w:after="0" w:line="111" w:lineRule="exact"/>
              <w:rPr>
                <w:sz w:val="20"/>
                <w:szCs w:val="20"/>
                <w:color w:val="auto"/>
              </w:rPr>
            </w:pPr>
            <w:r>
              <w:rPr>
                <w:rFonts w:ascii="Arial" w:cs="Arial" w:eastAsia="Arial" w:hAnsi="Arial"/>
                <w:sz w:val="12"/>
                <w:szCs w:val="12"/>
                <w:b w:val="1"/>
                <w:bCs w:val="1"/>
                <w:color w:val="auto"/>
              </w:rPr>
              <w:t>Balances at December 31, 2022</w:t>
            </w:r>
          </w:p>
        </w:tc>
        <w:tc>
          <w:tcPr>
            <w:tcW w:w="480" w:type="dxa"/>
            <w:vAlign w:val="bottom"/>
          </w:tcPr>
          <w:p>
            <w:pPr>
              <w:jc w:val="right"/>
              <w:spacing w:after="0" w:line="111" w:lineRule="exact"/>
              <w:rPr>
                <w:sz w:val="20"/>
                <w:szCs w:val="20"/>
                <w:color w:val="auto"/>
              </w:rPr>
            </w:pPr>
            <w:r>
              <w:rPr>
                <w:rFonts w:ascii="Arial" w:cs="Arial" w:eastAsia="Arial" w:hAnsi="Arial"/>
                <w:sz w:val="12"/>
                <w:szCs w:val="12"/>
                <w:color w:val="auto"/>
              </w:rPr>
              <w:t>146,13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8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(844,936 )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2,717,134</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43,089</w:t>
            </w:r>
          </w:p>
        </w:tc>
        <w:tc>
          <w:tcPr>
            <w:tcW w:w="22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(17,849 )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2,043,570</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52,365</w:t>
            </w:r>
          </w:p>
        </w:tc>
        <w:tc>
          <w:tcPr>
            <w:tcW w:w="200" w:type="dxa"/>
            <w:vAlign w:val="bottom"/>
          </w:tcPr>
          <w:p>
            <w:pPr>
              <w:spacing w:after="0"/>
              <w:rPr>
                <w:sz w:val="13"/>
                <w:szCs w:val="13"/>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2,095,935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2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Comprehensive income</w:t>
            </w: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Net income</w:t>
            </w: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161,149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161,149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46,766</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207,915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FF0FC"/>
          </w:tcPr>
          <w:p>
            <w:pPr>
              <w:ind w:left="200"/>
              <w:spacing w:after="0" w:line="117" w:lineRule="exact"/>
              <w:rPr>
                <w:sz w:val="20"/>
                <w:szCs w:val="20"/>
                <w:color w:val="auto"/>
              </w:rPr>
            </w:pPr>
            <w:r>
              <w:rPr>
                <w:rFonts w:ascii="Arial" w:cs="Arial" w:eastAsia="Arial" w:hAnsi="Arial"/>
                <w:sz w:val="13"/>
                <w:szCs w:val="13"/>
                <w:color w:val="auto"/>
              </w:rPr>
              <w:t>Foreign currency</w:t>
            </w: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translation loss, net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Pension adjustments, net</w:t>
            </w: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568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568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FF0FC"/>
          </w:tcPr>
          <w:p>
            <w:pPr>
              <w:ind w:left="20"/>
              <w:spacing w:after="0" w:line="117" w:lineRule="exact"/>
              <w:rPr>
                <w:sz w:val="20"/>
                <w:szCs w:val="20"/>
                <w:color w:val="auto"/>
              </w:rPr>
            </w:pPr>
            <w:r>
              <w:rPr>
                <w:rFonts w:ascii="Arial" w:cs="Arial" w:eastAsia="Arial" w:hAnsi="Arial"/>
                <w:sz w:val="13"/>
                <w:szCs w:val="13"/>
                <w:color w:val="auto"/>
              </w:rPr>
              <w:t>Contributions of treasury</w:t>
            </w: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stock to ESOP</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17,625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39,804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57,429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Contributions</w:t>
            </w: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2,867</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2,867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Distributions</w:t>
            </w: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(12,496 )</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(12,496 )</w:t>
            </w:r>
          </w:p>
        </w:tc>
        <w:tc>
          <w:tcPr>
            <w:tcW w:w="0" w:type="dxa"/>
            <w:vAlign w:val="bottom"/>
          </w:tcPr>
          <w:p>
            <w:pPr>
              <w:spacing w:after="0"/>
              <w:rPr>
                <w:sz w:val="1"/>
                <w:szCs w:val="1"/>
                <w:color w:val="auto"/>
              </w:rPr>
            </w:pPr>
          </w:p>
        </w:tc>
      </w:tr>
      <w:tr>
        <w:trPr>
          <w:trHeight w:val="117"/>
        </w:trPr>
        <w:tc>
          <w:tcPr>
            <w:tcW w:w="2920" w:type="dxa"/>
            <w:vAlign w:val="bottom"/>
            <w:gridSpan w:val="2"/>
          </w:tcPr>
          <w:p>
            <w:pPr>
              <w:ind w:left="20"/>
              <w:spacing w:after="0" w:line="117" w:lineRule="exact"/>
              <w:rPr>
                <w:sz w:val="20"/>
                <w:szCs w:val="20"/>
                <w:color w:val="auto"/>
              </w:rPr>
            </w:pPr>
            <w:r>
              <w:rPr>
                <w:rFonts w:ascii="Arial" w:cs="Arial" w:eastAsia="Arial" w:hAnsi="Arial"/>
                <w:sz w:val="13"/>
                <w:szCs w:val="13"/>
                <w:color w:val="auto"/>
              </w:rPr>
              <w:t>Issuance of equity securities,</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20"/>
              <w:spacing w:after="0"/>
              <w:rPr>
                <w:sz w:val="20"/>
                <w:szCs w:val="20"/>
                <w:color w:val="auto"/>
              </w:rPr>
            </w:pPr>
            <w:r>
              <w:rPr>
                <w:rFonts w:ascii="Arial" w:cs="Arial" w:eastAsia="Arial" w:hAnsi="Arial"/>
                <w:sz w:val="13"/>
                <w:szCs w:val="13"/>
                <w:color w:val="auto"/>
              </w:rPr>
              <w:t>net of retirement</w:t>
            </w:r>
          </w:p>
        </w:tc>
        <w:tc>
          <w:tcPr>
            <w:tcW w:w="480" w:type="dxa"/>
            <w:vAlign w:val="bottom"/>
          </w:tcPr>
          <w:p>
            <w:pPr>
              <w:jc w:val="right"/>
              <w:spacing w:after="0"/>
              <w:rPr>
                <w:sz w:val="20"/>
                <w:szCs w:val="20"/>
                <w:color w:val="auto"/>
              </w:rPr>
            </w:pPr>
            <w:r>
              <w:rPr>
                <w:rFonts w:ascii="Arial" w:cs="Arial" w:eastAsia="Arial" w:hAnsi="Arial"/>
                <w:sz w:val="13"/>
                <w:szCs w:val="13"/>
                <w:color w:val="auto"/>
              </w:rPr>
              <w:t>442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(1,171 )</w:t>
            </w: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(514 )</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(1,243 )</w:t>
            </w:r>
          </w:p>
        </w:tc>
        <w:tc>
          <w:tcPr>
            <w:tcW w:w="1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(1,243 )</w:t>
            </w: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FF0FC"/>
          </w:tcPr>
          <w:p>
            <w:pPr>
              <w:ind w:left="20"/>
              <w:spacing w:after="0" w:line="117" w:lineRule="exact"/>
              <w:rPr>
                <w:sz w:val="20"/>
                <w:szCs w:val="20"/>
                <w:color w:val="auto"/>
              </w:rPr>
            </w:pPr>
            <w:r>
              <w:rPr>
                <w:rFonts w:ascii="Arial" w:cs="Arial" w:eastAsia="Arial" w:hAnsi="Arial"/>
                <w:sz w:val="13"/>
                <w:szCs w:val="13"/>
                <w:color w:val="auto"/>
              </w:rPr>
              <w:t>Repurchase of common</w:t>
            </w: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stock</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(233 )</w:t>
            </w: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(10,767 )</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(11,000 )</w:t>
            </w: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(11,000 )</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Arial" w:cs="Arial" w:eastAsia="Arial" w:hAnsi="Arial"/>
                <w:sz w:val="13"/>
                <w:szCs w:val="13"/>
                <w:color w:val="auto"/>
              </w:rPr>
              <w:t>Stock-based compensation</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34,365</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34,365</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34,365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920" w:type="dxa"/>
            <w:vAlign w:val="bottom"/>
            <w:gridSpan w:val="2"/>
            <w:shd w:val="clear" w:color="auto" w:fill="CFF0FC"/>
          </w:tcPr>
          <w:p>
            <w:pPr>
              <w:ind w:left="20"/>
              <w:spacing w:after="0" w:line="111" w:lineRule="exact"/>
              <w:rPr>
                <w:sz w:val="20"/>
                <w:szCs w:val="20"/>
                <w:color w:val="auto"/>
              </w:rPr>
            </w:pPr>
            <w:r>
              <w:rPr>
                <w:rFonts w:ascii="Arial" w:cs="Arial" w:eastAsia="Arial" w:hAnsi="Arial"/>
                <w:sz w:val="12"/>
                <w:szCs w:val="12"/>
                <w:b w:val="1"/>
                <w:bCs w:val="1"/>
                <w:color w:val="auto"/>
              </w:rPr>
              <w:t>Balances at December 31, 2023</w:t>
            </w:r>
          </w:p>
        </w:tc>
        <w:tc>
          <w:tcPr>
            <w:tcW w:w="480" w:type="dxa"/>
            <w:vAlign w:val="bottom"/>
            <w:shd w:val="clear" w:color="auto" w:fill="CFF0FC"/>
          </w:tcPr>
          <w:p>
            <w:pPr>
              <w:jc w:val="right"/>
              <w:spacing w:after="0" w:line="111" w:lineRule="exact"/>
              <w:rPr>
                <w:sz w:val="20"/>
                <w:szCs w:val="20"/>
                <w:color w:val="auto"/>
              </w:rPr>
            </w:pPr>
            <w:r>
              <w:rPr>
                <w:rFonts w:ascii="Arial" w:cs="Arial" w:eastAsia="Arial" w:hAnsi="Arial"/>
                <w:sz w:val="12"/>
                <w:szCs w:val="12"/>
                <w:color w:val="auto"/>
              </w:rPr>
              <w:t>146,34</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(827,311 )</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2,779,365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203,724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(14,908 )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2,287,211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89,504</w:t>
            </w: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2,376,715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20" w:type="dxa"/>
            <w:vAlign w:val="bottom"/>
            <w:tcBorders>
              <w:top w:val="single" w:sz="8" w:color="CFF0FC"/>
            </w:tcBorders>
          </w:tcPr>
          <w:p>
            <w:pPr>
              <w:ind w:left="20"/>
              <w:spacing w:after="0" w:line="129" w:lineRule="exact"/>
              <w:rPr>
                <w:sz w:val="20"/>
                <w:szCs w:val="20"/>
                <w:color w:val="auto"/>
              </w:rPr>
            </w:pPr>
            <w:r>
              <w:rPr>
                <w:rFonts w:ascii="Arial" w:cs="Arial" w:eastAsia="Arial" w:hAnsi="Arial"/>
                <w:sz w:val="13"/>
                <w:szCs w:val="13"/>
                <w:color w:val="auto"/>
              </w:rPr>
              <w:t>Comprehensive income</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FF0FC"/>
          </w:tcPr>
          <w:p>
            <w:pPr>
              <w:ind w:left="200"/>
              <w:spacing w:after="0" w:line="135" w:lineRule="exact"/>
              <w:rPr>
                <w:sz w:val="20"/>
                <w:szCs w:val="20"/>
                <w:color w:val="auto"/>
              </w:rPr>
            </w:pPr>
            <w:r>
              <w:rPr>
                <w:rFonts w:ascii="Arial" w:cs="Arial" w:eastAsia="Arial" w:hAnsi="Arial"/>
                <w:sz w:val="13"/>
                <w:szCs w:val="13"/>
                <w:color w:val="auto"/>
              </w:rPr>
              <w:t>Net income</w:t>
            </w: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235,053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235,053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55,612</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290,665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20" w:type="dxa"/>
            <w:vAlign w:val="bottom"/>
            <w:gridSpan w:val="2"/>
          </w:tcPr>
          <w:p>
            <w:pPr>
              <w:ind w:left="200"/>
              <w:spacing w:after="0" w:line="117" w:lineRule="exact"/>
              <w:rPr>
                <w:sz w:val="20"/>
                <w:szCs w:val="20"/>
                <w:color w:val="auto"/>
              </w:rPr>
            </w:pPr>
            <w:r>
              <w:rPr>
                <w:rFonts w:ascii="Arial" w:cs="Arial" w:eastAsia="Arial" w:hAnsi="Arial"/>
                <w:sz w:val="13"/>
                <w:szCs w:val="13"/>
                <w:color w:val="auto"/>
              </w:rPr>
              <w:t>Foreign currency</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300"/>
              <w:spacing w:after="0"/>
              <w:rPr>
                <w:sz w:val="20"/>
                <w:szCs w:val="20"/>
                <w:color w:val="auto"/>
              </w:rPr>
            </w:pPr>
            <w:r>
              <w:rPr>
                <w:rFonts w:ascii="Arial" w:cs="Arial" w:eastAsia="Arial" w:hAnsi="Arial"/>
                <w:sz w:val="13"/>
                <w:szCs w:val="13"/>
                <w:color w:val="auto"/>
              </w:rPr>
              <w:t>translation gain, net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(11,555 )</w:t>
            </w:r>
          </w:p>
        </w:tc>
        <w:tc>
          <w:tcPr>
            <w:tcW w:w="1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(11,555 )</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(11,546 )</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FF0FC"/>
          </w:tcPr>
          <w:p>
            <w:pPr>
              <w:ind w:left="200"/>
              <w:spacing w:after="0" w:line="135" w:lineRule="exact"/>
              <w:rPr>
                <w:sz w:val="20"/>
                <w:szCs w:val="20"/>
                <w:color w:val="auto"/>
              </w:rPr>
            </w:pPr>
            <w:r>
              <w:rPr>
                <w:rFonts w:ascii="Arial" w:cs="Arial" w:eastAsia="Arial" w:hAnsi="Arial"/>
                <w:sz w:val="13"/>
                <w:szCs w:val="13"/>
                <w:color w:val="auto"/>
              </w:rPr>
              <w:t>Pension adjustments, net</w:t>
            </w: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(131 )</w:t>
            </w: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(131 )</w:t>
            </w: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(131 )</w:t>
            </w:r>
          </w:p>
        </w:tc>
        <w:tc>
          <w:tcPr>
            <w:tcW w:w="0" w:type="dxa"/>
            <w:vAlign w:val="bottom"/>
          </w:tcPr>
          <w:p>
            <w:pPr>
              <w:spacing w:after="0"/>
              <w:rPr>
                <w:sz w:val="1"/>
                <w:szCs w:val="1"/>
                <w:color w:val="auto"/>
              </w:rPr>
            </w:pPr>
          </w:p>
        </w:tc>
      </w:tr>
      <w:tr>
        <w:trPr>
          <w:trHeight w:val="117"/>
        </w:trPr>
        <w:tc>
          <w:tcPr>
            <w:tcW w:w="2920" w:type="dxa"/>
            <w:vAlign w:val="bottom"/>
            <w:gridSpan w:val="2"/>
          </w:tcPr>
          <w:p>
            <w:pPr>
              <w:ind w:left="20"/>
              <w:spacing w:after="0" w:line="117" w:lineRule="exact"/>
              <w:rPr>
                <w:sz w:val="20"/>
                <w:szCs w:val="20"/>
                <w:color w:val="auto"/>
              </w:rPr>
            </w:pPr>
            <w:r>
              <w:rPr>
                <w:rFonts w:ascii="Arial" w:cs="Arial" w:eastAsia="Arial" w:hAnsi="Arial"/>
                <w:sz w:val="13"/>
                <w:szCs w:val="13"/>
                <w:color w:val="auto"/>
              </w:rPr>
              <w:t>Contributions of treasury</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gridSpan w:val="2"/>
          </w:tcPr>
          <w:p>
            <w:pPr>
              <w:ind w:left="120"/>
              <w:spacing w:after="0"/>
              <w:rPr>
                <w:sz w:val="20"/>
                <w:szCs w:val="20"/>
                <w:color w:val="auto"/>
              </w:rPr>
            </w:pPr>
            <w:r>
              <w:rPr>
                <w:rFonts w:ascii="Arial" w:cs="Arial" w:eastAsia="Arial" w:hAnsi="Arial"/>
                <w:sz w:val="13"/>
                <w:szCs w:val="13"/>
                <w:color w:val="auto"/>
              </w:rPr>
              <w:t>stock to ESOP</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12,029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46,199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58,228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58,228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Contributions</w:t>
            </w: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2,174</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2,174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Distributions</w:t>
            </w: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(29,199 )</w:t>
            </w:r>
          </w:p>
        </w:tc>
        <w:tc>
          <w:tcPr>
            <w:tcW w:w="22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(29,199 )</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Capped call transactions</w:t>
            </w: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(66,121 )</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(66,121 )</w:t>
            </w: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(66,121 )</w:t>
            </w:r>
          </w:p>
        </w:tc>
        <w:tc>
          <w:tcPr>
            <w:tcW w:w="0" w:type="dxa"/>
            <w:vAlign w:val="bottom"/>
          </w:tcPr>
          <w:p>
            <w:pPr>
              <w:spacing w:after="0"/>
              <w:rPr>
                <w:sz w:val="1"/>
                <w:szCs w:val="1"/>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Repurchase of warrants</w:t>
            </w: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(104,952 )</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(104,952 )</w:t>
            </w:r>
          </w:p>
        </w:tc>
        <w:tc>
          <w:tcPr>
            <w:tcW w:w="14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(104,952 )</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Bond hedge termination</w:t>
            </w:r>
          </w:p>
        </w:tc>
        <w:tc>
          <w:tcPr>
            <w:tcW w:w="70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149,308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149,308</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149,308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Convertible debt inducement</w:t>
            </w: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(147,105 )</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(147,105 )</w:t>
            </w:r>
          </w:p>
        </w:tc>
        <w:tc>
          <w:tcPr>
            <w:tcW w:w="14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(147,105 )</w:t>
            </w:r>
          </w:p>
        </w:tc>
        <w:tc>
          <w:tcPr>
            <w:tcW w:w="0" w:type="dxa"/>
            <w:vAlign w:val="bottom"/>
          </w:tcPr>
          <w:p>
            <w:pPr>
              <w:spacing w:after="0"/>
              <w:rPr>
                <w:sz w:val="1"/>
                <w:szCs w:val="1"/>
                <w:color w:val="auto"/>
              </w:rPr>
            </w:pPr>
          </w:p>
        </w:tc>
      </w:tr>
      <w:tr>
        <w:trPr>
          <w:trHeight w:val="117"/>
        </w:trPr>
        <w:tc>
          <w:tcPr>
            <w:tcW w:w="2920" w:type="dxa"/>
            <w:vAlign w:val="bottom"/>
            <w:gridSpan w:val="2"/>
            <w:shd w:val="clear" w:color="auto" w:fill="CFF0FC"/>
          </w:tcPr>
          <w:p>
            <w:pPr>
              <w:ind w:left="20"/>
              <w:spacing w:after="0" w:line="117" w:lineRule="exact"/>
              <w:rPr>
                <w:sz w:val="20"/>
                <w:szCs w:val="20"/>
                <w:color w:val="auto"/>
              </w:rPr>
            </w:pPr>
            <w:r>
              <w:rPr>
                <w:rFonts w:ascii="Arial" w:cs="Arial" w:eastAsia="Arial" w:hAnsi="Arial"/>
                <w:sz w:val="13"/>
                <w:szCs w:val="13"/>
                <w:color w:val="auto"/>
              </w:rPr>
              <w:t>Issuance of equity securities,</w:t>
            </w:r>
          </w:p>
        </w:tc>
        <w:tc>
          <w:tcPr>
            <w:tcW w:w="4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net of retirement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(3,235 )</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(11,996 )</w:t>
            </w: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(14,630 )</w:t>
            </w:r>
          </w:p>
        </w:tc>
        <w:tc>
          <w:tcPr>
            <w:tcW w:w="14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(14,630 )</w:t>
            </w:r>
          </w:p>
        </w:tc>
        <w:tc>
          <w:tcPr>
            <w:tcW w:w="0" w:type="dxa"/>
            <w:vAlign w:val="bottom"/>
          </w:tcPr>
          <w:p>
            <w:pPr>
              <w:spacing w:after="0"/>
              <w:rPr>
                <w:sz w:val="1"/>
                <w:szCs w:val="1"/>
                <w:color w:val="auto"/>
              </w:rPr>
            </w:pPr>
          </w:p>
        </w:tc>
      </w:tr>
      <w:tr>
        <w:trPr>
          <w:trHeight w:val="135"/>
        </w:trPr>
        <w:tc>
          <w:tcPr>
            <w:tcW w:w="29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Repurchases of common stock</w:t>
            </w: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(287 )</w:t>
            </w: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(24,712 )</w:t>
            </w:r>
          </w:p>
        </w:tc>
        <w:tc>
          <w:tcPr>
            <w:tcW w:w="100" w:type="dxa"/>
            <w:vAlign w:val="bottom"/>
          </w:tcPr>
          <w:p>
            <w:pPr>
              <w:spacing w:after="0"/>
              <w:rPr>
                <w:sz w:val="11"/>
                <w:szCs w:val="11"/>
                <w:color w:val="auto"/>
              </w:rPr>
            </w:pP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(24,999 )</w:t>
            </w:r>
          </w:p>
        </w:tc>
        <w:tc>
          <w:tcPr>
            <w:tcW w:w="140" w:type="dxa"/>
            <w:vAlign w:val="bottom"/>
          </w:tcPr>
          <w:p>
            <w:pPr>
              <w:spacing w:after="0"/>
              <w:rPr>
                <w:sz w:val="11"/>
                <w:szCs w:val="11"/>
                <w:color w:val="auto"/>
              </w:rPr>
            </w:pP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(24,999 )</w:t>
            </w:r>
          </w:p>
        </w:tc>
        <w:tc>
          <w:tcPr>
            <w:tcW w:w="0" w:type="dxa"/>
            <w:vAlign w:val="bottom"/>
          </w:tcPr>
          <w:p>
            <w:pPr>
              <w:spacing w:after="0"/>
              <w:rPr>
                <w:sz w:val="1"/>
                <w:szCs w:val="1"/>
                <w:color w:val="auto"/>
              </w:rPr>
            </w:pPr>
          </w:p>
        </w:tc>
      </w:tr>
      <w:tr>
        <w:trPr>
          <w:trHeight w:val="135"/>
        </w:trPr>
        <w:tc>
          <w:tcPr>
            <w:tcW w:w="2820" w:type="dxa"/>
            <w:vAlign w:val="bottom"/>
            <w:tcBorders>
              <w:bottom w:val="single" w:sz="8" w:color="CFF0FC"/>
            </w:tcBorders>
            <w:shd w:val="clear" w:color="auto" w:fill="CFF0FC"/>
          </w:tcPr>
          <w:p>
            <w:pPr>
              <w:ind w:left="20"/>
              <w:spacing w:after="0" w:line="135" w:lineRule="exact"/>
              <w:rPr>
                <w:sz w:val="20"/>
                <w:szCs w:val="20"/>
                <w:color w:val="auto"/>
              </w:rPr>
            </w:pPr>
            <w:r>
              <w:rPr>
                <w:rFonts w:ascii="Arial" w:cs="Arial" w:eastAsia="Arial" w:hAnsi="Arial"/>
                <w:sz w:val="13"/>
                <w:szCs w:val="13"/>
                <w:color w:val="auto"/>
              </w:rPr>
              <w:t>Stock-based compensation</w:t>
            </w:r>
          </w:p>
        </w:tc>
        <w:tc>
          <w:tcPr>
            <w:tcW w:w="10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56,082</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56,082</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56,082</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920" w:type="dxa"/>
            <w:vAlign w:val="bottom"/>
            <w:gridSpan w:val="2"/>
          </w:tcPr>
          <w:p>
            <w:pPr>
              <w:ind w:left="20"/>
              <w:spacing w:after="0" w:line="111" w:lineRule="exact"/>
              <w:rPr>
                <w:sz w:val="20"/>
                <w:szCs w:val="20"/>
                <w:color w:val="auto"/>
              </w:rPr>
            </w:pPr>
            <w:r>
              <w:rPr>
                <w:rFonts w:ascii="Arial" w:cs="Arial" w:eastAsia="Arial" w:hAnsi="Arial"/>
                <w:sz w:val="12"/>
                <w:szCs w:val="12"/>
                <w:b w:val="1"/>
                <w:bCs w:val="1"/>
                <w:color w:val="auto"/>
              </w:rPr>
              <w:t>Balances at December 31, 2024</w:t>
            </w:r>
          </w:p>
        </w:tc>
        <w:tc>
          <w:tcPr>
            <w:tcW w:w="480" w:type="dxa"/>
            <w:vAlign w:val="bottom"/>
          </w:tcPr>
          <w:p>
            <w:pPr>
              <w:jc w:val="right"/>
              <w:spacing w:after="0" w:line="111" w:lineRule="exact"/>
              <w:rPr>
                <w:sz w:val="20"/>
                <w:szCs w:val="20"/>
                <w:color w:val="auto"/>
              </w:rPr>
            </w:pPr>
            <w:r>
              <w:rPr>
                <w:rFonts w:ascii="Arial" w:cs="Arial" w:eastAsia="Arial" w:hAnsi="Arial"/>
                <w:sz w:val="12"/>
                <w:szCs w:val="12"/>
                <w:color w:val="auto"/>
              </w:rPr>
              <w:t>146,65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8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(815,282 )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2,684,829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426,781</w:t>
            </w:r>
          </w:p>
        </w:tc>
        <w:tc>
          <w:tcPr>
            <w:tcW w:w="22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(26,594 )</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2,416,389</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118,100</w:t>
            </w:r>
          </w:p>
        </w:tc>
        <w:tc>
          <w:tcPr>
            <w:tcW w:w="200" w:type="dxa"/>
            <w:vAlign w:val="bottom"/>
          </w:tcPr>
          <w:p>
            <w:pPr>
              <w:spacing w:after="0"/>
              <w:rPr>
                <w:sz w:val="13"/>
                <w:szCs w:val="13"/>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2,534,489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-4345305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-4345305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-4345305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-4345305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-4345305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-4345305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-4345305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-4345305</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-3222625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-3222625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-3222625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-3222625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-3222625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-3222625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-3222625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-3222625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-1653540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-1653540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-1653540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-1653540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-1653540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-1653540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-1653540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-1653540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-187960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-187960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-187960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-187960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-187960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-187960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102" w:name="page103"/>
    <w:bookmarkEnd w:id="102"/>
    <w:p>
      <w:pPr>
        <w:jc w:val="center"/>
        <w:ind w:right="40"/>
        <w:spacing w:after="0" w:line="241" w:lineRule="auto"/>
        <w:rPr>
          <w:sz w:val="20"/>
          <w:szCs w:val="20"/>
          <w:color w:val="auto"/>
        </w:rPr>
      </w:pPr>
      <w:r>
        <w:rPr>
          <w:rFonts w:ascii="Arial" w:cs="Arial" w:eastAsia="Arial" w:hAnsi="Arial"/>
          <w:sz w:val="18"/>
          <w:szCs w:val="18"/>
          <w:b w:val="1"/>
          <w:bCs w:val="1"/>
          <w:color w:val="auto"/>
        </w:rPr>
        <w:t>PARSONS CORPORATION AND SUBSIDIARIES Consolidated Statements of Cash Flows Years Ended December 31, 2024, December 31, 2023 and December 31,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42"/>
        </w:trPr>
        <w:tc>
          <w:tcPr>
            <w:tcW w:w="66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
              <w:spacing w:after="0"/>
              <w:rPr>
                <w:sz w:val="20"/>
                <w:szCs w:val="20"/>
                <w:color w:val="auto"/>
              </w:rPr>
            </w:pPr>
            <w:r>
              <w:rPr>
                <w:rFonts w:ascii="Arial" w:cs="Arial" w:eastAsia="Arial" w:hAnsi="Arial"/>
                <w:sz w:val="13"/>
                <w:szCs w:val="13"/>
                <w:color w:val="auto"/>
              </w:rPr>
              <w:t>Net income including noncontrolling interests</w:t>
            </w:r>
          </w:p>
        </w:tc>
        <w:tc>
          <w:tcPr>
            <w:tcW w:w="3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290,665</w:t>
            </w:r>
          </w:p>
        </w:tc>
        <w:tc>
          <w:tcPr>
            <w:tcW w:w="240" w:type="dxa"/>
            <w:vAlign w:val="bottom"/>
          </w:tcPr>
          <w:p>
            <w:pPr>
              <w:spacing w:after="0"/>
              <w:rPr>
                <w:sz w:val="12"/>
                <w:szCs w:val="12"/>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207,915</w:t>
            </w:r>
          </w:p>
        </w:tc>
        <w:tc>
          <w:tcPr>
            <w:tcW w:w="240" w:type="dxa"/>
            <w:vAlign w:val="bottom"/>
          </w:tcPr>
          <w:p>
            <w:pPr>
              <w:spacing w:after="0"/>
              <w:rPr>
                <w:sz w:val="12"/>
                <w:szCs w:val="12"/>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126,565</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99,251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119,973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120,501</w:t>
            </w:r>
          </w:p>
        </w:tc>
        <w:tc>
          <w:tcPr>
            <w:tcW w:w="100" w:type="dxa"/>
            <w:vAlign w:val="bottom"/>
          </w:tcPr>
          <w:p>
            <w:pPr>
              <w:spacing w:after="0"/>
              <w:rPr>
                <w:sz w:val="12"/>
                <w:szCs w:val="12"/>
                <w:color w:val="auto"/>
              </w:rPr>
            </w:pPr>
          </w:p>
        </w:tc>
      </w:tr>
      <w:tr>
        <w:trPr>
          <w:trHeight w:val="149"/>
        </w:trPr>
        <w:tc>
          <w:tcPr>
            <w:tcW w:w="6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issue costs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7,799</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2,842</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3,029</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0"/>
              <w:spacing w:after="0"/>
              <w:rPr>
                <w:sz w:val="20"/>
                <w:szCs w:val="20"/>
                <w:color w:val="auto"/>
              </w:rPr>
            </w:pPr>
            <w:r>
              <w:rPr>
                <w:rFonts w:ascii="Arial" w:cs="Arial" w:eastAsia="Arial" w:hAnsi="Arial"/>
                <w:sz w:val="13"/>
                <w:szCs w:val="13"/>
                <w:color w:val="auto"/>
              </w:rPr>
              <w:t>Loss (gain) on disposal of property and equipment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948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(164 )</w:t>
            </w:r>
          </w:p>
        </w:tc>
      </w:tr>
      <w:tr>
        <w:trPr>
          <w:trHeight w:val="148"/>
        </w:trPr>
        <w:tc>
          <w:tcPr>
            <w:tcW w:w="6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Convertible debt repurchase loss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18,355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tcPr>
          <w:p>
            <w:pPr>
              <w:ind w:left="200"/>
              <w:spacing w:after="0"/>
              <w:rPr>
                <w:sz w:val="20"/>
                <w:szCs w:val="20"/>
                <w:color w:val="auto"/>
              </w:rPr>
            </w:pPr>
            <w:r>
              <w:rPr>
                <w:rFonts w:ascii="Arial" w:cs="Arial" w:eastAsia="Arial" w:hAnsi="Arial"/>
                <w:sz w:val="13"/>
                <w:szCs w:val="13"/>
                <w:color w:val="auto"/>
              </w:rPr>
              <w:t>Provision for doubtful accounts</w:t>
            </w:r>
          </w:p>
        </w:tc>
        <w:tc>
          <w:tcPr>
            <w:tcW w:w="30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taxes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(8,914 )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(844 )</w:t>
            </w:r>
          </w:p>
        </w:tc>
      </w:tr>
      <w:tr>
        <w:trPr>
          <w:trHeight w:val="149"/>
        </w:trPr>
        <w:tc>
          <w:tcPr>
            <w:tcW w:w="6640" w:type="dxa"/>
            <w:vAlign w:val="bottom"/>
          </w:tcPr>
          <w:p>
            <w:pPr>
              <w:ind w:left="200"/>
              <w:spacing w:after="0"/>
              <w:rPr>
                <w:sz w:val="20"/>
                <w:szCs w:val="20"/>
                <w:color w:val="auto"/>
              </w:rPr>
            </w:pPr>
            <w:r>
              <w:rPr>
                <w:rFonts w:ascii="Arial" w:cs="Arial" w:eastAsia="Arial" w:hAnsi="Arial"/>
                <w:sz w:val="13"/>
                <w:szCs w:val="13"/>
                <w:color w:val="auto"/>
              </w:rPr>
              <w:t>Foreign currency transaction gains and losses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6,919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113"/>
              <w:spacing w:after="0"/>
              <w:rPr>
                <w:sz w:val="20"/>
                <w:szCs w:val="20"/>
                <w:color w:val="auto"/>
              </w:rPr>
            </w:pPr>
            <w:r>
              <w:rPr>
                <w:rFonts w:ascii="Arial" w:cs="Arial" w:eastAsia="Arial" w:hAnsi="Arial"/>
                <w:sz w:val="13"/>
                <w:szCs w:val="13"/>
                <w:color w:val="auto"/>
              </w:rPr>
              <w:t>(330 )</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1,973</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Equity in losses (earnings) of unconsolidated joint ventures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23,361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47,751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(16,347 )</w:t>
            </w:r>
          </w:p>
        </w:tc>
      </w:tr>
      <w:tr>
        <w:trPr>
          <w:trHeight w:val="148"/>
        </w:trPr>
        <w:tc>
          <w:tcPr>
            <w:tcW w:w="6640" w:type="dxa"/>
            <w:vAlign w:val="bottom"/>
          </w:tcPr>
          <w:p>
            <w:pPr>
              <w:ind w:left="200"/>
              <w:spacing w:after="0"/>
              <w:rPr>
                <w:sz w:val="20"/>
                <w:szCs w:val="20"/>
                <w:color w:val="auto"/>
              </w:rPr>
            </w:pPr>
            <w:r>
              <w:rPr>
                <w:rFonts w:ascii="Arial" w:cs="Arial" w:eastAsia="Arial" w:hAnsi="Arial"/>
                <w:sz w:val="13"/>
                <w:szCs w:val="13"/>
                <w:color w:val="auto"/>
              </w:rPr>
              <w:t>Return on investments in unconsolidated joint ventures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40,162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48,970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28,417</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56,082</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34,365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23,008</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0"/>
              <w:spacing w:after="0"/>
              <w:rPr>
                <w:sz w:val="20"/>
                <w:szCs w:val="20"/>
                <w:color w:val="auto"/>
              </w:rPr>
            </w:pPr>
            <w:r>
              <w:rPr>
                <w:rFonts w:ascii="Arial" w:cs="Arial" w:eastAsia="Arial" w:hAnsi="Arial"/>
                <w:sz w:val="13"/>
                <w:szCs w:val="13"/>
                <w:color w:val="auto"/>
              </w:rPr>
              <w:t>Contributions of treasury stock</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59,778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58,172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54,659</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Changes in assets and liabilities, net of acquisitions and newly consolidated joint ventures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640" w:type="dxa"/>
            <w:vAlign w:val="bottom"/>
          </w:tcPr>
          <w:p>
            <w:pPr>
              <w:ind w:left="200"/>
              <w:spacing w:after="0"/>
              <w:rPr>
                <w:sz w:val="20"/>
                <w:szCs w:val="20"/>
                <w:color w:val="auto"/>
              </w:rPr>
            </w:pPr>
            <w:r>
              <w:rPr>
                <w:rFonts w:ascii="Arial" w:cs="Arial" w:eastAsia="Arial" w:hAnsi="Arial"/>
                <w:sz w:val="13"/>
                <w:szCs w:val="13"/>
                <w:color w:val="auto"/>
              </w:rPr>
              <w:t>Accounts receivable</w:t>
            </w:r>
          </w:p>
        </w:tc>
        <w:tc>
          <w:tcPr>
            <w:tcW w:w="3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(163,139 )</w:t>
            </w:r>
          </w:p>
        </w:tc>
        <w:tc>
          <w:tcPr>
            <w:tcW w:w="300" w:type="dxa"/>
            <w:vAlign w:val="bottom"/>
          </w:tcPr>
          <w:p>
            <w:pPr>
              <w:spacing w:after="0"/>
              <w:rPr>
                <w:sz w:val="12"/>
                <w:szCs w:val="12"/>
                <w:color w:val="auto"/>
              </w:rPr>
            </w:pPr>
          </w:p>
        </w:tc>
        <w:tc>
          <w:tcPr>
            <w:tcW w:w="1280" w:type="dxa"/>
            <w:vAlign w:val="bottom"/>
            <w:gridSpan w:val="2"/>
          </w:tcPr>
          <w:p>
            <w:pPr>
              <w:jc w:val="right"/>
              <w:ind w:right="113"/>
              <w:spacing w:after="0"/>
              <w:rPr>
                <w:sz w:val="20"/>
                <w:szCs w:val="20"/>
                <w:color w:val="auto"/>
              </w:rPr>
            </w:pPr>
            <w:r>
              <w:rPr>
                <w:rFonts w:ascii="Arial" w:cs="Arial" w:eastAsia="Arial" w:hAnsi="Arial"/>
                <w:sz w:val="13"/>
                <w:szCs w:val="13"/>
                <w:color w:val="auto"/>
              </w:rPr>
              <w:t>(176,181 )</w:t>
            </w:r>
          </w:p>
        </w:tc>
        <w:tc>
          <w:tcPr>
            <w:tcW w:w="30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(117,318 )</w:t>
            </w:r>
          </w:p>
        </w:tc>
      </w:tr>
      <w:tr>
        <w:trPr>
          <w:trHeight w:val="148"/>
        </w:trPr>
        <w:tc>
          <w:tcPr>
            <w:tcW w:w="6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Contract assets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31,881</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(119,898 )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(32,032 )</w:t>
            </w:r>
          </w:p>
        </w:tc>
      </w:tr>
      <w:tr>
        <w:trPr>
          <w:trHeight w:val="148"/>
        </w:trPr>
        <w:tc>
          <w:tcPr>
            <w:tcW w:w="6640" w:type="dxa"/>
            <w:vAlign w:val="bottom"/>
          </w:tcPr>
          <w:p>
            <w:pPr>
              <w:ind w:left="200"/>
              <w:spacing w:after="0"/>
              <w:rPr>
                <w:sz w:val="20"/>
                <w:szCs w:val="20"/>
                <w:color w:val="auto"/>
              </w:rPr>
            </w:pPr>
            <w:r>
              <w:rPr>
                <w:rFonts w:ascii="Arial" w:cs="Arial" w:eastAsia="Arial" w:hAnsi="Arial"/>
                <w:sz w:val="13"/>
                <w:szCs w:val="13"/>
                <w:color w:val="auto"/>
              </w:rPr>
              <w:t>Prepaid expenses and other assets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35,830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right"/>
              <w:ind w:right="113"/>
              <w:spacing w:after="0"/>
              <w:rPr>
                <w:sz w:val="20"/>
                <w:szCs w:val="20"/>
                <w:color w:val="auto"/>
              </w:rPr>
            </w:pPr>
            <w:r>
              <w:rPr>
                <w:rFonts w:ascii="Arial" w:cs="Arial" w:eastAsia="Arial" w:hAnsi="Arial"/>
                <w:sz w:val="13"/>
                <w:szCs w:val="13"/>
                <w:color w:val="auto"/>
              </w:rPr>
              <w:t>(95,415 )</w:t>
            </w:r>
          </w:p>
        </w:tc>
        <w:tc>
          <w:tcPr>
            <w:tcW w:w="30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(1,405 )</w:t>
            </w:r>
          </w:p>
        </w:tc>
      </w:tr>
      <w:tr>
        <w:trPr>
          <w:trHeight w:val="148"/>
        </w:trPr>
        <w:tc>
          <w:tcPr>
            <w:tcW w:w="6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(42,686 )</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24,497</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(717 )</w:t>
            </w:r>
          </w:p>
        </w:tc>
      </w:tr>
      <w:tr>
        <w:trPr>
          <w:trHeight w:val="148"/>
        </w:trPr>
        <w:tc>
          <w:tcPr>
            <w:tcW w:w="6640" w:type="dxa"/>
            <w:vAlign w:val="bottom"/>
          </w:tcPr>
          <w:p>
            <w:pPr>
              <w:ind w:left="200"/>
              <w:spacing w:after="0"/>
              <w:rPr>
                <w:sz w:val="20"/>
                <w:szCs w:val="20"/>
                <w:color w:val="auto"/>
              </w:rPr>
            </w:pPr>
            <w:r>
              <w:rPr>
                <w:rFonts w:ascii="Arial" w:cs="Arial" w:eastAsia="Arial" w:hAnsi="Arial"/>
                <w:sz w:val="13"/>
                <w:szCs w:val="13"/>
                <w:color w:val="auto"/>
              </w:rPr>
              <w:t>Accrued expenses and other current liabilities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79,984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163,440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3,879</w:t>
            </w:r>
          </w:p>
        </w:tc>
        <w:tc>
          <w:tcPr>
            <w:tcW w:w="100" w:type="dxa"/>
            <w:vAlign w:val="bottom"/>
          </w:tcPr>
          <w:p>
            <w:pPr>
              <w:spacing w:after="0"/>
              <w:rPr>
                <w:sz w:val="12"/>
                <w:szCs w:val="12"/>
                <w:color w:val="auto"/>
              </w:rPr>
            </w:pPr>
          </w:p>
        </w:tc>
      </w:tr>
      <w:tr>
        <w:trPr>
          <w:trHeight w:val="149"/>
        </w:trPr>
        <w:tc>
          <w:tcPr>
            <w:tcW w:w="6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Contract liabilities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(11,325 )</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84,439</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41,306</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0"/>
              <w:spacing w:after="0"/>
              <w:rPr>
                <w:sz w:val="20"/>
                <w:szCs w:val="20"/>
                <w:color w:val="auto"/>
              </w:rPr>
            </w:pPr>
            <w:r>
              <w:rPr>
                <w:rFonts w:ascii="Arial" w:cs="Arial" w:eastAsia="Arial" w:hAnsi="Arial"/>
                <w:sz w:val="13"/>
                <w:szCs w:val="13"/>
                <w:color w:val="auto"/>
              </w:rPr>
              <w:t>Income taxes</w:t>
            </w:r>
          </w:p>
        </w:tc>
        <w:tc>
          <w:tcPr>
            <w:tcW w:w="3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(341 )</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2,886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(3,649 )</w:t>
            </w:r>
          </w:p>
        </w:tc>
      </w:tr>
      <w:tr>
        <w:trPr>
          <w:trHeight w:val="148"/>
        </w:trPr>
        <w:tc>
          <w:tcPr>
            <w:tcW w:w="6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long-term liabilities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(16,019 )</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12,949</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6,608</w:t>
            </w:r>
          </w:p>
        </w:tc>
        <w:tc>
          <w:tcPr>
            <w:tcW w:w="100" w:type="dxa"/>
            <w:vAlign w:val="bottom"/>
            <w:shd w:val="clear" w:color="auto" w:fill="CFF0FC"/>
          </w:tcPr>
          <w:p>
            <w:pPr>
              <w:spacing w:after="0"/>
              <w:rPr>
                <w:sz w:val="12"/>
                <w:szCs w:val="12"/>
                <w:color w:val="auto"/>
              </w:rPr>
            </w:pPr>
          </w:p>
        </w:tc>
      </w:tr>
      <w:tr>
        <w:trPr>
          <w:trHeight w:val="142"/>
        </w:trPr>
        <w:tc>
          <w:tcPr>
            <w:tcW w:w="6640" w:type="dxa"/>
            <w:vAlign w:val="bottom"/>
            <w:tcBorders>
              <w:top w:val="single" w:sz="8" w:color="CFF0FC"/>
            </w:tcBorders>
          </w:tcPr>
          <w:p>
            <w:pPr>
              <w:ind w:left="38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523,606</w:t>
            </w: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407,699</w:t>
            </w: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237,526</w:t>
            </w:r>
          </w:p>
        </w:tc>
        <w:tc>
          <w:tcPr>
            <w:tcW w:w="100" w:type="dxa"/>
            <w:vAlign w:val="bottom"/>
            <w:tcBorders>
              <w:top w:val="single" w:sz="8" w:color="CFF0FC"/>
            </w:tcBorders>
          </w:tcPr>
          <w:p>
            <w:pPr>
              <w:spacing w:after="0"/>
              <w:rPr>
                <w:sz w:val="12"/>
                <w:szCs w:val="12"/>
                <w:color w:val="auto"/>
              </w:rPr>
            </w:pPr>
          </w:p>
        </w:tc>
      </w:tr>
      <w:tr>
        <w:trPr>
          <w:trHeight w:val="142"/>
        </w:trPr>
        <w:tc>
          <w:tcPr>
            <w:tcW w:w="6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Capital expenditures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(49,213 )</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(40,396 )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(30,593 )</w:t>
            </w:r>
          </w:p>
        </w:tc>
      </w:tr>
      <w:tr>
        <w:trPr>
          <w:trHeight w:val="148"/>
        </w:trPr>
        <w:tc>
          <w:tcPr>
            <w:tcW w:w="6640" w:type="dxa"/>
            <w:vAlign w:val="bottom"/>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771</w:t>
            </w:r>
          </w:p>
        </w:tc>
        <w:tc>
          <w:tcPr>
            <w:tcW w:w="100" w:type="dxa"/>
            <w:vAlign w:val="bottom"/>
          </w:tcPr>
          <w:p>
            <w:pPr>
              <w:spacing w:after="0"/>
              <w:rPr>
                <w:sz w:val="12"/>
                <w:szCs w:val="12"/>
                <w:color w:val="auto"/>
              </w:rPr>
            </w:pPr>
          </w:p>
        </w:tc>
      </w:tr>
      <w:tr>
        <w:trPr>
          <w:trHeight w:val="148"/>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for acquisitions, net of cash acquired</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(428,710 )</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(221,937 )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(379,467 )</w:t>
            </w:r>
          </w:p>
        </w:tc>
      </w:tr>
      <w:tr>
        <w:trPr>
          <w:trHeight w:val="149"/>
        </w:trPr>
        <w:tc>
          <w:tcPr>
            <w:tcW w:w="6640" w:type="dxa"/>
            <w:vAlign w:val="bottom"/>
          </w:tcPr>
          <w:p>
            <w:pPr>
              <w:ind w:left="20"/>
              <w:spacing w:after="0"/>
              <w:rPr>
                <w:sz w:val="20"/>
                <w:szCs w:val="20"/>
                <w:color w:val="auto"/>
              </w:rPr>
            </w:pPr>
            <w:r>
              <w:rPr>
                <w:rFonts w:ascii="Arial" w:cs="Arial" w:eastAsia="Arial" w:hAnsi="Arial"/>
                <w:sz w:val="13"/>
                <w:szCs w:val="13"/>
                <w:color w:val="auto"/>
              </w:rPr>
              <w:t>Investments in unconsolidated joint ventures</w:t>
            </w:r>
          </w:p>
        </w:tc>
        <w:tc>
          <w:tcPr>
            <w:tcW w:w="3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(133,921 )</w:t>
            </w:r>
          </w:p>
        </w:tc>
        <w:tc>
          <w:tcPr>
            <w:tcW w:w="300" w:type="dxa"/>
            <w:vAlign w:val="bottom"/>
          </w:tcPr>
          <w:p>
            <w:pPr>
              <w:spacing w:after="0"/>
              <w:rPr>
                <w:sz w:val="12"/>
                <w:szCs w:val="12"/>
                <w:color w:val="auto"/>
              </w:rPr>
            </w:pPr>
          </w:p>
        </w:tc>
        <w:tc>
          <w:tcPr>
            <w:tcW w:w="1280" w:type="dxa"/>
            <w:vAlign w:val="bottom"/>
            <w:gridSpan w:val="2"/>
          </w:tcPr>
          <w:p>
            <w:pPr>
              <w:jc w:val="right"/>
              <w:ind w:right="113"/>
              <w:spacing w:after="0"/>
              <w:rPr>
                <w:sz w:val="20"/>
                <w:szCs w:val="20"/>
                <w:color w:val="auto"/>
              </w:rPr>
            </w:pPr>
            <w:r>
              <w:rPr>
                <w:rFonts w:ascii="Arial" w:cs="Arial" w:eastAsia="Arial" w:hAnsi="Arial"/>
                <w:sz w:val="13"/>
                <w:szCs w:val="13"/>
                <w:color w:val="auto"/>
              </w:rPr>
              <w:t>(119,582 )</w:t>
            </w:r>
          </w:p>
        </w:tc>
        <w:tc>
          <w:tcPr>
            <w:tcW w:w="30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(17,622 )</w:t>
            </w:r>
          </w:p>
        </w:tc>
      </w:tr>
      <w:tr>
        <w:trPr>
          <w:trHeight w:val="149"/>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Return of investments in unconsolidated joint ventures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54,950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5,018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9,443</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
              <w:spacing w:after="0"/>
              <w:rPr>
                <w:sz w:val="20"/>
                <w:szCs w:val="20"/>
                <w:color w:val="auto"/>
              </w:rPr>
            </w:pPr>
            <w:r>
              <w:rPr>
                <w:rFonts w:ascii="Arial" w:cs="Arial" w:eastAsia="Arial" w:hAnsi="Arial"/>
                <w:sz w:val="13"/>
                <w:szCs w:val="13"/>
                <w:color w:val="auto"/>
              </w:rPr>
              <w:t>Proceeds from sales of investments in unconsolidated joint ventures</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2"/>
        </w:trPr>
        <w:tc>
          <w:tcPr>
            <w:tcW w:w="6640" w:type="dxa"/>
            <w:vAlign w:val="bottom"/>
            <w:shd w:val="clear" w:color="auto" w:fill="CFF0FC"/>
          </w:tcPr>
          <w:p>
            <w:pPr>
              <w:ind w:left="380"/>
              <w:spacing w:after="0" w:line="142" w:lineRule="exact"/>
              <w:rPr>
                <w:sz w:val="20"/>
                <w:szCs w:val="20"/>
                <w:color w:val="auto"/>
              </w:rPr>
            </w:pPr>
            <w:r>
              <w:rPr>
                <w:rFonts w:ascii="Arial" w:cs="Arial" w:eastAsia="Arial" w:hAnsi="Arial"/>
                <w:sz w:val="13"/>
                <w:szCs w:val="13"/>
                <w:color w:val="auto"/>
              </w:rPr>
              <w:t>Net cash used in investing activities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(556,715 )</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13"/>
              <w:spacing w:after="0" w:line="142" w:lineRule="exact"/>
              <w:rPr>
                <w:sz w:val="20"/>
                <w:szCs w:val="20"/>
                <w:color w:val="auto"/>
              </w:rPr>
            </w:pPr>
            <w:r>
              <w:rPr>
                <w:rFonts w:ascii="Arial" w:cs="Arial" w:eastAsia="Arial" w:hAnsi="Arial"/>
                <w:sz w:val="13"/>
                <w:szCs w:val="13"/>
                <w:color w:val="auto"/>
              </w:rPr>
              <w:t>(375,970 )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line="142" w:lineRule="exact"/>
              <w:rPr>
                <w:sz w:val="20"/>
                <w:szCs w:val="20"/>
                <w:color w:val="auto"/>
              </w:rPr>
            </w:pPr>
            <w:r>
              <w:rPr>
                <w:rFonts w:ascii="Arial" w:cs="Arial" w:eastAsia="Arial" w:hAnsi="Arial"/>
                <w:sz w:val="13"/>
                <w:szCs w:val="13"/>
                <w:color w:val="auto"/>
              </w:rPr>
              <w:t>(417,468 )</w:t>
            </w:r>
          </w:p>
        </w:tc>
      </w:tr>
      <w:tr>
        <w:trPr>
          <w:trHeight w:val="142"/>
        </w:trPr>
        <w:tc>
          <w:tcPr>
            <w:tcW w:w="66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
              <w:spacing w:after="0"/>
              <w:rPr>
                <w:sz w:val="20"/>
                <w:szCs w:val="20"/>
                <w:color w:val="auto"/>
              </w:rPr>
            </w:pPr>
            <w:r>
              <w:rPr>
                <w:rFonts w:ascii="Arial" w:cs="Arial" w:eastAsia="Arial" w:hAnsi="Arial"/>
                <w:sz w:val="13"/>
                <w:szCs w:val="13"/>
                <w:color w:val="auto"/>
              </w:rPr>
              <w:t>Proceeds from borrowings under credit agreement</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153,200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620,900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969,700</w:t>
            </w:r>
          </w:p>
        </w:tc>
        <w:tc>
          <w:tcPr>
            <w:tcW w:w="100" w:type="dxa"/>
            <w:vAlign w:val="bottom"/>
          </w:tcPr>
          <w:p>
            <w:pPr>
              <w:spacing w:after="0"/>
              <w:rPr>
                <w:sz w:val="12"/>
                <w:szCs w:val="12"/>
                <w:color w:val="auto"/>
              </w:rPr>
            </w:pPr>
          </w:p>
        </w:tc>
      </w:tr>
      <w:tr>
        <w:trPr>
          <w:trHeight w:val="149"/>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delayed draw term loan</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
              <w:spacing w:after="0"/>
              <w:rPr>
                <w:sz w:val="20"/>
                <w:szCs w:val="20"/>
                <w:color w:val="auto"/>
              </w:rPr>
            </w:pPr>
            <w:r>
              <w:rPr>
                <w:rFonts w:ascii="Arial" w:cs="Arial" w:eastAsia="Arial" w:hAnsi="Arial"/>
                <w:sz w:val="13"/>
                <w:szCs w:val="13"/>
                <w:color w:val="auto"/>
              </w:rPr>
              <w:t>Repayments of borrowings under credit agreement</w:t>
            </w:r>
          </w:p>
        </w:tc>
        <w:tc>
          <w:tcPr>
            <w:tcW w:w="3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(153,200 )</w:t>
            </w:r>
          </w:p>
        </w:tc>
        <w:tc>
          <w:tcPr>
            <w:tcW w:w="300" w:type="dxa"/>
            <w:vAlign w:val="bottom"/>
          </w:tcPr>
          <w:p>
            <w:pPr>
              <w:spacing w:after="0"/>
              <w:rPr>
                <w:sz w:val="12"/>
                <w:szCs w:val="12"/>
                <w:color w:val="auto"/>
              </w:rPr>
            </w:pPr>
          </w:p>
        </w:tc>
        <w:tc>
          <w:tcPr>
            <w:tcW w:w="1280" w:type="dxa"/>
            <w:vAlign w:val="bottom"/>
            <w:gridSpan w:val="2"/>
          </w:tcPr>
          <w:p>
            <w:pPr>
              <w:jc w:val="right"/>
              <w:ind w:right="113"/>
              <w:spacing w:after="0"/>
              <w:rPr>
                <w:sz w:val="20"/>
                <w:szCs w:val="20"/>
                <w:color w:val="auto"/>
              </w:rPr>
            </w:pPr>
            <w:r>
              <w:rPr>
                <w:rFonts w:ascii="Arial" w:cs="Arial" w:eastAsia="Arial" w:hAnsi="Arial"/>
                <w:sz w:val="13"/>
                <w:szCs w:val="13"/>
                <w:color w:val="auto"/>
              </w:rPr>
              <w:t>(620,900 )</w:t>
            </w:r>
          </w:p>
        </w:tc>
        <w:tc>
          <w:tcPr>
            <w:tcW w:w="30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(969,700 )</w:t>
            </w:r>
          </w:p>
        </w:tc>
      </w:tr>
      <w:tr>
        <w:trPr>
          <w:trHeight w:val="149"/>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Repayment of private placement debt</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(200,000 )</w:t>
            </w:r>
          </w:p>
        </w:tc>
      </w:tr>
      <w:tr>
        <w:trPr>
          <w:trHeight w:val="148"/>
        </w:trPr>
        <w:tc>
          <w:tcPr>
            <w:tcW w:w="6640" w:type="dxa"/>
            <w:vAlign w:val="bottom"/>
          </w:tcPr>
          <w:p>
            <w:pPr>
              <w:ind w:left="20"/>
              <w:spacing w:after="0"/>
              <w:rPr>
                <w:sz w:val="20"/>
                <w:szCs w:val="20"/>
                <w:color w:val="auto"/>
              </w:rPr>
            </w:pPr>
            <w:r>
              <w:rPr>
                <w:rFonts w:ascii="Arial" w:cs="Arial" w:eastAsia="Arial" w:hAnsi="Arial"/>
                <w:sz w:val="13"/>
                <w:szCs w:val="13"/>
                <w:color w:val="auto"/>
              </w:rPr>
              <w:t>Payments for acquired warrants</w:t>
            </w:r>
          </w:p>
        </w:tc>
        <w:tc>
          <w:tcPr>
            <w:tcW w:w="300" w:type="dxa"/>
            <w:vAlign w:val="bottom"/>
          </w:tcPr>
          <w:p>
            <w:pPr>
              <w:spacing w:after="0"/>
              <w:rPr>
                <w:sz w:val="12"/>
                <w:szCs w:val="1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28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(11,243 )</w:t>
            </w:r>
          </w:p>
        </w:tc>
      </w:tr>
      <w:tr>
        <w:trPr>
          <w:trHeight w:val="148"/>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issuance of convertible notes due 2029</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800,000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640" w:type="dxa"/>
            <w:vAlign w:val="bottom"/>
          </w:tcPr>
          <w:p>
            <w:pPr>
              <w:ind w:left="20"/>
              <w:spacing w:after="0"/>
              <w:rPr>
                <w:sz w:val="20"/>
                <w:szCs w:val="20"/>
                <w:color w:val="auto"/>
              </w:rPr>
            </w:pPr>
            <w:r>
              <w:rPr>
                <w:rFonts w:ascii="Arial" w:cs="Arial" w:eastAsia="Arial" w:hAnsi="Arial"/>
                <w:sz w:val="13"/>
                <w:szCs w:val="13"/>
                <w:color w:val="auto"/>
              </w:rPr>
              <w:t>Repurchases of convertible notes due 2025</w:t>
            </w:r>
          </w:p>
        </w:tc>
        <w:tc>
          <w:tcPr>
            <w:tcW w:w="3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(497,613 )</w:t>
            </w:r>
          </w:p>
        </w:tc>
        <w:tc>
          <w:tcPr>
            <w:tcW w:w="300" w:type="dxa"/>
            <w:vAlign w:val="bottom"/>
          </w:tcPr>
          <w:p>
            <w:pPr>
              <w:spacing w:after="0"/>
              <w:rPr>
                <w:sz w:val="12"/>
                <w:szCs w:val="12"/>
                <w:color w:val="auto"/>
              </w:rPr>
            </w:pPr>
          </w:p>
        </w:tc>
        <w:tc>
          <w:tcPr>
            <w:tcW w:w="128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for debt issuance costs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(19,185 )</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(862 )</w:t>
            </w:r>
          </w:p>
        </w:tc>
      </w:tr>
      <w:tr>
        <w:trPr>
          <w:trHeight w:val="148"/>
        </w:trPr>
        <w:tc>
          <w:tcPr>
            <w:tcW w:w="6640" w:type="dxa"/>
            <w:vAlign w:val="bottom"/>
          </w:tcPr>
          <w:p>
            <w:pPr>
              <w:ind w:left="20"/>
              <w:spacing w:after="0"/>
              <w:rPr>
                <w:sz w:val="20"/>
                <w:szCs w:val="20"/>
                <w:color w:val="auto"/>
              </w:rPr>
            </w:pPr>
            <w:r>
              <w:rPr>
                <w:rFonts w:ascii="Arial" w:cs="Arial" w:eastAsia="Arial" w:hAnsi="Arial"/>
                <w:sz w:val="13"/>
                <w:szCs w:val="13"/>
                <w:color w:val="auto"/>
              </w:rPr>
              <w:t>Contributions by noncontrolling interests</w:t>
            </w: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2,174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2,867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10,266</w:t>
            </w:r>
          </w:p>
        </w:tc>
        <w:tc>
          <w:tcPr>
            <w:tcW w:w="100" w:type="dxa"/>
            <w:vAlign w:val="bottom"/>
          </w:tcPr>
          <w:p>
            <w:pPr>
              <w:spacing w:after="0"/>
              <w:rPr>
                <w:sz w:val="12"/>
                <w:szCs w:val="12"/>
                <w:color w:val="auto"/>
              </w:rPr>
            </w:pPr>
          </w:p>
        </w:tc>
      </w:tr>
      <w:tr>
        <w:trPr>
          <w:trHeight w:val="149"/>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Distributions to noncontrolling interests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(29,199 )</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(12,496 )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(24,128 )</w:t>
            </w:r>
          </w:p>
        </w:tc>
      </w:tr>
      <w:tr>
        <w:trPr>
          <w:trHeight w:val="148"/>
        </w:trPr>
        <w:tc>
          <w:tcPr>
            <w:tcW w:w="6640" w:type="dxa"/>
            <w:vAlign w:val="bottom"/>
          </w:tcPr>
          <w:p>
            <w:pPr>
              <w:ind w:left="20"/>
              <w:spacing w:after="0"/>
              <w:rPr>
                <w:sz w:val="20"/>
                <w:szCs w:val="20"/>
                <w:color w:val="auto"/>
              </w:rPr>
            </w:pPr>
            <w:r>
              <w:rPr>
                <w:rFonts w:ascii="Arial" w:cs="Arial" w:eastAsia="Arial" w:hAnsi="Arial"/>
                <w:sz w:val="13"/>
                <w:szCs w:val="13"/>
                <w:color w:val="auto"/>
              </w:rPr>
              <w:t>Repurchases of common stock</w:t>
            </w:r>
          </w:p>
        </w:tc>
        <w:tc>
          <w:tcPr>
            <w:tcW w:w="3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(25,000 )</w:t>
            </w:r>
          </w:p>
        </w:tc>
        <w:tc>
          <w:tcPr>
            <w:tcW w:w="300" w:type="dxa"/>
            <w:vAlign w:val="bottom"/>
          </w:tcPr>
          <w:p>
            <w:pPr>
              <w:spacing w:after="0"/>
              <w:rPr>
                <w:sz w:val="12"/>
                <w:szCs w:val="12"/>
                <w:color w:val="auto"/>
              </w:rPr>
            </w:pPr>
          </w:p>
        </w:tc>
        <w:tc>
          <w:tcPr>
            <w:tcW w:w="1280" w:type="dxa"/>
            <w:vAlign w:val="bottom"/>
            <w:gridSpan w:val="2"/>
          </w:tcPr>
          <w:p>
            <w:pPr>
              <w:jc w:val="right"/>
              <w:ind w:right="113"/>
              <w:spacing w:after="0"/>
              <w:rPr>
                <w:sz w:val="20"/>
                <w:szCs w:val="20"/>
                <w:color w:val="auto"/>
              </w:rPr>
            </w:pPr>
            <w:r>
              <w:rPr>
                <w:rFonts w:ascii="Arial" w:cs="Arial" w:eastAsia="Arial" w:hAnsi="Arial"/>
                <w:sz w:val="13"/>
                <w:szCs w:val="13"/>
                <w:color w:val="auto"/>
              </w:rPr>
              <w:t>(11,000 )</w:t>
            </w:r>
          </w:p>
        </w:tc>
        <w:tc>
          <w:tcPr>
            <w:tcW w:w="30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(22,000 )</w:t>
            </w:r>
          </w:p>
        </w:tc>
      </w:tr>
      <w:tr>
        <w:trPr>
          <w:trHeight w:val="148"/>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Taxes paid on vested stock</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(22,560 )</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(7,301 )</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(7,042 )</w:t>
            </w:r>
          </w:p>
        </w:tc>
      </w:tr>
      <w:tr>
        <w:trPr>
          <w:trHeight w:val="149"/>
        </w:trPr>
        <w:tc>
          <w:tcPr>
            <w:tcW w:w="6640" w:type="dxa"/>
            <w:vAlign w:val="bottom"/>
          </w:tcPr>
          <w:p>
            <w:pPr>
              <w:ind w:left="20"/>
              <w:spacing w:after="0"/>
              <w:rPr>
                <w:sz w:val="20"/>
                <w:szCs w:val="20"/>
                <w:color w:val="auto"/>
              </w:rPr>
            </w:pPr>
            <w:r>
              <w:rPr>
                <w:rFonts w:ascii="Arial" w:cs="Arial" w:eastAsia="Arial" w:hAnsi="Arial"/>
                <w:sz w:val="13"/>
                <w:szCs w:val="13"/>
                <w:color w:val="auto"/>
              </w:rPr>
              <w:t>Capped call transactions</w:t>
            </w:r>
          </w:p>
        </w:tc>
        <w:tc>
          <w:tcPr>
            <w:tcW w:w="3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(88,400 )</w:t>
            </w:r>
          </w:p>
        </w:tc>
        <w:tc>
          <w:tcPr>
            <w:tcW w:w="300" w:type="dxa"/>
            <w:vAlign w:val="bottom"/>
          </w:tcPr>
          <w:p>
            <w:pPr>
              <w:spacing w:after="0"/>
              <w:rPr>
                <w:sz w:val="12"/>
                <w:szCs w:val="12"/>
                <w:color w:val="auto"/>
              </w:rPr>
            </w:pPr>
          </w:p>
        </w:tc>
        <w:tc>
          <w:tcPr>
            <w:tcW w:w="128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Bond hedge termination</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195,549</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640" w:type="dxa"/>
            <w:vAlign w:val="bottom"/>
          </w:tcPr>
          <w:p>
            <w:pPr>
              <w:ind w:left="20"/>
              <w:spacing w:after="0"/>
              <w:rPr>
                <w:sz w:val="20"/>
                <w:szCs w:val="20"/>
                <w:color w:val="auto"/>
              </w:rPr>
            </w:pPr>
            <w:r>
              <w:rPr>
                <w:rFonts w:ascii="Arial" w:cs="Arial" w:eastAsia="Arial" w:hAnsi="Arial"/>
                <w:sz w:val="13"/>
                <w:szCs w:val="13"/>
                <w:color w:val="auto"/>
              </w:rPr>
              <w:t>Redemption of warrants</w:t>
            </w:r>
          </w:p>
        </w:tc>
        <w:tc>
          <w:tcPr>
            <w:tcW w:w="3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(104,952 )</w:t>
            </w:r>
          </w:p>
        </w:tc>
        <w:tc>
          <w:tcPr>
            <w:tcW w:w="300" w:type="dxa"/>
            <w:vAlign w:val="bottom"/>
          </w:tcPr>
          <w:p>
            <w:pPr>
              <w:spacing w:after="0"/>
              <w:rPr>
                <w:sz w:val="12"/>
                <w:szCs w:val="12"/>
                <w:color w:val="auto"/>
              </w:rPr>
            </w:pPr>
          </w:p>
        </w:tc>
        <w:tc>
          <w:tcPr>
            <w:tcW w:w="128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issuance of common stock</w:t>
            </w: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7,935</w:t>
            </w:r>
          </w:p>
        </w:tc>
        <w:tc>
          <w:tcPr>
            <w:tcW w:w="24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6,059</w:t>
            </w:r>
          </w:p>
        </w:tc>
        <w:tc>
          <w:tcPr>
            <w:tcW w:w="24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5,377</w:t>
            </w:r>
          </w:p>
        </w:tc>
        <w:tc>
          <w:tcPr>
            <w:tcW w:w="100" w:type="dxa"/>
            <w:vAlign w:val="bottom"/>
            <w:shd w:val="clear" w:color="auto" w:fill="CFF0FC"/>
          </w:tcPr>
          <w:p>
            <w:pPr>
              <w:spacing w:after="0"/>
              <w:rPr>
                <w:sz w:val="12"/>
                <w:szCs w:val="12"/>
                <w:color w:val="auto"/>
              </w:rPr>
            </w:pPr>
          </w:p>
        </w:tc>
      </w:tr>
      <w:tr>
        <w:trPr>
          <w:trHeight w:val="142"/>
        </w:trPr>
        <w:tc>
          <w:tcPr>
            <w:tcW w:w="6640" w:type="dxa"/>
            <w:vAlign w:val="bottom"/>
          </w:tcPr>
          <w:p>
            <w:pPr>
              <w:ind w:left="380"/>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218,749</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(21,871</w:t>
            </w:r>
          </w:p>
        </w:tc>
        <w:tc>
          <w:tcPr>
            <w:tcW w:w="240" w:type="dxa"/>
            <w:vAlign w:val="bottom"/>
          </w:tcPr>
          <w:p>
            <w:pPr>
              <w:jc w:val="right"/>
              <w:ind w:right="113"/>
              <w:spacing w:after="0" w:line="142" w:lineRule="exact"/>
              <w:rPr>
                <w:sz w:val="20"/>
                <w:szCs w:val="20"/>
                <w:color w:val="auto"/>
              </w:rPr>
            </w:pPr>
            <w:r>
              <w:rPr>
                <w:rFonts w:ascii="Arial" w:cs="Arial" w:eastAsia="Arial" w:hAnsi="Arial"/>
                <w:sz w:val="13"/>
                <w:szCs w:val="13"/>
                <w:color w:val="auto"/>
                <w:w w:val="91"/>
              </w:rPr>
              <w:t>)</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100,368</w:t>
            </w:r>
          </w:p>
        </w:tc>
        <w:tc>
          <w:tcPr>
            <w:tcW w:w="100" w:type="dxa"/>
            <w:vAlign w:val="bottom"/>
          </w:tcPr>
          <w:p>
            <w:pPr>
              <w:spacing w:after="0"/>
              <w:rPr>
                <w:sz w:val="12"/>
                <w:szCs w:val="12"/>
                <w:color w:val="auto"/>
              </w:rPr>
            </w:pPr>
          </w:p>
        </w:tc>
      </w:tr>
      <w:tr>
        <w:trPr>
          <w:trHeight w:val="142"/>
        </w:trPr>
        <w:tc>
          <w:tcPr>
            <w:tcW w:w="66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color w:val="auto"/>
              </w:rPr>
              <w:t>Effect of exchange rate changes</w:t>
            </w:r>
          </w:p>
        </w:tc>
        <w:tc>
          <w:tcPr>
            <w:tcW w:w="3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2" w:lineRule="exact"/>
              <w:rPr>
                <w:sz w:val="20"/>
                <w:szCs w:val="20"/>
                <w:color w:val="auto"/>
              </w:rPr>
            </w:pPr>
            <w:r>
              <w:rPr>
                <w:rFonts w:ascii="Arial" w:cs="Arial" w:eastAsia="Arial" w:hAnsi="Arial"/>
                <w:sz w:val="13"/>
                <w:szCs w:val="13"/>
                <w:color w:val="auto"/>
              </w:rPr>
              <w:t>(5,035 )</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546</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40"/>
              <w:spacing w:after="0" w:line="142" w:lineRule="exact"/>
              <w:rPr>
                <w:sz w:val="20"/>
                <w:szCs w:val="20"/>
                <w:color w:val="auto"/>
              </w:rPr>
            </w:pPr>
            <w:r>
              <w:rPr>
                <w:rFonts w:ascii="Arial" w:cs="Arial" w:eastAsia="Arial" w:hAnsi="Arial"/>
                <w:sz w:val="13"/>
                <w:szCs w:val="13"/>
                <w:color w:val="auto"/>
              </w:rPr>
              <w:t>(1,770 )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640" w:type="dxa"/>
            <w:vAlign w:val="bottom"/>
          </w:tcPr>
          <w:p>
            <w:pPr>
              <w:ind w:left="380"/>
              <w:spacing w:after="0" w:line="142" w:lineRule="exact"/>
              <w:rPr>
                <w:sz w:val="20"/>
                <w:szCs w:val="20"/>
                <w:color w:val="auto"/>
              </w:rPr>
            </w:pPr>
            <w:r>
              <w:rPr>
                <w:rFonts w:ascii="Arial" w:cs="Arial" w:eastAsia="Arial" w:hAnsi="Arial"/>
                <w:sz w:val="13"/>
                <w:szCs w:val="13"/>
                <w:color w:val="auto"/>
              </w:rPr>
              <w:t>Net increase (decrease) in cash, cash equivalents and restricted cash</w:t>
            </w: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180,605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10,404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(81,344 )</w:t>
            </w:r>
          </w:p>
        </w:tc>
      </w:tr>
      <w:tr>
        <w:trPr>
          <w:trHeight w:val="149"/>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cash equivalents and restricted cash</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
              <w:spacing w:after="0"/>
              <w:rPr>
                <w:sz w:val="20"/>
                <w:szCs w:val="20"/>
                <w:color w:val="auto"/>
              </w:rPr>
            </w:pPr>
            <w:r>
              <w:rPr>
                <w:rFonts w:ascii="Arial" w:cs="Arial" w:eastAsia="Arial" w:hAnsi="Arial"/>
                <w:sz w:val="13"/>
                <w:szCs w:val="13"/>
                <w:color w:val="auto"/>
              </w:rPr>
              <w:t>Beginning of year</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272,943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262,539</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343,883</w:t>
            </w:r>
          </w:p>
        </w:tc>
        <w:tc>
          <w:tcPr>
            <w:tcW w:w="100" w:type="dxa"/>
            <w:vAlign w:val="bottom"/>
          </w:tcPr>
          <w:p>
            <w:pPr>
              <w:spacing w:after="0"/>
              <w:rPr>
                <w:sz w:val="12"/>
                <w:szCs w:val="12"/>
                <w:color w:val="auto"/>
              </w:rPr>
            </w:pPr>
          </w:p>
        </w:tc>
      </w:tr>
      <w:tr>
        <w:trPr>
          <w:trHeight w:val="182"/>
        </w:trPr>
        <w:tc>
          <w:tcPr>
            <w:tcW w:w="664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End of year</w:t>
            </w:r>
          </w:p>
        </w:tc>
        <w:tc>
          <w:tcPr>
            <w:tcW w:w="300" w:type="dxa"/>
            <w:vAlign w:val="bottom"/>
            <w:tcBorders>
              <w:bottom w:val="single" w:sz="8" w:color="auto"/>
            </w:tcBorders>
            <w:shd w:val="clear" w:color="auto" w:fill="CFF0FC"/>
          </w:tcPr>
          <w:p>
            <w:pPr>
              <w:jc w:val="right"/>
              <w:ind w:right="133"/>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453,548</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53"/>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272,943</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53"/>
              <w:spacing w:after="0" w:line="142"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262,539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66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Cash paid during the year for</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w:t>
            </w:r>
          </w:p>
        </w:tc>
        <w:tc>
          <w:tcPr>
            <w:tcW w:w="300" w:type="dxa"/>
            <w:vAlign w:val="bottom"/>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34,440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30,273</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20,819</w:t>
            </w:r>
          </w:p>
        </w:tc>
        <w:tc>
          <w:tcPr>
            <w:tcW w:w="100" w:type="dxa"/>
            <w:vAlign w:val="bottom"/>
            <w:shd w:val="clear" w:color="auto" w:fill="CFF0FC"/>
          </w:tcPr>
          <w:p>
            <w:pPr>
              <w:spacing w:after="0"/>
              <w:rPr>
                <w:sz w:val="12"/>
                <w:szCs w:val="12"/>
                <w:color w:val="auto"/>
              </w:rPr>
            </w:pPr>
          </w:p>
        </w:tc>
      </w:tr>
      <w:tr>
        <w:trPr>
          <w:trHeight w:val="148"/>
        </w:trPr>
        <w:tc>
          <w:tcPr>
            <w:tcW w:w="6640" w:type="dxa"/>
            <w:vAlign w:val="bottom"/>
          </w:tcPr>
          <w:p>
            <w:pPr>
              <w:ind w:left="20"/>
              <w:spacing w:after="0" w:line="148" w:lineRule="exact"/>
              <w:rPr>
                <w:sz w:val="20"/>
                <w:szCs w:val="20"/>
                <w:color w:val="auto"/>
              </w:rPr>
            </w:pPr>
            <w:r>
              <w:rPr>
                <w:rFonts w:ascii="Arial" w:cs="Arial" w:eastAsia="Arial" w:hAnsi="Arial"/>
                <w:sz w:val="13"/>
                <w:szCs w:val="13"/>
                <w:color w:val="auto"/>
              </w:rPr>
              <w:t>Income taxes (net of refunds)</w:t>
            </w:r>
          </w:p>
        </w:tc>
        <w:tc>
          <w:tcPr>
            <w:tcW w:w="300" w:type="dxa"/>
            <w:vAlign w:val="bottom"/>
          </w:tcPr>
          <w:p>
            <w:pPr>
              <w:jc w:val="right"/>
              <w:ind w:right="133"/>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48" w:lineRule="exact"/>
              <w:rPr>
                <w:sz w:val="20"/>
                <w:szCs w:val="20"/>
                <w:color w:val="auto"/>
              </w:rPr>
            </w:pPr>
            <w:r>
              <w:rPr>
                <w:rFonts w:ascii="Arial" w:cs="Arial" w:eastAsia="Arial" w:hAnsi="Arial"/>
                <w:sz w:val="13"/>
                <w:szCs w:val="13"/>
                <w:color w:val="auto"/>
              </w:rPr>
              <w:t>65,274</w:t>
            </w:r>
          </w:p>
        </w:tc>
        <w:tc>
          <w:tcPr>
            <w:tcW w:w="240" w:type="dxa"/>
            <w:vAlign w:val="bottom"/>
          </w:tcPr>
          <w:p>
            <w:pPr>
              <w:spacing w:after="0"/>
              <w:rPr>
                <w:sz w:val="12"/>
                <w:szCs w:val="12"/>
                <w:color w:val="auto"/>
              </w:rPr>
            </w:pPr>
          </w:p>
        </w:tc>
        <w:tc>
          <w:tcPr>
            <w:tcW w:w="300" w:type="dxa"/>
            <w:vAlign w:val="bottom"/>
          </w:tcPr>
          <w:p>
            <w:pPr>
              <w:jc w:val="right"/>
              <w:ind w:right="153"/>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line="148" w:lineRule="exact"/>
              <w:rPr>
                <w:sz w:val="20"/>
                <w:szCs w:val="20"/>
                <w:color w:val="auto"/>
              </w:rPr>
            </w:pPr>
            <w:r>
              <w:rPr>
                <w:rFonts w:ascii="Arial" w:cs="Arial" w:eastAsia="Arial" w:hAnsi="Arial"/>
                <w:sz w:val="13"/>
                <w:szCs w:val="13"/>
                <w:color w:val="auto"/>
              </w:rPr>
              <w:t>74,133</w:t>
            </w:r>
          </w:p>
        </w:tc>
        <w:tc>
          <w:tcPr>
            <w:tcW w:w="240" w:type="dxa"/>
            <w:vAlign w:val="bottom"/>
          </w:tcPr>
          <w:p>
            <w:pPr>
              <w:spacing w:after="0"/>
              <w:rPr>
                <w:sz w:val="12"/>
                <w:szCs w:val="12"/>
                <w:color w:val="auto"/>
              </w:rPr>
            </w:pPr>
          </w:p>
        </w:tc>
        <w:tc>
          <w:tcPr>
            <w:tcW w:w="300" w:type="dxa"/>
            <w:vAlign w:val="bottom"/>
          </w:tcPr>
          <w:p>
            <w:pPr>
              <w:jc w:val="right"/>
              <w:ind w:right="153"/>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line="148" w:lineRule="exact"/>
              <w:rPr>
                <w:sz w:val="20"/>
                <w:szCs w:val="20"/>
                <w:color w:val="auto"/>
              </w:rPr>
            </w:pPr>
            <w:r>
              <w:rPr>
                <w:rFonts w:ascii="Arial" w:cs="Arial" w:eastAsia="Arial" w:hAnsi="Arial"/>
                <w:sz w:val="13"/>
                <w:szCs w:val="13"/>
                <w:color w:val="auto"/>
              </w:rPr>
              <w:t>32,175</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-3582035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-3582035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-3582035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-2613660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-2613660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-920115</wp:posOffset>
            </wp:positionV>
            <wp:extent cx="93980" cy="1365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-920115</wp:posOffset>
            </wp:positionV>
            <wp:extent cx="93980" cy="1365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1">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-920115</wp:posOffset>
            </wp:positionV>
            <wp:extent cx="93980" cy="1365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-701675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-701675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-307340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-290195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-307340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-290195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3" w:name="page104"/>
    <w:bookmarkEnd w:id="103"/>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ind w:left="520" w:right="8520" w:hanging="512"/>
        <w:spacing w:after="0" w:line="360" w:lineRule="auto"/>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509"/>
        <w:spacing w:after="0" w:line="247"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w:t>
      </w:r>
    </w:p>
    <w:p>
      <w:pPr>
        <w:spacing w:after="0" w:line="282"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10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include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Intercompany accounts and transactions are eliminated in consolidation. Certain amounts may not foot due to rounding.</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preparation of the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ESOP</w:t>
      </w:r>
    </w:p>
    <w:p>
      <w:pPr>
        <w:spacing w:after="0" w:line="10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Company maintains a non-leveraged ESOP for eligible employees, for which the Company contributes shares of its own stock to the ESOP trust each year. Throughout the year, as employee services are rendered, the Company records compensation expense based on salaries of eligible employees. At each reporting period, the shares held within the ESOP or committed to be contributed to the ESOP are adjusted to their redemption value through an offsetting charge or credit to retained earnings.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Treasury Stock</w:t>
      </w:r>
    </w:p>
    <w:p>
      <w:pPr>
        <w:spacing w:after="0" w:line="104" w:lineRule="exact"/>
        <w:rPr>
          <w:sz w:val="20"/>
          <w:szCs w:val="20"/>
          <w:color w:val="auto"/>
        </w:rPr>
      </w:pPr>
    </w:p>
    <w:p>
      <w:pPr>
        <w:ind w:right="260" w:firstLine="509"/>
        <w:spacing w:after="0" w:line="275" w:lineRule="auto"/>
        <w:rPr>
          <w:sz w:val="20"/>
          <w:szCs w:val="20"/>
          <w:color w:val="auto"/>
        </w:rPr>
      </w:pPr>
      <w:r>
        <w:rPr>
          <w:rFonts w:ascii="Arial" w:cs="Arial" w:eastAsia="Arial" w:hAnsi="Arial"/>
          <w:sz w:val="17"/>
          <w:szCs w:val="17"/>
          <w:color w:val="auto"/>
        </w:rPr>
        <w:t>The Company records treasury stock purchases under the cost method whereby the entire cost of the acquired stock is recorded as treasury stock. The Company records the reissuance of treasury stock using the first-in, first-out method of accounting. Contributions of 633,033 shares, 915,113 shares, and 1,188,129 shares of common stock were made to the ESOP in 2024, 2023 and 2022,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Share Repurchases</w:t>
      </w:r>
    </w:p>
    <w:p>
      <w:pPr>
        <w:spacing w:after="0" w:line="104" w:lineRule="exact"/>
        <w:rPr>
          <w:sz w:val="20"/>
          <w:szCs w:val="20"/>
          <w:color w:val="auto"/>
        </w:rPr>
      </w:pPr>
    </w:p>
    <w:p>
      <w:pPr>
        <w:ind w:right="540" w:firstLine="509"/>
        <w:spacing w:after="0" w:line="247" w:lineRule="auto"/>
        <w:rPr>
          <w:sz w:val="20"/>
          <w:szCs w:val="20"/>
          <w:color w:val="auto"/>
        </w:rPr>
      </w:pPr>
      <w:r>
        <w:rPr>
          <w:rFonts w:ascii="Arial" w:cs="Arial" w:eastAsia="Arial" w:hAnsi="Arial"/>
          <w:sz w:val="18"/>
          <w:szCs w:val="18"/>
          <w:color w:val="auto"/>
        </w:rPr>
        <w:t>During the third quarter of 2021, the Company’s Board of Directors authorized the Company to acquire a number of shares of Common Stock having an aggregate market value of not greater than $100,000,000 from time to time. The Board further amended this authorization in February 2024 to restore the repurchase capacity to $100 million and removed the $25 million quarterly cap on such repurchases.</w:t>
      </w:r>
    </w:p>
    <w:p>
      <w:pPr>
        <w:spacing w:after="0" w:line="6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At the time of the February 2024 authorization, the Company had repurchased shares with an aggregated market value (including fees) of $54.7 million. The aggregate market value of shares of Common Stock the Company is authorized to acquire is now not greater than $154.7 million.</w:t>
      </w:r>
    </w:p>
    <w:p>
      <w:pPr>
        <w:spacing w:after="0" w:line="61"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Basic earnings per common share (“EPS”) is calculated by dividing Net income by the weighted average number of common shares outstanding during the year. Diluted earnings per common share is calculated using the if-converted method by dividing adjusted net income by adjusted weighted average outstanding shares, assuming conversion of all potentially dilutive securities. Upon contribution to the ESOP, the shares become outstanding and are included within the earnings per share computations.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 xml:space="preserve">In accordance with Account Standard Update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follows the five-step process in ASC 606 to recognize revenue:</w:t>
      </w:r>
    </w:p>
    <w:p>
      <w:pPr>
        <w:spacing w:after="0" w:line="46"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 the contract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 performance obligations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Allocate the transaction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Recognize revenue</w:t>
      </w:r>
    </w:p>
    <w:p>
      <w:pPr>
        <w:spacing w:after="0" w:line="212"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Contracts</w:t>
      </w:r>
      <w:r>
        <w:rPr>
          <w:rFonts w:ascii="Arial" w:cs="Arial" w:eastAsia="Arial" w:hAnsi="Arial"/>
          <w:sz w:val="18"/>
          <w:szCs w:val="18"/>
          <w:color w:val="auto"/>
        </w:rPr>
        <w:t>—Revenue is derived from long-term contracts with customers whereby the Company provides planning, design,</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technical, and construction and program management services. The Company has contracts with the United States federal government that contain provisions requiring compliance with the United States Federal Acquisition Regulation (“FAR”) and the United States Cost Accounting Standards (“CAS”). These regulations are generally applicable to all of the Company’s federal government contracts and are partially or fully incorporated in some local and state agency contracts. Most of the Company’s federal government contracts are subject to termination at the convenience of the client. These contracts typically provide for reimbursement of costs incurred and payment of fees earned through the date of such termination.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enters into the following types of contracts with its customers:</w:t>
      </w:r>
    </w:p>
    <w:p>
      <w:pPr>
        <w:spacing w:after="0" w:line="21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Cost-Plus—Under cost-plus contracts, the Company is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7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Time-and-Materials—Under time-and-materials contracts, hourly billing rates are negotiated and charged to clients based on the actual time spent on a project. In certain cases, these contracts may be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subject to maximum contract values. In addition, clients reimburse actual out-of-pocket costs for materials and other direct incidental expenditures that are incurred in connection with the performance under the contract.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Fixed-Price—The Company enters into two types of fixed-price contracts: firm fixed-price (“FFP”) and fixed-price per unit (“FPPU”).</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Under FFP contracts, clients pay an agreed fixed-amount negotiated in advance for a specified scope of work.</w:t>
      </w:r>
    </w:p>
    <w:p>
      <w:pPr>
        <w:spacing w:after="0" w:line="19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i w:val="1"/>
          <w:iCs w:val="1"/>
          <w:color w:val="auto"/>
        </w:rPr>
        <w:t>Contract Costs</w:t>
      </w:r>
      <w:r>
        <w:rPr>
          <w:rFonts w:ascii="Arial" w:cs="Arial" w:eastAsia="Arial" w:hAnsi="Arial"/>
          <w:sz w:val="18"/>
          <w:szCs w:val="18"/>
          <w:color w:val="auto"/>
        </w:rPr>
        <w:t>—Contract costs consist of direct costs on contracts, including labor and materials, amounts payable to subcontractors,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 Pre-contract costs are expensed as incurred unless they are expected to be recovered from the client, generate or enhance resources that will be used in satisfying performance obligations in the future and directly relate to an existing or anticipated contract. Costs to mobilize equipment and labor to a job site, prior to substantive work beginning (“mobilization costs”) are capitalized as incurred and amortized over the expected duration of the contract. Additionally, the Company may incur incremental costs to obtain certain contracts, such as selling and market costs, bid and proposal costs, sales commissions, and legal fees, certain of which can be capitalized if they are recoverable under the contract. Capitalized contract costs are included in other current assets on the consolidated balance sheets and were not material as of December 31, 2024 and December 31, 2023.</w:t>
      </w:r>
    </w:p>
    <w:p>
      <w:pPr>
        <w:spacing w:after="0" w:line="18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—A performance obligation is a promise in a contract to transfer a distinct good or service to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and is the unit of account in ASC 606. The transaction price of a contract is allocated to each distinct performance obligation and recognized as revenue when, or as, the performance obligation is satisfied. To the extent a contract is deemed to have multiple performance obligations, the Company allocates the transaction price of the contract to each performance obligation using our best estimate of the standalone selling price of each distinct good or service in the contract. The Company determines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the Company provides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the Company is not liable for the construction of the asset, but has an overall responsibility to oversee, coordinate, measure, and evaluate the quality of construction work and the performance of the construction contractor on behalf of the customer. Customers are generally billed as the Company satisfies its performance obligations and payment terms typically range from 30 to 120 days from the invoice date. Billings under certain fixed-price contracts may be based upon the achievement of specified milestones, while some arrangements may require advance customer payment. The Company’s contracts generally do not include a significant financing component.</w:t>
      </w:r>
    </w:p>
    <w:p>
      <w:pPr>
        <w:spacing w:after="0" w:line="188" w:lineRule="exact"/>
        <w:rPr>
          <w:sz w:val="20"/>
          <w:szCs w:val="20"/>
          <w:color w:val="auto"/>
        </w:rPr>
      </w:pPr>
    </w:p>
    <w:p>
      <w:pPr>
        <w:ind w:right="160" w:firstLine="509"/>
        <w:spacing w:after="0"/>
        <w:rPr>
          <w:sz w:val="20"/>
          <w:szCs w:val="20"/>
          <w:color w:val="auto"/>
        </w:rPr>
      </w:pPr>
      <w:r>
        <w:rPr>
          <w:rFonts w:ascii="Arial" w:cs="Arial" w:eastAsia="Arial" w:hAnsi="Arial"/>
          <w:sz w:val="18"/>
          <w:szCs w:val="18"/>
          <w:i w:val="1"/>
          <w:iCs w:val="1"/>
          <w:color w:val="auto"/>
        </w:rPr>
        <w:t>Variable Consideration</w:t>
      </w:r>
      <w:r>
        <w:rPr>
          <w:rFonts w:ascii="Arial" w:cs="Arial" w:eastAsia="Arial" w:hAnsi="Arial"/>
          <w:sz w:val="18"/>
          <w:szCs w:val="18"/>
          <w:color w:val="auto"/>
        </w:rPr>
        <w:t>—The transaction price for the Company’s contracts may include variable consideration, which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to transaction price for approved and unpriced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The Company estimates variable consideration for a performance obligation utilizing one of the two prescribed methods, depending on which method better predicts the amount of consideration to which the Company will be entitled (or the amount the Company expects to incur in the case of liquidated damages). Such methods are: (a) the expected value method, whereby the amount of variable consideration to be recognized represents the sum of probability weighted amounts 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utilized in situations where a contract contains a large number of possible outcomes, while the most likely amount method is utilized in situations where a contract has only two possible outcomes.</w:t>
      </w:r>
    </w:p>
    <w:p>
      <w:pPr>
        <w:spacing w:after="0" w:line="17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Company includes variable consideration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anticipated performance and all information (historical, current and forecasted) that is reasonably available. The effect of variable consideration on the transaction price of a performance obligation is recognized as an adjustment to revenue on a cumulative catch-up basis.</w:t>
      </w:r>
    </w:p>
    <w:p>
      <w:pPr>
        <w:spacing w:after="0" w:line="17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i w:val="1"/>
          <w:iCs w:val="1"/>
          <w:color w:val="auto"/>
        </w:rPr>
        <w:t>Change Orders</w:t>
      </w:r>
      <w:r>
        <w:rPr>
          <w:rFonts w:ascii="Arial" w:cs="Arial" w:eastAsia="Arial" w:hAnsi="Arial"/>
          <w:sz w:val="18"/>
          <w:szCs w:val="18"/>
          <w:color w:val="auto"/>
        </w:rPr>
        <w:t>—Change orders, which are a normal and recurring part of business, may include changes in specifications or design,</w:t>
      </w:r>
      <w:r>
        <w:rPr>
          <w:rFonts w:ascii="Arial" w:cs="Arial" w:eastAsia="Arial" w:hAnsi="Arial"/>
          <w:sz w:val="18"/>
          <w:szCs w:val="18"/>
          <w:i w:val="1"/>
          <w:iCs w:val="1"/>
          <w:color w:val="auto"/>
        </w:rPr>
        <w:t xml:space="preserve"> </w:t>
      </w:r>
      <w:r>
        <w:rPr>
          <w:rFonts w:ascii="Arial" w:cs="Arial" w:eastAsia="Arial" w:hAnsi="Arial"/>
          <w:sz w:val="18"/>
          <w:szCs w:val="18"/>
          <w:color w:val="auto"/>
        </w:rPr>
        <w:t>manner of performance, facilities, equipment, materials, sites and period of completion of the work. The Company or customer may initiate change orders. Most change orders are not distinct from the existing contract and are accounted for as part of that existing contract. The effect of a change order on the transaction price and measure of progress for the performance obligation to which it relates is recognized as an adjustment to revenues (either as an increase in or a reduction of revenues) on a cumulative catch-up basis. Revenues from unpriced change orders are recognized to the extent of the amounts the Company expects to recover, consistent with the variable consideration policy discussed above. If it is probable that a reversal of revenues will occur, the costs attributable to change orders are treated as contract costs without incremental revenues. To the extent change orders included in the price are not resolved in the Company’s favor, there could be reductions in, or reversals of previously reported amounts of, revenues and profits, and charges against current earnings, which could be material.</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Claims Revenue</w:t>
      </w:r>
      <w:r>
        <w:rPr>
          <w:rFonts w:ascii="Arial" w:cs="Arial" w:eastAsia="Arial" w:hAnsi="Arial"/>
          <w:sz w:val="18"/>
          <w:szCs w:val="18"/>
          <w:color w:val="auto"/>
        </w:rPr>
        <w:t>—Claims revenue are amounts in excess of agreed contract prices that the Company seeks to collect from clients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others for customer-caused delays, errors in specifications and designs, contract terminations, change orders that are in dispute, or other causes of unanticipated additional contract costs, including factors outside of our control, and therefore the Company believes it is entitled to additional compensation. Claims revenue, when recorded, is only recorded to the extent it is probable that a significant reversal of cumulative revenue recognized will not occur. The Company includes certain claims in the transaction price when the claims are legally enforceable, the Company considers collection to be probable and believes it can reliably estimate the ultimate value. The Company continues to engage in negotiations with its customers on outstanding claims. However, these claims may be resolved at amounts that differ from current estimates, which could result in increases or decreases in future estimated contract profits or losses.</w:t>
      </w:r>
    </w:p>
    <w:p>
      <w:pPr>
        <w:spacing w:after="0" w:line="180"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i w:val="1"/>
          <w:iCs w:val="1"/>
          <w:color w:val="auto"/>
        </w:rPr>
        <w:t>Warranties</w:t>
      </w:r>
      <w:r>
        <w:rPr>
          <w:rFonts w:ascii="Arial" w:cs="Arial" w:eastAsia="Arial" w:hAnsi="Arial"/>
          <w:sz w:val="18"/>
          <w:szCs w:val="18"/>
          <w:color w:val="auto"/>
        </w:rPr>
        <w:t>—In most cases, contracts include assurance-type warranties that the Company’s performance is free from material defect</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consistent with the specifications of the Company’s contracts, which do not give rise to a separate performance obligation. To the extent the warranty terms provide the customer with an additional service, such as extended maintenance services, such warranty is accounted for as a separate performance obligation.</w:t>
      </w:r>
    </w:p>
    <w:p>
      <w:pPr>
        <w:spacing w:after="0" w:line="174"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i w:val="1"/>
          <w:iCs w:val="1"/>
          <w:color w:val="auto"/>
        </w:rPr>
        <w:t>Revenue recognized over time</w:t>
      </w:r>
      <w:r>
        <w:rPr>
          <w:rFonts w:ascii="Arial" w:cs="Arial" w:eastAsia="Arial" w:hAnsi="Arial"/>
          <w:sz w:val="18"/>
          <w:szCs w:val="18"/>
          <w:color w:val="auto"/>
        </w:rPr>
        <w:t>—The Company’s performance obligations are generally satisfied over time as work progresses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continuous transfer of control to the customer and the Company has the right to bill the customer as costs are incurred. Typically, revenue is recognized over time using an input measure (i.e. costs incurred to date relative to total estimated costs at completion) to measure progress. The Company generally uses the cost-to-cost measure of progress method because it best depicts the transfer of control to the customer which occurs as the Company incurs costs on its contracts. Under the cost-to-cost measure of progress method, the extent of progress towards completion is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measured based on the ratio of total costs incurred to-date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 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total loss in the period it is identified.</w:t>
      </w:r>
    </w:p>
    <w:p>
      <w:pPr>
        <w:spacing w:after="0" w:line="18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i w:val="1"/>
          <w:iCs w:val="1"/>
          <w:color w:val="auto"/>
        </w:rPr>
        <w:t>Right to invoice practical expedient</w:t>
      </w:r>
      <w:r>
        <w:rPr>
          <w:rFonts w:ascii="Arial" w:cs="Arial" w:eastAsia="Arial" w:hAnsi="Arial"/>
          <w:sz w:val="18"/>
          <w:szCs w:val="18"/>
          <w:color w:val="auto"/>
        </w:rPr>
        <w:t>—For performance obligations satisfied over time where the Company has a right to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 customer in an amount that corresponds directly with the value of the Company’s performance to-date, the Company recognizes revenue in the amount to which it has a right to invoice. For the Company’s reimbursable services contracts, revenue is recognized using the right to invoice practical expedient, or on a cost-to-cost measure of progress method. The Company will select the method that best represents progress on a project.</w:t>
      </w:r>
    </w:p>
    <w:p>
      <w:pPr>
        <w:spacing w:after="0" w:line="176"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i w:val="1"/>
          <w:iCs w:val="1"/>
          <w:color w:val="auto"/>
        </w:rPr>
        <w:t>Revenue recognized at a point in time</w:t>
      </w:r>
      <w:r>
        <w:rPr>
          <w:rFonts w:ascii="Arial" w:cs="Arial" w:eastAsia="Arial" w:hAnsi="Arial"/>
          <w:sz w:val="18"/>
          <w:szCs w:val="18"/>
          <w:color w:val="auto"/>
        </w:rPr>
        <w:t>—For performance obligations satisfied at a point in time, revenue is recognized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performed, control is transferred, and the performance obligation is complete. The Company recognizes revenue at a point in time for vehicle inspection services. Revenue related to the inspection service is recognized for each vehicle inspection at the point the Company has completed the inspection.</w:t>
      </w:r>
    </w:p>
    <w:p>
      <w:pPr>
        <w:spacing w:after="0" w:line="174"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In the Company’s industry, recognition of profit on long-term contracts requires the use of assumptions and estimates related to total contract revenue and in particular estimated claims revenue, total estimated cost at completion, and the measurement of progress towards completion. Estimates are continually evaluated as work progresses and are revised when necessary. When a change in estimate is determined to have an impact on contract profit, the Company records a positive or negative adjustment to the consolidated statements of income.</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Cash Equivalents</w:t>
      </w:r>
    </w:p>
    <w:p>
      <w:pPr>
        <w:spacing w:after="0" w:line="104"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The Company considers all highly liquid investments with original maturities of less than three months to be cash equivalents. Cash equivalent investments are carried at cost, which approximates fair value, and consist primarily of United States Treasuries, time deposits, and other forms of short-term fixed income investments.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Cash and Investments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cash and investments held in trust accounts represent collateral for certain incentive programs.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Accounts Receivable, Net</w:t>
      </w:r>
    </w:p>
    <w:p>
      <w:pPr>
        <w:spacing w:after="0" w:line="104"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Accounts receivable includes billed and unbilled amounts and are recognized in the period when the Company’s rights to receive consideration are unconditional.</w:t>
      </w:r>
    </w:p>
    <w:p>
      <w:pPr>
        <w:spacing w:after="0" w:line="15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Company establishes an allowance for doubtful accounts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Past due receivable balances are written off when internal collection efforts have been unsuccessful in collecting the amounts due.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104"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Projects with performance obligations recognized over time that have revenue recognized to-date in excess of cumulative billings and unbilled accounts receivable are reported on our consolidated balance sheets as “Contract assets”. Contract retentions, included in contract assets, represent amounts withheld by clients, in accordance with underlying contract terms, until certain conditions are met or the project is completed. The operating cycle for certain long-term contracts may extend beyond one year, and, accordingly, collection of retainage on those contracts may extend beyond one year. Contract assets are reclassified to accounts receivable when the right to consideration becomes unconditional.</w:t>
      </w:r>
    </w:p>
    <w:p>
      <w:pPr>
        <w:spacing w:after="0" w:line="17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Contract liabilities on uncompleted contracts represent the excess of cash collected from clients and billings to clients on contracts in advance of work performed over the amount of revenue recognized and provisions for losses. The majority of these amounts are expected to be earned within 12 months and are classified as current liabilities.</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Concentration of Credit Risk</w:t>
      </w:r>
    </w:p>
    <w:p>
      <w:pPr>
        <w:spacing w:after="0" w:line="10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cash equivalents and accounts receivables. The Company’s cash is primarily held with major banks and financial institutions throughout the world. At times, cash balances may be in excess of the amount insured.</w:t>
      </w:r>
    </w:p>
    <w:p>
      <w:pPr>
        <w:spacing w:after="0" w:line="16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Company is involved in a significant volume of contracts with the United States federal government and state and local governments. Approximately 59%, 55%, and 53% of consolidated revenues for the years ended December 31, 2024, December 31, 2023 and December 31, 2022, respectively, and approximately 23% and 18% of accounts receivable as of December 31, 2024 and December 31, 2023, respectively were derived from contracts with the United States federal government. No other customers represented 10% or more of consolidated revenues or accounts receivable in any of the periods presented. Two customer sets within the United States federal government represent over 20% of total Company revenue for the year ended December 31, 2024.</w:t>
      </w:r>
    </w:p>
    <w:p>
      <w:pPr>
        <w:spacing w:after="0" w:line="179"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In order to mitigate the credit risk associated with customers, the Company performs periodic credit evaluations of its customers’ financial condition.</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Property and Equipment</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Property and equipment are stated at cost and are shown net of accumulated depreciation. Depreciation is computed using the straight-line method over the estimated useful lives of the assets. Depreciation of leasehold improvements is computed using the straight-line method over the shorter of their estimated useful lives or the remaining term of the lease.</w:t>
      </w:r>
    </w:p>
    <w:p>
      <w:pPr>
        <w:spacing w:after="0" w:line="16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cost of assets retired or otherwise disposed of and the related accumulated depreciation are eliminated from the accounts, and any gain or loss thereon is included in net income. Expenditures for maintenance and repairs are expensed as incurred. Property and equipment are reviewed for impairment when events or circumstances change that indicate they may not be recoverable. Impairment losses are recognized when estimated future cash flows expected to result from the use of the assets and their eventual disposition are less than their carrying amount, in which case the asset is written down to its fair value.</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8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have lease agreements with lease and non-lease components where the lease consideration is allocated between the components based on relative standalone prices. For real property leases, allocations of lease consideration between lease and non-lease components are immaterial.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Equity-Based Compensation</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measures the value of services received from employees and directors in exchange for an equity-based award based on the grant date fair value. The Company issues equity-based awards that settle in shares of the Company’s common stock. Awards containing performance measures are adjusted at each reporting period for the number of shares expected to be earned. Compensation cost for performance awards are trued-up at each reporting period for the number of shares expected to be earned pro-rated for the portion of the requisite service period rendered. The Company recognizes compensation costs for these awards on either a straight-line or accelerated basis over the vesting period of the award in selling, general and administrative expense in the consolidated statements of income. For awards that include market conditions, the grant date fair value is determined using a Monte Carlo simulation.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Business Combinations</w:t>
      </w:r>
    </w:p>
    <w:p>
      <w:pPr>
        <w:spacing w:after="0" w:line="10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Company accounts for business combinations using the acquisition method, under which the purchase price of an acquired company is allocated to the tangible and intangible assets acquired and the liabilities assumed on the basis of their fair values at the date of acquisition. Any excess of purchase price over the fair value of tangible and intangible assets acquired and liabilities assumed is allocated to goodwill. The determination of fair values of assets acquired and liabilities assumed requires the Company to make estimates and use valuation techniques when a market value is not readily available.</w:t>
      </w:r>
    </w:p>
    <w:p>
      <w:pPr>
        <w:spacing w:after="0" w:line="68"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determining the fair value of acquired intangible assets from our business acquisitions, the Company uses the multi-period excess earnings method to value customer relationships and backlog and values developed technologies using the relief-from royalty method. The Company’s determination of the fair value of the intangible assets acquired involves the use of significant estimates and assumptions related to discount rates, revenue growth rates, projected margins, and customer revenue attrition rates.</w:t>
      </w:r>
    </w:p>
    <w:p>
      <w:pPr>
        <w:spacing w:after="0" w:line="66"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Certain business acquisitions include contingent consideration. Contingent consideration is recorded at its fair value, using a Black-Scholes model, within other liabilities or other long-term liabilities, as appropriate. The fair value of contingent consideration involves the use of significant estimates and assumptions related to risks associated with earnout, i.e. risk in the underlying metric, risk in the earnout structure, counterparty credit risk, projected revenue, the revenue discount rate, the revenue volatility, and the Company's credit adjusted discount rate. Subsequent adjustments to these assumptions can cause changes to the measure of contingent consideration.</w:t>
      </w:r>
    </w:p>
    <w:p>
      <w:pPr>
        <w:spacing w:after="0" w:line="176"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Company adjusts the preliminary purchase price allocation, as necessary, during the measurement period of up to one year after the acquisition closing date as the Company obtains more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0" w:name="page111"/>
    <w:bookmarkEnd w:id="110"/>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information as to facts and circumstances existing at the acquisition date. Acquisition-related costs are recognized separate from the acquisition and are expensed as incurred.</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Consolidation of Joint Ventures and Variable Interest Entities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 participates in joint ventures, which include partnerships and partially owned limited liability corporations, to bid, negotiate and complete specific projects. The Company is required to consolidate these joint ventures if it holds the majority voting interest or if the joint venture is determined to be a variable interest entity (“VIE”) for which the Company is the primary beneficiary, as described below.</w:t>
      </w:r>
    </w:p>
    <w:p>
      <w:pPr>
        <w:spacing w:after="0" w:line="16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The Company’s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8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is considered the primary beneficiary and required to consolidate a VIE if it has the power to direct the activities that most significantly impact that VIE’s economic performance, and the obligation to absorb losses or the right to receive benefits of that VIE that could potentially be significant to the VIE. In determining whether the Company is the primary beneficiary,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and (6) reviewing the funding and operating agreements. Examples of significant activities currently being performed by the Company’s significant consolidated and unconsolidated joint ventures include engineering and design services; management consulting services; procurement and construction services; program management; construction management; and operations and maintenance services. If the Company determines that the power to direct the significant activities is shared by two or more joint venture parties, then there is no primary beneficiary and no party consolidates the VIE. In making the shared-power determination, the Company analyzes the key contractual terms, governance, related party and de facto agency as they are defined in the accounting standard, and other arrangements.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Goodwill</w:t>
      </w:r>
    </w:p>
    <w:p>
      <w:pPr>
        <w:spacing w:after="0" w:line="109" w:lineRule="exact"/>
        <w:rPr>
          <w:sz w:val="20"/>
          <w:szCs w:val="20"/>
          <w:color w:val="auto"/>
        </w:rPr>
      </w:pPr>
    </w:p>
    <w:p>
      <w:pPr>
        <w:jc w:val="both"/>
        <w:ind w:right="600" w:firstLine="509"/>
        <w:spacing w:after="0" w:line="234" w:lineRule="auto"/>
        <w:rPr>
          <w:sz w:val="20"/>
          <w:szCs w:val="20"/>
          <w:color w:val="auto"/>
        </w:rPr>
      </w:pPr>
      <w:r>
        <w:rPr>
          <w:rFonts w:ascii="Arial" w:cs="Arial" w:eastAsia="Arial" w:hAnsi="Arial"/>
          <w:sz w:val="17"/>
          <w:szCs w:val="17"/>
          <w:color w:val="auto"/>
        </w:rPr>
        <w:t>The Company performs a goodwill impairment test annually, on October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of each year and additionally, performs a quarterly qualitative assessment to address whether a triggering event has occurred that would require an impairment test in the interim period.</w:t>
      </w:r>
    </w:p>
    <w:p>
      <w:pPr>
        <w:spacing w:after="0" w:line="180"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For purposes of impairment testing, goodwill is allocated to the applicable reporting units based on the current reporting structure. Reporting units are operating segments or components of operating segments where discrete financial information is available and segment management regularly reviews the operating results. When evaluating goodwill for impairment, the Company may decide to first perform a qualitative assessment, or “step zero” impairment test, to determine whether it is more likely than not that impairment has occurred. If the Company does not perform a qualitative assessment, or if the Company determines that it is not more likely than not that the fair value of its reporting units exceeds their carrying amounts, the Company performs a quantitative assessment and calculates the estimated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1" w:name="page112"/>
    <w:bookmarkEnd w:id="111"/>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fair value of the respective reporting unit. If the carrying amount of a reporting unit exceeds its fair value, an impairment loss is recognized in the amount the carrying value exceeds its fair value, not to exceed the carrying amount of goodwill.</w:t>
      </w:r>
    </w:p>
    <w:p>
      <w:pPr>
        <w:spacing w:after="0" w:line="15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decision to perform a qualitative impairment assessment in a given year is influenced by a number of factors, including the significance of the excess of the Company’s estimated fair value over carrying value at the last quantitative assessment date, the amount of time in between quantitative fair value assessments, and the date of its acquisitions, if any.</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sixteen years. These primarily consist of customer relationships, developed technology, backlog, and covenants not to compete. When indicators of a potential impairment exist, the Company assesses the recoverability of the unamortized balance of its intangible assets by first comparing undiscounted expected cash flows associated with the asset, or the asset group they are part of, to its carrying value. Should the review indicate that the carrying value is not fully recoverable, the excess of the carrying value over the fair value of the intangible assets would be recognized as an impairment loss.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Income taxes are accounted for under the asset and liability method. This approach requires the recognition of deferred tax liabilities and assets to reflect the tax effects of temporary differences between the financial statement carrying amounts and tax basis of the Company’s assets and liabilities. Deferred tax assets and liabilities are measured using enacted tax rates expected to be in effect when the asset or liability is recovered or settled. The effect of a change in tax rates on deferred tax assets and liabilities is recognized in income in the period that includes the enactment date. Deferred tax assets are evaluated for future realization and valuation allowances are established when, in our opinion, it is more likely than not that all or some portion of the asset will not be realized.</w:t>
      </w:r>
    </w:p>
    <w:p>
      <w:pPr>
        <w:spacing w:after="0" w:line="17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on examination by the taxing authorities based on the technical merits of the position. The tax benefits recognized in the financial statements on a particular tax position are measured based on the largest benefit that is greater than 50 percent likely of being realized. The amount of unrecognized tax benefits (“UTB”) is adjusted as appropriate for changes in facts and circumstances, such as significant amendments to existing tax law, new regulations or interpretations by the taxing authorities, new information obtained during a tax examination, or resolution of an examination. The Company recognizes both accrued interest and penalties, where appropriate, related to UTBs in income tax expense.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Foreign Currency Translation</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Company’s reporting currency is the U.S. Dollar. The functional currency of the Company’s foreign entities is typically the currency of the primary environment in which they operate. For foreign entities whose functional currency is not the U.S. dollar, the assets and liabilities are translated based on exchange rates in effect at the balance sheet date, while the income and expense accounts are translated using the average exchange rates during the period. Translation gains or losses, net of income tax effects, are reflected in accumulated other comprehensive income on the consolidated balance sheets. Transaction gains and losses due to movements in exchange rates between the functional currency and the currency in which a foreign currency transaction is denominated are recognized as “Other income (expense), net” in the Company’s consolidated statements of income.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Self-Insurance</w:t>
      </w:r>
    </w:p>
    <w:p>
      <w:pPr>
        <w:spacing w:after="0" w:line="104"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Company typically utilizes third-party insurance subject to varying retention levels or self-insurance. The Company is self-insured for a portion of the losses and liabilities primarily associated with workers’ compensation, general, professional, automobile, employee matters, certain medical plans, and project-specific liability claims. Losses are accrued based upon the Company’s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New Accounting Pronouncements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the fourth quarter of 2024, The Financial Accounting Standards Board ("FASB") Issued Accounting Standards Update (“ASU”) 2024-04, "Debt—Debt with Conversion and Other Options (Subtopic 470-20)" ("ASU 2024-04"). ASU 2024-04 improves the relevance and consistency in application of the induced conversion guidance in Subtopic 470-20, Debt–</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The amendments in ASU 2024-04 clarify the requirements for determining whether certain settlements of convertible debt instruments should be accounted for as an induced conversion. Under the amendments, to account for a settlement of a convertible debt instrument as an induced conversion, an inducement offer is required to provide the debt holder with, at a minimum, the consideration (in form and amount) issuable under the conversion privileges provided in the terms of the instrument. The amendments in this Update are effective for all entities for annual reporting periods beginning after December 15, 2025, and interim reporting periods within those annual reporting periods. Early adoption is permitted for all entities that have adopted the amendments in ASU 2020-06. The Company adopted ASU 2020-06 in the first quarter of 2021. The Company has elected to early adopt ASU 2024-04 as of January 1, 2024 on a prospective basis. The adoption of this ASU had a material impact on the Company's consolidated financial statements.</w:t>
      </w:r>
    </w:p>
    <w:p>
      <w:pPr>
        <w:spacing w:after="0" w:line="7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the first quarter of 2024, the Company took an extinguishment charge related to the partial repurchase of Convertible Senior Notes due 2025. This repurchase was recorded in the Company's financial statements as a loss on debt extinguishment according to the applicable guidance prior to ASU 2024-04. With the early adoption of ASU 2024-04, the Company reassessed the accounting conclusion of the first quarter 2024 partial repurchase of Convertible Senior Notes due 2025 and concluded the partial repurchase is subject to inducement accounting under ASU 2024-04.</w:t>
      </w:r>
    </w:p>
    <w:p>
      <w:pPr>
        <w:spacing w:after="0" w:line="68"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Under inducement accounting, the difference in the fair value of the securities issuable pursuant to conversion privileges compared to the fair value of the consideration paid on the date of the acceptance of the inducement offer is recorded to inducement expense. The difference in the consideration paid to note holders, less inducement expenses, less the fair value of the notes repurchased is charged to equity.</w:t>
      </w:r>
    </w:p>
    <w:p>
      <w:pPr>
        <w:spacing w:after="0" w:line="6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For the year ended December 31, 2024, the Company reversed the loss on extinguishment of debt for the partial repurchase of the Convertible Senior Notes due 2025 and recorded the repurchase transaction as an induced conversion. This change from extinguishment to inducement accounting resulted in the Company (i.) reversing the $211.0 million loss and the related $49.9 million tax benefit on extinguishment of debt, recorded in Q1 2024, (ii.) recording a $18.4 million convertible debt repurchase loss, (iii.) the difference between the extinguishment loss and inducement expense of $192.6 million recorded to equity, and (iv.) the related tax benefit of $45.6 million recorded to equity. See "Note 11—D</w:t>
      </w:r>
      <w:r>
        <w:rPr>
          <w:rFonts w:ascii="Arial" w:cs="Arial" w:eastAsia="Arial" w:hAnsi="Arial"/>
          <w:sz w:val="18"/>
          <w:szCs w:val="18"/>
          <w:i w:val="1"/>
          <w:iCs w:val="1"/>
          <w:color w:val="auto"/>
        </w:rPr>
        <w:t>ebt and Credit Facilities"</w:t>
      </w:r>
      <w:r>
        <w:rPr>
          <w:rFonts w:ascii="Arial" w:cs="Arial" w:eastAsia="Arial" w:hAnsi="Arial"/>
          <w:sz w:val="18"/>
          <w:szCs w:val="18"/>
          <w:color w:val="auto"/>
        </w:rPr>
        <w:t xml:space="preserve"> for a further discussion of the first quarter 2024 extinguishment accounting and subsequent change to inducement accounting. Also see "Note 21—Quarterly Information</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quarterly financial statement impacts related to this accounting change.</w:t>
      </w:r>
    </w:p>
    <w:p>
      <w:pPr>
        <w:spacing w:after="0" w:line="7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the fourth quarter of 2024, The FASB Issued ASU 2024-03 "Income Statement—Reporting Comprehensive Income—Expense Disaggregation Disclosures (Subtopic 220-40)" (ASU 2024-03"). ASU 2024-03 requires disclosure, in the notes to financial statements, of specified information about certain costs and expenses. ASU 2024-03 is effective for annual reporting periods beginning after December 15, 2026, and interim reporting periods beginning after December 15, 2027. Early adoption is permitted. The adoption of this ASU will not have a material impact on the Company's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0"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In the fourth quarter of 2023, The FASB Issued Accounting Standards Update (“ASU”) 2023-09, "Income Taxes (Topic 740)" ("ASU 2023-09"). ASU 2023-09 enhances the transparency and decision usefulness of income tax disclosures. The amendments in ASU 2023-09 addresses investor requests for more transparency about income tax information through improvements to income tax disclosures primarily related to the rate reconciliation and income taxes paid information. ASU 2023-09 also includes certain other amendments to improve the effectiveness of income tax disclosures. ASU 2023-09 is effective for fiscal years beginning after December 15, 2024. Early adoption is permitted. The adoption of this ASU will not have a material impact on the Company's consolidated financial statements.</w:t>
      </w:r>
    </w:p>
    <w:p>
      <w:pPr>
        <w:spacing w:after="0" w:line="7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the fourth quarter of 2023, The FASB Issued ASU 2023-07, "Segment Reporting (Topic 280)". ASU 2023-07 introduces enhanced disclosures about significant segment expenses along with other enhanced segment disclosures. ASU 2023-07 is effective for fiscal years beginning after December 15, 2023, and interim periods within fiscal years beginning after December 15, 2024. Early adoption is permitted. The adoption of this ASU did not have a material impact on the Company's consolidated financial statements.</w:t>
      </w:r>
    </w:p>
    <w:p>
      <w:pPr>
        <w:spacing w:after="0" w:line="66"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During July 2023, the FASB Issued ASU 2023-03. ASU 2023-03 incorporates, into certain accounting standards, amendments to SEC paragraphs pursuant to SEC Staff Accounting Bulletin No. 120, SEC Staff Announcement at the March 24, 2022 EITF meeting, and Staff Accounting Bulletin Topic 6.B, Accounting Series Release 280—General Revisions of Regulation S-X: Income or Loss Applicable to Common Stock. These rules are effective immediately. The adoption of this ASU will not have a material impact on the Company's consolidated financial statements.</w:t>
      </w:r>
    </w:p>
    <w:p>
      <w:pPr>
        <w:spacing w:after="0" w:line="6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the first quarter of 2022, the Company early adopted ASU 2021-08, “Business Combinations (Topic 805) ("ASU 2021-08"): Accounting for Contract Assets and Contract Liabilities from Contracts with Customers”. The new guidance requires that the approach of ASC 606, Revenue from Contracts with Customers, should be used to measure an acquired revenue contract in a business combination. This guidance is to be applied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early adoption of ASU 2021-08 did not have a material impact on the Company's consolidated financial statements.</w:t>
      </w:r>
    </w:p>
    <w:p>
      <w:pPr>
        <w:spacing w:after="0" w:line="293"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BCC Engineering, LLC</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November 1, 2024, the Company acquired a 100% ownership interest in BCC Engineering, LLC ("BCC") a privately owned company, for $232.7 million from cash on hand.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In connection with this acquisition, the Company recognized $4.2 million of acquisition-related expenses in “Selling, general and administrative expense” in the consolidated statements of income for the year ended December 31, 2024, including legal fees, consulting fees, and other miscellaneous direct expenses associated with the acquisition.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4" w:name="page115"/>
    <w:bookmarkEnd w:id="11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2,839</w:t>
            </w:r>
          </w:p>
        </w:tc>
        <w:tc>
          <w:tcPr>
            <w:tcW w:w="100" w:type="dxa"/>
            <w:vAlign w:val="bottom"/>
            <w:shd w:val="clear" w:color="auto" w:fill="CFF0FC"/>
          </w:tcPr>
          <w:p>
            <w:pPr>
              <w:spacing w:after="0"/>
              <w:rPr>
                <w:sz w:val="17"/>
                <w:szCs w:val="17"/>
                <w:color w:val="auto"/>
              </w:rPr>
            </w:pPr>
          </w:p>
        </w:tc>
      </w:tr>
      <w:tr>
        <w:trPr>
          <w:trHeight w:val="202"/>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24,142</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16,649</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 of use assets, operating leases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9,438</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1,743</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174,532</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32,400</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(8,668 )</w:t>
            </w: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(7,236 )</w:t>
            </w: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(4,446 )</w:t>
            </w: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(1,977 )</w:t>
            </w: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(2,203 )</w:t>
            </w: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(7,462 )</w:t>
            </w: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(1,155 )</w:t>
            </w:r>
          </w:p>
        </w:tc>
      </w:tr>
      <w:tr>
        <w:trPr>
          <w:trHeight w:val="236"/>
        </w:trPr>
        <w:tc>
          <w:tcPr>
            <w:tcW w:w="91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232,665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238"/>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23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23,400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Non-compete agreements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53"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Amortization expense of $1.5 million related to these intangible assets was recorded for the year ended December 31, 2024. The entire value of goodwill was assigned to the Critical Infrastructure reporting unit and represents synergies expected to be realized from this business combination. $45.8 million of goodwill is deductible for tax purposes.</w:t>
      </w:r>
    </w:p>
    <w:p>
      <w:pPr>
        <w:spacing w:after="0" w:line="61"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The amount of revenue generated by BCC and included within consolidated revenue is $20.3 million for the year ended December 31, 2024. The Company has determined that the presentation of net income from the date of acquisition is impracticable due to the integration of general corporate functions upon acquisition.</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Supplemental information of unaudited pro forma operating results assuming the BCC acquisition had been consummated as of the beginning of fiscal year 2023 (in thousands) is as follows:</w:t>
      </w:r>
    </w:p>
    <w:tbl>
      <w:tblPr>
        <w:tblLayout w:type="fixed"/>
        <w:tblInd w:w="0" w:type="dxa"/>
        <w:tblCellMar>
          <w:top w:w="0" w:type="dxa"/>
          <w:left w:w="0" w:type="dxa"/>
          <w:bottom w:w="0" w:type="dxa"/>
          <w:right w:w="0" w:type="dxa"/>
        </w:tblCellMar>
      </w:tblPr>
      <w:tr>
        <w:trPr>
          <w:trHeight w:val="158"/>
        </w:trPr>
        <w:tc>
          <w:tcPr>
            <w:tcW w:w="68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739"/>
              <w:spacing w:after="0" w:line="158" w:lineRule="exact"/>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759"/>
              <w:spacing w:after="0" w:line="158"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56"/>
        </w:trPr>
        <w:tc>
          <w:tcPr>
            <w:tcW w:w="6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2"/>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 forma Revenue</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6,838,190</w:t>
            </w:r>
          </w:p>
        </w:tc>
        <w:tc>
          <w:tcPr>
            <w:tcW w:w="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5,537,090</w:t>
            </w:r>
          </w:p>
        </w:tc>
        <w:tc>
          <w:tcPr>
            <w:tcW w:w="120" w:type="dxa"/>
            <w:vAlign w:val="bottom"/>
            <w:shd w:val="clear" w:color="auto" w:fill="CFF0FC"/>
          </w:tcPr>
          <w:p>
            <w:pPr>
              <w:spacing w:after="0"/>
              <w:rPr>
                <w:sz w:val="17"/>
                <w:szCs w:val="17"/>
                <w:color w:val="auto"/>
              </w:rPr>
            </w:pPr>
          </w:p>
        </w:tc>
      </w:tr>
      <w:tr>
        <w:trPr>
          <w:trHeight w:val="239"/>
        </w:trPr>
        <w:tc>
          <w:tcPr>
            <w:tcW w:w="682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286,948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189,200</w:t>
            </w:r>
          </w:p>
        </w:tc>
        <w:tc>
          <w:tcPr>
            <w:tcW w:w="120" w:type="dxa"/>
            <w:vAlign w:val="bottom"/>
          </w:tcPr>
          <w:p>
            <w:pPr>
              <w:spacing w:after="0"/>
              <w:rPr>
                <w:sz w:val="20"/>
                <w:szCs w:val="20"/>
                <w:color w:val="auto"/>
              </w:rPr>
            </w:pPr>
          </w:p>
        </w:tc>
      </w:tr>
    </w:tbl>
    <w:p>
      <w:pPr>
        <w:spacing w:after="0" w:line="53"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would have occurred had the acquisition been consummated during the periods for which pro forma information is presented.</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BlackSignal Technologies, LLC.</w:t>
      </w:r>
    </w:p>
    <w:p>
      <w:pPr>
        <w:spacing w:after="0" w:line="10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$203.7 million from cash on hand. Headquartered in Chantilly, Virginia, BlackSignal is a next-generation digital signal processing, electronic warfare, and cyber security provider built to counter near peer threats. Parsons believes that the acquisition will expand Parsons' customer base across the Department of Defense and Intelligence Community and significantly strengthen Parsons' positioning within cyber warfare, while adding new capabilities in the counterspace radio frequency domain. In connection with this acquisition, the Company recognized $2.5 million of acquisition-related expenses in “Selling, general and administrative expense” in the consolidated statements of income for the year ended December 31, 2024, including legal fees, consulting fees, and other miscellaneous direct expenses associated with the acquisition.</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4,917</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5,171</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3,209</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 of use assets, operating leases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5,370</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119,663</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97,600</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(951 )</w:t>
            </w: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(4,999 )</w:t>
            </w: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(800 )</w:t>
            </w:r>
          </w:p>
        </w:tc>
      </w:tr>
      <w:tr>
        <w:trPr>
          <w:trHeight w:val="202"/>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(22,461 )</w:t>
            </w: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(4,570 )</w:t>
            </w:r>
          </w:p>
        </w:tc>
      </w:tr>
      <w:tr>
        <w:trPr>
          <w:trHeight w:val="236"/>
        </w:trPr>
        <w:tc>
          <w:tcPr>
            <w:tcW w:w="91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203,738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237"/>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23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11,700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Developed technologies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89" w:lineRule="exact"/>
        <w:rPr>
          <w:sz w:val="20"/>
          <w:szCs w:val="20"/>
          <w:color w:val="auto"/>
        </w:rPr>
      </w:pPr>
    </w:p>
    <w:p>
      <w:pPr>
        <w:jc w:val="both"/>
        <w:ind w:right="480" w:firstLine="509"/>
        <w:spacing w:after="0" w:line="253" w:lineRule="auto"/>
        <w:rPr>
          <w:sz w:val="20"/>
          <w:szCs w:val="20"/>
          <w:color w:val="auto"/>
        </w:rPr>
      </w:pPr>
      <w:r>
        <w:rPr>
          <w:rFonts w:ascii="Arial" w:cs="Arial" w:eastAsia="Arial" w:hAnsi="Arial"/>
          <w:sz w:val="18"/>
          <w:szCs w:val="18"/>
          <w:color w:val="auto"/>
        </w:rPr>
        <w:t>Amortization expense of $4.3 million related to these intangible assets was recorded for the year ended December 31, 2024. The entire value of goodwill was assigned to the Federal Solutions reporting unit and represents synergies expected to be realized from this business combination. $15.7 million of goodwill is deductible for tax purposes.</w:t>
      </w:r>
    </w:p>
    <w:p>
      <w:pPr>
        <w:spacing w:after="0" w:line="61" w:lineRule="exact"/>
        <w:rPr>
          <w:sz w:val="20"/>
          <w:szCs w:val="20"/>
          <w:color w:val="auto"/>
        </w:rPr>
      </w:pPr>
    </w:p>
    <w:p>
      <w:pPr>
        <w:ind w:right="680" w:firstLine="509"/>
        <w:spacing w:after="0" w:line="271" w:lineRule="auto"/>
        <w:rPr>
          <w:sz w:val="20"/>
          <w:szCs w:val="20"/>
          <w:color w:val="auto"/>
        </w:rPr>
      </w:pPr>
      <w:r>
        <w:rPr>
          <w:rFonts w:ascii="Arial" w:cs="Arial" w:eastAsia="Arial" w:hAnsi="Arial"/>
          <w:sz w:val="18"/>
          <w:szCs w:val="18"/>
          <w:color w:val="auto"/>
        </w:rPr>
        <w:t>The amount of revenue generated by BlackSignal and included within consolidated revenue is $22.7 million for the year ended December 31, 2024. The Company has determined that the presentation of net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income from the date of acquisition is impracticable due to the integration of general corporate functions upon acquisition.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BlackSignal acquisition had been consummated as of the beginning of fiscal year 2023 (in thousands)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55"/>
        </w:trPr>
        <w:tc>
          <w:tcPr>
            <w:tcW w:w="6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 forma Revenue</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6,782,552</w:t>
            </w:r>
          </w:p>
        </w:tc>
        <w:tc>
          <w:tcPr>
            <w:tcW w:w="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5,481,036</w:t>
            </w:r>
          </w:p>
        </w:tc>
        <w:tc>
          <w:tcPr>
            <w:tcW w:w="120" w:type="dxa"/>
            <w:vAlign w:val="bottom"/>
            <w:shd w:val="clear" w:color="auto" w:fill="CFF0FC"/>
          </w:tcPr>
          <w:p>
            <w:pPr>
              <w:spacing w:after="0"/>
              <w:rPr>
                <w:sz w:val="17"/>
                <w:szCs w:val="17"/>
                <w:color w:val="auto"/>
              </w:rPr>
            </w:pPr>
          </w:p>
        </w:tc>
      </w:tr>
      <w:tr>
        <w:trPr>
          <w:trHeight w:val="239"/>
        </w:trPr>
        <w:tc>
          <w:tcPr>
            <w:tcW w:w="682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283,900</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185,954</w:t>
            </w:r>
          </w:p>
        </w:tc>
        <w:tc>
          <w:tcPr>
            <w:tcW w:w="120" w:type="dxa"/>
            <w:vAlign w:val="bottom"/>
          </w:tcPr>
          <w:p>
            <w:pPr>
              <w:spacing w:after="0"/>
              <w:rPr>
                <w:sz w:val="20"/>
                <w:szCs w:val="20"/>
                <w:color w:val="auto"/>
              </w:rPr>
            </w:pPr>
          </w:p>
        </w:tc>
      </w:tr>
    </w:tbl>
    <w:p>
      <w:pPr>
        <w:spacing w:after="0" w:line="53"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I.S. Engineers, LLC</w:t>
      </w:r>
    </w:p>
    <w:p>
      <w:pPr>
        <w:spacing w:after="0" w:line="10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On October 31, 2023, the Company entered into a Membership Interest Purchase Agreement to acquire a 100% ownership interest in I.S. Engineers, LLC (“I.S. Engineers”), a privately-owned company, for $12.2 million in cash. Headquartered in Texas, I.S. Engineers provides full service consulting specializing in transportation engineering, including roads and highways, and program management. The acquisition was entirely funded by cash on-hand. In connection with this acquisition, the Company recognized $0.3 million of acquisition related “Selling, general and administrative expense” in the consolidated statements of income for the year ended December 31, 2023, including legal fees, consulting fees, and other miscellaneous direct expenses associated with the acquisition. The Company allocated the purchase price to the appropriate classes of tangible assets and liabilities and assigned the excess of $11.9 million entirely to goodwill. The entire value of goodwill was assigned to the Critical Infrastructure reporting unit and represents synergies expected to be realized from this business combination. No goodwill is deductible for income tax purposes.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Sealing Technologies, Inc.</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August 23, 2023, the Company acquired a 100% ownership interest in Sealing Technologies, Inc (“SealingTech”), a privately-owned company, for $176.0 million in cash and up to an additional $25 million in the event an earn out revenue target is exceeded. The Company borrowed $175 million under the Credit Agreement to partially fund the acquisition. Headquartered in Maryland, SealingTech expands Parsons’ customer base across the Department of Defense and Intelligence Community, and further enhances the company’s capabilities in defensive cyber operations; integrated mission-solutions powered by artificial intelligence (AI) and machine learning (ML); edge computing and edge access modernization; critical infrastructure protection; and secure data management. In connection with this acquisition, the Company recognized $3.3 million of acquisition-related expenses in “Selling, general and administrative expense” in the consolidated statements of income for the year ended December 31, 2023, including legal fees, consulting fees, and other miscellaneous direct expenses associated with the acquisition.</w:t>
      </w:r>
    </w:p>
    <w:p>
      <w:pPr>
        <w:spacing w:after="0" w:line="75"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The Company agreed to pay the selling shareholders up to an additional $25 million in the event an earn out revenue target of $110 million is exceeded during the fiscal year ended December 31, 2024. The earn out payment due and payable by the Company to the selling shareholders shall be equal to (i) five-tenths (0.5), multiplied by (ii) the difference of (A) the actual earn out revenue minus (B) the earn out revenue target; provided, however, that in no event shall the earn out payment exceed $25 million. In the event that the earn out revenue is less than or equal to the earn out revenue target, the earn out payment shall be zero. The earn out payment, if any, shall be paid by the Company to the selling shareholders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7" w:name="page118"/>
    <w:bookmarkEnd w:id="11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within 15 days following the date the earn out statement becomes final and binding on both parties. The fair value of the earn out (contingent consideration in the table below) was calculated using a Black-Scholes model. See "Note 2—</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18—Fair Value</w:t>
      </w:r>
      <w:r>
        <w:rPr>
          <w:rFonts w:ascii="Arial" w:cs="Arial" w:eastAsia="Arial" w:hAnsi="Arial"/>
          <w:sz w:val="18"/>
          <w:szCs w:val="18"/>
          <w:i w:val="1"/>
          <w:iCs w:val="1"/>
          <w:color w:val="auto"/>
        </w:rPr>
        <w:t>"</w:t>
      </w:r>
      <w:r>
        <w:rPr>
          <w:rFonts w:ascii="Arial" w:cs="Arial" w:eastAsia="Arial" w:hAnsi="Arial"/>
          <w:sz w:val="18"/>
          <w:szCs w:val="18"/>
          <w:color w:val="auto"/>
        </w:rPr>
        <w:t xml:space="preserve"> for further information on how the fair value of contingent consideration is determined.</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at closing</w:t>
            </w:r>
          </w:p>
        </w:tc>
        <w:tc>
          <w:tcPr>
            <w:tcW w:w="42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176,028</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Fair value of contingent consideration to be achieved</w:t>
            </w:r>
          </w:p>
        </w:tc>
        <w:tc>
          <w:tcPr>
            <w:tcW w:w="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3,231</w:t>
            </w:r>
          </w:p>
        </w:tc>
        <w:tc>
          <w:tcPr>
            <w:tcW w:w="100" w:type="dxa"/>
            <w:vAlign w:val="bottom"/>
          </w:tcPr>
          <w:p>
            <w:pPr>
              <w:spacing w:after="0"/>
              <w:rPr>
                <w:sz w:val="17"/>
                <w:szCs w:val="17"/>
                <w:color w:val="auto"/>
              </w:rPr>
            </w:pPr>
          </w:p>
        </w:tc>
      </w:tr>
      <w:tr>
        <w:trPr>
          <w:trHeight w:val="236"/>
        </w:trPr>
        <w:tc>
          <w:tcPr>
            <w:tcW w:w="91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purchase price</w:t>
            </w:r>
          </w:p>
        </w:tc>
        <w:tc>
          <w:tcPr>
            <w:tcW w:w="42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179,259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The estimated fair value of the SealingTech contingent consideration as of December 31, 2024 and December 31, 2023 was zero and $2.3 million, respectively. The change in fair value to zero resulted in recording a $2.3 million gain to "other income (expense), net" in the consolidated financial statements.</w:t>
      </w:r>
    </w:p>
    <w:p>
      <w:pPr>
        <w:spacing w:after="0" w:line="61"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8,133</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17,889</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2,946</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1,379</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Right of use assets, operating leases</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1,836</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90,593</w:t>
            </w:r>
          </w:p>
        </w:tc>
        <w:tc>
          <w:tcPr>
            <w:tcW w:w="100" w:type="dxa"/>
            <w:vAlign w:val="bottom"/>
          </w:tcPr>
          <w:p>
            <w:pPr>
              <w:spacing w:after="0"/>
              <w:rPr>
                <w:sz w:val="17"/>
                <w:szCs w:val="17"/>
                <w:color w:val="auto"/>
              </w:rPr>
            </w:pP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75,000</w:t>
            </w:r>
          </w:p>
        </w:tc>
        <w:tc>
          <w:tcPr>
            <w:tcW w:w="100" w:type="dxa"/>
            <w:vAlign w:val="bottom"/>
            <w:shd w:val="clear" w:color="auto" w:fill="CFF0FC"/>
          </w:tcPr>
          <w:p>
            <w:pPr>
              <w:spacing w:after="0"/>
              <w:rPr>
                <w:sz w:val="17"/>
                <w:szCs w:val="17"/>
                <w:color w:val="auto"/>
              </w:rPr>
            </w:pP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(15,987 )</w:t>
            </w: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(2,408 )</w:t>
            </w: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(668 )</w:t>
            </w:r>
          </w:p>
        </w:tc>
      </w:tr>
      <w:tr>
        <w:trPr>
          <w:trHeight w:val="203"/>
        </w:trPr>
        <w:tc>
          <w:tcPr>
            <w:tcW w:w="9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(418 )</w:t>
            </w: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(1,418 )</w:t>
            </w:r>
          </w:p>
        </w:tc>
      </w:tr>
      <w:tr>
        <w:trPr>
          <w:trHeight w:val="236"/>
        </w:trPr>
        <w:tc>
          <w:tcPr>
            <w:tcW w:w="91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179,259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238"/>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23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26,000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2"/>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Developed technologies</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53"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Amortization expense of $12.9 million and $7.0 million related to these intangible assets was recorded for the years ended December 31, 2024 and December 31, 2023, respectively. The entire value of goodwill was assigned to the Federal Solutions reporting unit and represents synergies expected to be realized from this business combination. The entire value of goodwill is deductible for tax purposes.</w:t>
      </w:r>
    </w:p>
    <w:p>
      <w:pPr>
        <w:spacing w:after="0" w:line="44"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amount of revenue generated by SealingTech and included within consolidated revenue is $34.1 million for the year December 31, 2023. The Company has determined that the presentation of net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8" w:name="page119"/>
    <w:bookmarkEnd w:id="11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income from the date of acquisition is impracticable due to the integration of general corporate functions upon acquisition.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SealingTech acquisition had been consummated as of the beginning of fiscal year 2022 (in thousands)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156"/>
        </w:trPr>
        <w:tc>
          <w:tcPr>
            <w:tcW w:w="6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2"/>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 forma Revenue</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5,525,099</w:t>
            </w:r>
          </w:p>
        </w:tc>
        <w:tc>
          <w:tcPr>
            <w:tcW w:w="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4,262,525</w:t>
            </w:r>
          </w:p>
        </w:tc>
        <w:tc>
          <w:tcPr>
            <w:tcW w:w="120" w:type="dxa"/>
            <w:vAlign w:val="bottom"/>
            <w:shd w:val="clear" w:color="auto" w:fill="CFF0FC"/>
          </w:tcPr>
          <w:p>
            <w:pPr>
              <w:spacing w:after="0"/>
              <w:rPr>
                <w:sz w:val="17"/>
                <w:szCs w:val="17"/>
                <w:color w:val="auto"/>
              </w:rPr>
            </w:pPr>
          </w:p>
        </w:tc>
      </w:tr>
      <w:tr>
        <w:trPr>
          <w:trHeight w:val="239"/>
        </w:trPr>
        <w:tc>
          <w:tcPr>
            <w:tcW w:w="682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216,157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107,937</w:t>
            </w:r>
          </w:p>
        </w:tc>
        <w:tc>
          <w:tcPr>
            <w:tcW w:w="120" w:type="dxa"/>
            <w:vAlign w:val="bottom"/>
          </w:tcPr>
          <w:p>
            <w:pPr>
              <w:spacing w:after="0"/>
              <w:rPr>
                <w:sz w:val="20"/>
                <w:szCs w:val="20"/>
                <w:color w:val="auto"/>
              </w:rPr>
            </w:pPr>
          </w:p>
        </w:tc>
      </w:tr>
    </w:tbl>
    <w:p>
      <w:pPr>
        <w:spacing w:after="0" w:line="53"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IPKeys Power Partners</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April 13, 2023, the Company entered into a merger agreement to acquire a 100% ownership interest in IPKeys Power Partners (“IPKeys”), a privately-owned company, for $43.0 million in cash. The merger brings IPKeys' established customer base, expanding Parsons' presence in two rapidly growing end markets: grid modernization and cyber resiliency for critical infrastructure. Headquartered in Tinton Falls, New Jersey, IPKeys is a trusted provider of enterprise software platform solutions that is actively delivering cyber and operational security to hundreds of electric, water, and gas utilities across North America. The acquisition was entirely funded by cash on-hand. In connection with this acquisition, the Company recognized $0.6 million of acquisition-related expenses in “Selling, general and administrative expense” in the consolidated statements of income for the year ended December 31, 2023, respectively, including legal fees, consulting fees, and other miscellaneous direct expenses associated with the acquisition.</w:t>
      </w:r>
    </w:p>
    <w:p>
      <w:pPr>
        <w:spacing w:after="0" w:line="72"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r>
      <w:tr>
        <w:trPr>
          <w:trHeight w:val="196"/>
        </w:trPr>
        <w:tc>
          <w:tcPr>
            <w:tcW w:w="4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5020" w:type="dxa"/>
            <w:vAlign w:val="bottom"/>
            <w:gridSpan w:val="2"/>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7"/>
                <w:szCs w:val="17"/>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3,937</w:t>
            </w:r>
          </w:p>
        </w:tc>
        <w:tc>
          <w:tcPr>
            <w:tcW w:w="100" w:type="dxa"/>
            <w:vAlign w:val="bottom"/>
          </w:tcPr>
          <w:p>
            <w:pPr>
              <w:spacing w:after="0"/>
              <w:rPr>
                <w:sz w:val="17"/>
                <w:szCs w:val="17"/>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834</w:t>
            </w:r>
          </w:p>
        </w:tc>
        <w:tc>
          <w:tcPr>
            <w:tcW w:w="100" w:type="dxa"/>
            <w:vAlign w:val="bottom"/>
            <w:shd w:val="clear" w:color="auto" w:fill="CFF0FC"/>
          </w:tcPr>
          <w:p>
            <w:pPr>
              <w:spacing w:after="0"/>
              <w:rPr>
                <w:sz w:val="17"/>
                <w:szCs w:val="17"/>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455</w:t>
            </w:r>
          </w:p>
        </w:tc>
        <w:tc>
          <w:tcPr>
            <w:tcW w:w="100" w:type="dxa"/>
            <w:vAlign w:val="bottom"/>
          </w:tcPr>
          <w:p>
            <w:pPr>
              <w:spacing w:after="0"/>
              <w:rPr>
                <w:sz w:val="17"/>
                <w:szCs w:val="17"/>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7"/>
                <w:szCs w:val="17"/>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Right of use assets, operating leases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1,105</w:t>
            </w:r>
          </w:p>
        </w:tc>
        <w:tc>
          <w:tcPr>
            <w:tcW w:w="100" w:type="dxa"/>
            <w:vAlign w:val="bottom"/>
          </w:tcPr>
          <w:p>
            <w:pPr>
              <w:spacing w:after="0"/>
              <w:rPr>
                <w:sz w:val="17"/>
                <w:szCs w:val="17"/>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7"/>
                <w:szCs w:val="17"/>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22,407</w:t>
            </w:r>
          </w:p>
        </w:tc>
        <w:tc>
          <w:tcPr>
            <w:tcW w:w="100" w:type="dxa"/>
            <w:vAlign w:val="bottom"/>
          </w:tcPr>
          <w:p>
            <w:pPr>
              <w:spacing w:after="0"/>
              <w:rPr>
                <w:sz w:val="17"/>
                <w:szCs w:val="17"/>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23,000</w:t>
            </w:r>
          </w:p>
        </w:tc>
        <w:tc>
          <w:tcPr>
            <w:tcW w:w="100" w:type="dxa"/>
            <w:vAlign w:val="bottom"/>
            <w:shd w:val="clear" w:color="auto" w:fill="CFF0FC"/>
          </w:tcPr>
          <w:p>
            <w:pPr>
              <w:spacing w:after="0"/>
              <w:rPr>
                <w:sz w:val="17"/>
                <w:szCs w:val="17"/>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(541 )</w:t>
            </w: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(1,768 )</w:t>
            </w: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(1,936 )</w:t>
            </w: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(343 )</w:t>
            </w: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4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(3,713 )</w:t>
            </w: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6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(762 )</w:t>
            </w:r>
          </w:p>
        </w:tc>
      </w:tr>
      <w:tr>
        <w:trPr>
          <w:trHeight w:val="196"/>
        </w:trPr>
        <w:tc>
          <w:tcPr>
            <w:tcW w:w="454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Net assets acquired</w:t>
            </w:r>
          </w:p>
        </w:tc>
        <w:tc>
          <w:tcPr>
            <w:tcW w:w="460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43,039</w:t>
            </w:r>
          </w:p>
        </w:tc>
        <w:tc>
          <w:tcPr>
            <w:tcW w:w="100" w:type="dxa"/>
            <w:vAlign w:val="bottom"/>
            <w:tcBorders>
              <w:top w:val="single" w:sz="8" w:color="CFF0FC"/>
            </w:tcBorders>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62"/>
        </w:trPr>
        <w:tc>
          <w:tcPr>
            <w:tcW w:w="4540" w:type="dxa"/>
            <w:vAlign w:val="bottom"/>
          </w:tcPr>
          <w:p>
            <w:pPr>
              <w:spacing w:after="0"/>
              <w:rPr>
                <w:sz w:val="24"/>
                <w:szCs w:val="24"/>
                <w:color w:val="auto"/>
              </w:rPr>
            </w:pPr>
          </w:p>
        </w:tc>
        <w:tc>
          <w:tcPr>
            <w:tcW w:w="5020" w:type="dxa"/>
            <w:vAlign w:val="bottom"/>
            <w:gridSpan w:val="2"/>
          </w:tcPr>
          <w:p>
            <w:pPr>
              <w:jc w:val="right"/>
              <w:ind w:right="3670"/>
              <w:spacing w:after="0"/>
              <w:rPr>
                <w:sz w:val="20"/>
                <w:szCs w:val="20"/>
                <w:color w:val="auto"/>
              </w:rPr>
            </w:pPr>
            <w:r>
              <w:rPr>
                <w:rFonts w:ascii="Arial" w:cs="Arial" w:eastAsia="Arial" w:hAnsi="Arial"/>
                <w:sz w:val="18"/>
                <w:szCs w:val="18"/>
                <w:color w:val="auto"/>
              </w:rPr>
              <w:t>F-25</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45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239"/>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239"/>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0"/>
                <w:szCs w:val="10"/>
                <w:color w:val="auto"/>
              </w:rPr>
              <w:t>(1)</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Developed technologies</w:t>
            </w:r>
          </w:p>
        </w:tc>
        <w:tc>
          <w:tcPr>
            <w:tcW w:w="3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7,000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The acquired business is a SaaS commercial business. Backlog for this type of business is included as customer relationships.</w:t>
      </w:r>
    </w:p>
    <w:p>
      <w:pPr>
        <w:spacing w:after="0" w:line="99"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Amortization expense of $1.6 million and $1.4 million related to these intangible assets was recorded for the years ended December 31, 2024 and December 31, 2023, respectively. The entire value of goodwill was assigned to the Critical Infrastructure reporting unit and represents synergies expected to be realized from this business combination. $0.9 million of goodwill is deductible for tax purposes.</w:t>
      </w:r>
    </w:p>
    <w:p>
      <w:pPr>
        <w:spacing w:after="0" w:line="61"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amount of revenue generated by IPKeys and included within consolidated revenue is $9.3 million for the year ended December 31, 2023. The Company has determined that the presentation of net income from the date of acquisition is impracticable due to the integration of general corporate functions upon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IPKeys acquisition had been consummated as of the beginning of fiscal year 2022 (in thousands)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155"/>
        </w:trPr>
        <w:tc>
          <w:tcPr>
            <w:tcW w:w="6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 forma Revenue</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5,445,604</w:t>
            </w:r>
          </w:p>
        </w:tc>
        <w:tc>
          <w:tcPr>
            <w:tcW w:w="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4,207,967</w:t>
            </w:r>
          </w:p>
        </w:tc>
        <w:tc>
          <w:tcPr>
            <w:tcW w:w="120" w:type="dxa"/>
            <w:vAlign w:val="bottom"/>
            <w:shd w:val="clear" w:color="auto" w:fill="CFF0FC"/>
          </w:tcPr>
          <w:p>
            <w:pPr>
              <w:spacing w:after="0"/>
              <w:rPr>
                <w:sz w:val="17"/>
                <w:szCs w:val="17"/>
                <w:color w:val="auto"/>
              </w:rPr>
            </w:pPr>
          </w:p>
        </w:tc>
      </w:tr>
      <w:tr>
        <w:trPr>
          <w:trHeight w:val="239"/>
        </w:trPr>
        <w:tc>
          <w:tcPr>
            <w:tcW w:w="682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209,773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123,257</w:t>
            </w:r>
          </w:p>
        </w:tc>
        <w:tc>
          <w:tcPr>
            <w:tcW w:w="120" w:type="dxa"/>
            <w:vAlign w:val="bottom"/>
          </w:tcPr>
          <w:p>
            <w:pPr>
              <w:spacing w:after="0"/>
              <w:rPr>
                <w:sz w:val="20"/>
                <w:szCs w:val="20"/>
                <w:color w:val="auto"/>
              </w:rPr>
            </w:pPr>
          </w:p>
        </w:tc>
      </w:tr>
    </w:tbl>
    <w:p>
      <w:pPr>
        <w:spacing w:after="0" w:line="53"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Xator Corporation</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May 31, 2022, the Company acquired a 100% ownership interest in Xator Corporation (“Xator”), a privately-owned company, for $387.5 million in cash. The Company borrowed $300 million under the Credit Agreement to partially fund the acquisition. Xator expands Parsons’ customer base and brings differentiated technical capabilities in critical infrastructure protection, counter-unmanned aircraft systems (cUAS), intelligence and cyber solutions, biometrics, and global threat assessment and operations. In connection with this acquisition, the Company recognized $7.7 million of acquisition-related expenses in “Selling, general and administrative expense” in the consolidated statements of income for the year ended December 31, 2022, including legal fees, consulting fees, and other miscellaneous direct expenses associated with the acquisition.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8,935</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7,393</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24,332</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3,615</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Right of use assets, operating leases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7,517</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257,934</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Investments in and advances to unconsolidated joint ventures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698</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123,500</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9,156</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(6,626 )</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(31,309 )</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(2,631 )</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(2,371 )</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(5,146 )</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(9,156 )</w:t>
            </w:r>
          </w:p>
        </w:tc>
      </w:tr>
      <w:tr>
        <w:trPr>
          <w:trHeight w:val="236"/>
        </w:trPr>
        <w:tc>
          <w:tcPr>
            <w:tcW w:w="76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387,540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43"/>
        </w:trPr>
        <w:tc>
          <w:tcPr>
            <w:tcW w:w="9820" w:type="dxa"/>
            <w:vAlign w:val="bottom"/>
            <w:gridSpan w:val="6"/>
          </w:tcPr>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98"/>
              </w:rPr>
              <w:t>Gross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rPr>
              <w:t>Carrying</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(in years)</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37,000</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81,000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w:t>
            </w: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Developed technologies</w:t>
            </w:r>
          </w:p>
        </w:tc>
        <w:tc>
          <w:tcPr>
            <w:tcW w:w="3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Non-compete agreements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Amortization expense of $16.5 million, $18.1 million and $11.9 million related to these intangible assets was recorded for the year ended December 31, 2024, December 31, 2023, and December 31, 2022, respectively. The entire value of goodwill was assigned to the Federal Solutions reporting unit and represents synergies expected to be realized from this business combination. Goodwill in its entirety is deductible for tax purposes.</w:t>
      </w:r>
    </w:p>
    <w:p>
      <w:pPr>
        <w:spacing w:after="0" w:line="174"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The amount of revenue generated by Xator and included within consolidated revenue is $157.8 million for the year ended December 31, 2022. The Company has determined that the presentation of net income from the date of acquisition is impracticable due to the integration of general corporate functions upon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Xator acquisition had been consummated as of the beginning of fiscal year 2021 (in thousands)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55"/>
        </w:trPr>
        <w:tc>
          <w:tcPr>
            <w:tcW w:w="49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4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 forma Revenue</w:t>
            </w:r>
          </w:p>
        </w:tc>
        <w:tc>
          <w:tcPr>
            <w:tcW w:w="22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4,302,448</w:t>
            </w:r>
          </w:p>
        </w:tc>
        <w:tc>
          <w:tcPr>
            <w:tcW w:w="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3,949,562</w:t>
            </w:r>
          </w:p>
        </w:tc>
        <w:tc>
          <w:tcPr>
            <w:tcW w:w="120" w:type="dxa"/>
            <w:vAlign w:val="bottom"/>
            <w:shd w:val="clear" w:color="auto" w:fill="CFF0FC"/>
          </w:tcPr>
          <w:p>
            <w:pPr>
              <w:spacing w:after="0"/>
              <w:rPr>
                <w:sz w:val="17"/>
                <w:szCs w:val="17"/>
                <w:color w:val="auto"/>
              </w:rPr>
            </w:pPr>
          </w:p>
        </w:tc>
      </w:tr>
      <w:tr>
        <w:trPr>
          <w:trHeight w:val="239"/>
        </w:trPr>
        <w:tc>
          <w:tcPr>
            <w:tcW w:w="4940" w:type="dxa"/>
            <w:vAlign w:val="bottom"/>
          </w:tcPr>
          <w:p>
            <w:pPr>
              <w:ind w:left="20"/>
              <w:spacing w:after="0"/>
              <w:rPr>
                <w:sz w:val="20"/>
                <w:szCs w:val="20"/>
                <w:color w:val="auto"/>
              </w:rPr>
            </w:pPr>
            <w:r>
              <w:rPr>
                <w:rFonts w:ascii="Arial" w:cs="Arial" w:eastAsia="Arial" w:hAnsi="Arial"/>
                <w:sz w:val="18"/>
                <w:szCs w:val="18"/>
                <w:color w:val="auto"/>
              </w:rPr>
              <w:t>Pro forma Net Income including noncontrolling interests</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139,901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91,770</w:t>
            </w:r>
          </w:p>
        </w:tc>
        <w:tc>
          <w:tcPr>
            <w:tcW w:w="120" w:type="dxa"/>
            <w:vAlign w:val="bottom"/>
          </w:tcPr>
          <w:p>
            <w:pPr>
              <w:spacing w:after="0"/>
              <w:rPr>
                <w:sz w:val="20"/>
                <w:szCs w:val="20"/>
                <w:color w:val="auto"/>
              </w:rPr>
            </w:pPr>
          </w:p>
        </w:tc>
      </w:tr>
      <w:tr>
        <w:trPr>
          <w:trHeight w:val="845"/>
        </w:trPr>
        <w:tc>
          <w:tcPr>
            <w:tcW w:w="4940" w:type="dxa"/>
            <w:vAlign w:val="bottom"/>
          </w:tcPr>
          <w:p>
            <w:pPr>
              <w:spacing w:after="0"/>
              <w:rPr>
                <w:sz w:val="24"/>
                <w:szCs w:val="24"/>
                <w:color w:val="auto"/>
              </w:rPr>
            </w:pPr>
          </w:p>
        </w:tc>
        <w:tc>
          <w:tcPr>
            <w:tcW w:w="2240" w:type="dxa"/>
            <w:vAlign w:val="bottom"/>
            <w:gridSpan w:val="2"/>
          </w:tcPr>
          <w:p>
            <w:pPr>
              <w:jc w:val="right"/>
              <w:ind w:right="1380"/>
              <w:spacing w:after="0"/>
              <w:rPr>
                <w:sz w:val="20"/>
                <w:szCs w:val="20"/>
                <w:color w:val="auto"/>
              </w:rPr>
            </w:pPr>
            <w:r>
              <w:rPr>
                <w:rFonts w:ascii="Arial" w:cs="Arial" w:eastAsia="Arial" w:hAnsi="Arial"/>
                <w:sz w:val="18"/>
                <w:szCs w:val="18"/>
                <w:color w:val="auto"/>
              </w:rPr>
              <w:t>F-27</w:t>
            </w: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6"/>
        </w:trPr>
        <w:tc>
          <w:tcPr>
            <w:tcW w:w="49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1" w:name="page122"/>
    <w:bookmarkEnd w:id="121"/>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 From the year ended December 31, 2022 the results of the acquisition have been included in full year results.</w:t>
      </w:r>
    </w:p>
    <w:p>
      <w:pPr>
        <w:spacing w:after="0" w:line="200" w:lineRule="exact"/>
        <w:rPr>
          <w:sz w:val="20"/>
          <w:szCs w:val="20"/>
          <w:color w:val="auto"/>
        </w:rPr>
      </w:pPr>
    </w:p>
    <w:p>
      <w:pPr>
        <w:spacing w:after="0" w:line="289" w:lineRule="exact"/>
        <w:rPr>
          <w:sz w:val="20"/>
          <w:szCs w:val="20"/>
          <w:color w:val="auto"/>
        </w:rPr>
      </w:pPr>
    </w:p>
    <w:p>
      <w:pPr>
        <w:ind w:left="520" w:right="8400" w:hanging="512"/>
        <w:spacing w:after="0" w:line="381" w:lineRule="auto"/>
        <w:tabs>
          <w:tab w:leader="none" w:pos="52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Contracts with Customers </w:t>
      </w:r>
      <w:r>
        <w:rPr>
          <w:rFonts w:ascii="Arial" w:cs="Arial" w:eastAsia="Arial" w:hAnsi="Arial"/>
          <w:sz w:val="17"/>
          <w:szCs w:val="17"/>
          <w:b w:val="1"/>
          <w:bCs w:val="1"/>
          <w:i w:val="1"/>
          <w:iCs w:val="1"/>
          <w:color w:val="auto"/>
        </w:rPr>
        <w:t>Disaggregation of Revenue</w:t>
      </w:r>
    </w:p>
    <w:p>
      <w:pPr>
        <w:ind w:right="340" w:firstLine="509"/>
        <w:spacing w:after="0" w:line="301" w:lineRule="auto"/>
        <w:rPr>
          <w:sz w:val="20"/>
          <w:szCs w:val="20"/>
          <w:color w:val="auto"/>
        </w:rPr>
      </w:pPr>
      <w:r>
        <w:rPr>
          <w:rFonts w:ascii="Arial" w:cs="Arial" w:eastAsia="Arial" w:hAnsi="Arial"/>
          <w:sz w:val="17"/>
          <w:szCs w:val="17"/>
          <w:color w:val="auto"/>
        </w:rPr>
        <w:t>The Company’s contracts contain both fixed price and cost reimbursable components. Contract types are based on the component that represents the majority of the contract. The following table presents revenue disaggregated by contract type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Fixed-price</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2,844,719</w:t>
            </w:r>
          </w:p>
        </w:tc>
        <w:tc>
          <w:tcPr>
            <w:tcW w:w="4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1,810,499</w:t>
            </w:r>
          </w:p>
        </w:tc>
        <w:tc>
          <w:tcPr>
            <w:tcW w:w="4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1,138,482</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Time-and-Materials</w:t>
            </w: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1,419,168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1,352,871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1,166,548</w:t>
            </w:r>
          </w:p>
        </w:tc>
        <w:tc>
          <w:tcPr>
            <w:tcW w:w="100" w:type="dxa"/>
            <w:vAlign w:val="bottom"/>
          </w:tcPr>
          <w:p>
            <w:pPr>
              <w:spacing w:after="0"/>
              <w:rPr>
                <w:sz w:val="17"/>
                <w:szCs w:val="17"/>
                <w:color w:val="auto"/>
              </w:rPr>
            </w:pPr>
          </w:p>
        </w:tc>
      </w:tr>
      <w:tr>
        <w:trPr>
          <w:trHeight w:val="203"/>
        </w:trPr>
        <w:tc>
          <w:tcPr>
            <w:tcW w:w="5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Cost-plus</w:t>
            </w: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2,486,689</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2,279,379</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1,890,242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6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6,750,576</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5,442,749</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4,195,272</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-144780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-144780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20—</w:t>
      </w:r>
      <w:r>
        <w:rPr>
          <w:rFonts w:ascii="Arial" w:cs="Arial" w:eastAsia="Arial" w:hAnsi="Arial"/>
          <w:sz w:val="18"/>
          <w:szCs w:val="18"/>
          <w:i w:val="1"/>
          <w:iCs w:val="1"/>
          <w:color w:val="auto"/>
        </w:rPr>
        <w:t>Segments Information</w:t>
      </w:r>
      <w:r>
        <w:rPr>
          <w:rFonts w:ascii="Arial" w:cs="Arial" w:eastAsia="Arial" w:hAnsi="Arial"/>
          <w:sz w:val="18"/>
          <w:szCs w:val="18"/>
          <w:color w:val="auto"/>
        </w:rPr>
        <w:t>” for the Company’s revenues by business lines.</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assets and contract liabilities balances at December 31, 2024 and December 31, 2023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4"/>
                <w:szCs w:val="14"/>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r>
      <w:tr>
        <w:trPr>
          <w:trHeight w:val="19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741,504</w:t>
            </w:r>
          </w:p>
        </w:tc>
        <w:tc>
          <w:tcPr>
            <w:tcW w:w="64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757,515</w:t>
            </w:r>
          </w:p>
        </w:tc>
        <w:tc>
          <w:tcPr>
            <w:tcW w:w="48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(16,011 )</w:t>
            </w:r>
          </w:p>
        </w:tc>
        <w:tc>
          <w:tcPr>
            <w:tcW w:w="15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-2.1 %</w:t>
            </w: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289,799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301,107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(11,308 )</w:t>
            </w:r>
          </w:p>
        </w:tc>
        <w:tc>
          <w:tcPr>
            <w:tcW w:w="1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-3.8 %</w:t>
            </w:r>
          </w:p>
        </w:tc>
      </w:tr>
      <w:tr>
        <w:trPr>
          <w:trHeight w:val="20"/>
        </w:trPr>
        <w:tc>
          <w:tcPr>
            <w:tcW w:w="4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Net contract assets (liabilities) </w:t>
            </w:r>
            <w:r>
              <w:rPr>
                <w:rFonts w:ascii="Arial" w:cs="Arial" w:eastAsia="Arial" w:hAnsi="Arial"/>
                <w:sz w:val="9"/>
                <w:szCs w:val="9"/>
                <w:color w:val="auto"/>
              </w:rPr>
              <w:t>(1)</w:t>
            </w:r>
          </w:p>
        </w:tc>
        <w:tc>
          <w:tcPr>
            <w:tcW w:w="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451,705</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456,408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(4,703 )</w:t>
            </w:r>
          </w:p>
        </w:tc>
        <w:tc>
          <w:tcPr>
            <w:tcW w:w="15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-1.0 %</w:t>
            </w: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8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8" w:lineRule="exact"/>
        <w:rPr>
          <w:sz w:val="20"/>
          <w:szCs w:val="20"/>
          <w:color w:val="auto"/>
        </w:rPr>
      </w:pPr>
    </w:p>
    <w:p>
      <w:pPr>
        <w:ind w:left="520" w:right="180" w:hanging="512"/>
        <w:spacing w:after="0" w:line="229" w:lineRule="auto"/>
        <w:tabs>
          <w:tab w:leader="none" w:pos="411" w:val="left"/>
        </w:tabs>
        <w:numPr>
          <w:ilvl w:val="0"/>
          <w:numId w:val="56"/>
        </w:numPr>
        <w:rPr>
          <w:rFonts w:ascii="Arial" w:cs="Arial" w:eastAsia="Arial" w:hAnsi="Arial"/>
          <w:sz w:val="24"/>
          <w:szCs w:val="24"/>
          <w:color w:val="auto"/>
          <w:vertAlign w:val="superscript"/>
        </w:rPr>
      </w:pPr>
      <w:r>
        <w:rPr>
          <w:rFonts w:ascii="Arial" w:cs="Arial" w:eastAsia="Arial" w:hAnsi="Arial"/>
          <w:sz w:val="18"/>
          <w:szCs w:val="18"/>
          <w:color w:val="auto"/>
        </w:rPr>
        <w:t>Total contract retentions included in net contract assets (liabilities) were $89.8 million as of December 31, 2024, of which $35.9 million are not expected to be paid in 2025. Total contract retentions included in net contract assets (liabilities) were $73.8 million as of December 31, 2023. Contract assets at December 31, 2024 and December 31, 2023 include approximately $70.7 million and $109.5 million, respectively, related to net claim recovery estimates. For the year ended December 31, 2024 there was a $21.6 million loss recognized related to the collectability of claims. For the year ended December 31, 2023, there were no material losses recognized related to the collectability of claims.</w:t>
      </w:r>
    </w:p>
    <w:p>
      <w:pPr>
        <w:spacing w:after="0" w:line="180" w:lineRule="exact"/>
        <w:rPr>
          <w:sz w:val="20"/>
          <w:szCs w:val="20"/>
          <w:color w:val="auto"/>
        </w:rPr>
      </w:pPr>
    </w:p>
    <w:p>
      <w:pPr>
        <w:ind w:right="480" w:firstLine="509"/>
        <w:spacing w:after="0" w:line="253" w:lineRule="auto"/>
        <w:rPr>
          <w:sz w:val="20"/>
          <w:szCs w:val="20"/>
          <w:color w:val="auto"/>
        </w:rPr>
      </w:pPr>
      <w:r>
        <w:rPr>
          <w:rFonts w:ascii="Arial" w:cs="Arial" w:eastAsia="Arial" w:hAnsi="Arial"/>
          <w:sz w:val="18"/>
          <w:szCs w:val="18"/>
          <w:color w:val="auto"/>
        </w:rPr>
        <w:t>During the years ended December 31, 2024 and December 31, 2023, the Company recognized revenue of approximately $190.3 million and $126.0 million, respectively, that was included in the corresponding contract liability balance at December 31, 2023 and December 31, 2022, respectively. Certain changes in contract assets and contract liabilities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4"/>
                <w:szCs w:val="14"/>
                <w:color w:val="auto"/>
              </w:rPr>
            </w:pPr>
          </w:p>
        </w:tc>
      </w:tr>
      <w:tr>
        <w:trPr>
          <w:trHeight w:val="196"/>
        </w:trPr>
        <w:tc>
          <w:tcPr>
            <w:tcW w:w="3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Acquired contract assets</w:t>
            </w:r>
          </w:p>
        </w:tc>
        <w:tc>
          <w:tcPr>
            <w:tcW w:w="3320" w:type="dxa"/>
            <w:vAlign w:val="bottom"/>
            <w:gridSpan w:val="3"/>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19,858</w:t>
            </w:r>
          </w:p>
        </w:tc>
        <w:tc>
          <w:tcPr>
            <w:tcW w:w="5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2,715</w:t>
            </w:r>
          </w:p>
        </w:tc>
        <w:tc>
          <w:tcPr>
            <w:tcW w:w="120" w:type="dxa"/>
            <w:vAlign w:val="bottom"/>
            <w:shd w:val="clear" w:color="auto" w:fill="CFF0FC"/>
          </w:tcPr>
          <w:p>
            <w:pPr>
              <w:spacing w:after="0"/>
              <w:rPr>
                <w:sz w:val="17"/>
                <w:szCs w:val="17"/>
                <w:color w:val="auto"/>
              </w:rPr>
            </w:pPr>
          </w:p>
        </w:tc>
      </w:tr>
      <w:tr>
        <w:trPr>
          <w:trHeight w:val="239"/>
        </w:trPr>
        <w:tc>
          <w:tcPr>
            <w:tcW w:w="3800" w:type="dxa"/>
            <w:vAlign w:val="bottom"/>
          </w:tcPr>
          <w:p>
            <w:pPr>
              <w:ind w:left="20"/>
              <w:spacing w:after="0"/>
              <w:rPr>
                <w:sz w:val="20"/>
                <w:szCs w:val="20"/>
                <w:color w:val="auto"/>
              </w:rPr>
            </w:pPr>
            <w:r>
              <w:rPr>
                <w:rFonts w:ascii="Arial" w:cs="Arial" w:eastAsia="Arial" w:hAnsi="Arial"/>
                <w:sz w:val="18"/>
                <w:szCs w:val="18"/>
                <w:color w:val="auto"/>
              </w:rPr>
              <w:t>Acquired contract liabilities</w:t>
            </w:r>
          </w:p>
        </w:tc>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4,446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20"/>
                <w:szCs w:val="20"/>
                <w:color w:val="auto"/>
              </w:rPr>
            </w:pPr>
          </w:p>
        </w:tc>
      </w:tr>
      <w:tr>
        <w:trPr>
          <w:trHeight w:val="845"/>
        </w:trPr>
        <w:tc>
          <w:tcPr>
            <w:tcW w:w="3800" w:type="dxa"/>
            <w:vAlign w:val="bottom"/>
          </w:tcPr>
          <w:p>
            <w:pPr>
              <w:spacing w:after="0"/>
              <w:rPr>
                <w:sz w:val="24"/>
                <w:szCs w:val="24"/>
                <w:color w:val="auto"/>
              </w:rPr>
            </w:pPr>
          </w:p>
        </w:tc>
        <w:tc>
          <w:tcPr>
            <w:tcW w:w="3320" w:type="dxa"/>
            <w:vAlign w:val="bottom"/>
            <w:gridSpan w:val="3"/>
          </w:tcPr>
          <w:p>
            <w:pPr>
              <w:jc w:val="right"/>
              <w:ind w:right="1320"/>
              <w:spacing w:after="0"/>
              <w:rPr>
                <w:sz w:val="20"/>
                <w:szCs w:val="20"/>
                <w:color w:val="auto"/>
              </w:rPr>
            </w:pPr>
            <w:r>
              <w:rPr>
                <w:rFonts w:ascii="Arial" w:cs="Arial" w:eastAsia="Arial" w:hAnsi="Arial"/>
                <w:sz w:val="18"/>
                <w:szCs w:val="18"/>
                <w:color w:val="auto"/>
              </w:rPr>
              <w:t>F-28</w:t>
            </w: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6"/>
        </w:trPr>
        <w:tc>
          <w:tcPr>
            <w:tcW w:w="38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significant impairment of contract assets recognized during the years ended December 31, 2024 and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94"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40" w:type="dxa"/>
            <w:vAlign w:val="bottom"/>
          </w:tcPr>
          <w:p>
            <w:pPr>
              <w:jc w:val="right"/>
              <w:ind w:right="1259"/>
              <w:spacing w:after="0"/>
              <w:rPr>
                <w:sz w:val="20"/>
                <w:szCs w:val="20"/>
                <w:color w:val="auto"/>
              </w:rPr>
            </w:pPr>
            <w:r>
              <w:rPr>
                <w:rFonts w:ascii="Arial" w:cs="Arial" w:eastAsia="Arial" w:hAnsi="Arial"/>
                <w:sz w:val="14"/>
                <w:szCs w:val="14"/>
                <w:b w:val="1"/>
                <w:bCs w:val="1"/>
                <w:color w:val="auto"/>
              </w:rPr>
              <w:t>2024</w:t>
            </w:r>
          </w:p>
        </w:tc>
        <w:tc>
          <w:tcPr>
            <w:tcW w:w="1360" w:type="dxa"/>
            <w:vAlign w:val="bottom"/>
          </w:tcPr>
          <w:p>
            <w:pPr>
              <w:jc w:val="right"/>
              <w:ind w:right="699"/>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4"/>
                <w:szCs w:val="14"/>
                <w:color w:val="auto"/>
              </w:rPr>
            </w:pPr>
          </w:p>
        </w:tc>
        <w:tc>
          <w:tcPr>
            <w:tcW w:w="1340" w:type="dxa"/>
            <w:vAlign w:val="bottom"/>
          </w:tcPr>
          <w:p>
            <w:pPr>
              <w:jc w:val="right"/>
              <w:ind w:right="679"/>
              <w:spacing w:after="0"/>
              <w:rPr>
                <w:sz w:val="20"/>
                <w:szCs w:val="20"/>
                <w:color w:val="auto"/>
              </w:rPr>
            </w:pPr>
            <w:r>
              <w:rPr>
                <w:rFonts w:ascii="Arial" w:cs="Arial" w:eastAsia="Arial" w:hAnsi="Arial"/>
                <w:sz w:val="14"/>
                <w:szCs w:val="14"/>
                <w:b w:val="1"/>
                <w:bCs w:val="1"/>
                <w:color w:val="auto"/>
              </w:rPr>
              <w:t>2022</w:t>
            </w:r>
          </w:p>
        </w:tc>
      </w:tr>
      <w:tr>
        <w:trPr>
          <w:trHeight w:val="203"/>
        </w:trPr>
        <w:tc>
          <w:tcPr>
            <w:tcW w:w="3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 impact, net</w:t>
            </w:r>
          </w:p>
        </w:tc>
        <w:tc>
          <w:tcPr>
            <w:tcW w:w="2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ind w:right="199"/>
              <w:spacing w:after="0" w:line="202" w:lineRule="exact"/>
              <w:rPr>
                <w:sz w:val="20"/>
                <w:szCs w:val="20"/>
                <w:color w:val="auto"/>
              </w:rPr>
            </w:pPr>
            <w:r>
              <w:rPr>
                <w:rFonts w:ascii="Arial" w:cs="Arial" w:eastAsia="Arial" w:hAnsi="Arial"/>
                <w:sz w:val="18"/>
                <w:szCs w:val="18"/>
                <w:color w:val="auto"/>
              </w:rPr>
              <w:t>(55,952 )  $</w:t>
            </w:r>
          </w:p>
        </w:tc>
        <w:tc>
          <w:tcPr>
            <w:tcW w:w="1360" w:type="dxa"/>
            <w:vAlign w:val="bottom"/>
            <w:shd w:val="clear" w:color="auto" w:fill="CFF0FC"/>
          </w:tcPr>
          <w:p>
            <w:pPr>
              <w:jc w:val="right"/>
              <w:ind w:right="79"/>
              <w:spacing w:after="0" w:line="202" w:lineRule="exact"/>
              <w:rPr>
                <w:sz w:val="20"/>
                <w:szCs w:val="20"/>
                <w:color w:val="auto"/>
              </w:rPr>
            </w:pPr>
            <w:r>
              <w:rPr>
                <w:rFonts w:ascii="Arial" w:cs="Arial" w:eastAsia="Arial" w:hAnsi="Arial"/>
                <w:sz w:val="18"/>
                <w:szCs w:val="18"/>
                <w:color w:val="auto"/>
              </w:rPr>
              <w:t>5,428</w:t>
            </w:r>
          </w:p>
        </w:tc>
        <w:tc>
          <w:tcPr>
            <w:tcW w:w="52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financial statement impacts from revisions in estimates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4"/>
                <w:szCs w:val="14"/>
                <w:color w:val="auto"/>
              </w:rPr>
            </w:pPr>
          </w:p>
        </w:tc>
      </w:tr>
      <w:tr>
        <w:trPr>
          <w:trHeight w:val="196"/>
        </w:trPr>
        <w:tc>
          <w:tcPr>
            <w:tcW w:w="5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(62,298 )</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35,297</w:t>
            </w:r>
          </w:p>
        </w:tc>
        <w:tc>
          <w:tcPr>
            <w:tcW w:w="4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7"/>
                <w:szCs w:val="17"/>
                <w:color w:val="auto"/>
              </w:rPr>
            </w:pPr>
          </w:p>
        </w:tc>
        <w:tc>
          <w:tcPr>
            <w:tcW w:w="1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(47,651 )</w:t>
            </w:r>
          </w:p>
        </w:tc>
        <w:tc>
          <w:tcPr>
            <w:tcW w:w="220" w:type="dxa"/>
            <w:vAlign w:val="bottom"/>
          </w:tcPr>
          <w:p>
            <w:pPr>
              <w:spacing w:after="0"/>
              <w:rPr>
                <w:sz w:val="17"/>
                <w:szCs w:val="17"/>
                <w:color w:val="auto"/>
              </w:rPr>
            </w:pP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26,261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 earnings (loss) per share</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(0.42 )</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0.23</w:t>
            </w:r>
          </w:p>
        </w:tc>
        <w:tc>
          <w:tcPr>
            <w:tcW w:w="4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bl>
    <w:p>
      <w:pPr>
        <w:spacing w:after="0" w:line="197"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8"/>
          <w:szCs w:val="18"/>
          <w:color w:val="auto"/>
        </w:rPr>
        <w:t>The amounts for 2024, in the table above, include the impact from a contract in the Critical Infrastructure segment related to a change in estimate increasing direct costs of contracts by $6.3 million.</w:t>
      </w:r>
    </w:p>
    <w:p>
      <w:pPr>
        <w:spacing w:after="0" w:line="154"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The amounts for 2023, in the table above, include the impact from contracts in the Critical Infrastructure segment related to a change in estimate increasing direct costs of contracts by $8.0 million related to net write-downs and a decrease in direct costs of contracts of $37.9 million related to a legal matter.</w:t>
      </w:r>
    </w:p>
    <w:p>
      <w:pPr>
        <w:spacing w:after="0" w:line="169"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These impacts do not include the operating income impacts disclosed below in "Note 16— Investments in and Advances to Joint Ventures.</w:t>
      </w:r>
      <w:r>
        <w:rPr>
          <w:rFonts w:ascii="Arial" w:cs="Arial" w:eastAsia="Arial" w:hAnsi="Arial"/>
          <w:sz w:val="18"/>
          <w:szCs w:val="18"/>
          <w:i w:val="1"/>
          <w:iCs w:val="1"/>
          <w:color w:val="auto"/>
        </w:rPr>
        <w: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Accounts Receivable,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net consisted of the following as of December 31, 2024 and December 31, 2023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r>
      <w:tr>
        <w:trPr>
          <w:trHeight w:val="196"/>
        </w:trPr>
        <w:tc>
          <w:tcPr>
            <w:tcW w:w="7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Billed</w:t>
            </w: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712,046</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646,375</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ind w:left="20"/>
              <w:spacing w:after="0" w:line="202" w:lineRule="exact"/>
              <w:rPr>
                <w:sz w:val="20"/>
                <w:szCs w:val="20"/>
                <w:color w:val="auto"/>
              </w:rPr>
            </w:pPr>
            <w:r>
              <w:rPr>
                <w:rFonts w:ascii="Arial" w:cs="Arial" w:eastAsia="Arial" w:hAnsi="Arial"/>
                <w:sz w:val="18"/>
                <w:szCs w:val="18"/>
                <w:color w:val="auto"/>
              </w:rPr>
              <w:t>Unbilled</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392,236</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273,215</w:t>
            </w:r>
          </w:p>
        </w:tc>
        <w:tc>
          <w:tcPr>
            <w:tcW w:w="120" w:type="dxa"/>
            <w:vAlign w:val="bottom"/>
          </w:tcPr>
          <w:p>
            <w:pPr>
              <w:spacing w:after="0"/>
              <w:rPr>
                <w:sz w:val="17"/>
                <w:szCs w:val="17"/>
                <w:color w:val="auto"/>
              </w:rPr>
            </w:pPr>
          </w:p>
        </w:tc>
      </w:tr>
      <w:tr>
        <w:trPr>
          <w:trHeight w:val="196"/>
        </w:trPr>
        <w:tc>
          <w:tcPr>
            <w:tcW w:w="730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accounts receivable, gross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1,104,282</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919,590</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ind w:left="20"/>
              <w:spacing w:after="0" w:line="202" w:lineRule="exact"/>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(3,886 )</w:t>
            </w:r>
          </w:p>
        </w:tc>
        <w:tc>
          <w:tcPr>
            <w:tcW w:w="42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(3,952 )</w:t>
            </w:r>
          </w:p>
        </w:tc>
      </w:tr>
      <w:tr>
        <w:trPr>
          <w:trHeight w:val="236"/>
        </w:trPr>
        <w:tc>
          <w:tcPr>
            <w:tcW w:w="73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accounts receivable, net</w:t>
            </w: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1,100,396</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915,638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4"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23% and 18% as of December 31, 2024 and December 31, 2023, respectively.</w:t>
      </w:r>
    </w:p>
    <w:p>
      <w:pPr>
        <w:spacing w:after="0" w:line="17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Company’s remaining unsatisfied performance obligations (“RUPO”) as of December 31, 2024 represent a measure of the total dollar value of work to be performed on contracts awarded and in progress. The Company had $6.7 billion in RUPO as of December 31, 2024.</w:t>
      </w:r>
    </w:p>
    <w:p>
      <w:pPr>
        <w:spacing w:after="0" w:line="169"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task orders have not been issued.</w:t>
      </w:r>
    </w:p>
    <w:p>
      <w:pPr>
        <w:spacing w:after="0" w:line="17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confirmatrions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expects to satisfy its RUPO as of December 31, 2024 over the following periods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7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ind w:left="60"/>
              <w:spacing w:after="0"/>
              <w:rPr>
                <w:sz w:val="20"/>
                <w:szCs w:val="20"/>
                <w:color w:val="auto"/>
              </w:rPr>
            </w:pPr>
            <w:r>
              <w:rPr>
                <w:rFonts w:ascii="Arial" w:cs="Arial" w:eastAsia="Arial" w:hAnsi="Arial"/>
                <w:sz w:val="14"/>
                <w:szCs w:val="14"/>
                <w:b w:val="1"/>
                <w:bCs w:val="1"/>
                <w:color w:val="auto"/>
              </w:rPr>
              <w:t>Period RUPO Will Be Satisfied</w:t>
            </w: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196"/>
        </w:trPr>
        <w:tc>
          <w:tcPr>
            <w:tcW w:w="576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Federal Solutions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1,815,751</w:t>
            </w:r>
          </w:p>
        </w:tc>
        <w:tc>
          <w:tcPr>
            <w:tcW w:w="48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439,216</w:t>
            </w:r>
          </w:p>
        </w:tc>
        <w:tc>
          <w:tcPr>
            <w:tcW w:w="54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142,994</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ind w:left="80"/>
              <w:spacing w:after="0" w:line="202" w:lineRule="exact"/>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2,062,055</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1,099,765</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1,174,217</w:t>
            </w:r>
          </w:p>
        </w:tc>
        <w:tc>
          <w:tcPr>
            <w:tcW w:w="10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3,877,806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1,538,981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1,317,211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The Company has operating and finance leases for corporate and project office spaces, vehicles, heavy machinery and office equipment. Our leases have remaining lease terms of one year to eleven years, some of which may include options to extend the leases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up to five years, and some of which may include options to terminate the leases after the third year.</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costs for the years ended December 31, 2024 and December 31, 2023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4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4560" w:type="dxa"/>
            <w:vAlign w:val="bottom"/>
            <w:gridSpan w:val="2"/>
            <w:shd w:val="clear" w:color="auto" w:fill="CFF0FC"/>
          </w:tcPr>
          <w:p>
            <w:pPr>
              <w:jc w:val="right"/>
              <w:ind w:right="779"/>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64,858</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67,181</w:t>
            </w: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3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17,114</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13,782</w:t>
            </w: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of right-of-use assets</w:t>
            </w:r>
          </w:p>
        </w:tc>
        <w:tc>
          <w:tcPr>
            <w:tcW w:w="3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3,549</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2,699</w:t>
            </w: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Interest on lease liabilities</w:t>
            </w:r>
          </w:p>
        </w:tc>
        <w:tc>
          <w:tcPr>
            <w:tcW w:w="3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434</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3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(4,289 )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(4,718 )</w:t>
            </w:r>
          </w:p>
        </w:tc>
      </w:tr>
      <w:tr>
        <w:trPr>
          <w:trHeight w:val="196"/>
        </w:trPr>
        <w:tc>
          <w:tcPr>
            <w:tcW w:w="410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lease cost</w:t>
            </w:r>
          </w:p>
        </w:tc>
        <w:tc>
          <w:tcPr>
            <w:tcW w:w="358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779"/>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81,666</w:t>
            </w: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79,217</w:t>
            </w:r>
          </w:p>
        </w:tc>
        <w:tc>
          <w:tcPr>
            <w:tcW w:w="100" w:type="dxa"/>
            <w:vAlign w:val="bottom"/>
            <w:tcBorders>
              <w:top w:val="single" w:sz="8" w:color="CFF0FC"/>
            </w:tcBorders>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62"/>
        </w:trPr>
        <w:tc>
          <w:tcPr>
            <w:tcW w:w="4100" w:type="dxa"/>
            <w:vAlign w:val="bottom"/>
          </w:tcPr>
          <w:p>
            <w:pPr>
              <w:spacing w:after="0"/>
              <w:rPr>
                <w:sz w:val="24"/>
                <w:szCs w:val="24"/>
                <w:color w:val="auto"/>
              </w:rPr>
            </w:pPr>
          </w:p>
        </w:tc>
        <w:tc>
          <w:tcPr>
            <w:tcW w:w="4560" w:type="dxa"/>
            <w:vAlign w:val="bottom"/>
            <w:gridSpan w:val="2"/>
          </w:tcPr>
          <w:p>
            <w:pPr>
              <w:jc w:val="right"/>
              <w:ind w:right="2779"/>
              <w:spacing w:after="0"/>
              <w:rPr>
                <w:sz w:val="20"/>
                <w:szCs w:val="20"/>
                <w:color w:val="auto"/>
              </w:rPr>
            </w:pPr>
            <w:r>
              <w:rPr>
                <w:rFonts w:ascii="Arial" w:cs="Arial" w:eastAsia="Arial" w:hAnsi="Arial"/>
                <w:sz w:val="18"/>
                <w:szCs w:val="18"/>
                <w:color w:val="auto"/>
              </w:rPr>
              <w:t>F-30</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1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-1207770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4" w:name="page125"/>
    <w:bookmarkEnd w:id="12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Supplemental cash flow information related to leases for the years ended December 31, 2024 and December 31, 2023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cash flows for operating leases</w:t>
            </w:r>
          </w:p>
        </w:tc>
        <w:tc>
          <w:tcPr>
            <w:tcW w:w="980" w:type="dxa"/>
            <w:vAlign w:val="bottom"/>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67,696</w:t>
            </w:r>
          </w:p>
        </w:tc>
        <w:tc>
          <w:tcPr>
            <w:tcW w:w="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71,432</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cash flows for finance leases</w:t>
            </w: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434</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Financing cash flows for finance leases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3,376</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2,618</w:t>
            </w:r>
          </w:p>
        </w:tc>
        <w:tc>
          <w:tcPr>
            <w:tcW w:w="100" w:type="dxa"/>
            <w:vAlign w:val="bottom"/>
            <w:shd w:val="clear" w:color="auto" w:fill="CFF0FC"/>
          </w:tcPr>
          <w:p>
            <w:pPr>
              <w:spacing w:after="0"/>
              <w:rPr>
                <w:sz w:val="17"/>
                <w:szCs w:val="17"/>
                <w:color w:val="auto"/>
              </w:rPr>
            </w:pPr>
          </w:p>
        </w:tc>
      </w:tr>
      <w:tr>
        <w:trPr>
          <w:trHeight w:val="184"/>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Right-of-use assets obtained in exchange for new</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6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36,583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62,856</w:t>
            </w:r>
          </w:p>
        </w:tc>
        <w:tc>
          <w:tcPr>
            <w:tcW w:w="100" w:type="dxa"/>
            <w:vAlign w:val="bottom"/>
          </w:tcPr>
          <w:p>
            <w:pPr>
              <w:spacing w:after="0"/>
              <w:rPr>
                <w:sz w:val="19"/>
                <w:szCs w:val="19"/>
                <w:color w:val="auto"/>
              </w:rPr>
            </w:pPr>
          </w:p>
        </w:tc>
      </w:tr>
      <w:tr>
        <w:trPr>
          <w:trHeight w:val="184"/>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Right-of-use assets obtained in exchange for new</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6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finance lease liabilities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FF0FC"/>
          </w:tcPr>
          <w:p>
            <w:pPr>
              <w:spacing w:after="0"/>
              <w:rPr>
                <w:sz w:val="19"/>
                <w:szCs w:val="19"/>
                <w:color w:val="auto"/>
              </w:rPr>
            </w:pPr>
          </w:p>
        </w:tc>
      </w:tr>
    </w:tbl>
    <w:p>
      <w:pPr>
        <w:spacing w:after="0" w:line="22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December 31, 2024 and December 31, 2023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153,048</w:t>
            </w:r>
          </w:p>
        </w:tc>
        <w:tc>
          <w:tcPr>
            <w:tcW w:w="36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159,211</w:t>
            </w:r>
          </w:p>
        </w:tc>
        <w:tc>
          <w:tcPr>
            <w:tcW w:w="18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560" w:type="dxa"/>
            <w:vAlign w:val="bottom"/>
          </w:tcPr>
          <w:p>
            <w:pPr>
              <w:ind w:left="280"/>
              <w:spacing w:after="0" w:line="202" w:lineRule="exact"/>
              <w:rPr>
                <w:sz w:val="20"/>
                <w:szCs w:val="20"/>
                <w:color w:val="auto"/>
              </w:rPr>
            </w:pPr>
            <w:r>
              <w:rPr>
                <w:rFonts w:ascii="Arial" w:cs="Arial" w:eastAsia="Arial" w:hAnsi="Arial"/>
                <w:sz w:val="18"/>
                <w:szCs w:val="18"/>
                <w:color w:val="auto"/>
              </w:rPr>
              <w:t>Current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52,725</w:t>
            </w:r>
          </w:p>
        </w:tc>
        <w:tc>
          <w:tcPr>
            <w:tcW w:w="36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58,556</w:t>
            </w:r>
          </w:p>
        </w:tc>
        <w:tc>
          <w:tcPr>
            <w:tcW w:w="18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Long-term</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114,386</w:t>
            </w:r>
          </w:p>
        </w:tc>
        <w:tc>
          <w:tcPr>
            <w:tcW w:w="3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117,505</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lease liabilities</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167,111</w:t>
            </w:r>
          </w:p>
        </w:tc>
        <w:tc>
          <w:tcPr>
            <w:tcW w:w="36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176,061</w:t>
            </w:r>
          </w:p>
        </w:tc>
        <w:tc>
          <w:tcPr>
            <w:tcW w:w="18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7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Finance Leases:</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9,864</w:t>
            </w:r>
          </w:p>
        </w:tc>
        <w:tc>
          <w:tcPr>
            <w:tcW w:w="36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7,779</w:t>
            </w:r>
          </w:p>
        </w:tc>
        <w:tc>
          <w:tcPr>
            <w:tcW w:w="18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3,645</w:t>
            </w: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2,682</w:t>
            </w:r>
          </w:p>
        </w:tc>
        <w:tc>
          <w:tcPr>
            <w:tcW w:w="18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6,441</w:t>
            </w:r>
          </w:p>
        </w:tc>
        <w:tc>
          <w:tcPr>
            <w:tcW w:w="36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5,129</w:t>
            </w:r>
          </w:p>
        </w:tc>
        <w:tc>
          <w:tcPr>
            <w:tcW w:w="18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Remaining Lease Term:</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3.9 Years</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3.9 Years</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Finance leases</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 Years</w:t>
            </w:r>
          </w:p>
        </w:tc>
        <w:tc>
          <w:tcPr>
            <w:tcW w:w="380" w:type="dxa"/>
            <w:vAlign w:val="bottom"/>
          </w:tcPr>
          <w:p>
            <w:pPr>
              <w:spacing w:after="0"/>
              <w:rPr>
                <w:sz w:val="17"/>
                <w:szCs w:val="17"/>
                <w:color w:val="auto"/>
              </w:rPr>
            </w:pPr>
          </w:p>
        </w:tc>
        <w:tc>
          <w:tcPr>
            <w:tcW w:w="1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 years</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Discount Rate: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17"/>
                <w:szCs w:val="17"/>
                <w:color w:val="auto"/>
              </w:rPr>
            </w:pPr>
          </w:p>
        </w:tc>
        <w:tc>
          <w:tcPr>
            <w:tcW w:w="1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4.5 %</w:t>
            </w:r>
          </w:p>
        </w:tc>
        <w:tc>
          <w:tcPr>
            <w:tcW w:w="38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4.2 %</w:t>
            </w: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leases</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5.0 %</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-1576705</wp:posOffset>
            </wp:positionV>
            <wp:extent cx="1200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-1576705</wp:posOffset>
            </wp:positionV>
            <wp:extent cx="1200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0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2024, the Company has no additional operating leases that have not yet commenced.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Finance</w:t>
            </w:r>
          </w:p>
        </w:tc>
      </w:tr>
      <w:tr>
        <w:trPr>
          <w:trHeight w:val="171"/>
        </w:trPr>
        <w:tc>
          <w:tcPr>
            <w:tcW w:w="4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r>
      <w:tr>
        <w:trPr>
          <w:trHeight w:val="196"/>
        </w:trPr>
        <w:tc>
          <w:tcPr>
            <w:tcW w:w="4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2025</w:t>
            </w:r>
          </w:p>
        </w:tc>
        <w:tc>
          <w:tcPr>
            <w:tcW w:w="364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59,839</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4,217</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42,669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3,492</w:t>
            </w:r>
          </w:p>
        </w:tc>
        <w:tc>
          <w:tcPr>
            <w:tcW w:w="100" w:type="dxa"/>
            <w:vAlign w:val="bottom"/>
          </w:tcPr>
          <w:p>
            <w:pPr>
              <w:spacing w:after="0"/>
              <w:rPr>
                <w:sz w:val="17"/>
                <w:szCs w:val="17"/>
                <w:color w:val="auto"/>
              </w:rPr>
            </w:pPr>
          </w:p>
        </w:tc>
      </w:tr>
      <w:tr>
        <w:trPr>
          <w:trHeight w:val="203"/>
        </w:trPr>
        <w:tc>
          <w:tcPr>
            <w:tcW w:w="4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3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29,744</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2,236</w:t>
            </w:r>
          </w:p>
        </w:tc>
        <w:tc>
          <w:tcPr>
            <w:tcW w:w="100" w:type="dxa"/>
            <w:vAlign w:val="bottom"/>
            <w:shd w:val="clear" w:color="auto" w:fill="CFF0FC"/>
          </w:tcPr>
          <w:p>
            <w:pPr>
              <w:spacing w:after="0"/>
              <w:rPr>
                <w:sz w:val="17"/>
                <w:szCs w:val="17"/>
                <w:color w:val="auto"/>
              </w:rPr>
            </w:pPr>
          </w:p>
        </w:tc>
      </w:tr>
      <w:tr>
        <w:trPr>
          <w:trHeight w:val="202"/>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24,383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933</w:t>
            </w:r>
          </w:p>
        </w:tc>
        <w:tc>
          <w:tcPr>
            <w:tcW w:w="100" w:type="dxa"/>
            <w:vAlign w:val="bottom"/>
          </w:tcPr>
          <w:p>
            <w:pPr>
              <w:spacing w:after="0"/>
              <w:rPr>
                <w:sz w:val="17"/>
                <w:szCs w:val="17"/>
                <w:color w:val="auto"/>
              </w:rPr>
            </w:pPr>
          </w:p>
        </w:tc>
      </w:tr>
      <w:tr>
        <w:trPr>
          <w:trHeight w:val="203"/>
        </w:trPr>
        <w:tc>
          <w:tcPr>
            <w:tcW w:w="4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2029</w:t>
            </w:r>
          </w:p>
        </w:tc>
        <w:tc>
          <w:tcPr>
            <w:tcW w:w="3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18,341</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7,682</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432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lease payments</w:t>
            </w:r>
          </w:p>
        </w:tc>
        <w:tc>
          <w:tcPr>
            <w:tcW w:w="3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182,658</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10,970</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(15,547 )</w:t>
            </w:r>
          </w:p>
        </w:tc>
        <w:tc>
          <w:tcPr>
            <w:tcW w:w="30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(884 )</w:t>
            </w:r>
          </w:p>
        </w:tc>
      </w:tr>
      <w:tr>
        <w:trPr>
          <w:trHeight w:val="236"/>
        </w:trPr>
        <w:tc>
          <w:tcPr>
            <w:tcW w:w="4320" w:type="dxa"/>
            <w:vAlign w:val="bottom"/>
            <w:tcBorders>
              <w:bottom w:val="single" w:sz="8" w:color="CFF0FC"/>
            </w:tcBorders>
            <w:shd w:val="clear" w:color="auto" w:fill="CFF0FC"/>
          </w:tcPr>
          <w:p>
            <w:pPr>
              <w:ind w:left="280"/>
              <w:spacing w:after="0" w:line="182" w:lineRule="exact"/>
              <w:rPr>
                <w:sz w:val="20"/>
                <w:szCs w:val="20"/>
                <w:color w:val="auto"/>
              </w:rPr>
            </w:pPr>
            <w:r>
              <w:rPr>
                <w:rFonts w:ascii="Arial" w:cs="Arial" w:eastAsia="Arial" w:hAnsi="Arial"/>
                <w:sz w:val="18"/>
                <w:szCs w:val="18"/>
                <w:color w:val="auto"/>
              </w:rPr>
              <w:t>Total present value of lease liabilities</w:t>
            </w:r>
          </w:p>
        </w:tc>
        <w:tc>
          <w:tcPr>
            <w:tcW w:w="33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167,111</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62"/>
        </w:trPr>
        <w:tc>
          <w:tcPr>
            <w:tcW w:w="4320" w:type="dxa"/>
            <w:vAlign w:val="bottom"/>
          </w:tcPr>
          <w:p>
            <w:pPr>
              <w:spacing w:after="0"/>
              <w:rPr>
                <w:sz w:val="24"/>
                <w:szCs w:val="24"/>
                <w:color w:val="auto"/>
              </w:rPr>
            </w:pPr>
          </w:p>
        </w:tc>
        <w:tc>
          <w:tcPr>
            <w:tcW w:w="3640" w:type="dxa"/>
            <w:vAlign w:val="bottom"/>
            <w:gridSpan w:val="2"/>
          </w:tcPr>
          <w:p>
            <w:pPr>
              <w:jc w:val="right"/>
              <w:ind w:right="2070"/>
              <w:spacing w:after="0"/>
              <w:rPr>
                <w:sz w:val="20"/>
                <w:szCs w:val="20"/>
                <w:color w:val="auto"/>
              </w:rPr>
            </w:pPr>
            <w:r>
              <w:rPr>
                <w:rFonts w:ascii="Arial" w:cs="Arial" w:eastAsia="Arial" w:hAnsi="Arial"/>
                <w:sz w:val="18"/>
                <w:szCs w:val="18"/>
                <w:color w:val="auto"/>
              </w:rPr>
              <w:t>F-31</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43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-1071245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-1053465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Rental expense for the years ended December 31, 2024, December 31, 2023 and December 31, 2022 was $82.0 million, $81.0 million and $81.0 million, respectively, and is recorded in “Selling, general and administrative expenses” in the consolidated statements of income.</w:t>
      </w:r>
    </w:p>
    <w:p>
      <w:pPr>
        <w:spacing w:after="0" w:line="262" w:lineRule="exact"/>
        <w:rPr>
          <w:sz w:val="20"/>
          <w:szCs w:val="20"/>
          <w:color w:val="auto"/>
        </w:rPr>
      </w:pPr>
    </w:p>
    <w:p>
      <w:pPr>
        <w:ind w:left="520" w:right="5080" w:hanging="512"/>
        <w:spacing w:after="0" w:line="422" w:lineRule="auto"/>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and Equity-Based Compensation Plans Equity Compensation Plan Information</w:t>
      </w:r>
    </w:p>
    <w:p>
      <w:pPr>
        <w:spacing w:after="0" w:line="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following table provides information as of December 31, 2024 regarding compensation plans under which our equity securities are authorized for issuance.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w:t>
            </w: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Issued upon Exercise of</w:t>
            </w:r>
          </w:p>
        </w:tc>
        <w:tc>
          <w:tcPr>
            <w:tcW w:w="2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Weighted-Average Exercise</w:t>
            </w: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under Equity Compensation</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 Warrants</w:t>
            </w:r>
          </w:p>
        </w:tc>
        <w:tc>
          <w:tcPr>
            <w:tcW w:w="2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Price of Outstanding Options,</w:t>
            </w: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and Rights</w:t>
            </w:r>
          </w:p>
        </w:tc>
        <w:tc>
          <w:tcPr>
            <w:tcW w:w="2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0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Equity compensation plans approved by</w:t>
            </w:r>
          </w:p>
        </w:tc>
        <w:tc>
          <w:tcPr>
            <w:tcW w:w="2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320" w:type="dxa"/>
            <w:vAlign w:val="bottom"/>
            <w:shd w:val="clear" w:color="auto" w:fill="CFF0FC"/>
          </w:tcPr>
          <w:p>
            <w:pPr>
              <w:jc w:val="center"/>
              <w:ind w:left="30"/>
              <w:spacing w:after="0" w:line="177"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1"/>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security holders (1)</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1,367,785</w:t>
            </w:r>
          </w:p>
        </w:tc>
        <w:tc>
          <w:tcPr>
            <w:tcW w:w="32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4"/>
        </w:trPr>
        <w:tc>
          <w:tcPr>
            <w:tcW w:w="3700" w:type="dxa"/>
            <w:vAlign w:val="bottom"/>
          </w:tcPr>
          <w:p>
            <w:pPr>
              <w:ind w:left="20"/>
              <w:spacing w:after="0" w:line="183" w:lineRule="exact"/>
              <w:rPr>
                <w:sz w:val="20"/>
                <w:szCs w:val="20"/>
                <w:color w:val="auto"/>
              </w:rPr>
            </w:pPr>
            <w:r>
              <w:rPr>
                <w:rFonts w:ascii="Arial" w:cs="Arial" w:eastAsia="Arial" w:hAnsi="Arial"/>
                <w:sz w:val="18"/>
                <w:szCs w:val="18"/>
                <w:color w:val="auto"/>
              </w:rPr>
              <w:t>Equity compensation plans not approved</w:t>
            </w:r>
          </w:p>
        </w:tc>
        <w:tc>
          <w:tcPr>
            <w:tcW w:w="2200" w:type="dxa"/>
            <w:vAlign w:val="bottom"/>
          </w:tcPr>
          <w:p>
            <w:pPr>
              <w:spacing w:after="0"/>
              <w:rPr>
                <w:sz w:val="15"/>
                <w:szCs w:val="15"/>
                <w:color w:val="auto"/>
              </w:rPr>
            </w:pPr>
          </w:p>
        </w:tc>
        <w:tc>
          <w:tcPr>
            <w:tcW w:w="280" w:type="dxa"/>
            <w:vAlign w:val="bottom"/>
          </w:tcPr>
          <w:p>
            <w:pPr>
              <w:jc w:val="center"/>
              <w:ind w:left="10"/>
              <w:spacing w:after="0" w:line="183" w:lineRule="exact"/>
              <w:rPr>
                <w:sz w:val="20"/>
                <w:szCs w:val="20"/>
                <w:color w:val="auto"/>
              </w:rPr>
            </w:pPr>
            <w:r>
              <w:rPr>
                <w:rFonts w:ascii="Arial" w:cs="Arial" w:eastAsia="Arial" w:hAnsi="Arial"/>
                <w:sz w:val="18"/>
                <w:szCs w:val="18"/>
                <w:color w:val="auto"/>
                <w:w w:val="99"/>
              </w:rPr>
              <w:t>(</w:t>
            </w: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by security holders</w:t>
            </w: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1,883,018</w:t>
            </w:r>
          </w:p>
        </w:tc>
        <w:tc>
          <w:tcPr>
            <w:tcW w:w="28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3</w:t>
            </w:r>
          </w:p>
        </w:tc>
        <w:tc>
          <w:tcPr>
            <w:tcW w:w="2200" w:type="dxa"/>
            <w:vAlign w:val="bottom"/>
          </w:tcPr>
          <w:p>
            <w:pPr>
              <w:spacing w:after="0"/>
              <w:rPr>
                <w:sz w:val="17"/>
                <w:szCs w:val="17"/>
                <w:color w:val="auto"/>
              </w:rPr>
            </w:pPr>
          </w:p>
        </w:tc>
        <w:tc>
          <w:tcPr>
            <w:tcW w:w="260" w:type="dxa"/>
            <w:vAlign w:val="bottom"/>
            <w:vMerge w:val="restart"/>
          </w:tcPr>
          <w:p>
            <w:pPr>
              <w:spacing w:after="0"/>
              <w:rPr>
                <w:sz w:val="17"/>
                <w:szCs w:val="17"/>
                <w:color w:val="auto"/>
              </w:rPr>
            </w:pPr>
          </w:p>
        </w:tc>
        <w:tc>
          <w:tcPr>
            <w:tcW w:w="2280" w:type="dxa"/>
            <w:vAlign w:val="bottom"/>
            <w:vMerge w:val="restart"/>
          </w:tcPr>
          <w:p>
            <w:pPr>
              <w:jc w:val="right"/>
              <w:spacing w:after="0"/>
              <w:rPr>
                <w:sz w:val="20"/>
                <w:szCs w:val="20"/>
                <w:color w:val="auto"/>
              </w:rPr>
            </w:pPr>
            <w:r>
              <w:rPr>
                <w:rFonts w:ascii="Arial" w:cs="Arial" w:eastAsia="Arial" w:hAnsi="Arial"/>
                <w:sz w:val="18"/>
                <w:szCs w:val="18"/>
                <w:color w:val="auto"/>
              </w:rPr>
              <w:t>7,651,085</w:t>
            </w:r>
          </w:p>
        </w:tc>
        <w:tc>
          <w:tcPr>
            <w:tcW w:w="32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2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8"/>
                <w:szCs w:val="18"/>
                <w:color w:val="auto"/>
              </w:rPr>
            </w:pPr>
          </w:p>
        </w:tc>
        <w:tc>
          <w:tcPr>
            <w:tcW w:w="2280" w:type="dxa"/>
            <w:vAlign w:val="bottom"/>
            <w:tcBorders>
              <w:bottom w:val="single" w:sz="8" w:color="auto"/>
            </w:tcBorders>
            <w:vMerge w:val="continue"/>
          </w:tcPr>
          <w:p>
            <w:pPr>
              <w:spacing w:after="0"/>
              <w:rPr>
                <w:sz w:val="18"/>
                <w:szCs w:val="18"/>
                <w:color w:val="auto"/>
              </w:rPr>
            </w:pPr>
          </w:p>
        </w:tc>
        <w:tc>
          <w:tcPr>
            <w:tcW w:w="3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1,883,018</w:t>
            </w:r>
          </w:p>
        </w:tc>
        <w:tc>
          <w:tcPr>
            <w:tcW w:w="280" w:type="dxa"/>
            <w:vAlign w:val="bottom"/>
            <w:tcBorders>
              <w:bottom w:val="single" w:sz="8" w:color="CFF0FC"/>
            </w:tcBorders>
            <w:shd w:val="clear" w:color="auto" w:fill="CFF0FC"/>
          </w:tcPr>
          <w:p>
            <w:pPr>
              <w:spacing w:after="0"/>
              <w:rPr>
                <w:sz w:val="20"/>
                <w:szCs w:val="20"/>
                <w:color w:val="auto"/>
              </w:rPr>
            </w:pPr>
          </w:p>
        </w:tc>
        <w:tc>
          <w:tcPr>
            <w:tcW w:w="22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9,018,870</w:t>
            </w:r>
          </w:p>
        </w:tc>
        <w:tc>
          <w:tcPr>
            <w:tcW w:w="3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-25400</wp:posOffset>
            </wp:positionV>
            <wp:extent cx="774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-25400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Consists of the 2020 Employee Stock Purchase Plan.</w:t>
      </w:r>
    </w:p>
    <w:p>
      <w:pPr>
        <w:spacing w:after="0" w:line="15" w:lineRule="exact"/>
        <w:rPr>
          <w:rFonts w:ascii="Arial" w:cs="Arial" w:eastAsia="Arial" w:hAnsi="Arial"/>
          <w:sz w:val="14"/>
          <w:szCs w:val="14"/>
          <w:color w:val="auto"/>
        </w:rPr>
      </w:pPr>
    </w:p>
    <w:p>
      <w:pPr>
        <w:ind w:left="520" w:right="160" w:hanging="512"/>
        <w:spacing w:after="0" w:line="241"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 represents 1,367,785 shares remaining available for future issuance under the 2020 Employee Stock Purchase Plan (of which 47,860 shares were purchased pursuant to the offering period that ended on December 31, 2024).</w:t>
      </w:r>
    </w:p>
    <w:p>
      <w:pPr>
        <w:ind w:left="520" w:right="480" w:hanging="512"/>
        <w:spacing w:after="0" w:line="241"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 represents the sum of 1,883,018 shares of common stock subject to outstanding RSU and PSU awards under the 2019 Incentive Plan (with PSU awards reflected at “target” levels),</w:t>
      </w:r>
    </w:p>
    <w:p>
      <w:pPr>
        <w:ind w:left="520" w:hanging="512"/>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 represents 7,651,085 shares remaining available for future issuance under the 2019 Incentive Plan.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Employee Stock Purchase Plan</w:t>
      </w:r>
    </w:p>
    <w:p>
      <w:pPr>
        <w:spacing w:after="0" w:line="104"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The Parsons Corporation Employee Stock Purchase Plan (“ESPP”) was adopted effective March 1, 2020. Under the ESPP, eligible employees who elect to participate are granted the right to purchase shares of Parsons common stock at a discount of 5% of the market value on the last trading day of the offering period.</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stock issuance activity for the years ended December 31, 2024 and December 31, 2023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8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Purchase price paid for shares sold</w:t>
            </w:r>
          </w:p>
        </w:tc>
        <w:tc>
          <w:tcPr>
            <w:tcW w:w="820" w:type="dxa"/>
            <w:vAlign w:val="bottom"/>
            <w:shd w:val="clear" w:color="auto" w:fill="CFF0FC"/>
          </w:tcPr>
          <w:p>
            <w:pPr>
              <w:jc w:val="right"/>
              <w:ind w:right="619"/>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7,935</w:t>
            </w:r>
          </w:p>
        </w:tc>
        <w:tc>
          <w:tcPr>
            <w:tcW w:w="5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6,059</w:t>
            </w:r>
          </w:p>
        </w:tc>
        <w:tc>
          <w:tcPr>
            <w:tcW w:w="100" w:type="dxa"/>
            <w:vAlign w:val="bottom"/>
            <w:shd w:val="clear" w:color="auto" w:fill="CFF0FC"/>
          </w:tcPr>
          <w:p>
            <w:pPr>
              <w:spacing w:after="0"/>
              <w:rPr>
                <w:sz w:val="17"/>
                <w:szCs w:val="17"/>
                <w:color w:val="auto"/>
              </w:rPr>
            </w:pPr>
          </w:p>
        </w:tc>
      </w:tr>
      <w:tr>
        <w:trPr>
          <w:trHeight w:val="239"/>
        </w:trPr>
        <w:tc>
          <w:tcPr>
            <w:tcW w:w="8280" w:type="dxa"/>
            <w:vAlign w:val="bottom"/>
          </w:tcPr>
          <w:p>
            <w:pPr>
              <w:ind w:left="20"/>
              <w:spacing w:after="0"/>
              <w:rPr>
                <w:sz w:val="20"/>
                <w:szCs w:val="20"/>
                <w:color w:val="auto"/>
              </w:rPr>
            </w:pPr>
            <w:r>
              <w:rPr>
                <w:rFonts w:ascii="Arial" w:cs="Arial" w:eastAsia="Arial" w:hAnsi="Arial"/>
                <w:sz w:val="18"/>
                <w:szCs w:val="18"/>
                <w:color w:val="auto"/>
              </w:rPr>
              <w:t>Number of shares sold</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r>
    </w:tbl>
    <w:p>
      <w:pPr>
        <w:spacing w:after="0" w:line="188"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The average purchase price for the year ended December 31, 2024 and December 31, 2023 was $82.66 and $51.94 per share, respectively.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Equity-Based Compensation Plans</w:t>
      </w:r>
    </w:p>
    <w:p>
      <w:pPr>
        <w:spacing w:after="0" w:line="10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Company issues stock-based awards through the Incentive Award Plan. The compensation expense for these awards is recorded in “Selling, general and administrative expenses” in the Company’s consolidated financial statements.</w:t>
      </w:r>
    </w:p>
    <w:p>
      <w:pPr>
        <w:spacing w:after="0" w:line="154"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Stock-based compensation expense was $52.6 million, $27.5 million, and $20.0 million for the years ended December 31, 2024, December 31, 2023 and December 31, 2022, respectively, net of recognized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tax benefits of $8.9 million, $8.6 million, and $4.4 million for 2024, 2023 and 2022, respectively. The tax benefit realized related to awards vested during 2024, 2023, and 2022 was $12.0 million, $4.3 million, and $2.7 million, respectively. We recognize forfeitures as they occur.</w:t>
      </w:r>
    </w:p>
    <w:p>
      <w:pPr>
        <w:spacing w:after="0" w:line="154"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At December 31, 2024, the amount of compensation cost relating to non-vested awards not yet recognized in the consolidated financial statements is $51.3 million. The majority of these unrecognized compensation costs will be recognized by the third quarter of fiscal 2026.</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Stock Units</w:t>
      </w:r>
    </w:p>
    <w:p>
      <w:pPr>
        <w:spacing w:after="0" w:line="104"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Restricted Stock Units awards are issued under the Incentive Award Plan and are settled by the issuance of the Company’s common stock. Outstanding awards have been granted based on either service or service and performance conditions. Awards vest over three-year periods, either annually or cliff. Expense is recognized on an accelerated basis for awards with service conditions only and on a straight-line basis for awards that include performance conditions. Expense recognition of awards with performance criteria are subject to the probability of meeting the performance conditions and adjusted for the number of shares expected to be earned. Compensation cost for awards with performance conditions are trued-up at each reporting period for changes in the expected shares pro-rated for the portion of the requisite service period rendered.</w:t>
      </w:r>
    </w:p>
    <w:p>
      <w:pPr>
        <w:spacing w:after="0" w:line="185"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The following table presents the number of shares of restricted stock units granted (at target shares for awards with performance conditions) for the years ended December 31, 2024, December 31, 2023 and December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620" w:type="dxa"/>
            <w:vAlign w:val="bottom"/>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6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7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60" w:type="dxa"/>
            <w:vAlign w:val="bottom"/>
          </w:tcPr>
          <w:p>
            <w:pPr>
              <w:spacing w:after="0"/>
              <w:rPr>
                <w:sz w:val="14"/>
                <w:szCs w:val="14"/>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Restricted Stock Units (service condition)</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346,483</w:t>
            </w:r>
          </w:p>
        </w:tc>
        <w:tc>
          <w:tcPr>
            <w:tcW w:w="19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616,337</w:t>
            </w:r>
          </w:p>
        </w:tc>
        <w:tc>
          <w:tcPr>
            <w:tcW w:w="19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666,184</w:t>
            </w:r>
          </w:p>
        </w:tc>
        <w:tc>
          <w:tcPr>
            <w:tcW w:w="120" w:type="dxa"/>
            <w:vAlign w:val="bottom"/>
            <w:shd w:val="clear" w:color="auto" w:fill="CFF0FC"/>
          </w:tcPr>
          <w:p>
            <w:pPr>
              <w:spacing w:after="0"/>
              <w:rPr>
                <w:sz w:val="17"/>
                <w:szCs w:val="17"/>
                <w:color w:val="auto"/>
              </w:rPr>
            </w:pPr>
          </w:p>
        </w:tc>
      </w:tr>
      <w:tr>
        <w:trPr>
          <w:trHeight w:val="239"/>
        </w:trPr>
        <w:tc>
          <w:tcPr>
            <w:tcW w:w="5660" w:type="dxa"/>
            <w:vAlign w:val="bottom"/>
          </w:tcPr>
          <w:p>
            <w:pPr>
              <w:ind w:left="20"/>
              <w:spacing w:after="0"/>
              <w:rPr>
                <w:sz w:val="20"/>
                <w:szCs w:val="20"/>
                <w:color w:val="auto"/>
              </w:rPr>
            </w:pPr>
            <w:r>
              <w:rPr>
                <w:rFonts w:ascii="Arial" w:cs="Arial" w:eastAsia="Arial" w:hAnsi="Arial"/>
                <w:sz w:val="18"/>
                <w:szCs w:val="18"/>
                <w:color w:val="auto"/>
              </w:rPr>
              <w:t>Restricted Stock Units (service and performance condition)</w:t>
            </w:r>
          </w:p>
        </w:tc>
        <w:tc>
          <w:tcPr>
            <w:tcW w:w="1620" w:type="dxa"/>
            <w:vAlign w:val="bottom"/>
          </w:tcPr>
          <w:p>
            <w:pPr>
              <w:jc w:val="right"/>
              <w:spacing w:after="0"/>
              <w:rPr>
                <w:sz w:val="20"/>
                <w:szCs w:val="20"/>
                <w:color w:val="auto"/>
              </w:rPr>
            </w:pPr>
            <w:r>
              <w:rPr>
                <w:rFonts w:ascii="Arial" w:cs="Arial" w:eastAsia="Arial" w:hAnsi="Arial"/>
                <w:sz w:val="18"/>
                <w:szCs w:val="18"/>
                <w:color w:val="auto"/>
              </w:rPr>
              <w:t>296,513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452,179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402,436</w:t>
            </w:r>
          </w:p>
        </w:tc>
        <w:tc>
          <w:tcPr>
            <w:tcW w:w="120" w:type="dxa"/>
            <w:vAlign w:val="bottom"/>
          </w:tcPr>
          <w:p>
            <w:pPr>
              <w:spacing w:after="0"/>
              <w:rPr>
                <w:sz w:val="20"/>
                <w:szCs w:val="20"/>
                <w:color w:val="auto"/>
              </w:rPr>
            </w:pPr>
          </w:p>
        </w:tc>
      </w:tr>
    </w:tbl>
    <w:p>
      <w:pPr>
        <w:spacing w:after="0" w:line="188"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number of units granted for awards with performance conditions in the above table is based on performance at the target amount. The number of shares ultimately issued, which could be greater or less than target, will be based on achieving specific performance conditions related to the awards. During the years ended December 31, 2024 and December 31, 2023, certain restricted stock unit grants with performance conditions vested with performance different from the target share amounts. As a result, 99,280 and 97,551 additional shares, respectively were granted and vested.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 presents the number and weighted average grant-date fair value of restricted stock units (at target shares for awards with performance conditions) for the years ended December 31, 2024, December 31, 2023 and December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 Average Grant-</w:t>
            </w:r>
          </w:p>
        </w:tc>
      </w:tr>
      <w:tr>
        <w:trPr>
          <w:trHeight w:val="171"/>
        </w:trPr>
        <w:tc>
          <w:tcPr>
            <w:tcW w:w="6820" w:type="dxa"/>
            <w:vAlign w:val="bottom"/>
          </w:tcPr>
          <w:p>
            <w:pPr>
              <w:spacing w:after="0"/>
              <w:rPr>
                <w:sz w:val="14"/>
                <w:szCs w:val="14"/>
                <w:color w:val="auto"/>
              </w:rPr>
            </w:pPr>
          </w:p>
        </w:tc>
        <w:tc>
          <w:tcPr>
            <w:tcW w:w="23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Number of Units</w:t>
            </w:r>
          </w:p>
        </w:tc>
        <w:tc>
          <w:tcPr>
            <w:tcW w:w="120" w:type="dxa"/>
            <w:vAlign w:val="bottom"/>
          </w:tcPr>
          <w:p>
            <w:pPr>
              <w:spacing w:after="0"/>
              <w:rPr>
                <w:sz w:val="14"/>
                <w:szCs w:val="1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Date Fair Value</w:t>
            </w:r>
          </w:p>
        </w:tc>
      </w:tr>
      <w:tr>
        <w:trPr>
          <w:trHeight w:val="236"/>
        </w:trPr>
        <w:tc>
          <w:tcPr>
            <w:tcW w:w="6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2021</w:t>
            </w:r>
          </w:p>
        </w:tc>
        <w:tc>
          <w:tcPr>
            <w:tcW w:w="1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1,359,243</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820" w:type="dxa"/>
            <w:vAlign w:val="bottom"/>
          </w:tcPr>
          <w:p>
            <w:pPr>
              <w:ind w:left="20"/>
              <w:spacing w:after="0" w:line="183" w:lineRule="exact"/>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line="183" w:lineRule="exact"/>
              <w:rPr>
                <w:sz w:val="20"/>
                <w:szCs w:val="20"/>
                <w:color w:val="auto"/>
              </w:rPr>
            </w:pPr>
            <w:r>
              <w:rPr>
                <w:rFonts w:ascii="Arial" w:cs="Arial" w:eastAsia="Arial" w:hAnsi="Arial"/>
                <w:sz w:val="18"/>
                <w:szCs w:val="18"/>
                <w:color w:val="auto"/>
              </w:rPr>
              <w:t>1,068,620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jc w:val="right"/>
              <w:spacing w:after="0" w:line="183" w:lineRule="exact"/>
              <w:rPr>
                <w:sz w:val="20"/>
                <w:szCs w:val="20"/>
                <w:color w:val="auto"/>
              </w:rPr>
            </w:pPr>
            <w:r>
              <w:rPr>
                <w:rFonts w:ascii="Arial" w:cs="Arial" w:eastAsia="Arial" w:hAnsi="Arial"/>
                <w:sz w:val="18"/>
                <w:szCs w:val="18"/>
                <w:color w:val="auto"/>
              </w:rPr>
              <w:t>37.42</w:t>
            </w:r>
          </w:p>
        </w:tc>
        <w:tc>
          <w:tcPr>
            <w:tcW w:w="100" w:type="dxa"/>
            <w:vAlign w:val="bottom"/>
          </w:tcPr>
          <w:p>
            <w:pPr>
              <w:spacing w:after="0"/>
              <w:rPr>
                <w:sz w:val="15"/>
                <w:szCs w:val="15"/>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23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(497,200 )</w:t>
            </w:r>
          </w:p>
        </w:tc>
        <w:tc>
          <w:tcPr>
            <w:tcW w:w="12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35.86</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2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(309,508 )</w:t>
            </w:r>
          </w:p>
        </w:tc>
        <w:tc>
          <w:tcPr>
            <w:tcW w:w="12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36.28</w:t>
            </w:r>
          </w:p>
        </w:tc>
        <w:tc>
          <w:tcPr>
            <w:tcW w:w="100" w:type="dxa"/>
            <w:vAlign w:val="bottom"/>
          </w:tcPr>
          <w:p>
            <w:pPr>
              <w:spacing w:after="0"/>
              <w:rPr>
                <w:sz w:val="17"/>
                <w:szCs w:val="17"/>
                <w:color w:val="auto"/>
              </w:rPr>
            </w:pPr>
          </w:p>
        </w:tc>
      </w:tr>
      <w:tr>
        <w:trPr>
          <w:trHeight w:val="236"/>
        </w:trPr>
        <w:tc>
          <w:tcPr>
            <w:tcW w:w="6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2022</w:t>
            </w:r>
          </w:p>
        </w:tc>
        <w:tc>
          <w:tcPr>
            <w:tcW w:w="1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1,621,155</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820" w:type="dxa"/>
            <w:vAlign w:val="bottom"/>
          </w:tcPr>
          <w:p>
            <w:pPr>
              <w:ind w:left="20"/>
              <w:spacing w:after="0" w:line="183" w:lineRule="exact"/>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line="183" w:lineRule="exact"/>
              <w:rPr>
                <w:sz w:val="20"/>
                <w:szCs w:val="20"/>
                <w:color w:val="auto"/>
              </w:rPr>
            </w:pPr>
            <w:r>
              <w:rPr>
                <w:rFonts w:ascii="Arial" w:cs="Arial" w:eastAsia="Arial" w:hAnsi="Arial"/>
                <w:sz w:val="18"/>
                <w:szCs w:val="18"/>
                <w:color w:val="auto"/>
              </w:rPr>
              <w:t>1,068,516</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jc w:val="right"/>
              <w:spacing w:after="0" w:line="183" w:lineRule="exact"/>
              <w:rPr>
                <w:sz w:val="20"/>
                <w:szCs w:val="20"/>
                <w:color w:val="auto"/>
              </w:rPr>
            </w:pPr>
            <w:r>
              <w:rPr>
                <w:rFonts w:ascii="Arial" w:cs="Arial" w:eastAsia="Arial" w:hAnsi="Arial"/>
                <w:sz w:val="18"/>
                <w:szCs w:val="18"/>
                <w:color w:val="auto"/>
              </w:rPr>
              <w:t>48.96</w:t>
            </w:r>
          </w:p>
        </w:tc>
        <w:tc>
          <w:tcPr>
            <w:tcW w:w="100" w:type="dxa"/>
            <w:vAlign w:val="bottom"/>
          </w:tcPr>
          <w:p>
            <w:pPr>
              <w:spacing w:after="0"/>
              <w:rPr>
                <w:sz w:val="15"/>
                <w:szCs w:val="15"/>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23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(372,962 )</w:t>
            </w:r>
          </w:p>
        </w:tc>
        <w:tc>
          <w:tcPr>
            <w:tcW w:w="12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37.56</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2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(223,373 )</w:t>
            </w:r>
          </w:p>
        </w:tc>
        <w:tc>
          <w:tcPr>
            <w:tcW w:w="12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39.90</w:t>
            </w:r>
          </w:p>
        </w:tc>
        <w:tc>
          <w:tcPr>
            <w:tcW w:w="100" w:type="dxa"/>
            <w:vAlign w:val="bottom"/>
          </w:tcPr>
          <w:p>
            <w:pPr>
              <w:spacing w:after="0"/>
              <w:rPr>
                <w:sz w:val="17"/>
                <w:szCs w:val="17"/>
                <w:color w:val="auto"/>
              </w:rPr>
            </w:pPr>
          </w:p>
        </w:tc>
      </w:tr>
      <w:tr>
        <w:trPr>
          <w:trHeight w:val="236"/>
        </w:trPr>
        <w:tc>
          <w:tcPr>
            <w:tcW w:w="6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2023</w:t>
            </w:r>
          </w:p>
        </w:tc>
        <w:tc>
          <w:tcPr>
            <w:tcW w:w="1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2,093,336</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820" w:type="dxa"/>
            <w:vAlign w:val="bottom"/>
          </w:tcPr>
          <w:p>
            <w:pPr>
              <w:ind w:left="20"/>
              <w:spacing w:after="0" w:line="183" w:lineRule="exact"/>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line="183" w:lineRule="exact"/>
              <w:rPr>
                <w:sz w:val="20"/>
                <w:szCs w:val="20"/>
                <w:color w:val="auto"/>
              </w:rPr>
            </w:pPr>
            <w:r>
              <w:rPr>
                <w:rFonts w:ascii="Arial" w:cs="Arial" w:eastAsia="Arial" w:hAnsi="Arial"/>
                <w:sz w:val="18"/>
                <w:szCs w:val="18"/>
                <w:color w:val="auto"/>
              </w:rPr>
              <w:t>642,996</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jc w:val="right"/>
              <w:spacing w:after="0" w:line="183" w:lineRule="exact"/>
              <w:rPr>
                <w:sz w:val="20"/>
                <w:szCs w:val="20"/>
                <w:color w:val="auto"/>
              </w:rPr>
            </w:pPr>
            <w:r>
              <w:rPr>
                <w:rFonts w:ascii="Arial" w:cs="Arial" w:eastAsia="Arial" w:hAnsi="Arial"/>
                <w:sz w:val="18"/>
                <w:szCs w:val="18"/>
                <w:color w:val="auto"/>
              </w:rPr>
              <w:t>79.71</w:t>
            </w:r>
          </w:p>
        </w:tc>
        <w:tc>
          <w:tcPr>
            <w:tcW w:w="100" w:type="dxa"/>
            <w:vAlign w:val="bottom"/>
          </w:tcPr>
          <w:p>
            <w:pPr>
              <w:spacing w:after="0"/>
              <w:rPr>
                <w:sz w:val="15"/>
                <w:szCs w:val="15"/>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23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(697,956 )</w:t>
            </w:r>
          </w:p>
        </w:tc>
        <w:tc>
          <w:tcPr>
            <w:tcW w:w="12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37.83</w:t>
            </w: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23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(155,358 )</w:t>
            </w:r>
          </w:p>
        </w:tc>
        <w:tc>
          <w:tcPr>
            <w:tcW w:w="12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45.33</w:t>
            </w:r>
          </w:p>
        </w:tc>
        <w:tc>
          <w:tcPr>
            <w:tcW w:w="100" w:type="dxa"/>
            <w:vAlign w:val="bottom"/>
          </w:tcPr>
          <w:p>
            <w:pPr>
              <w:spacing w:after="0"/>
              <w:rPr>
                <w:sz w:val="17"/>
                <w:szCs w:val="17"/>
                <w:color w:val="auto"/>
              </w:rPr>
            </w:pPr>
          </w:p>
        </w:tc>
      </w:tr>
      <w:tr>
        <w:trPr>
          <w:trHeight w:val="236"/>
        </w:trPr>
        <w:tc>
          <w:tcPr>
            <w:tcW w:w="6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2024</w:t>
            </w:r>
          </w:p>
        </w:tc>
        <w:tc>
          <w:tcPr>
            <w:tcW w:w="1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1,883,018</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57.35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-1671320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-1653540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-1122045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-1104900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-573405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-556895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For the year ended December 31, 2024, 778,167 shares of restricted stock units were issued, and 272,284 shares of common stock related to employee statutory income tax withholding were retired. For the year ended December 31, 2023, 484,988 shares of restricted stock units were issued, and 159,281 shares of common stock related to employee statutory income tax withholding were retired. For the year ended December 31, 2022, 458,952 shares of restricted stock units were issued, and 160,212 shares of common stock related to employee statutory income tax withholding were retired.</w:t>
      </w:r>
    </w:p>
    <w:p>
      <w:pPr>
        <w:spacing w:after="0" w:line="176"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The following table presents the number of shares of restricted stock outstanding (at target shares for awards with performance conditions) at December 31, 2024, December 31, 2023 and December 31,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620" w:type="dxa"/>
            <w:vAlign w:val="bottom"/>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6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7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60" w:type="dxa"/>
            <w:vAlign w:val="bottom"/>
          </w:tcPr>
          <w:p>
            <w:pPr>
              <w:spacing w:after="0"/>
              <w:rPr>
                <w:sz w:val="14"/>
                <w:szCs w:val="14"/>
                <w:color w:val="auto"/>
              </w:rPr>
            </w:pPr>
          </w:p>
        </w:tc>
        <w:tc>
          <w:tcPr>
            <w:tcW w:w="16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6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Restricted Stock Units (service condition)</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911,908</w:t>
            </w:r>
          </w:p>
        </w:tc>
        <w:tc>
          <w:tcPr>
            <w:tcW w:w="19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1,085,203</w:t>
            </w:r>
          </w:p>
        </w:tc>
        <w:tc>
          <w:tcPr>
            <w:tcW w:w="19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817,278</w:t>
            </w:r>
          </w:p>
        </w:tc>
        <w:tc>
          <w:tcPr>
            <w:tcW w:w="120" w:type="dxa"/>
            <w:vAlign w:val="bottom"/>
            <w:shd w:val="clear" w:color="auto" w:fill="CFF0FC"/>
          </w:tcPr>
          <w:p>
            <w:pPr>
              <w:spacing w:after="0"/>
              <w:rPr>
                <w:sz w:val="17"/>
                <w:szCs w:val="17"/>
                <w:color w:val="auto"/>
              </w:rPr>
            </w:pPr>
          </w:p>
        </w:tc>
      </w:tr>
      <w:tr>
        <w:trPr>
          <w:trHeight w:val="239"/>
        </w:trPr>
        <w:tc>
          <w:tcPr>
            <w:tcW w:w="5660" w:type="dxa"/>
            <w:vAlign w:val="bottom"/>
          </w:tcPr>
          <w:p>
            <w:pPr>
              <w:ind w:left="20"/>
              <w:spacing w:after="0"/>
              <w:rPr>
                <w:sz w:val="20"/>
                <w:szCs w:val="20"/>
                <w:color w:val="auto"/>
              </w:rPr>
            </w:pPr>
            <w:r>
              <w:rPr>
                <w:rFonts w:ascii="Arial" w:cs="Arial" w:eastAsia="Arial" w:hAnsi="Arial"/>
                <w:sz w:val="18"/>
                <w:szCs w:val="18"/>
                <w:color w:val="auto"/>
              </w:rPr>
              <w:t>Restricted Stock Units (service and performance condition)</w:t>
            </w:r>
          </w:p>
        </w:tc>
        <w:tc>
          <w:tcPr>
            <w:tcW w:w="1620" w:type="dxa"/>
            <w:vAlign w:val="bottom"/>
          </w:tcPr>
          <w:p>
            <w:pPr>
              <w:jc w:val="right"/>
              <w:spacing w:after="0"/>
              <w:rPr>
                <w:sz w:val="20"/>
                <w:szCs w:val="20"/>
                <w:color w:val="auto"/>
              </w:rPr>
            </w:pPr>
            <w:r>
              <w:rPr>
                <w:rFonts w:ascii="Arial" w:cs="Arial" w:eastAsia="Arial" w:hAnsi="Arial"/>
                <w:sz w:val="18"/>
                <w:szCs w:val="18"/>
                <w:color w:val="auto"/>
              </w:rPr>
              <w:t>971,110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1,008,133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803,877</w:t>
            </w:r>
          </w:p>
        </w:tc>
        <w:tc>
          <w:tcPr>
            <w:tcW w:w="120" w:type="dxa"/>
            <w:vAlign w:val="bottom"/>
          </w:tcPr>
          <w:p>
            <w:pPr>
              <w:spacing w:after="0"/>
              <w:rPr>
                <w:sz w:val="20"/>
                <w:szCs w:val="20"/>
                <w:color w:val="auto"/>
              </w:rPr>
            </w:pPr>
          </w:p>
        </w:tc>
      </w:tr>
    </w:tbl>
    <w:p>
      <w:pPr>
        <w:spacing w:after="0" w:line="296"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following table summarizes the changes in the carrying value of goodwill by reporting segment for the years ended December 31, 2024 and December 31, 2023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rPr>
              <w:t>Acquisitions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Exchange</w:t>
            </w:r>
          </w:p>
        </w:tc>
        <w:tc>
          <w:tcPr>
            <w:tcW w:w="14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Solutions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1,686,901</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119,663</w:t>
            </w: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1,806,564</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Critical Infrastructure</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105,764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174,585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(4,233 )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276,116</w:t>
            </w:r>
          </w:p>
        </w:tc>
        <w:tc>
          <w:tcPr>
            <w:tcW w:w="100" w:type="dxa"/>
            <w:vAlign w:val="bottom"/>
          </w:tcPr>
          <w:p>
            <w:pPr>
              <w:spacing w:after="0"/>
              <w:rPr>
                <w:sz w:val="17"/>
                <w:szCs w:val="17"/>
                <w:color w:val="auto"/>
              </w:rPr>
            </w:pPr>
          </w:p>
        </w:tc>
      </w:tr>
      <w:tr>
        <w:trPr>
          <w:trHeight w:val="236"/>
        </w:trPr>
        <w:tc>
          <w:tcPr>
            <w:tcW w:w="5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1,792,665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294,248</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(4,233</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2,082,680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22"/>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24"/>
                <w:szCs w:val="24"/>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r>
      <w:tr>
        <w:trPr>
          <w:trHeight w:val="17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rPr>
              <w:t>Acquisitions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Exchange</w:t>
            </w:r>
          </w:p>
        </w:tc>
        <w:tc>
          <w:tcPr>
            <w:tcW w:w="14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Solutions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1,591,563</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95,338</w:t>
            </w: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1,686,901</w:t>
            </w:r>
          </w:p>
        </w:tc>
        <w:tc>
          <w:tcPr>
            <w:tcW w:w="100" w:type="dxa"/>
            <w:vAlign w:val="bottom"/>
            <w:shd w:val="clear" w:color="auto" w:fill="CFF0FC"/>
          </w:tcPr>
          <w:p>
            <w:pPr>
              <w:spacing w:after="0"/>
              <w:rPr>
                <w:sz w:val="17"/>
                <w:szCs w:val="17"/>
                <w:color w:val="auto"/>
              </w:rPr>
            </w:pPr>
          </w:p>
        </w:tc>
      </w:tr>
      <w:tr>
        <w:trPr>
          <w:trHeight w:val="202"/>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Critical Infrastructure</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70,287</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34,261</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105,764</w:t>
            </w:r>
          </w:p>
        </w:tc>
        <w:tc>
          <w:tcPr>
            <w:tcW w:w="100" w:type="dxa"/>
            <w:vAlign w:val="bottom"/>
          </w:tcPr>
          <w:p>
            <w:pPr>
              <w:spacing w:after="0"/>
              <w:rPr>
                <w:sz w:val="17"/>
                <w:szCs w:val="17"/>
                <w:color w:val="auto"/>
              </w:rPr>
            </w:pPr>
          </w:p>
        </w:tc>
      </w:tr>
      <w:tr>
        <w:trPr>
          <w:trHeight w:val="236"/>
        </w:trPr>
        <w:tc>
          <w:tcPr>
            <w:tcW w:w="5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1,661,850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129,599</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1,792,665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62"/>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657"/>
              <w:spacing w:after="0"/>
              <w:rPr>
                <w:sz w:val="20"/>
                <w:szCs w:val="20"/>
                <w:color w:val="auto"/>
              </w:rPr>
            </w:pPr>
            <w:r>
              <w:rPr>
                <w:rFonts w:ascii="Arial" w:cs="Arial" w:eastAsia="Arial" w:hAnsi="Arial"/>
                <w:sz w:val="18"/>
                <w:szCs w:val="18"/>
                <w:color w:val="auto"/>
                <w:w w:val="97"/>
              </w:rPr>
              <w:t>F-34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5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-1824990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-1807845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-1824990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-1807845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-1824990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-1807845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-1071245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-1053465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-1071245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-1053465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-1071245</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-1053465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For the years ended December 31, 2024 and December 31, 2023, the Company performed a quantitative impairment analysis for all reporting units. It was determined that the fair value of all reporting units exceeded their carrying values. No goodwill impairments were identified for the three years ended December 31, 2024, December 31, 2023 and December 31, 2022.</w:t>
      </w:r>
    </w:p>
    <w:p>
      <w:pPr>
        <w:spacing w:after="0" w:line="277"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The gross amount and accumulated amortization of acquired identifiable intangible assets included in “Intangible assets, net” on the consolidated balance sheets were as follows (in thousands except for years):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gridSpan w:val="4"/>
            <w:vMerge w:val="restart"/>
          </w:tcPr>
          <w:p>
            <w:pPr>
              <w:jc w:val="right"/>
              <w:ind w:right="60"/>
              <w:spacing w:after="0"/>
              <w:rPr>
                <w:sz w:val="20"/>
                <w:szCs w:val="20"/>
                <w:color w:val="auto"/>
              </w:rPr>
            </w:pPr>
            <w:r>
              <w:rPr>
                <w:rFonts w:ascii="Arial" w:cs="Arial" w:eastAsia="Arial" w:hAnsi="Arial"/>
                <w:sz w:val="13"/>
                <w:szCs w:val="13"/>
                <w:b w:val="1"/>
                <w:bCs w:val="1"/>
                <w:color w:val="auto"/>
              </w:rPr>
              <w:t>December 31, 2024</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4"/>
            <w:vMerge w:val="restart"/>
          </w:tcPr>
          <w:p>
            <w:pPr>
              <w:jc w:val="right"/>
              <w:ind w:right="100"/>
              <w:spacing w:after="0"/>
              <w:rPr>
                <w:sz w:val="20"/>
                <w:szCs w:val="20"/>
                <w:color w:val="auto"/>
              </w:rPr>
            </w:pPr>
            <w:r>
              <w:rPr>
                <w:rFonts w:ascii="Arial" w:cs="Arial" w:eastAsia="Arial" w:hAnsi="Arial"/>
                <w:sz w:val="13"/>
                <w:szCs w:val="13"/>
                <w:b w:val="1"/>
                <w:bCs w:val="1"/>
                <w:color w:val="auto"/>
                <w:w w:val="99"/>
              </w:rPr>
              <w:t>December 31, 2023</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39"/>
        </w:trPr>
        <w:tc>
          <w:tcPr>
            <w:tcW w:w="3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11"/>
        </w:trPr>
        <w:tc>
          <w:tcPr>
            <w:tcW w:w="3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9"/>
                <w:szCs w:val="9"/>
                <w:color w:val="auto"/>
              </w:rPr>
            </w:pPr>
          </w:p>
        </w:tc>
        <w:tc>
          <w:tcPr>
            <w:tcW w:w="720" w:type="dxa"/>
            <w:vAlign w:val="bottom"/>
          </w:tcPr>
          <w:p>
            <w:pPr>
              <w:jc w:val="center"/>
              <w:ind w:right="91"/>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9"/>
                <w:szCs w:val="9"/>
                <w:color w:val="auto"/>
              </w:rPr>
            </w:pPr>
          </w:p>
        </w:tc>
        <w:tc>
          <w:tcPr>
            <w:tcW w:w="68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080" w:type="dxa"/>
            <w:vAlign w:val="bottom"/>
            <w:gridSpan w:val="2"/>
          </w:tcPr>
          <w:p>
            <w:pPr>
              <w:jc w:val="center"/>
              <w:ind w:right="140"/>
              <w:spacing w:after="0" w:line="111"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Backlog</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142,100</w:t>
            </w:r>
          </w:p>
        </w:tc>
        <w:tc>
          <w:tcPr>
            <w:tcW w:w="380" w:type="dxa"/>
            <w:vAlign w:val="bottom"/>
            <w:gridSpan w:val="2"/>
            <w:shd w:val="clear" w:color="auto" w:fill="CFF0FC"/>
          </w:tcPr>
          <w:p>
            <w:pPr>
              <w:ind w:left="22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(51,322 )</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90,778</w:t>
            </w:r>
          </w:p>
        </w:tc>
        <w:tc>
          <w:tcPr>
            <w:tcW w:w="34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130,000</w:t>
            </w:r>
          </w:p>
        </w:tc>
        <w:tc>
          <w:tcPr>
            <w:tcW w:w="400" w:type="dxa"/>
            <w:vAlign w:val="bottom"/>
            <w:gridSpan w:val="2"/>
            <w:shd w:val="clear" w:color="auto" w:fill="CFF0FC"/>
          </w:tcPr>
          <w:p>
            <w:pPr>
              <w:ind w:left="24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(45,964 )</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84,036</w:t>
            </w:r>
          </w:p>
        </w:tc>
        <w:tc>
          <w:tcPr>
            <w:tcW w:w="1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372,930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(139,568 )</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233,362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297,120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(124,194 )</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172,926</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Leases</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(106 )</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Arial" w:cs="Arial" w:eastAsia="Arial" w:hAnsi="Arial"/>
                <w:sz w:val="14"/>
                <w:szCs w:val="14"/>
                <w:color w:val="auto"/>
              </w:rPr>
              <w:t>Developed technology</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23,200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(7,458 )</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15,742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31,600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(15,823 )</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15,777</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(367 )</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(417 )</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Arial" w:cs="Arial" w:eastAsia="Arial" w:hAnsi="Arial"/>
                <w:sz w:val="14"/>
                <w:szCs w:val="14"/>
                <w:color w:val="auto"/>
              </w:rPr>
              <w:t>Non-compete agreements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(1,203 )</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7,097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(1,097 )</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process research and development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7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840" w:type="dxa"/>
            <w:vAlign w:val="bottom"/>
          </w:tcPr>
          <w:p>
            <w:pPr>
              <w:ind w:left="20"/>
              <w:spacing w:after="0"/>
              <w:rPr>
                <w:sz w:val="20"/>
                <w:szCs w:val="20"/>
                <w:color w:val="auto"/>
              </w:rPr>
            </w:pPr>
            <w:r>
              <w:rPr>
                <w:rFonts w:ascii="Arial" w:cs="Arial" w:eastAsia="Arial" w:hAnsi="Arial"/>
                <w:sz w:val="14"/>
                <w:szCs w:val="14"/>
                <w:color w:val="auto"/>
              </w:rPr>
              <w:t>Other intangibles</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(348 )</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4"/>
                <w:szCs w:val="14"/>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4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intangible assets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549,855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(199,918 )</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349,937</w:t>
            </w:r>
          </w:p>
        </w:tc>
        <w:tc>
          <w:tcPr>
            <w:tcW w:w="34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463,515</w:t>
            </w:r>
          </w:p>
        </w:tc>
        <w:tc>
          <w:tcPr>
            <w:tcW w:w="400" w:type="dxa"/>
            <w:vAlign w:val="bottom"/>
            <w:gridSpan w:val="2"/>
            <w:shd w:val="clear" w:color="auto" w:fill="CFF0FC"/>
          </w:tcPr>
          <w:p>
            <w:pPr>
              <w:ind w:left="24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(187,949 )</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275,566</w:t>
            </w: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-8255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aggregate amortization expense of intangible assets was $55.6 million, $76.6 million, and $78.2 million for the years ended December 31, 2024, December 31, 2023 and December 31, 2022, respectively.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in each of the next five years and beyond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4"/>
                <w:szCs w:val="14"/>
                <w:color w:val="auto"/>
              </w:rPr>
            </w:pPr>
          </w:p>
        </w:tc>
      </w:tr>
      <w:tr>
        <w:trPr>
          <w:trHeight w:val="196"/>
        </w:trPr>
        <w:tc>
          <w:tcPr>
            <w:tcW w:w="3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2025</w:t>
            </w:r>
          </w:p>
        </w:tc>
        <w:tc>
          <w:tcPr>
            <w:tcW w:w="606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64,871</w:t>
            </w:r>
          </w:p>
        </w:tc>
        <w:tc>
          <w:tcPr>
            <w:tcW w:w="100" w:type="dxa"/>
            <w:vAlign w:val="bottom"/>
            <w:shd w:val="clear" w:color="auto" w:fill="CFF0FC"/>
          </w:tcPr>
          <w:p>
            <w:pPr>
              <w:spacing w:after="0"/>
              <w:rPr>
                <w:sz w:val="17"/>
                <w:szCs w:val="17"/>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57,313</w:t>
            </w:r>
          </w:p>
        </w:tc>
        <w:tc>
          <w:tcPr>
            <w:tcW w:w="100" w:type="dxa"/>
            <w:vAlign w:val="bottom"/>
          </w:tcPr>
          <w:p>
            <w:pPr>
              <w:spacing w:after="0"/>
              <w:rPr>
                <w:sz w:val="17"/>
                <w:szCs w:val="17"/>
                <w:color w:val="auto"/>
              </w:rPr>
            </w:pPr>
          </w:p>
        </w:tc>
      </w:tr>
      <w:tr>
        <w:trPr>
          <w:trHeight w:val="203"/>
        </w:trPr>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5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50,759</w:t>
            </w:r>
          </w:p>
        </w:tc>
        <w:tc>
          <w:tcPr>
            <w:tcW w:w="100" w:type="dxa"/>
            <w:vAlign w:val="bottom"/>
            <w:shd w:val="clear" w:color="auto" w:fill="CFF0FC"/>
          </w:tcPr>
          <w:p>
            <w:pPr>
              <w:spacing w:after="0"/>
              <w:rPr>
                <w:sz w:val="17"/>
                <w:szCs w:val="17"/>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2028</w:t>
            </w:r>
          </w:p>
        </w:tc>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36,871</w:t>
            </w:r>
          </w:p>
        </w:tc>
        <w:tc>
          <w:tcPr>
            <w:tcW w:w="100" w:type="dxa"/>
            <w:vAlign w:val="bottom"/>
          </w:tcPr>
          <w:p>
            <w:pPr>
              <w:spacing w:after="0"/>
              <w:rPr>
                <w:sz w:val="17"/>
                <w:szCs w:val="17"/>
                <w:color w:val="auto"/>
              </w:rPr>
            </w:pPr>
          </w:p>
        </w:tc>
      </w:tr>
      <w:tr>
        <w:trPr>
          <w:trHeight w:val="203"/>
        </w:trPr>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2029</w:t>
            </w:r>
          </w:p>
        </w:tc>
        <w:tc>
          <w:tcPr>
            <w:tcW w:w="5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22,659</w:t>
            </w:r>
          </w:p>
        </w:tc>
        <w:tc>
          <w:tcPr>
            <w:tcW w:w="100" w:type="dxa"/>
            <w:vAlign w:val="bottom"/>
            <w:shd w:val="clear" w:color="auto" w:fill="CFF0FC"/>
          </w:tcPr>
          <w:p>
            <w:pPr>
              <w:spacing w:after="0"/>
              <w:rPr>
                <w:sz w:val="17"/>
                <w:szCs w:val="17"/>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5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115,639</w:t>
            </w:r>
          </w:p>
        </w:tc>
        <w:tc>
          <w:tcPr>
            <w:tcW w:w="100" w:type="dxa"/>
            <w:vAlign w:val="bottom"/>
          </w:tcPr>
          <w:p>
            <w:pPr>
              <w:spacing w:after="0"/>
              <w:rPr>
                <w:sz w:val="17"/>
                <w:szCs w:val="17"/>
                <w:color w:val="auto"/>
              </w:rPr>
            </w:pPr>
          </w:p>
        </w:tc>
      </w:tr>
      <w:tr>
        <w:trPr>
          <w:trHeight w:val="236"/>
        </w:trPr>
        <w:tc>
          <w:tcPr>
            <w:tcW w:w="31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57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348,112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62"/>
        </w:trPr>
        <w:tc>
          <w:tcPr>
            <w:tcW w:w="3140" w:type="dxa"/>
            <w:vAlign w:val="bottom"/>
          </w:tcPr>
          <w:p>
            <w:pPr>
              <w:spacing w:after="0"/>
              <w:rPr>
                <w:sz w:val="24"/>
                <w:szCs w:val="24"/>
                <w:color w:val="auto"/>
              </w:rPr>
            </w:pPr>
          </w:p>
        </w:tc>
        <w:tc>
          <w:tcPr>
            <w:tcW w:w="6060" w:type="dxa"/>
            <w:vAlign w:val="bottom"/>
            <w:gridSpan w:val="2"/>
          </w:tcPr>
          <w:p>
            <w:pPr>
              <w:jc w:val="right"/>
              <w:ind w:right="3310"/>
              <w:spacing w:after="0"/>
              <w:rPr>
                <w:sz w:val="20"/>
                <w:szCs w:val="20"/>
                <w:color w:val="auto"/>
              </w:rPr>
            </w:pPr>
            <w:r>
              <w:rPr>
                <w:rFonts w:ascii="Arial" w:cs="Arial" w:eastAsia="Arial" w:hAnsi="Arial"/>
                <w:sz w:val="18"/>
                <w:szCs w:val="18"/>
                <w:color w:val="auto"/>
              </w:rPr>
              <w:t>F-35</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314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December 31, 2024 and December 31, 2023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right"/>
              <w:ind w:right="396"/>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4"/>
                <w:szCs w:val="14"/>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2023</w:t>
            </w:r>
          </w:p>
        </w:tc>
        <w:tc>
          <w:tcPr>
            <w:tcW w:w="1640" w:type="dxa"/>
            <w:vAlign w:val="bottom"/>
          </w:tcPr>
          <w:p>
            <w:pPr>
              <w:jc w:val="right"/>
              <w:ind w:right="516"/>
              <w:spacing w:after="0"/>
              <w:rPr>
                <w:sz w:val="20"/>
                <w:szCs w:val="20"/>
                <w:color w:val="auto"/>
              </w:rPr>
            </w:pPr>
            <w:r>
              <w:rPr>
                <w:rFonts w:ascii="Arial" w:cs="Arial" w:eastAsia="Arial" w:hAnsi="Arial"/>
                <w:sz w:val="14"/>
                <w:szCs w:val="14"/>
                <w:b w:val="1"/>
                <w:bCs w:val="1"/>
                <w:color w:val="auto"/>
              </w:rPr>
              <w:t>(years)</w:t>
            </w:r>
          </w:p>
        </w:tc>
      </w:tr>
      <w:tr>
        <w:trPr>
          <w:trHeight w:val="196"/>
        </w:trPr>
        <w:tc>
          <w:tcPr>
            <w:tcW w:w="6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Buildings and leasehold improvements</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103,945</w:t>
            </w: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102,372</w:t>
            </w:r>
          </w:p>
        </w:tc>
        <w:tc>
          <w:tcPr>
            <w:tcW w:w="260" w:type="dxa"/>
            <w:vAlign w:val="bottom"/>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Furniture and equipment</w:t>
            </w: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84,720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84,244</w:t>
            </w:r>
          </w:p>
        </w:tc>
        <w:tc>
          <w:tcPr>
            <w:tcW w:w="2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Computer systems and equipment</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172,437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168,926</w:t>
            </w:r>
          </w:p>
        </w:tc>
        <w:tc>
          <w:tcPr>
            <w:tcW w:w="2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Construction equipment</w:t>
            </w: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6,463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6,173</w:t>
            </w:r>
          </w:p>
        </w:tc>
        <w:tc>
          <w:tcPr>
            <w:tcW w:w="2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60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30,342</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21,030</w:t>
            </w:r>
          </w:p>
        </w:tc>
        <w:tc>
          <w:tcPr>
            <w:tcW w:w="26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CFF0FC"/>
            </w:tcBorders>
            <w:shd w:val="clear" w:color="auto" w:fill="CFF0FC"/>
          </w:tcPr>
          <w:p>
            <w:pPr>
              <w:spacing w:after="0"/>
              <w:rPr>
                <w:sz w:val="17"/>
                <w:szCs w:val="17"/>
                <w:color w:val="auto"/>
              </w:rPr>
            </w:pPr>
          </w:p>
        </w:tc>
      </w:tr>
      <w:tr>
        <w:trPr>
          <w:trHeight w:val="196"/>
        </w:trPr>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397,907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382,745</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(286,332 )</w:t>
            </w:r>
          </w:p>
        </w:tc>
        <w:tc>
          <w:tcPr>
            <w:tcW w:w="1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(283,788 )</w:t>
            </w:r>
          </w:p>
        </w:tc>
        <w:tc>
          <w:tcPr>
            <w:tcW w:w="1640" w:type="dxa"/>
            <w:vAlign w:val="bottom"/>
            <w:shd w:val="clear" w:color="auto" w:fill="CFF0FC"/>
          </w:tcPr>
          <w:p>
            <w:pPr>
              <w:spacing w:after="0"/>
              <w:rPr>
                <w:sz w:val="17"/>
                <w:szCs w:val="17"/>
                <w:color w:val="auto"/>
              </w:rPr>
            </w:pPr>
          </w:p>
        </w:tc>
      </w:tr>
      <w:tr>
        <w:trPr>
          <w:trHeight w:val="196"/>
        </w:trPr>
        <w:tc>
          <w:tcPr>
            <w:tcW w:w="602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111,575</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98,957</w:t>
            </w:r>
          </w:p>
        </w:tc>
        <w:tc>
          <w:tcPr>
            <w:tcW w:w="260" w:type="dxa"/>
            <w:vAlign w:val="bottom"/>
            <w:tcBorders>
              <w:top w:val="single" w:sz="8" w:color="CFF0FC"/>
            </w:tcBorders>
          </w:tcPr>
          <w:p>
            <w:pPr>
              <w:spacing w:after="0"/>
              <w:rPr>
                <w:sz w:val="17"/>
                <w:szCs w:val="17"/>
                <w:color w:val="auto"/>
              </w:rPr>
            </w:pPr>
          </w:p>
        </w:tc>
        <w:tc>
          <w:tcPr>
            <w:tcW w:w="1640" w:type="dxa"/>
            <w:vAlign w:val="bottom"/>
            <w:tcBorders>
              <w:top w:val="single" w:sz="8" w:color="CFF0FC"/>
            </w:tcBorders>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-427990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-427990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-162560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-162560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740" w:firstLine="509"/>
        <w:spacing w:after="0" w:line="271" w:lineRule="auto"/>
        <w:rPr>
          <w:sz w:val="20"/>
          <w:szCs w:val="20"/>
          <w:color w:val="auto"/>
        </w:rPr>
      </w:pPr>
      <w:r>
        <w:rPr>
          <w:rFonts w:ascii="Arial" w:cs="Arial" w:eastAsia="Arial" w:hAnsi="Arial"/>
          <w:sz w:val="18"/>
          <w:szCs w:val="18"/>
          <w:color w:val="auto"/>
        </w:rPr>
        <w:t>Depreciation expense of $37.4 million, $39.1 million, and $39.0 million was recorded for the years ended December 31, 2024, December 31, 2023 and December 31, 2022, respectively.</w:t>
      </w:r>
    </w:p>
    <w:p>
      <w:pPr>
        <w:spacing w:after="0" w:line="262"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04" w:lineRule="exact"/>
        <w:rPr>
          <w:sz w:val="20"/>
          <w:szCs w:val="20"/>
          <w:color w:val="auto"/>
        </w:rPr>
      </w:pPr>
    </w:p>
    <w:p>
      <w:pPr>
        <w:ind w:right="980" w:firstLine="509"/>
        <w:spacing w:after="0" w:line="271" w:lineRule="auto"/>
        <w:rPr>
          <w:sz w:val="20"/>
          <w:szCs w:val="20"/>
          <w:color w:val="auto"/>
        </w:rPr>
      </w:pPr>
      <w:r>
        <w:rPr>
          <w:rFonts w:ascii="Arial" w:cs="Arial" w:eastAsia="Arial" w:hAnsi="Arial"/>
          <w:sz w:val="18"/>
          <w:szCs w:val="18"/>
          <w:color w:val="auto"/>
        </w:rPr>
        <w:t>Accrued expenses and other current liabilities consisted of the following at December 31, 2024 and December 31, 2023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Salaries and wages</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119,122</w:t>
            </w:r>
          </w:p>
        </w:tc>
        <w:tc>
          <w:tcPr>
            <w:tcW w:w="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102,779</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Employee benefits</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371,435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342,707</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Self-insurance liability</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17,723</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24,193</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Project cost accruals</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307,200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254,070</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accrued expenses</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78,945</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77,674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80"/>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894,425</w:t>
            </w:r>
          </w:p>
        </w:tc>
        <w:tc>
          <w:tcPr>
            <w:tcW w:w="6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801,423</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-161925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at December 31, 2024 and December 31, 2023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4"/>
                <w:szCs w:val="14"/>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2023</w:t>
            </w:r>
          </w:p>
        </w:tc>
      </w:tr>
      <w:tr>
        <w:trPr>
          <w:trHeight w:val="23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Debt:</w:t>
            </w:r>
          </w:p>
        </w:tc>
        <w:tc>
          <w:tcPr>
            <w:tcW w:w="27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160" w:type="dxa"/>
            <w:vAlign w:val="bottom"/>
          </w:tcPr>
          <w:p>
            <w:pPr>
              <w:ind w:left="140"/>
              <w:spacing w:after="0"/>
              <w:rPr>
                <w:sz w:val="20"/>
                <w:szCs w:val="20"/>
                <w:color w:val="auto"/>
              </w:rPr>
            </w:pPr>
            <w:r>
              <w:rPr>
                <w:rFonts w:ascii="Arial" w:cs="Arial" w:eastAsia="Arial" w:hAnsi="Arial"/>
                <w:sz w:val="18"/>
                <w:szCs w:val="18"/>
                <w:color w:val="auto"/>
              </w:rPr>
              <w:t>Delayed draw term loan</w:t>
            </w:r>
          </w:p>
        </w:tc>
        <w:tc>
          <w:tcPr>
            <w:tcW w:w="2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03"/>
        </w:trPr>
        <w:tc>
          <w:tcPr>
            <w:tcW w:w="41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Convertible senior notes due 2025</w:t>
            </w:r>
          </w:p>
        </w:tc>
        <w:tc>
          <w:tcPr>
            <w:tcW w:w="27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113,405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 Short-Term Debt</w:t>
            </w:r>
          </w:p>
        </w:tc>
        <w:tc>
          <w:tcPr>
            <w:tcW w:w="2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463,405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2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160" w:type="dxa"/>
            <w:vAlign w:val="bottom"/>
          </w:tcPr>
          <w:p>
            <w:pPr>
              <w:ind w:left="140"/>
              <w:spacing w:after="0"/>
              <w:rPr>
                <w:sz w:val="20"/>
                <w:szCs w:val="20"/>
                <w:color w:val="auto"/>
              </w:rPr>
            </w:pPr>
            <w:r>
              <w:rPr>
                <w:rFonts w:ascii="Arial" w:cs="Arial" w:eastAsia="Arial" w:hAnsi="Arial"/>
                <w:sz w:val="18"/>
                <w:szCs w:val="18"/>
                <w:color w:val="auto"/>
              </w:rPr>
              <w:t>Delayed draw term loan</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r>
      <w:tr>
        <w:trPr>
          <w:trHeight w:val="203"/>
        </w:trPr>
        <w:tc>
          <w:tcPr>
            <w:tcW w:w="41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Convertible senior notes due 2025</w:t>
            </w:r>
          </w:p>
        </w:tc>
        <w:tc>
          <w:tcPr>
            <w:tcW w:w="2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Convertible senior notes due 2029</w:t>
            </w: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1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Revolving credit facility</w:t>
            </w:r>
          </w:p>
        </w:tc>
        <w:tc>
          <w:tcPr>
            <w:tcW w:w="2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140"/>
              <w:spacing w:after="0" w:line="202" w:lineRule="exact"/>
              <w:rPr>
                <w:sz w:val="20"/>
                <w:szCs w:val="20"/>
                <w:color w:val="auto"/>
              </w:rPr>
            </w:pPr>
            <w:r>
              <w:rPr>
                <w:rFonts w:ascii="Arial" w:cs="Arial" w:eastAsia="Arial" w:hAnsi="Arial"/>
                <w:sz w:val="18"/>
                <w:szCs w:val="18"/>
                <w:color w:val="auto"/>
              </w:rPr>
              <w:t>Debt issuance costs</w:t>
            </w: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(15,904 )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(4,037 )</w:t>
            </w:r>
          </w:p>
        </w:tc>
      </w:tr>
      <w:tr>
        <w:trPr>
          <w:trHeight w:val="196"/>
        </w:trPr>
        <w:tc>
          <w:tcPr>
            <w:tcW w:w="4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Long-Term Debt</w:t>
            </w:r>
          </w:p>
        </w:tc>
        <w:tc>
          <w:tcPr>
            <w:tcW w:w="27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784,096</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745,963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160" w:type="dxa"/>
            <w:vAlign w:val="bottom"/>
          </w:tcPr>
          <w:p>
            <w:pPr>
              <w:ind w:left="20"/>
              <w:spacing w:after="0" w:line="196" w:lineRule="exact"/>
              <w:rPr>
                <w:sz w:val="20"/>
                <w:szCs w:val="20"/>
                <w:color w:val="auto"/>
              </w:rPr>
            </w:pPr>
            <w:r>
              <w:rPr>
                <w:rFonts w:ascii="Arial" w:cs="Arial" w:eastAsia="Arial" w:hAnsi="Arial"/>
                <w:sz w:val="18"/>
                <w:szCs w:val="18"/>
                <w:color w:val="auto"/>
              </w:rPr>
              <w:t>Total Debt</w:t>
            </w:r>
          </w:p>
        </w:tc>
        <w:tc>
          <w:tcPr>
            <w:tcW w:w="27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1,247,501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745,963</w:t>
            </w:r>
          </w:p>
        </w:tc>
        <w:tc>
          <w:tcPr>
            <w:tcW w:w="100" w:type="dxa"/>
            <w:vAlign w:val="bottom"/>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62"/>
        </w:trPr>
        <w:tc>
          <w:tcPr>
            <w:tcW w:w="4160" w:type="dxa"/>
            <w:vAlign w:val="bottom"/>
          </w:tcPr>
          <w:p>
            <w:pPr>
              <w:spacing w:after="0"/>
              <w:rPr>
                <w:sz w:val="24"/>
                <w:szCs w:val="24"/>
                <w:color w:val="auto"/>
              </w:rPr>
            </w:pPr>
          </w:p>
        </w:tc>
        <w:tc>
          <w:tcPr>
            <w:tcW w:w="2940" w:type="dxa"/>
            <w:vAlign w:val="bottom"/>
            <w:gridSpan w:val="2"/>
          </w:tcPr>
          <w:p>
            <w:pPr>
              <w:jc w:val="right"/>
              <w:ind w:right="1210"/>
              <w:spacing w:after="0"/>
              <w:rPr>
                <w:sz w:val="20"/>
                <w:szCs w:val="20"/>
                <w:color w:val="auto"/>
              </w:rPr>
            </w:pPr>
            <w:r>
              <w:rPr>
                <w:rFonts w:ascii="Arial" w:cs="Arial" w:eastAsia="Arial" w:hAnsi="Arial"/>
                <w:sz w:val="18"/>
                <w:szCs w:val="18"/>
                <w:color w:val="auto"/>
              </w:rPr>
              <w:t>F-36</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1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-2331085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-1208405</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million (the “2022 Delayed Draw Term Loan”). The 2022 Delayed Draw Term Loan may be borrowed in a single draw during the period</w:t>
      </w:r>
    </w:p>
    <w:p>
      <w:pPr>
        <w:spacing w:after="0" w:line="234" w:lineRule="auto"/>
        <w:rPr>
          <w:sz w:val="20"/>
          <w:szCs w:val="20"/>
          <w:color w:val="auto"/>
        </w:rPr>
      </w:pPr>
      <w:r>
        <w:rPr>
          <w:rFonts w:ascii="Arial" w:cs="Arial" w:eastAsia="Arial" w:hAnsi="Arial"/>
          <w:sz w:val="18"/>
          <w:szCs w:val="18"/>
          <w:color w:val="auto"/>
        </w:rPr>
        <w:t>from and including the Closing Date to the earlier to occur of (a) the date of termination of the 2022 Delayed Draw Term Loan by the</w:t>
      </w:r>
    </w:p>
    <w:p>
      <w:pPr>
        <w:spacing w:after="0" w:line="235" w:lineRule="auto"/>
        <w:rPr>
          <w:sz w:val="20"/>
          <w:szCs w:val="20"/>
          <w:color w:val="auto"/>
        </w:rPr>
      </w:pPr>
      <w:r>
        <w:rPr>
          <w:rFonts w:ascii="Arial" w:cs="Arial" w:eastAsia="Arial" w:hAnsi="Arial"/>
          <w:sz w:val="18"/>
          <w:szCs w:val="18"/>
          <w:color w:val="auto"/>
        </w:rPr>
        <w:t>Company pursuant to the terms of the 2022 Delayed Draw Term Loan Agreement and (b) six (6) months following the Closing Date.</w:t>
      </w:r>
    </w:p>
    <w:p>
      <w:pPr>
        <w:spacing w:after="0" w:line="235" w:lineRule="auto"/>
        <w:rPr>
          <w:sz w:val="20"/>
          <w:szCs w:val="20"/>
          <w:color w:val="auto"/>
        </w:rPr>
      </w:pPr>
      <w:r>
        <w:rPr>
          <w:rFonts w:ascii="Arial" w:cs="Arial" w:eastAsia="Arial" w:hAnsi="Arial"/>
          <w:sz w:val="18"/>
          <w:szCs w:val="18"/>
          <w:color w:val="auto"/>
        </w:rPr>
        <w:t>Proceeds of the 2022 Delayed Draw Term Loan Agreement may be used (a) to pay off in full, or partially payoff, the Company’s existing</w:t>
      </w:r>
    </w:p>
    <w:p>
      <w:pPr>
        <w:spacing w:after="0" w:line="235" w:lineRule="auto"/>
        <w:rPr>
          <w:sz w:val="20"/>
          <w:szCs w:val="20"/>
          <w:color w:val="auto"/>
        </w:rPr>
      </w:pPr>
      <w:r>
        <w:rPr>
          <w:rFonts w:ascii="Arial" w:cs="Arial" w:eastAsia="Arial" w:hAnsi="Arial"/>
          <w:sz w:val="18"/>
          <w:szCs w:val="18"/>
          <w:color w:val="auto"/>
        </w:rPr>
        <w:t>Senior Notes, (b) to prepay revolving loans outstanding under the Revolving Credit Agreement (as defined below), or (c) for working capital,</w:t>
      </w:r>
    </w:p>
    <w:p>
      <w:pPr>
        <w:spacing w:after="0" w:line="235" w:lineRule="auto"/>
        <w:rPr>
          <w:sz w:val="20"/>
          <w:szCs w:val="20"/>
          <w:color w:val="auto"/>
        </w:rPr>
      </w:pPr>
      <w:r>
        <w:rPr>
          <w:rFonts w:ascii="Arial" w:cs="Arial" w:eastAsia="Arial" w:hAnsi="Arial"/>
          <w:sz w:val="18"/>
          <w:szCs w:val="18"/>
          <w:color w:val="auto"/>
        </w:rPr>
        <w:t>capital expenditures and other lawful corporate purposes. The Company drew $350.0 million from the 2022 Delayed Draw Term Loan in</w:t>
      </w:r>
    </w:p>
    <w:p>
      <w:pPr>
        <w:spacing w:after="0" w:line="234" w:lineRule="auto"/>
        <w:rPr>
          <w:sz w:val="20"/>
          <w:szCs w:val="20"/>
          <w:color w:val="auto"/>
        </w:rPr>
      </w:pPr>
      <w:r>
        <w:rPr>
          <w:rFonts w:ascii="Arial" w:cs="Arial" w:eastAsia="Arial" w:hAnsi="Arial"/>
          <w:sz w:val="18"/>
          <w:szCs w:val="18"/>
          <w:color w:val="auto"/>
        </w:rPr>
        <w:t>November 2022. The Company incurred $0.9 million of debt issuance costs in connection with the delayed draw term loan as of December</w:t>
      </w:r>
    </w:p>
    <w:p>
      <w:pPr>
        <w:spacing w:after="0" w:line="235" w:lineRule="auto"/>
        <w:rPr>
          <w:sz w:val="20"/>
          <w:szCs w:val="20"/>
          <w:color w:val="auto"/>
        </w:rPr>
      </w:pPr>
      <w:r>
        <w:rPr>
          <w:rFonts w:ascii="Arial" w:cs="Arial" w:eastAsia="Arial" w:hAnsi="Arial"/>
          <w:sz w:val="18"/>
          <w:szCs w:val="18"/>
          <w:color w:val="auto"/>
        </w:rPr>
        <w:t>31, 2022. These costs are presented as a direct deduction from the debt on the face of the balance sheet. Interest expense related to the</w:t>
      </w:r>
    </w:p>
    <w:p>
      <w:pPr>
        <w:spacing w:after="0" w:line="235" w:lineRule="auto"/>
        <w:rPr>
          <w:sz w:val="20"/>
          <w:szCs w:val="20"/>
          <w:color w:val="auto"/>
        </w:rPr>
      </w:pPr>
      <w:r>
        <w:rPr>
          <w:rFonts w:ascii="Arial" w:cs="Arial" w:eastAsia="Arial" w:hAnsi="Arial"/>
          <w:sz w:val="18"/>
          <w:szCs w:val="18"/>
          <w:color w:val="auto"/>
        </w:rPr>
        <w:t>Delayed Draw Term Loan was $23.1million, $22.4 million and $3.3 million for the years ended December 31, 2024, December 31, 2023 and</w:t>
      </w:r>
    </w:p>
    <w:p>
      <w:pPr>
        <w:spacing w:after="0" w:line="235" w:lineRule="auto"/>
        <w:rPr>
          <w:sz w:val="20"/>
          <w:szCs w:val="20"/>
          <w:color w:val="auto"/>
        </w:rPr>
      </w:pPr>
      <w:r>
        <w:rPr>
          <w:rFonts w:ascii="Arial" w:cs="Arial" w:eastAsia="Arial" w:hAnsi="Arial"/>
          <w:sz w:val="18"/>
          <w:szCs w:val="18"/>
          <w:color w:val="auto"/>
        </w:rPr>
        <w:t>December 31, 2022 respectively. The amortization of debt issuance costs and interest expense is recorded in “Interest expense” on the</w:t>
      </w:r>
    </w:p>
    <w:p>
      <w:pPr>
        <w:spacing w:after="0" w:line="235" w:lineRule="auto"/>
        <w:rPr>
          <w:sz w:val="20"/>
          <w:szCs w:val="20"/>
          <w:color w:val="auto"/>
        </w:rPr>
      </w:pPr>
      <w:r>
        <w:rPr>
          <w:rFonts w:ascii="Arial" w:cs="Arial" w:eastAsia="Arial" w:hAnsi="Arial"/>
          <w:sz w:val="18"/>
          <w:szCs w:val="18"/>
          <w:color w:val="auto"/>
        </w:rPr>
        <w:t>consolidated statements of income. As of December 31, 2024 and December 31, 2023, there was $350.0 million outstanding under the</w:t>
      </w:r>
    </w:p>
    <w:p>
      <w:pPr>
        <w:spacing w:after="0"/>
        <w:rPr>
          <w:sz w:val="20"/>
          <w:szCs w:val="20"/>
          <w:color w:val="auto"/>
        </w:rPr>
      </w:pPr>
      <w:r>
        <w:rPr>
          <w:rFonts w:ascii="Arial" w:cs="Arial" w:eastAsia="Arial" w:hAnsi="Arial"/>
          <w:sz w:val="18"/>
          <w:szCs w:val="18"/>
          <w:color w:val="auto"/>
        </w:rPr>
        <w:t>Delayed Draw Term Loan.</w:t>
      </w:r>
    </w:p>
    <w:p>
      <w:pPr>
        <w:spacing w:after="0" w:line="19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 The interest rates on December 31, 2024 and December 31, 2023 were 5.6% and 6.6%, respectively.</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2025</w:t>
      </w:r>
    </w:p>
    <w:p>
      <w:pPr>
        <w:spacing w:after="0" w:line="10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6"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1" w:name="page132"/>
    <w:bookmarkEnd w:id="131"/>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46" w:lineRule="exact"/>
        <w:rPr>
          <w:sz w:val="20"/>
          <w:szCs w:val="20"/>
          <w:color w:val="auto"/>
        </w:rPr>
      </w:pPr>
    </w:p>
    <w:p>
      <w:pPr>
        <w:ind w:left="1020" w:hanging="503"/>
        <w:spacing w:after="0" w:line="246" w:lineRule="auto"/>
        <w:tabs>
          <w:tab w:leader="none" w:pos="102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2020,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8"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60" w:firstLine="509"/>
        <w:spacing w:after="0" w:line="231"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8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The Company recognized interest expense of $3.9 million, $3.1 million and $3.0 million for the years ended December 31, 2024. December 31, 2023 and December 31, 2022, respectively. As of December 31, 2024 and December 31, 2023 the net carrying value of the Convertible Senior Notes due 2025 were $113.4 million and $396.5 million, respectively.</w:t>
      </w:r>
    </w:p>
    <w:p>
      <w:pPr>
        <w:spacing w:after="0" w:line="169"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See the discussion of the partial repurchase of Convertible Senior Notes due 2025 and the unwind of the related note hedge and warrants below.</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Note Hedge and Warrant - Convertible Senior Notes due 2025</w:t>
      </w:r>
    </w:p>
    <w:p>
      <w:pPr>
        <w:spacing w:after="0" w:line="210"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2" w:name="page133"/>
    <w:bookmarkEnd w:id="132"/>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aggregate number of shares that the Company could be obligated to issue upon conversion of the Convertible Senior Notes is approximately 8.9 million shares. The cost of the convertible note hedge transactions was $55.0 million.</w:t>
      </w:r>
    </w:p>
    <w:p>
      <w:pPr>
        <w:spacing w:after="0" w:line="154" w:lineRule="exact"/>
        <w:rPr>
          <w:sz w:val="20"/>
          <w:szCs w:val="20"/>
          <w:color w:val="auto"/>
        </w:rPr>
      </w:pPr>
    </w:p>
    <w:p>
      <w:pPr>
        <w:jc w:val="both"/>
        <w:ind w:right="32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8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2029</w:t>
      </w:r>
    </w:p>
    <w:p>
      <w:pPr>
        <w:spacing w:after="0" w:line="210"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In February 2024, the Company issued an aggregate $800.0 million of 2.625% Convertible Senior Notes due 2029 (the “2029 Convertible Notes”), including the exercise of a $100.0 million initial purchasers’ option in full. The Company received proceeds from the issuance and sale of the 2029 Convertible Notes of $781.1 million, net of $18.9 million of transaction fees and other third-party offering expenses. The 2029 Convertible Notes accrue interest at a rate of 2.625% per annum, payable semi-annually on March 1 and September 1 of each year beginning on September 1, 2024, and will mature on March 1, 2029, unless earlier repurchased, redeemed or converted.</w:t>
      </w:r>
    </w:p>
    <w:p>
      <w:pPr>
        <w:spacing w:after="0" w:line="176"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delayed draw term loan credit facility,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Each $1,000 of principal of the 2029 Convertible Notes will initially be convertible into 10.6256 shares of our common stock, which is equivalent to an initial conversion price of approximately $94.11 per share, subject to adjustment upon the occurrence of specified events. On or after October 1, 2028 until the close of business on the second scheduled trading day immediately preceding the maturity date of the 2029 Convertible Notes, holders may convert all or a portion of their 2029 Convertible Notes, regardless of the conditions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700" w:firstLine="509"/>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October 1, 2028, the 2029 Convertible Notes will be convertible at the option of the holders thereof only under the following circumstances:</w:t>
      </w:r>
    </w:p>
    <w:p>
      <w:pPr>
        <w:spacing w:after="0" w:line="154" w:lineRule="exact"/>
        <w:rPr>
          <w:sz w:val="20"/>
          <w:szCs w:val="20"/>
          <w:color w:val="auto"/>
        </w:rPr>
      </w:pPr>
    </w:p>
    <w:p>
      <w:pPr>
        <w:jc w:val="both"/>
        <w:ind w:left="1400" w:right="20" w:hanging="374"/>
        <w:spacing w:after="0" w:line="246" w:lineRule="auto"/>
        <w:tabs>
          <w:tab w:leader="none" w:pos="14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June 30, 2024,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120" w:hanging="374"/>
        <w:spacing w:after="0" w:line="246" w:lineRule="auto"/>
        <w:tabs>
          <w:tab w:leader="none" w:pos="14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ten consecutive trading day period in which, for each trading day of that period, the trading price per $1,000 principal amount of 2029 Convertible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2029 Convertible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 conversion of that 2029 Convertible Notes will be increased in certain circumstances if it is converted after it is called for redemption.</w:t>
      </w:r>
    </w:p>
    <w:p>
      <w:pPr>
        <w:spacing w:after="0" w:line="18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spacing w:after="0" w:line="174"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 due upon conversion based on a daily conversion value calculated on a proportionate basis for each trading day in a 50-trading day observation period.</w:t>
      </w:r>
    </w:p>
    <w:p>
      <w:pPr>
        <w:spacing w:after="0" w:line="174"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Company recognized interest expense with respect to the 2029 Convertible Notes of $21.3 million for the year ended December 31, 2024. As of December 31, 2024, the net carrying value of the 2029 Convertible Notes due 2029 was $784.3 million.</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Capped Call Transactions - Convertible Senior Notes due 2029</w:t>
      </w:r>
    </w:p>
    <w:p>
      <w:pPr>
        <w:spacing w:after="0" w:line="210"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4" w:name="page135"/>
    <w:bookmarkEnd w:id="13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600"/>
        <w:spacing w:after="0" w:line="247" w:lineRule="auto"/>
        <w:rPr>
          <w:sz w:val="20"/>
          <w:szCs w:val="20"/>
          <w:color w:val="auto"/>
        </w:rPr>
      </w:pPr>
      <w:r>
        <w:rPr>
          <w:rFonts w:ascii="Arial" w:cs="Arial" w:eastAsia="Arial" w:hAnsi="Arial"/>
          <w:sz w:val="18"/>
          <w:szCs w:val="18"/>
          <w:color w:val="auto"/>
        </w:rPr>
        <w:t>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spacing w:after="0" w:line="174"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The cap price of the Capped Call Transactions is initially $131.7575 per share, which represents a premium of 75% over the last reported sale price of the Company’s common stock of $75.29 per share on the New York Stock Exchange on February 21, 2024, and is subject to certain adjustments under the terms of the Capped Call Transactions. The cost of $88.4 million for the Capped Call Transactions was recorded as a reduction to additional paid-in capital in the consolidated balance sheets.</w:t>
      </w:r>
    </w:p>
    <w:p>
      <w:pPr>
        <w:spacing w:after="0" w:line="174"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At issuance, the Company recorded a deferred tax asset of $22.3 million related to the Capped Call Transactions costs through additional paid-in capital. The deferred tax asset was included in Deferred tax assets in the consolidated balance sheets.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due 2025 Partial Repurchase and Note Hedge and Warrants Partial Unwind</w:t>
      </w:r>
    </w:p>
    <w:p>
      <w:pPr>
        <w:spacing w:after="0" w:line="21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connection with the issuance of the Convertible Senior Notes due 2029, during the first quarter of 2024, we used $391.8 million of the net proceeds to purchase approximately $228.1 million aggregate principal amount of our Convertible Senior Notes due 2025 concurrently with the offering in separate and individually negotiated transactions. In addition, we used $103.8 million to settle the repurchase of approximately $56.5 million aggregate principal amount of our Convertible Senior Notes due 2025 in a separately negotiated transaction that settled in March 2024. We also received approximately $90.6 million in cash from the note hedge counterparties for the partial termination of the existing bond hedge relating to the Convertible Senior Notes due 2025 repurchased, net of our obligations to the counterparties in connection with the partial termination of the related warrant transactions. The tax effect of $46.2 million from the partial unwind of the existing bond hedge was recognized as a reduction in additional paid-in capital in the consolidated balance sheets. The income tax payable was included in Income taxes payable in the consolidated balance sheets.</w:t>
      </w:r>
    </w:p>
    <w:p>
      <w:pPr>
        <w:spacing w:after="0" w:line="189" w:lineRule="exact"/>
        <w:rPr>
          <w:sz w:val="20"/>
          <w:szCs w:val="20"/>
          <w:color w:val="auto"/>
        </w:rPr>
      </w:pPr>
    </w:p>
    <w:p>
      <w:pPr>
        <w:ind w:right="260" w:firstLine="509"/>
        <w:spacing w:after="0" w:line="228" w:lineRule="auto"/>
        <w:rPr>
          <w:sz w:val="20"/>
          <w:szCs w:val="20"/>
          <w:color w:val="auto"/>
        </w:rPr>
      </w:pPr>
      <w:r>
        <w:rPr>
          <w:rFonts w:ascii="Arial" w:cs="Arial" w:eastAsia="Arial" w:hAnsi="Arial"/>
          <w:sz w:val="18"/>
          <w:szCs w:val="18"/>
          <w:color w:val="auto"/>
        </w:rPr>
        <w:t>The partial repurchase, during the year ended December 31, 2024, resulted in a $18.4 million repurchase loss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a $3.2 million charge to interest expense for the acceleration of the amortization of debt issuance costs associated with the 0.25% Convertible Senior Notes due 2025. The tax effect of the repurchase loss, excluding the interest expense, was recognized as a discrete event during the year with a tax benefit of $4.3 million recognized in the income statement.</w:t>
      </w:r>
    </w:p>
    <w:p>
      <w:pPr>
        <w:spacing w:after="0" w:line="187" w:lineRule="exact"/>
        <w:rPr>
          <w:sz w:val="20"/>
          <w:szCs w:val="20"/>
          <w:color w:val="auto"/>
        </w:rPr>
      </w:pPr>
    </w:p>
    <w:p>
      <w:pPr>
        <w:ind w:left="460" w:right="260"/>
        <w:spacing w:after="0" w:line="23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During the first quarter of 2024, prior to the early adoption of ASU 2024-04, the Company recorded a $211.0 million loss on debt extinguishment associated with the 0.25% Convertible Senior Notes due 2025. The tax effect of the debt extinguishment, excluding the interest expense, was recognized as a discrete event to the quarter giving rise to an increase in the effective tax rate and tax benefit of $49.9 million recognized in the income statement. Please see "Note 2—Summary of Significant Accounting Policies—New Accounting Pronouncements" for a discussion of the Company's adoption of ASU 2024-04. The extinguishment charge and related income tax impacts were reversed from the Company's consolidated financial statements and recorded as a convertible debt repurchase loss as described above.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10"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 in U.S. dollars, certain specified foreign currencies,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5" w:name="page136"/>
    <w:bookmarkEnd w:id="13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each other currency that may be approved in accordance with the 2021 Facility. The borrowings under the Credit Agreement bear interest at either a eurocurrency rate plus a margin between 1.0% and 1.625% or a base rate (as defined in the Credit Agreement) plus a margin of between 0% and 0.625%. The rates on December 31, 2024 and December 31, 2023 were 5.7% and 6.7%, respectively. Borrowings under this Credit Agreement are guaranteed by certain Company operating subsidiaries. Letters of credit commitments outstanding under this agreement aggregated approximately $43.0 million and $43.8 million at December 31, 2024 and December 31, 2023, respectively, which reduced borrowing limits available to the Company. Interest expense related to the Credit Agreement was $0.7 million, $3.9 million and $4.3 million, for the years ended December 31, 2024, December 31, 2023 and December 31, 2022, respectively. There were no loan amounts outstanding under the Credit Agreement at December 31, 2024 and December 31, 2023.</w:t>
      </w:r>
    </w:p>
    <w:p>
      <w:pPr>
        <w:spacing w:after="0" w:line="180"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December 31, 2024 and December 31, 2023.</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Letters of Credit</w:t>
      </w:r>
    </w:p>
    <w:p>
      <w:pPr>
        <w:spacing w:after="0" w:line="104"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$328.4 million and $320.7 million at December 31, 2024 and December 31, 2023, respectively.</w:t>
      </w:r>
    </w:p>
    <w:p>
      <w:pPr>
        <w:spacing w:after="0" w:line="277"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long-term liabilities consisted of the following at December 31, 2024 and December 31, 2023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Self-insurance liability</w:t>
            </w:r>
          </w:p>
        </w:tc>
        <w:tc>
          <w:tcPr>
            <w:tcW w:w="980" w:type="dxa"/>
            <w:vAlign w:val="bottom"/>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58,878</w:t>
            </w:r>
          </w:p>
        </w:tc>
        <w:tc>
          <w:tcPr>
            <w:tcW w:w="660" w:type="dxa"/>
            <w:vAlign w:val="bottom"/>
            <w:gridSpan w:val="2"/>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81,795</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Reserve for uncertain tax positions</w:t>
            </w:r>
          </w:p>
        </w:tc>
        <w:tc>
          <w:tcPr>
            <w:tcW w:w="9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22,985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22,815</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obligations</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6,441</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5,129</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8,182</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10,556</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other long-term liabilities</w:t>
            </w:r>
          </w:p>
        </w:tc>
        <w:tc>
          <w:tcPr>
            <w:tcW w:w="980" w:type="dxa"/>
            <w:vAlign w:val="bottom"/>
            <w:tcBorders>
              <w:bottom w:val="single" w:sz="8" w:color="auto"/>
            </w:tcBorders>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96,486</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120,295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Refer to “Note 13—</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of the Company’s reconciliation of the beginning and ending balances of uncertain tax positions.</w:t>
      </w:r>
    </w:p>
    <w:p>
      <w:pPr>
        <w:spacing w:after="0" w:line="262"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our income from operations before income taxes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96"/>
        </w:trPr>
        <w:tc>
          <w:tcPr>
            <w:tcW w:w="3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 earnings</w:t>
            </w:r>
          </w:p>
        </w:tc>
        <w:tc>
          <w:tcPr>
            <w:tcW w:w="328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256,210</w:t>
            </w:r>
          </w:p>
        </w:tc>
        <w:tc>
          <w:tcPr>
            <w:tcW w:w="58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179,522</w:t>
            </w:r>
          </w:p>
        </w:tc>
        <w:tc>
          <w:tcPr>
            <w:tcW w:w="56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77,110</w:t>
            </w:r>
          </w:p>
        </w:tc>
        <w:tc>
          <w:tcPr>
            <w:tcW w:w="100" w:type="dxa"/>
            <w:vAlign w:val="bottom"/>
            <w:shd w:val="clear" w:color="auto" w:fill="CFF0FC"/>
          </w:tcPr>
          <w:p>
            <w:pPr>
              <w:spacing w:after="0"/>
              <w:rPr>
                <w:sz w:val="17"/>
                <w:szCs w:val="17"/>
                <w:color w:val="auto"/>
              </w:rPr>
            </w:pP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Foreign earnings</w:t>
            </w:r>
          </w:p>
        </w:tc>
        <w:tc>
          <w:tcPr>
            <w:tcW w:w="2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111,441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84,531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89,112</w:t>
            </w:r>
          </w:p>
        </w:tc>
        <w:tc>
          <w:tcPr>
            <w:tcW w:w="100" w:type="dxa"/>
            <w:vAlign w:val="bottom"/>
          </w:tcPr>
          <w:p>
            <w:pPr>
              <w:spacing w:after="0"/>
              <w:rPr>
                <w:sz w:val="17"/>
                <w:szCs w:val="17"/>
                <w:color w:val="auto"/>
              </w:rPr>
            </w:pPr>
          </w:p>
        </w:tc>
      </w:tr>
      <w:tr>
        <w:trPr>
          <w:trHeight w:val="236"/>
        </w:trPr>
        <w:tc>
          <w:tcPr>
            <w:tcW w:w="3640" w:type="dxa"/>
            <w:vAlign w:val="bottom"/>
            <w:tcBorders>
              <w:bottom w:val="single" w:sz="8" w:color="CFF0FC"/>
            </w:tcBorders>
            <w:shd w:val="clear" w:color="auto" w:fill="CFF0FC"/>
          </w:tcPr>
          <w:p>
            <w:pPr>
              <w:spacing w:after="0"/>
              <w:rPr>
                <w:sz w:val="20"/>
                <w:szCs w:val="20"/>
                <w:color w:val="auto"/>
              </w:rPr>
            </w:pPr>
          </w:p>
        </w:tc>
        <w:tc>
          <w:tcPr>
            <w:tcW w:w="29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367,651</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264,053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166,222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62"/>
        </w:trPr>
        <w:tc>
          <w:tcPr>
            <w:tcW w:w="3640" w:type="dxa"/>
            <w:vAlign w:val="bottom"/>
          </w:tcPr>
          <w:p>
            <w:pPr>
              <w:spacing w:after="0"/>
              <w:rPr>
                <w:sz w:val="24"/>
                <w:szCs w:val="24"/>
                <w:color w:val="auto"/>
              </w:rPr>
            </w:pPr>
          </w:p>
        </w:tc>
        <w:tc>
          <w:tcPr>
            <w:tcW w:w="3280" w:type="dxa"/>
            <w:vAlign w:val="bottom"/>
            <w:gridSpan w:val="2"/>
          </w:tcPr>
          <w:p>
            <w:pPr>
              <w:jc w:val="right"/>
              <w:ind w:right="1030"/>
              <w:spacing w:after="0"/>
              <w:rPr>
                <w:sz w:val="20"/>
                <w:szCs w:val="20"/>
                <w:color w:val="auto"/>
              </w:rPr>
            </w:pPr>
            <w:r>
              <w:rPr>
                <w:rFonts w:ascii="Arial" w:cs="Arial" w:eastAsia="Arial" w:hAnsi="Arial"/>
                <w:sz w:val="18"/>
                <w:szCs w:val="18"/>
                <w:color w:val="auto"/>
              </w:rPr>
              <w:t>F-42</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36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-1070610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-1053465</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-1070610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-1053465</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6" w:name="page137"/>
    <w:bookmarkEnd w:id="13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income tax expense (benefit) attributable to income from operations for the years ended December 31, 2024, December 31, 2023, and December 31, 2022 consists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37,713</w:t>
            </w:r>
          </w:p>
        </w:tc>
        <w:tc>
          <w:tcPr>
            <w:tcW w:w="5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37,699</w:t>
            </w:r>
          </w:p>
        </w:tc>
        <w:tc>
          <w:tcPr>
            <w:tcW w:w="2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21,323</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State</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13,441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13,340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9,946</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19,731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14,013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9,232</w:t>
            </w:r>
          </w:p>
        </w:tc>
        <w:tc>
          <w:tcPr>
            <w:tcW w:w="100" w:type="dxa"/>
            <w:vAlign w:val="bottom"/>
          </w:tcPr>
          <w:p>
            <w:pPr>
              <w:spacing w:after="0"/>
              <w:rPr>
                <w:sz w:val="17"/>
                <w:szCs w:val="17"/>
                <w:color w:val="auto"/>
              </w:rPr>
            </w:pPr>
          </w:p>
        </w:tc>
      </w:tr>
      <w:tr>
        <w:trPr>
          <w:trHeight w:val="196"/>
        </w:trPr>
        <w:tc>
          <w:tcPr>
            <w:tcW w:w="66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current income tax expense</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70,885</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65,052</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40,501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Deferred</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(5,974 )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(2,902 )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State</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3,941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(590 )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(623 )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(2,350 )</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2,681</w:t>
            </w:r>
          </w:p>
        </w:tc>
        <w:tc>
          <w:tcPr>
            <w:tcW w:w="100" w:type="dxa"/>
            <w:vAlign w:val="bottom"/>
            <w:shd w:val="clear" w:color="auto" w:fill="CFF0FC"/>
          </w:tcPr>
          <w:p>
            <w:pPr>
              <w:spacing w:after="0"/>
              <w:rPr>
                <w:sz w:val="17"/>
                <w:szCs w:val="17"/>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00" w:type="dxa"/>
            <w:vAlign w:val="bottom"/>
          </w:tcPr>
          <w:p>
            <w:pPr>
              <w:ind w:left="280"/>
              <w:spacing w:after="0" w:line="196" w:lineRule="exact"/>
              <w:rPr>
                <w:sz w:val="20"/>
                <w:szCs w:val="20"/>
                <w:color w:val="auto"/>
              </w:rPr>
            </w:pPr>
            <w:r>
              <w:rPr>
                <w:rFonts w:ascii="Arial" w:cs="Arial" w:eastAsia="Arial" w:hAnsi="Arial"/>
                <w:sz w:val="18"/>
                <w:szCs w:val="18"/>
                <w:color w:val="auto"/>
              </w:rPr>
              <w:t>Total deferred tax benefit</w:t>
            </w: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6,101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(8,914 )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(844 )</w:t>
            </w:r>
          </w:p>
        </w:tc>
      </w:tr>
      <w:tr>
        <w:trPr>
          <w:trHeight w:val="236"/>
        </w:trPr>
        <w:tc>
          <w:tcPr>
            <w:tcW w:w="66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income tax expense</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76,986</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56,138</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39,657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-822325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-822325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-299720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-299720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Income tax expense (benefit) was different from the amount computed by applying the United States federal statutory rate to pre-tax income from continuing operations as a result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4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367,651</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264,053</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166,222</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Tax at federal statutory tax rate</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77,207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21.0 %</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55,451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21.0 %</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34,907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21.0 %</w:t>
            </w: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State taxes, net of federal tax benefit</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11,852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3.2 %</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9,807</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3.7 %</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7,530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4.5 %</w:t>
            </w:r>
          </w:p>
        </w:tc>
      </w:tr>
      <w:tr>
        <w:trPr>
          <w:trHeight w:val="202"/>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3.0 %</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5,773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2.2 %</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1,363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0.8 %</w:t>
            </w: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uncertain tax positions</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1.0 %</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1.3 %</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1,688</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1.0 %</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Foreign tax rate differential</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(6,078 )</w:t>
            </w:r>
          </w:p>
        </w:tc>
        <w:tc>
          <w:tcPr>
            <w:tcW w:w="3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-1.7 %</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(6,258 )</w:t>
            </w:r>
          </w:p>
        </w:tc>
        <w:tc>
          <w:tcPr>
            <w:tcW w:w="3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-2.4 %</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(1,787 )</w:t>
            </w:r>
          </w:p>
        </w:tc>
        <w:tc>
          <w:tcPr>
            <w:tcW w:w="30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-1.1 %</w:t>
            </w: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cost of foreign operations, net of credits</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0.5 %</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1.2 %</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777</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0.5 %</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(14,794 )</w:t>
            </w:r>
          </w:p>
        </w:tc>
        <w:tc>
          <w:tcPr>
            <w:tcW w:w="3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-4.0 %</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(4,736 )</w:t>
            </w:r>
          </w:p>
        </w:tc>
        <w:tc>
          <w:tcPr>
            <w:tcW w:w="3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-1.8 %</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(76 )</w:t>
            </w:r>
          </w:p>
        </w:tc>
        <w:tc>
          <w:tcPr>
            <w:tcW w:w="30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0.0 %</w:t>
            </w: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(11,679 )</w:t>
            </w: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-3.2 %</w:t>
            </w:r>
          </w:p>
        </w:tc>
        <w:tc>
          <w:tcPr>
            <w:tcW w:w="1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(9,821 )</w:t>
            </w: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-3.7 %</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(6,279 )</w:t>
            </w:r>
          </w:p>
        </w:tc>
        <w:tc>
          <w:tcPr>
            <w:tcW w:w="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-3.8 %</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Federal business credits</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(2,932 )</w:t>
            </w:r>
          </w:p>
        </w:tc>
        <w:tc>
          <w:tcPr>
            <w:tcW w:w="3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-0.8 %</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(2,731 )</w:t>
            </w:r>
          </w:p>
        </w:tc>
        <w:tc>
          <w:tcPr>
            <w:tcW w:w="3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-1.0 %</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(1,926 )</w:t>
            </w:r>
          </w:p>
        </w:tc>
        <w:tc>
          <w:tcPr>
            <w:tcW w:w="30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-1.2 %</w:t>
            </w: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Executive compensation</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7,351</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2.0 %</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1,636</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0.6 %</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1,921</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1.2 %</w:t>
            </w: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Equity compensation</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(7,170 )</w:t>
            </w:r>
          </w:p>
        </w:tc>
        <w:tc>
          <w:tcPr>
            <w:tcW w:w="3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-2.0 %</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(158 )</w:t>
            </w:r>
          </w:p>
        </w:tc>
        <w:tc>
          <w:tcPr>
            <w:tcW w:w="3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-0.1 %</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0.0 %</w:t>
            </w:r>
          </w:p>
        </w:tc>
      </w:tr>
      <w:tr>
        <w:trPr>
          <w:trHeight w:val="203"/>
        </w:trPr>
        <w:tc>
          <w:tcPr>
            <w:tcW w:w="4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net</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6,692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1.8 %</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0.2 %</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1,529</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0.9 %</w:t>
            </w:r>
          </w:p>
        </w:tc>
      </w:tr>
      <w:tr>
        <w:trPr>
          <w:trHeight w:val="20"/>
        </w:trPr>
        <w:tc>
          <w:tcPr>
            <w:tcW w:w="45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4500" w:type="dxa"/>
            <w:vAlign w:val="bottom"/>
          </w:tcPr>
          <w:p>
            <w:pPr>
              <w:ind w:left="280"/>
              <w:spacing w:after="0" w:line="196" w:lineRule="exact"/>
              <w:rPr>
                <w:sz w:val="20"/>
                <w:szCs w:val="20"/>
                <w:color w:val="auto"/>
              </w:rPr>
            </w:pPr>
            <w:r>
              <w:rPr>
                <w:rFonts w:ascii="Arial" w:cs="Arial" w:eastAsia="Arial" w:hAnsi="Arial"/>
                <w:sz w:val="18"/>
                <w:szCs w:val="18"/>
                <w:color w:val="auto"/>
              </w:rPr>
              <w:t>Total income tax expense</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76,986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20.9 %  $</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56,138</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21.3 %  $</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39,657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23.9 %</w:t>
            </w:r>
          </w:p>
        </w:tc>
      </w:tr>
      <w:tr>
        <w:trPr>
          <w:trHeight w:val="20"/>
        </w:trPr>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-162560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-162560</wp:posOffset>
            </wp:positionV>
            <wp:extent cx="12001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-162560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-162560</wp:posOffset>
            </wp:positionV>
            <wp:extent cx="1200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-162560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-162560</wp:posOffset>
            </wp:positionV>
            <wp:extent cx="12001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1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effective tax rate in 2024 decreased to 20.9% from 21.3% in 2023. The change in the effective tax rate was due primarily to tax benefits related to increases in the foreign-derived intangible income (FDII) deduction and increased equity-based compensation deductions, partially offset by an increase in valuation allowance on NOLs and non-deductible executive compensation subject to Section 162(m).</w:t>
      </w:r>
    </w:p>
    <w:p>
      <w:pPr>
        <w:spacing w:after="0" w:line="1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effective tax rate in 2023 decreased to 21.3% from 23.9% in 2022. The change in the effective tax rate was due primarily to tax benefits related to increases in the foreign-derived intangible income (FDII) deduction and a change in jurisdictional mix of earnings, partially offset by an increase in valuation allowance on foreign tax credits originating from foreign withholding taxes.</w:t>
      </w:r>
    </w:p>
    <w:p>
      <w:pPr>
        <w:spacing w:after="0" w:line="169"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The effective tax rate for the year ended December 31, 2024 differs from the federal statutory tax rate of 21% primarily due to state income taxes, valuation allowance and executive compensation subject to Section 162(m), offset by benefits related to untaxed income attributable to noncontrolling interests, earnings in lower tax jurisdictions, the FDII deduction, and equity-based compensation deductions.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320" w:firstLine="509"/>
        <w:spacing w:after="0" w:line="275" w:lineRule="auto"/>
        <w:rPr>
          <w:sz w:val="20"/>
          <w:szCs w:val="20"/>
          <w:color w:val="auto"/>
        </w:rPr>
      </w:pPr>
      <w:r>
        <w:rPr>
          <w:rFonts w:ascii="Arial" w:cs="Arial" w:eastAsia="Arial" w:hAnsi="Arial"/>
          <w:sz w:val="17"/>
          <w:szCs w:val="17"/>
          <w:color w:val="auto"/>
        </w:rPr>
        <w:t>The effective tax rate for the year ended December 31, 2023 differs from the federal statutory tax rate primarily due to state income taxes, valuation allowance on foreign tax credit carryovers originating from foreign taxes, partially offset by benefits related to untaxed income attributable to noncontrolling interests, earnings in lower tax jurisdictions, the FDII deduction, and federal business tax credits.</w:t>
      </w:r>
    </w:p>
    <w:p>
      <w:pPr>
        <w:spacing w:after="0" w:line="152"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effective tax rate for the year ended December 31, 2022 differs from the federal statutory tax rate primarily due to state income taxes and a recorded valuation allowance on foreign tax credit carryovers, partially offset by benefits related to income attributable to noncontrolling interests, earnings in lower tax jurisdictions and federal business tax credits.</w:t>
      </w:r>
    </w:p>
    <w:p>
      <w:pPr>
        <w:spacing w:after="0" w:line="169"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components of deferred tax assets and liabilities consist of the following at December 31, 2024 and December 31, 2023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Deferred tax assets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Project and non-project reserves</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23,184</w:t>
            </w:r>
          </w:p>
        </w:tc>
        <w:tc>
          <w:tcPr>
            <w:tcW w:w="30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23,555</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compensation and benefits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76,944</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69,726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Revenue and cost recognition</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46,250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37,616</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Insurance accruals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12,424</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14,081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Net operating losses</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17,640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8,663</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liabilities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42,572</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44,626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35,845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31,727</w:t>
            </w:r>
          </w:p>
        </w:tc>
        <w:tc>
          <w:tcPr>
            <w:tcW w:w="10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17,432</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80"/>
              <w:spacing w:after="0" w:line="196" w:lineRule="exact"/>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272,291</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233,279</w:t>
            </w:r>
          </w:p>
        </w:tc>
        <w:tc>
          <w:tcPr>
            <w:tcW w:w="100" w:type="dxa"/>
            <w:vAlign w:val="bottom"/>
          </w:tcPr>
          <w:p>
            <w:pPr>
              <w:spacing w:after="0"/>
              <w:rPr>
                <w:sz w:val="17"/>
                <w:szCs w:val="17"/>
                <w:color w:val="auto"/>
              </w:rPr>
            </w:pPr>
          </w:p>
        </w:tc>
      </w:tr>
      <w:tr>
        <w:trPr>
          <w:trHeight w:val="202"/>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(45,318 )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(34,779 )</w:t>
            </w:r>
          </w:p>
        </w:tc>
      </w:tr>
      <w:tr>
        <w:trPr>
          <w:trHeight w:val="196"/>
        </w:trPr>
        <w:tc>
          <w:tcPr>
            <w:tcW w:w="768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deferred tax assets</w:t>
            </w: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226,973</w:t>
            </w: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198,500</w:t>
            </w:r>
          </w:p>
        </w:tc>
        <w:tc>
          <w:tcPr>
            <w:tcW w:w="100" w:type="dxa"/>
            <w:vAlign w:val="bottom"/>
            <w:tcBorders>
              <w:top w:val="single" w:sz="8" w:color="CFF0FC"/>
            </w:tcBorders>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Deferred tax liabilities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7"/>
                <w:szCs w:val="17"/>
                <w:color w:val="auto"/>
              </w:rPr>
            </w:pP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(57,361 )</w:t>
            </w: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(18,783 )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(38,605 )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(40,131 )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Profit remittance tax</w:t>
            </w:r>
          </w:p>
        </w:tc>
        <w:tc>
          <w:tcPr>
            <w:tcW w:w="380" w:type="dxa"/>
            <w:vAlign w:val="bottom"/>
          </w:tcPr>
          <w:p>
            <w:pPr>
              <w:spacing w:after="0"/>
              <w:rPr>
                <w:sz w:val="17"/>
                <w:szCs w:val="17"/>
                <w:color w:val="auto"/>
              </w:rPr>
            </w:pP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(6,842 )</w:t>
            </w: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(5,822 )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(1,758 )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(3,378 )</w:t>
            </w: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280"/>
              <w:spacing w:after="0" w:line="196" w:lineRule="exact"/>
              <w:rPr>
                <w:sz w:val="20"/>
                <w:szCs w:val="20"/>
                <w:color w:val="auto"/>
              </w:rPr>
            </w:pPr>
            <w:r>
              <w:rPr>
                <w:rFonts w:ascii="Arial" w:cs="Arial" w:eastAsia="Arial" w:hAnsi="Arial"/>
                <w:sz w:val="18"/>
                <w:szCs w:val="18"/>
                <w:color w:val="auto"/>
              </w:rPr>
              <w:t>Total deferred tax liabilities</w:t>
            </w:r>
          </w:p>
        </w:tc>
        <w:tc>
          <w:tcPr>
            <w:tcW w:w="380" w:type="dxa"/>
            <w:vAlign w:val="bottom"/>
          </w:tcPr>
          <w:p>
            <w:pPr>
              <w:spacing w:after="0"/>
              <w:rPr>
                <w:sz w:val="17"/>
                <w:szCs w:val="17"/>
                <w:color w:val="auto"/>
              </w:rPr>
            </w:pPr>
          </w:p>
        </w:tc>
        <w:tc>
          <w:tcPr>
            <w:tcW w:w="15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(104,566 )</w:t>
            </w:r>
          </w:p>
        </w:tc>
        <w:tc>
          <w:tcPr>
            <w:tcW w:w="360" w:type="dxa"/>
            <w:vAlign w:val="bottom"/>
          </w:tcPr>
          <w:p>
            <w:pPr>
              <w:spacing w:after="0"/>
              <w:rPr>
                <w:sz w:val="17"/>
                <w:szCs w:val="17"/>
                <w:color w:val="auto"/>
              </w:rPr>
            </w:pPr>
          </w:p>
        </w:tc>
        <w:tc>
          <w:tcPr>
            <w:tcW w:w="1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(68,114 )</w:t>
            </w:r>
          </w:p>
        </w:tc>
      </w:tr>
      <w:tr>
        <w:trPr>
          <w:trHeight w:val="236"/>
        </w:trPr>
        <w:tc>
          <w:tcPr>
            <w:tcW w:w="76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deferred tax asset</w:t>
            </w:r>
          </w:p>
        </w:tc>
        <w:tc>
          <w:tcPr>
            <w:tcW w:w="38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122,407</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130,386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-1370965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-1105535</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-299720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Company is not asserting that any of the earnings of the foreign subsidiaries will be permanently reinvested. Therefore, the Company has recorded a deferred tax liability for the undistributed earnings net of applicable foreign tax credits.</w:t>
      </w:r>
    </w:p>
    <w:p>
      <w:pPr>
        <w:spacing w:after="0" w:line="154"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The Company assesses the realizability of its deferred tax assets each reporting period through an analysis of potential sources of taxable income, including prior year taxable income available to absorb carryback of tax losses, reversals of existing taxable temporary differences, tax planning strategies, and forecasts of taxable income. The Company considers all negative and positive evidence, including the weight of the evidence, to determine if a valuation allowance against deferred tax assets is required. A valuation allowance is recorded against deferred tax assets to reflect the amount of deferred tax assets that is determined to be more-likely-than-not to be realized.</w:t>
      </w:r>
    </w:p>
    <w:p>
      <w:pPr>
        <w:spacing w:after="0" w:line="176"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As of December 31, 2024, and December 31, 2023, the Company’s valuation allowance against deferred tax assets was $45.3 million and $34.8 million, respectively. The Company has recorded a valuation allowance against certain tax attributes that the Company has determined are not more-likely-than-not to be realized, including certain foreign net operating loss carryforwards, foreign tax credit carryforwards, and capital loss carryforwards. From December 31, 2023 to December 31, 2024, the Company’s valuation allowance increased by $10.5 million. This increase relates to deferred tax assets recorded for net operating loss carryforwards and foreign tax credit carryforwards. The valuation allowance is recorded because the Company does not expect to have sufficient taxable income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8" w:name="page139"/>
    <w:bookmarkEnd w:id="13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foreign source income to utilize the net operating loss carryforwards and the foreign tax credit carryforwards before they expire.</w:t>
      </w:r>
    </w:p>
    <w:p>
      <w:pPr>
        <w:spacing w:after="0" w:line="212"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As of December 31, 2024, the Company has Net Operating Losses ("NOLs") of $1.7 million, $20.3 million, and $74.2 million for U.S. Federal, U.S. states and foreign jurisdictions, respectively. The utilization of the U.S. federal and U.S. state NOLs are subject to certain annual limitations. Of these NOL amounts, $1.7 million, $8.0 million and $12.9 million in U.S. Federal, U.S. states and foreign jurisdictions, respectively, do not expire. The remaining amounts of NOLs in U.S. states and in foreign jurisdictions will expire if not used between 2025 and 2045.</w:t>
      </w:r>
    </w:p>
    <w:p>
      <w:pPr>
        <w:spacing w:after="0" w:line="17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As of December 31, 2024, the Company has foreign tax credit carryforwards of $33.5 million. The Company has provided a valuation allowance of $33.5 million as the Company considers it is not more likely than not that these credits will be realized. These foreign tax credits start expiring in the year 2029.</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balances of unrecognized tax benefits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Beginning of year</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25,497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22,798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21,181</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Increases—current year tax positions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1,058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3,220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4,666</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Increases—prior year tax positions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7,488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2,254</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Decreases—prior year tax positions</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(1,826 )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(1,589 )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(3,537 )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Settlements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(1,334 )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(1,026 )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(1,447 )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Lapse of statute of limitations</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(1,345 )</w:t>
            </w:r>
          </w:p>
        </w:tc>
        <w:tc>
          <w:tcPr>
            <w:tcW w:w="3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(364 )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(319 )</w:t>
            </w:r>
          </w:p>
        </w:tc>
      </w:tr>
      <w:tr>
        <w:trPr>
          <w:trHeight w:val="23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End of year</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29,538</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25,497</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22,798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At December 31, 2024, and December 31, 2023, there are $28.6 million and $25.1 million of unrecognized tax benefits that if recognized would affect the Company’s effective tax rate.</w:t>
      </w:r>
    </w:p>
    <w:p>
      <w:pPr>
        <w:spacing w:after="0" w:line="15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Company recognizes interest and penalties related to unrecognized tax benefits as part of its income tax expense. During the years ended December 31, 2024, December 31, 2023, and December 31, 2022, the Company recognized approximately $1 million, $0.5 million, and $0.7 million in interest and penalties, respectively, in the consolidated statements of income. The total amount of interest and penalties accrued in the consolidated balance sheets was $5.6 million, $4.6 million, and $4.1 million as of December 31, 2024, December 31, 2023, and December 31, 2022, respectively.</w:t>
      </w:r>
    </w:p>
    <w:p>
      <w:pPr>
        <w:spacing w:after="0" w:line="17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conducts business globally and, as a result, the Company or one or more of its subsidiaries files income tax returns in the U.S. federal jurisdiction, various U.S. states, and foreign jurisdictions. The Company is subject to examination by tax authorities in several jurisdictions, including jurisdictions where the Company has significant activities, such as Canada, Qatar, Saudi Arabia and the United States. As of December 31, 2024, the Company’s U.S. federal income tax returns for tax years 2021 and forward remain subject to examination. U.S. states and foreign income tax returns remain subject to examination based on varying local statutes of limitations.</w:t>
      </w:r>
    </w:p>
    <w:p>
      <w:pPr>
        <w:spacing w:after="0" w:line="176"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Company estimates that, within 12 months, it may decrease its uncertain tax positions by approximately $7.2 million as a result of concluding various tax audits and closing tax years.</w:t>
      </w:r>
    </w:p>
    <w:p>
      <w:pPr>
        <w:spacing w:after="0" w:line="15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significantly different, both favorably and unfavorably. It is reasonably possible that these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9" w:name="page140"/>
    <w:bookmarkEnd w:id="13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We are awaiting the court’s rulings upon such motions, which will determine whether a trial will be necessary for this matter in 2025.</w:t>
      </w:r>
    </w:p>
    <w:p>
      <w:pPr>
        <w:spacing w:after="0" w:line="186"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and against Alstom Signaling Operations LLC (Alstom").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pre-judgment interest in the amount of $34.0 million and amended the judgment accordingly to include such interest. Alstom filed a Notice of Appeal and has posted a bond as required under California law.</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21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Federal Acquisition Regulations (“FAR”). If the DCAA determines we have not accounted for such costs in accordance with the FAR,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0" w:name="page141"/>
    <w:bookmarkEnd w:id="14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not result in material disallowances for incurred costs in the future. All audits of costs incurred on work performed through 2014 have been closed, and years thereafter remain open. All of Parsons operating systems have been deemed adequate by the U.S. federal government.</w:t>
      </w:r>
    </w:p>
    <w:p>
      <w:pPr>
        <w:spacing w:after="0" w:line="154"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2"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Other Benefit Plans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Company’s principal retirement benefit plan is the ESOP, a stock bonus plan, established in 1975 to cover eligible employees of the Company and certain affiliated companies. Contributions of treasury stock to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December 31, 2024, the total shares of the Company’s common stock outstanding were 106,775,350, of which 54,117,903 were held by the ESOP. As of December 31, 2023, the total shares of the Company’s common stock outstanding were 105,839,978, of which 59,879,857 were held by the ESOP.</w:t>
      </w:r>
    </w:p>
    <w:p>
      <w:pPr>
        <w:spacing w:after="0" w:line="185" w:lineRule="exact"/>
        <w:rPr>
          <w:sz w:val="20"/>
          <w:szCs w:val="20"/>
          <w:color w:val="auto"/>
        </w:rPr>
      </w:pPr>
    </w:p>
    <w:p>
      <w:pPr>
        <w:ind w:right="400" w:firstLine="509"/>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Total ESOP contribution expense was approximately $59.8 million, $58.2 million and $54.7 million for the years ended December 31, 2024, December 31, 2023 and December 31, 2022, respectively, and is recorded in “Direct costs of contracts” and “Selling, general and administrative expense” in the consolidated statements of income.</w:t>
      </w:r>
    </w:p>
    <w:p>
      <w:pPr>
        <w:spacing w:after="0" w:line="1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Company also maintains a defined contribution plan (the “401(k) Plan”). Substantially all domestic employees are entitled to participate in the 401(k) Plan, subject to certain minimum requirements. The Company’s contributions to the 401(k) Plan for the years ended December 31, 2024, December 31, 2023 and December 31, 2022 amounted to $37.7 million, $35.4 million, and $30.2 million, respectively.</w:t>
      </w:r>
    </w:p>
    <w:p>
      <w:pPr>
        <w:spacing w:after="0" w:line="169"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As part of an acquisition in 2014, the Company acquired a defined contribution pension plan, a defined benefit pension plan, and supplemental retirement plan. For the defined contribution pension plan, the Company contributes a base amount plus an additional amount based upon a predetermined formula. At December 31, 2024 and December 31, 2023, the defined benefit pension plan was in a net asset position of $1.3 million and $1.4 million, respectively, which is recorded in “Other noncurrent assets” on the consolidated balance sheets.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Investments in and Advances to Joint Ventures</w:t>
      </w:r>
    </w:p>
    <w:p>
      <w:pPr>
        <w:spacing w:after="0" w:line="104"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VIE for which the Company is the primary beneficiary and should, therefore, be consolidated. Such analysis requires the Company to assess whether it has the power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direct the activities of the VIE and the obligation to absorb losses or the right to receive benefits that could potentially be significant to the VIE.</w:t>
      </w:r>
    </w:p>
    <w:p>
      <w:pPr>
        <w:spacing w:after="0" w:line="154"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5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Letters of credit outstanding described in ‘Note 11—</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that relate to project ventures are approximately $176.7 million and $147.7 million at December 31, 2024 and December 31, 2023, respectively.</w:t>
      </w:r>
    </w:p>
    <w:p>
      <w:pPr>
        <w:spacing w:after="0" w:line="154"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as of and for the years ended December 31, 2024, December 31, 2023 and December 31, 2022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assets</w:t>
            </w: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519,450</w:t>
            </w:r>
          </w:p>
        </w:tc>
        <w:tc>
          <w:tcPr>
            <w:tcW w:w="620" w:type="dxa"/>
            <w:vAlign w:val="bottom"/>
            <w:gridSpan w:val="3"/>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426,633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9,841</w:t>
            </w: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14,295</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529,291</w:t>
            </w:r>
          </w:p>
        </w:tc>
        <w:tc>
          <w:tcPr>
            <w:tcW w:w="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440,928</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296,774</w:t>
            </w: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260,286</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Noncurrent liabilities</w:t>
            </w:r>
          </w:p>
        </w:tc>
        <w:tc>
          <w:tcPr>
            <w:tcW w:w="3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2,203</w:t>
            </w:r>
          </w:p>
        </w:tc>
        <w:tc>
          <w:tcPr>
            <w:tcW w:w="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5,132</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298,977</w:t>
            </w: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265,418</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7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joint venture equity</w:t>
            </w:r>
          </w:p>
        </w:tc>
        <w:tc>
          <w:tcPr>
            <w:tcW w:w="3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230,314</w:t>
            </w:r>
          </w:p>
        </w:tc>
        <w:tc>
          <w:tcPr>
            <w:tcW w:w="620" w:type="dxa"/>
            <w:vAlign w:val="bottom"/>
            <w:gridSpan w:val="3"/>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175,510</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345"/>
        </w:trPr>
        <w:tc>
          <w:tcPr>
            <w:tcW w:w="5740" w:type="dxa"/>
            <w:vAlign w:val="bottom"/>
            <w:tcBorders>
              <w:top w:val="single" w:sz="8" w:color="CFF0FC"/>
            </w:tcBorders>
          </w:tcPr>
          <w:p>
            <w:pPr>
              <w:spacing w:after="0"/>
              <w:rPr>
                <w:sz w:val="24"/>
                <w:szCs w:val="24"/>
                <w:color w:val="auto"/>
              </w:rPr>
            </w:pPr>
          </w:p>
        </w:tc>
        <w:tc>
          <w:tcPr>
            <w:tcW w:w="380" w:type="dxa"/>
            <w:vAlign w:val="bottom"/>
            <w:tcBorders>
              <w:top w:val="single" w:sz="8" w:color="CFF0FC"/>
              <w:bottom w:val="single" w:sz="8" w:color="auto"/>
            </w:tcBorders>
          </w:tcPr>
          <w:p>
            <w:pPr>
              <w:spacing w:after="0"/>
              <w:rPr>
                <w:sz w:val="24"/>
                <w:szCs w:val="24"/>
                <w:color w:val="auto"/>
              </w:rPr>
            </w:pPr>
          </w:p>
        </w:tc>
        <w:tc>
          <w:tcPr>
            <w:tcW w:w="780" w:type="dxa"/>
            <w:vAlign w:val="bottom"/>
            <w:tcBorders>
              <w:top w:val="single" w:sz="8" w:color="CFF0FC"/>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CFF0FC"/>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788,702</w:t>
            </w:r>
          </w:p>
        </w:tc>
        <w:tc>
          <w:tcPr>
            <w:tcW w:w="760" w:type="dxa"/>
            <w:vAlign w:val="bottom"/>
            <w:gridSpan w:val="2"/>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708,391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483,888</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Costs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676,258</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613,186</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422,559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7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112,444</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95,205</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61,329</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9"/>
        </w:trPr>
        <w:tc>
          <w:tcPr>
            <w:tcW w:w="57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55,612</w:t>
            </w:r>
          </w:p>
        </w:tc>
        <w:tc>
          <w:tcPr>
            <w:tcW w:w="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46,766</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29,901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-1385570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-1385570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-1111250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-836930</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-819785</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-836930</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-819785</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-176530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-159385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-176530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-159385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wp:posOffset>
            </wp:positionV>
            <wp:extent cx="774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7"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2" w:name="page143"/>
    <w:bookmarkEnd w:id="142"/>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as of and for the years ended December 31, 2024, December 31, 2023 and December 31, 2022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 assets</w:t>
            </w: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1,477,950</w:t>
            </w:r>
          </w:p>
        </w:tc>
        <w:tc>
          <w:tcPr>
            <w:tcW w:w="620" w:type="dxa"/>
            <w:vAlign w:val="bottom"/>
            <w:gridSpan w:val="3"/>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1,607,953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431,476</w:t>
            </w: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483,693</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1,909,426</w:t>
            </w:r>
          </w:p>
        </w:tc>
        <w:tc>
          <w:tcPr>
            <w:tcW w:w="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2,091,646</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947,072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1,057,113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38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469,808</w:t>
            </w:r>
          </w:p>
        </w:tc>
        <w:tc>
          <w:tcPr>
            <w:tcW w:w="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518,647</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1,416,880</w:t>
            </w:r>
          </w:p>
        </w:tc>
        <w:tc>
          <w:tcPr>
            <w:tcW w:w="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1,575,760</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7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joint venture equity</w:t>
            </w:r>
          </w:p>
        </w:tc>
        <w:tc>
          <w:tcPr>
            <w:tcW w:w="3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492,546</w:t>
            </w:r>
          </w:p>
        </w:tc>
        <w:tc>
          <w:tcPr>
            <w:tcW w:w="620" w:type="dxa"/>
            <w:vAlign w:val="bottom"/>
            <w:gridSpan w:val="3"/>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515,886</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64"/>
        </w:trPr>
        <w:tc>
          <w:tcPr>
            <w:tcW w:w="5740" w:type="dxa"/>
            <w:vAlign w:val="bottom"/>
            <w:tcBorders>
              <w:top w:val="single" w:sz="8" w:color="CFF0FC"/>
            </w:tcBorders>
          </w:tcPr>
          <w:p>
            <w:pPr>
              <w:ind w:left="20"/>
              <w:spacing w:after="0" w:line="164" w:lineRule="exact"/>
              <w:rPr>
                <w:sz w:val="20"/>
                <w:szCs w:val="20"/>
                <w:color w:val="auto"/>
              </w:rPr>
            </w:pPr>
            <w:r>
              <w:rPr>
                <w:rFonts w:ascii="Arial" w:cs="Arial" w:eastAsia="Arial" w:hAnsi="Arial"/>
                <w:sz w:val="18"/>
                <w:szCs w:val="18"/>
                <w:color w:val="auto"/>
              </w:rPr>
              <w:t>Investments in and advances to unconsolidated joint</w:t>
            </w:r>
          </w:p>
        </w:tc>
        <w:tc>
          <w:tcPr>
            <w:tcW w:w="380" w:type="dxa"/>
            <w:vAlign w:val="bottom"/>
            <w:tcBorders>
              <w:top w:val="single" w:sz="8" w:color="CFF0FC"/>
            </w:tcBorders>
          </w:tcPr>
          <w:p>
            <w:pPr>
              <w:spacing w:after="0"/>
              <w:rPr>
                <w:sz w:val="14"/>
                <w:szCs w:val="14"/>
                <w:color w:val="auto"/>
              </w:rPr>
            </w:pPr>
          </w:p>
        </w:tc>
        <w:tc>
          <w:tcPr>
            <w:tcW w:w="78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239"/>
        </w:trPr>
        <w:tc>
          <w:tcPr>
            <w:tcW w:w="5740" w:type="dxa"/>
            <w:vAlign w:val="bottom"/>
          </w:tcPr>
          <w:p>
            <w:pPr>
              <w:ind w:left="180"/>
              <w:spacing w:after="0"/>
              <w:rPr>
                <w:sz w:val="20"/>
                <w:szCs w:val="20"/>
                <w:color w:val="auto"/>
              </w:rPr>
            </w:pPr>
            <w:r>
              <w:rPr>
                <w:rFonts w:ascii="Arial" w:cs="Arial" w:eastAsia="Arial" w:hAnsi="Arial"/>
                <w:sz w:val="18"/>
                <w:szCs w:val="18"/>
                <w:color w:val="auto"/>
              </w:rPr>
              <w:t>ventures</w:t>
            </w:r>
          </w:p>
        </w:tc>
        <w:tc>
          <w:tcPr>
            <w:tcW w:w="38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138,759</w:t>
            </w: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128,204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7"/>
        </w:trPr>
        <w:tc>
          <w:tcPr>
            <w:tcW w:w="5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2,118,799</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5"/>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2,313,420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2,406,407</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Costs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2,108,768</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2,310,114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2,325,472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7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10,031</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15"/>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3,306</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80,935</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19"/>
        </w:trPr>
        <w:tc>
          <w:tcPr>
            <w:tcW w:w="5740" w:type="dxa"/>
            <w:vAlign w:val="bottom"/>
          </w:tcPr>
          <w:p>
            <w:pPr>
              <w:ind w:left="20"/>
              <w:spacing w:after="0"/>
              <w:rPr>
                <w:sz w:val="20"/>
                <w:szCs w:val="20"/>
                <w:color w:val="auto"/>
              </w:rPr>
            </w:pPr>
            <w:r>
              <w:rPr>
                <w:rFonts w:ascii="Arial" w:cs="Arial" w:eastAsia="Arial" w:hAnsi="Arial"/>
                <w:sz w:val="18"/>
                <w:szCs w:val="18"/>
                <w:color w:val="auto"/>
              </w:rPr>
              <w:t>Equity in (losses) earnings of unconsolidated joint ventures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(23,361 )</w:t>
            </w: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1460" w:type="dxa"/>
            <w:vAlign w:val="bottom"/>
            <w:gridSpan w:val="4"/>
          </w:tcPr>
          <w:p>
            <w:pPr>
              <w:jc w:val="right"/>
              <w:ind w:right="180"/>
              <w:spacing w:after="0"/>
              <w:rPr>
                <w:sz w:val="20"/>
                <w:szCs w:val="20"/>
                <w:color w:val="auto"/>
              </w:rPr>
            </w:pPr>
            <w:r>
              <w:rPr>
                <w:rFonts w:ascii="Arial" w:cs="Arial" w:eastAsia="Arial" w:hAnsi="Arial"/>
                <w:sz w:val="18"/>
                <w:szCs w:val="18"/>
                <w:color w:val="auto"/>
              </w:rPr>
              <w:t>(47,751 )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16,347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-1633855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-1368425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-1368425</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-1094105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-1076960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-1094105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-1076960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-176530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-159385</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-176530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-159385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wp:posOffset>
            </wp:positionV>
            <wp:extent cx="7747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7" w:lineRule="exact"/>
        <w:rPr>
          <w:sz w:val="20"/>
          <w:szCs w:val="20"/>
          <w:color w:val="auto"/>
        </w:rPr>
      </w:pPr>
    </w:p>
    <w:p>
      <w:pPr>
        <w:ind w:right="500" w:firstLine="509"/>
        <w:spacing w:after="0" w:line="253" w:lineRule="auto"/>
        <w:rPr>
          <w:sz w:val="20"/>
          <w:szCs w:val="20"/>
          <w:color w:val="auto"/>
        </w:rPr>
      </w:pPr>
      <w:r>
        <w:rPr>
          <w:rFonts w:ascii="Arial" w:cs="Arial" w:eastAsia="Arial" w:hAnsi="Arial"/>
          <w:sz w:val="18"/>
          <w:szCs w:val="18"/>
          <w:color w:val="auto"/>
        </w:rPr>
        <w:t>The Company had net contributions to its unconsolidated joint ventures of $38.8 million and $65.2 million for the years ended December 31, 2024 and December 31, 2023, respectively and received net distributions from its unconsolidated joint ventures of $20.2 million for the year ended December 31, 2022.</w:t>
      </w:r>
    </w:p>
    <w:p>
      <w:pPr>
        <w:spacing w:after="0" w:line="169"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The following table presents certain financial statement impacts from changes in estimates on unconsolidated joint ventures in the Critical Infrastructure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loss</w:t>
            </w:r>
          </w:p>
        </w:tc>
        <w:tc>
          <w:tcPr>
            <w:tcW w:w="980" w:type="dxa"/>
            <w:vAlign w:val="bottom"/>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w w:val="97"/>
              </w:rPr>
              <w:t>(51,715 )</w:t>
            </w:r>
          </w:p>
        </w:tc>
        <w:tc>
          <w:tcPr>
            <w:tcW w:w="1000" w:type="dxa"/>
            <w:vAlign w:val="bottom"/>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w w:val="97"/>
              </w:rPr>
              <w:t>(83,398 )</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(13,817 )</w:t>
            </w: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98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(44,682 )</w:t>
            </w:r>
          </w:p>
        </w:tc>
        <w:tc>
          <w:tcPr>
            <w:tcW w:w="100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(61,842 )</w:t>
            </w:r>
          </w:p>
        </w:tc>
        <w:tc>
          <w:tcPr>
            <w:tcW w:w="38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(10,335 )</w:t>
            </w:r>
          </w:p>
        </w:tc>
      </w:tr>
      <w:tr>
        <w:trPr>
          <w:trHeight w:val="203"/>
        </w:trPr>
        <w:tc>
          <w:tcPr>
            <w:tcW w:w="5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 loss per share</w:t>
            </w:r>
          </w:p>
        </w:tc>
        <w:tc>
          <w:tcPr>
            <w:tcW w:w="980" w:type="dxa"/>
            <w:vAlign w:val="bottom"/>
            <w:shd w:val="clear" w:color="auto" w:fill="CFF0FC"/>
          </w:tcPr>
          <w:p>
            <w:pPr>
              <w:jc w:val="right"/>
              <w:ind w:right="776"/>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(0.40 )</w:t>
            </w:r>
          </w:p>
        </w:tc>
        <w:tc>
          <w:tcPr>
            <w:tcW w:w="1000" w:type="dxa"/>
            <w:vAlign w:val="bottom"/>
            <w:shd w:val="clear" w:color="auto" w:fill="CFF0FC"/>
          </w:tcPr>
          <w:p>
            <w:pPr>
              <w:jc w:val="right"/>
              <w:ind w:right="796"/>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(0.54 )</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(0.09 )</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overhead costs for these services. For the years ended December 31, 2024, December 31, 2023 and December 31, 2022, revenues included $182.6 million, $213.8 million, and $217.4 million, respectively, related to services the Company provided to unconsolidated joint ventures. For the years ended December 31, 2024, December 31, 2023 and December 31, 2022, the Company incurred approximately $143.2 million, $153.7 million and $157.6 million, respectively, of reimbursable costs. Amounts included in the consolidated balance sheets related to services the Company provided to unconsolidated joint ventures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7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38,443</w:t>
            </w:r>
          </w:p>
        </w:tc>
        <w:tc>
          <w:tcPr>
            <w:tcW w:w="68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38,898</w:t>
            </w:r>
          </w:p>
        </w:tc>
        <w:tc>
          <w:tcPr>
            <w:tcW w:w="100" w:type="dxa"/>
            <w:vAlign w:val="bottom"/>
            <w:shd w:val="clear" w:color="auto" w:fill="CFF0FC"/>
          </w:tcPr>
          <w:p>
            <w:pPr>
              <w:spacing w:after="0"/>
              <w:rPr>
                <w:sz w:val="17"/>
                <w:szCs w:val="17"/>
                <w:color w:val="auto"/>
              </w:rPr>
            </w:pPr>
          </w:p>
        </w:tc>
      </w:tr>
      <w:tr>
        <w:trPr>
          <w:trHeight w:val="203"/>
        </w:trPr>
        <w:tc>
          <w:tcPr>
            <w:tcW w:w="7400" w:type="dxa"/>
            <w:vAlign w:val="bottom"/>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10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11,540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38,009</w:t>
            </w:r>
          </w:p>
        </w:tc>
        <w:tc>
          <w:tcPr>
            <w:tcW w:w="100" w:type="dxa"/>
            <w:vAlign w:val="bottom"/>
          </w:tcPr>
          <w:p>
            <w:pPr>
              <w:spacing w:after="0"/>
              <w:rPr>
                <w:sz w:val="17"/>
                <w:szCs w:val="17"/>
                <w:color w:val="auto"/>
              </w:rPr>
            </w:pPr>
          </w:p>
        </w:tc>
      </w:tr>
      <w:tr>
        <w:trPr>
          <w:trHeight w:val="203"/>
        </w:trPr>
        <w:tc>
          <w:tcPr>
            <w:tcW w:w="7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10,776</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15,287</w:t>
            </w:r>
          </w:p>
        </w:tc>
        <w:tc>
          <w:tcPr>
            <w:tcW w:w="100" w:type="dxa"/>
            <w:vAlign w:val="bottom"/>
            <w:shd w:val="clear" w:color="auto" w:fill="CFF0FC"/>
          </w:tcPr>
          <w:p>
            <w:pPr>
              <w:spacing w:after="0"/>
              <w:rPr>
                <w:sz w:val="17"/>
                <w:szCs w:val="17"/>
                <w:color w:val="auto"/>
              </w:rPr>
            </w:pPr>
          </w:p>
        </w:tc>
      </w:tr>
    </w:tbl>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presented above for comparable periods have been updated to reflect all unconsolidated joint ventures.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3" w:name="page144"/>
    <w:bookmarkEnd w:id="143"/>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4"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December 31, 2024 and December 31, 2023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1020" w:right="360" w:hanging="503"/>
        <w:spacing w:after="0" w:line="270" w:lineRule="auto"/>
        <w:tabs>
          <w:tab w:leader="none" w:pos="10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182" w:lineRule="exact"/>
        <w:rPr>
          <w:sz w:val="20"/>
          <w:szCs w:val="20"/>
          <w:color w:val="auto"/>
        </w:rPr>
      </w:pPr>
    </w:p>
    <w:p>
      <w:pPr>
        <w:ind w:left="1520" w:right="800" w:hanging="984"/>
        <w:spacing w:after="0" w:line="271" w:lineRule="auto"/>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assets and liabilities;</w:t>
      </w:r>
    </w:p>
    <w:p>
      <w:pPr>
        <w:spacing w:after="0" w:line="59" w:lineRule="exact"/>
        <w:rPr>
          <w:sz w:val="20"/>
          <w:szCs w:val="20"/>
          <w:color w:val="auto"/>
        </w:rPr>
      </w:pPr>
    </w:p>
    <w:p>
      <w:pPr>
        <w:ind w:left="1520" w:right="200" w:hanging="984"/>
        <w:spacing w:after="0" w:line="301"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Pricing inputs that include quoted prices for similar assets and liabilities in active markets and inputs that are observable for the asset or liability, either directly or indirectly, for substantially the full term of the derivative instrument; and</w:t>
      </w:r>
    </w:p>
    <w:p>
      <w:pPr>
        <w:spacing w:after="0" w:line="36"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12"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assets and liabilities measured at fair value on a recurring basis are as follows: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as of December 31, 2024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4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 related to defined contribution plan</w:t>
            </w:r>
          </w:p>
        </w:tc>
        <w:tc>
          <w:tcPr>
            <w:tcW w:w="10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ind w:left="140"/>
              <w:spacing w:after="0" w:line="202" w:lineRule="exact"/>
              <w:rPr>
                <w:sz w:val="20"/>
                <w:szCs w:val="20"/>
                <w:color w:val="auto"/>
              </w:rPr>
            </w:pPr>
            <w:r>
              <w:rPr>
                <w:rFonts w:ascii="Arial" w:cs="Arial" w:eastAsia="Arial" w:hAnsi="Arial"/>
                <w:sz w:val="18"/>
                <w:szCs w:val="18"/>
                <w:color w:val="auto"/>
              </w:rPr>
              <w:t>Mutual funds</w:t>
            </w:r>
          </w:p>
        </w:tc>
        <w:tc>
          <w:tcPr>
            <w:tcW w:w="1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875</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ind w:left="80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875</w:t>
            </w: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Fixed income</w:t>
            </w:r>
          </w:p>
        </w:tc>
        <w:tc>
          <w:tcPr>
            <w:tcW w:w="10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6,627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ind w:left="80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6,627</w:t>
            </w: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1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0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w:t>
            </w:r>
          </w:p>
        </w:tc>
        <w:tc>
          <w:tcPr>
            <w:tcW w:w="100" w:type="dxa"/>
            <w:vAlign w:val="bottom"/>
          </w:tcPr>
          <w:p>
            <w:pPr>
              <w:spacing w:after="0"/>
              <w:rPr>
                <w:sz w:val="17"/>
                <w:szCs w:val="17"/>
                <w:color w:val="auto"/>
              </w:rPr>
            </w:pPr>
          </w:p>
        </w:tc>
      </w:tr>
      <w:tr>
        <w:trPr>
          <w:trHeight w:val="236"/>
        </w:trPr>
        <w:tc>
          <w:tcPr>
            <w:tcW w:w="4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 at fair value</w:t>
            </w:r>
          </w:p>
        </w:tc>
        <w:tc>
          <w:tcPr>
            <w:tcW w:w="10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1,224</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6,627</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ind w:left="80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62"/>
        </w:trPr>
        <w:tc>
          <w:tcPr>
            <w:tcW w:w="440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F-50</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-1071245</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-1053465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-1071245</wp:posOffset>
            </wp:positionV>
            <wp:extent cx="685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-1053465</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-1071245</wp:posOffset>
            </wp:positionV>
            <wp:extent cx="6858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-1053465</wp:posOffset>
            </wp:positionV>
            <wp:extent cx="685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4" w:name="page145"/>
    <w:bookmarkEnd w:id="144"/>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Fair value as of December 31, 2023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 related to defined contribution plan</w:t>
            </w: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Mutual funds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1,840</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1,840</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6,568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6,568</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355</w:t>
            </w:r>
          </w:p>
        </w:tc>
        <w:tc>
          <w:tcPr>
            <w:tcW w:w="100" w:type="dxa"/>
            <w:vAlign w:val="bottom"/>
          </w:tcPr>
          <w:p>
            <w:pPr>
              <w:spacing w:after="0"/>
              <w:rPr>
                <w:sz w:val="17"/>
                <w:szCs w:val="17"/>
                <w:color w:val="auto"/>
              </w:rPr>
            </w:pPr>
          </w:p>
        </w:tc>
      </w:tr>
      <w:tr>
        <w:trPr>
          <w:trHeight w:val="236"/>
        </w:trPr>
        <w:tc>
          <w:tcPr>
            <w:tcW w:w="548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Total assets at fair value</w:t>
            </w:r>
          </w:p>
        </w:tc>
        <w:tc>
          <w:tcPr>
            <w:tcW w:w="24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2,195</w:t>
            </w:r>
          </w:p>
        </w:tc>
        <w:tc>
          <w:tcPr>
            <w:tcW w:w="460" w:type="dxa"/>
            <w:vAlign w:val="bottom"/>
            <w:gridSpan w:val="2"/>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6,568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8,763</w:t>
            </w:r>
          </w:p>
        </w:tc>
        <w:tc>
          <w:tcPr>
            <w:tcW w:w="100" w:type="dxa"/>
            <w:vAlign w:val="bottom"/>
            <w:shd w:val="clear" w:color="auto" w:fill="CFF0FC"/>
          </w:tcPr>
          <w:p>
            <w:pPr>
              <w:spacing w:after="0"/>
              <w:rPr>
                <w:sz w:val="20"/>
                <w:szCs w:val="20"/>
                <w:color w:val="auto"/>
              </w:rPr>
            </w:pPr>
          </w:p>
        </w:tc>
      </w:tr>
      <w:tr>
        <w:trPr>
          <w:trHeight w:val="183"/>
        </w:trPr>
        <w:tc>
          <w:tcPr>
            <w:tcW w:w="54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140"/>
              <w:spacing w:after="0" w:line="202" w:lineRule="exact"/>
              <w:rPr>
                <w:sz w:val="20"/>
                <w:szCs w:val="20"/>
                <w:color w:val="auto"/>
              </w:rPr>
            </w:pPr>
            <w:r>
              <w:rPr>
                <w:rFonts w:ascii="Arial" w:cs="Arial" w:eastAsia="Arial" w:hAnsi="Arial"/>
                <w:sz w:val="18"/>
                <w:szCs w:val="18"/>
                <w:color w:val="auto"/>
              </w:rPr>
              <w:t>Earnout liability</w:t>
            </w: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2,300</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2,300</w:t>
            </w:r>
          </w:p>
        </w:tc>
        <w:tc>
          <w:tcPr>
            <w:tcW w:w="100" w:type="dxa"/>
            <w:vAlign w:val="bottom"/>
          </w:tcPr>
          <w:p>
            <w:pPr>
              <w:spacing w:after="0"/>
              <w:rPr>
                <w:sz w:val="17"/>
                <w:szCs w:val="17"/>
                <w:color w:val="auto"/>
              </w:rPr>
            </w:pPr>
          </w:p>
        </w:tc>
      </w:tr>
      <w:tr>
        <w:trPr>
          <w:trHeight w:val="236"/>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 at fair value</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2,300</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-574040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-556895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-574040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-556895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-574040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-556895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685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As described in “Note 15—</w:t>
      </w:r>
      <w:r>
        <w:rPr>
          <w:rFonts w:ascii="Arial" w:cs="Arial" w:eastAsia="Arial" w:hAnsi="Arial"/>
          <w:sz w:val="18"/>
          <w:szCs w:val="18"/>
          <w:i w:val="1"/>
          <w:iCs w:val="1"/>
          <w:color w:val="auto"/>
        </w:rPr>
        <w:t>Retirement and Other Benefits Plans</w:t>
      </w:r>
      <w:r>
        <w:rPr>
          <w:rFonts w:ascii="Arial" w:cs="Arial" w:eastAsia="Arial" w:hAnsi="Arial"/>
          <w:sz w:val="18"/>
          <w:szCs w:val="18"/>
          <w:color w:val="auto"/>
        </w:rPr>
        <w:t>”, the Company acquired a defined contribution pension plan, a defined benefit pension plan, and supplemental retirement plans. At December 31, 2024 and December 31, 2023, the Company measured the mutual funds held within the defined benefit pension plan at fair value using unadjusted quoted prices in active markets that are accessible for identical assets. The Company measured the fixed income securities using market bid and ask prices. The inputs that are significant to the valuation of fixed income securities are generally observable, and therefore have been classified as Level 2.</w:t>
      </w:r>
    </w:p>
    <w:p>
      <w:pPr>
        <w:spacing w:after="0" w:line="17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determining the fair value of acquired intangible assets from our business acquisitions, the Company uses the multi-period excess earnings method to value customer relationships and backlog and values developed technologies using the relief-from royalty method. These valuation methods use significant unobservable inputs classified within Level 3 of the fair value hierarchy. See "Note 2—</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p>
    <w:p>
      <w:pPr>
        <w:spacing w:after="0" w:line="174"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We measure contingent consideration at fair value on a recurring basis using significant unobservable inputs classified within Level 3 of the fair value hierarchy. See "Note 2—</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3—</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information.</w:t>
      </w:r>
    </w:p>
    <w:p>
      <w:pPr>
        <w:spacing w:after="0" w:line="15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With respect to equity-based compensation, for restricted stock units containing service conditions or service and performance conditions, the grant date fair value is based on the closing stock price of a share of the Company’s common stock on the NYSE on the grant date. For awards that include market conditions, the grant date fair value is determined using a Monte Carlo simulation.</w:t>
      </w:r>
    </w:p>
    <w:p>
      <w:pPr>
        <w:spacing w:after="0" w:line="16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carrying values and estimated fair values of our financial instruments that are not required to be recorded at fair value in our consolidated balance sheets, on the basis of Level 1 inputs for the Company's convertible notes and Level 2 inputs for the delayed draw term loan, were as follows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2023</w:t>
            </w:r>
          </w:p>
        </w:tc>
      </w:tr>
      <w:tr>
        <w:trPr>
          <w:trHeight w:val="171"/>
        </w:trPr>
        <w:tc>
          <w:tcPr>
            <w:tcW w:w="4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Liabilities:</w:t>
            </w:r>
          </w:p>
        </w:tc>
        <w:tc>
          <w:tcPr>
            <w:tcW w:w="15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Convertible senior notes due 2025</w:t>
            </w:r>
          </w:p>
        </w:tc>
        <w:tc>
          <w:tcPr>
            <w:tcW w:w="18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113,405</w:t>
            </w:r>
          </w:p>
        </w:tc>
        <w:tc>
          <w:tcPr>
            <w:tcW w:w="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233,206</w:t>
            </w:r>
          </w:p>
        </w:tc>
        <w:tc>
          <w:tcPr>
            <w:tcW w:w="50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400,000</w:t>
            </w:r>
          </w:p>
        </w:tc>
        <w:tc>
          <w:tcPr>
            <w:tcW w:w="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568,000</w:t>
            </w: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Convertible senior notes due 2029</w:t>
            </w:r>
          </w:p>
        </w:tc>
        <w:tc>
          <w:tcPr>
            <w:tcW w:w="15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800,000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939,280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Delayed draw term loan</w:t>
            </w:r>
          </w:p>
        </w:tc>
        <w:tc>
          <w:tcPr>
            <w:tcW w:w="1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350,000</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7"/>
                <w:szCs w:val="17"/>
                <w:color w:val="auto"/>
              </w:rPr>
            </w:pPr>
          </w:p>
        </w:tc>
      </w:tr>
      <w:tr>
        <w:trPr>
          <w:trHeight w:val="236"/>
        </w:trPr>
        <w:tc>
          <w:tcPr>
            <w:tcW w:w="4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5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9"/>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1,263,405</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1,522,486</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750,000</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918,000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62"/>
        </w:trPr>
        <w:tc>
          <w:tcPr>
            <w:tcW w:w="4100" w:type="dxa"/>
            <w:vAlign w:val="bottom"/>
          </w:tcPr>
          <w:p>
            <w:pPr>
              <w:spacing w:after="0"/>
              <w:rPr>
                <w:sz w:val="24"/>
                <w:szCs w:val="24"/>
                <w:color w:val="auto"/>
              </w:rPr>
            </w:pPr>
          </w:p>
        </w:tc>
        <w:tc>
          <w:tcPr>
            <w:tcW w:w="1820" w:type="dxa"/>
            <w:vAlign w:val="bottom"/>
            <w:gridSpan w:val="2"/>
          </w:tcPr>
          <w:p>
            <w:pPr>
              <w:jc w:val="right"/>
              <w:ind w:right="39"/>
              <w:spacing w:after="0"/>
              <w:rPr>
                <w:sz w:val="20"/>
                <w:szCs w:val="20"/>
                <w:color w:val="auto"/>
              </w:rPr>
            </w:pPr>
            <w:r>
              <w:rPr>
                <w:rFonts w:ascii="Arial" w:cs="Arial" w:eastAsia="Arial" w:hAnsi="Arial"/>
                <w:sz w:val="18"/>
                <w:szCs w:val="18"/>
                <w:color w:val="auto"/>
              </w:rPr>
              <w:t>F-51</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-1071245</wp:posOffset>
            </wp:positionV>
            <wp:extent cx="68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-1053465</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-1071245</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-1053465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-1071245</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-1053465</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5" w:name="page146"/>
    <w:bookmarkEnd w:id="145"/>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1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p>
    <w:p>
      <w:pPr>
        <w:spacing w:after="0" w:line="174"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Under the treasury stock method, the weighted average number of shares outstanding is adjusted to reflect the dilutive effects of stock-based awards and shares underlying the warrants related to the convertible senior notes due 2025.</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if-converted method:</w:t>
      </w:r>
    </w:p>
    <w:p>
      <w:pPr>
        <w:spacing w:after="0" w:line="104" w:lineRule="exact"/>
        <w:rPr>
          <w:sz w:val="20"/>
          <w:szCs w:val="20"/>
          <w:color w:val="auto"/>
        </w:rPr>
      </w:pPr>
    </w:p>
    <w:p>
      <w:pPr>
        <w:ind w:left="1260" w:hanging="503"/>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Convertible Senior Notes due 2025:</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Income available to shareholders is adjusted to add back interest expense, after tax (unless antidilutive).</w:t>
      </w:r>
    </w:p>
    <w:p>
      <w:pPr>
        <w:spacing w:after="0" w:line="103" w:lineRule="exact"/>
        <w:rPr>
          <w:rFonts w:ascii="Arial" w:cs="Arial" w:eastAsia="Arial" w:hAnsi="Arial"/>
          <w:sz w:val="18"/>
          <w:szCs w:val="18"/>
          <w:color w:val="auto"/>
        </w:rPr>
      </w:pPr>
    </w:p>
    <w:p>
      <w:pPr>
        <w:ind w:left="1540" w:right="60" w:hanging="514"/>
        <w:spacing w:after="0" w:line="271" w:lineRule="auto"/>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Weighted average number of shares outstanding is adjusted to include the shares underlying the convertible debt (unless antidilutive).</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Shares underlying the bond hedge (unless antidilutive).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Convertible Senior Notes due 2029:</w:t>
      </w:r>
    </w:p>
    <w:p>
      <w:pPr>
        <w:spacing w:after="0" w:line="103" w:lineRule="exact"/>
        <w:rPr>
          <w:rFonts w:ascii="Arial" w:cs="Arial" w:eastAsia="Arial" w:hAnsi="Arial"/>
          <w:sz w:val="18"/>
          <w:szCs w:val="18"/>
          <w:color w:val="auto"/>
        </w:rPr>
      </w:pPr>
    </w:p>
    <w:p>
      <w:pPr>
        <w:jc w:val="both"/>
        <w:ind w:left="1540" w:right="100" w:hanging="514"/>
        <w:spacing w:after="0" w:line="253" w:lineRule="auto"/>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Interest has been excluded from the numerator and no shares have been included in the denominator of diluted EPS, as the principal amount of convertible debt will be settled in cash with any excess conversion value settled in cash or shares of common stock.</w:t>
      </w:r>
    </w:p>
    <w:p>
      <w:pPr>
        <w:spacing w:after="0" w:line="60" w:lineRule="exact"/>
        <w:rPr>
          <w:rFonts w:ascii="Arial" w:cs="Arial" w:eastAsia="Arial" w:hAnsi="Arial"/>
          <w:sz w:val="18"/>
          <w:szCs w:val="18"/>
          <w:color w:val="auto"/>
        </w:rPr>
      </w:pPr>
    </w:p>
    <w:p>
      <w:pPr>
        <w:ind w:left="1540" w:hanging="514"/>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Excludes shares underlying the capped call as the shares are antidilutive.</w:t>
      </w:r>
    </w:p>
    <w:p>
      <w:pPr>
        <w:spacing w:after="0" w:line="21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following table reconciles the numerator and denominator used to compute basic and diluted EPS for the years ended December 31, 2024, December 31, 2023, and December 31, 2022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Numerator for Basic and Diluted EPS:</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Net income attributable to Parsons Corporation - basic</w:t>
            </w:r>
          </w:p>
        </w:tc>
        <w:tc>
          <w:tcPr>
            <w:tcW w:w="1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235,053</w:t>
            </w:r>
          </w:p>
        </w:tc>
        <w:tc>
          <w:tcPr>
            <w:tcW w:w="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161,149</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96,664</w:t>
            </w:r>
          </w:p>
        </w:tc>
        <w:tc>
          <w:tcPr>
            <w:tcW w:w="100" w:type="dxa"/>
            <w:vAlign w:val="bottom"/>
          </w:tcPr>
          <w:p>
            <w:pPr>
              <w:spacing w:after="0"/>
              <w:rPr>
                <w:sz w:val="17"/>
                <w:szCs w:val="17"/>
                <w:color w:val="auto"/>
              </w:rPr>
            </w:pPr>
          </w:p>
        </w:tc>
      </w:tr>
      <w:tr>
        <w:trPr>
          <w:trHeight w:val="203"/>
        </w:trPr>
        <w:tc>
          <w:tcPr>
            <w:tcW w:w="53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Convertible senior notes if-converted method interest adjustment</w:t>
            </w:r>
          </w:p>
        </w:tc>
        <w:tc>
          <w:tcPr>
            <w:tcW w:w="1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2,932</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2,291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Net income attributable to Parsons Corporation - diluted</w:t>
            </w:r>
          </w:p>
        </w:tc>
        <w:tc>
          <w:tcPr>
            <w:tcW w:w="16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237,985</w:t>
            </w:r>
          </w:p>
        </w:tc>
        <w:tc>
          <w:tcPr>
            <w:tcW w:w="5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163,440</w:t>
            </w:r>
          </w:p>
        </w:tc>
        <w:tc>
          <w:tcPr>
            <w:tcW w:w="5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98,840</w:t>
            </w:r>
          </w:p>
        </w:tc>
        <w:tc>
          <w:tcPr>
            <w:tcW w:w="100" w:type="dxa"/>
            <w:vAlign w:val="bottom"/>
          </w:tcPr>
          <w:p>
            <w:pPr>
              <w:spacing w:after="0"/>
              <w:rPr>
                <w:sz w:val="17"/>
                <w:szCs w:val="17"/>
                <w:color w:val="auto"/>
              </w:rPr>
            </w:pPr>
          </w:p>
        </w:tc>
      </w:tr>
      <w:tr>
        <w:trPr>
          <w:trHeight w:val="20"/>
        </w:trPr>
        <w:tc>
          <w:tcPr>
            <w:tcW w:w="5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Denominator for Basic and Diluted EPS:</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106,274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104,992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103,758</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Dilutive effect of stock-based awards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effect of warrants</w:t>
            </w: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Dilutive effect of convertible senior notes</w:t>
            </w:r>
          </w:p>
        </w:tc>
        <w:tc>
          <w:tcPr>
            <w:tcW w:w="1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3,628</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8,917</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8,917</w:t>
            </w:r>
          </w:p>
        </w:tc>
        <w:tc>
          <w:tcPr>
            <w:tcW w:w="100" w:type="dxa"/>
            <w:vAlign w:val="bottom"/>
          </w:tcPr>
          <w:p>
            <w:pPr>
              <w:spacing w:after="0"/>
              <w:rPr>
                <w:sz w:val="17"/>
                <w:szCs w:val="17"/>
                <w:color w:val="auto"/>
              </w:rPr>
            </w:pPr>
          </w:p>
        </w:tc>
      </w:tr>
      <w:tr>
        <w:trPr>
          <w:trHeight w:val="236"/>
        </w:trPr>
        <w:tc>
          <w:tcPr>
            <w:tcW w:w="53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112,174</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115,082</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113,483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Basic</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2.21</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r>
      <w:tr>
        <w:trPr>
          <w:trHeight w:val="243"/>
        </w:trPr>
        <w:tc>
          <w:tcPr>
            <w:tcW w:w="5300" w:type="dxa"/>
            <w:vAlign w:val="bottom"/>
            <w:shd w:val="clear" w:color="auto" w:fill="CFF0FC"/>
          </w:tcPr>
          <w:p>
            <w:pPr>
              <w:ind w:left="20"/>
              <w:spacing w:after="0" w:line="234" w:lineRule="exact"/>
              <w:rPr>
                <w:sz w:val="20"/>
                <w:szCs w:val="20"/>
                <w:color w:val="auto"/>
              </w:rPr>
            </w:pPr>
            <w:r>
              <w:rPr>
                <w:rFonts w:ascii="Calibri" w:cs="Calibri" w:eastAsia="Calibri" w:hAnsi="Calibri"/>
                <w:sz w:val="20"/>
                <w:szCs w:val="20"/>
                <w:color w:val="auto"/>
              </w:rPr>
              <w:t>Diluted</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FF0FC"/>
          </w:tcPr>
          <w:p>
            <w:pPr>
              <w:spacing w:after="0"/>
              <w:rPr>
                <w:sz w:val="21"/>
                <w:szCs w:val="21"/>
                <w:color w:val="auto"/>
              </w:rPr>
            </w:pPr>
          </w:p>
        </w:tc>
      </w:tr>
      <w:tr>
        <w:trPr>
          <w:trHeight w:val="881"/>
        </w:trPr>
        <w:tc>
          <w:tcPr>
            <w:tcW w:w="5300" w:type="dxa"/>
            <w:vAlign w:val="bottom"/>
          </w:tcPr>
          <w:p>
            <w:pPr>
              <w:spacing w:after="0"/>
              <w:rPr>
                <w:sz w:val="24"/>
                <w:szCs w:val="24"/>
                <w:color w:val="auto"/>
              </w:rPr>
            </w:pPr>
          </w:p>
        </w:tc>
        <w:tc>
          <w:tcPr>
            <w:tcW w:w="1620" w:type="dxa"/>
            <w:vAlign w:val="bottom"/>
            <w:gridSpan w:val="2"/>
          </w:tcPr>
          <w:p>
            <w:pPr>
              <w:jc w:val="right"/>
              <w:ind w:right="1120"/>
              <w:spacing w:after="0"/>
              <w:rPr>
                <w:sz w:val="20"/>
                <w:szCs w:val="20"/>
                <w:color w:val="auto"/>
              </w:rPr>
            </w:pPr>
            <w:r>
              <w:rPr>
                <w:rFonts w:ascii="Arial" w:cs="Arial" w:eastAsia="Arial" w:hAnsi="Arial"/>
                <w:sz w:val="18"/>
                <w:szCs w:val="18"/>
                <w:color w:val="auto"/>
              </w:rPr>
              <w:t>F-52</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5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-2811145</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-2811145</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-1687830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-1670685</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-1687830</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-1670685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6" w:name="page147"/>
    <w:bookmarkEnd w:id="146"/>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740" w:firstLine="509"/>
        <w:spacing w:after="0" w:line="303" w:lineRule="auto"/>
        <w:rPr>
          <w:sz w:val="20"/>
          <w:szCs w:val="20"/>
          <w:color w:val="auto"/>
        </w:rPr>
      </w:pPr>
      <w:r>
        <w:rPr>
          <w:rFonts w:ascii="Arial" w:cs="Arial" w:eastAsia="Arial" w:hAnsi="Arial"/>
          <w:sz w:val="18"/>
          <w:szCs w:val="18"/>
          <w:color w:val="auto"/>
        </w:rPr>
        <w:t>Anti-dilutive stock-based awards excluded from the calculation of earnings per share for the years ended December 31, 2024, December 31, 2023, and December 31, 2022 were 4,562, 5,423, and 15,113,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w:t>
      </w:r>
    </w:p>
    <w:p>
      <w:pPr>
        <w:spacing w:after="0" w:line="176"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At the time of the February 2024 authorization, the Company had repurchased shares with an aggregated market value (including fees) of $54.7 million. The aggregate market value of shares of Common Stock the Company is authorized to acquire, from both the August 2021 and February 2024 authorizations, is not greater than $154.7 million.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2024, the Company has $75 million remaining under the stock repurchase program.</w:t>
      </w:r>
    </w:p>
    <w:p>
      <w:pPr>
        <w:spacing w:after="0" w:line="212"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r>
      <w:tr>
        <w:trPr>
          <w:trHeight w:val="196"/>
        </w:trPr>
        <w:tc>
          <w:tcPr>
            <w:tcW w:w="7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shares repurchased</w:t>
            </w:r>
          </w:p>
        </w:tc>
        <w:tc>
          <w:tcPr>
            <w:tcW w:w="10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287,005</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233,010</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tcPr>
          <w:p>
            <w:pPr>
              <w:ind w:left="20"/>
              <w:spacing w:after="0" w:line="202" w:lineRule="exact"/>
              <w:rPr>
                <w:sz w:val="20"/>
                <w:szCs w:val="20"/>
                <w:color w:val="auto"/>
              </w:rPr>
            </w:pPr>
            <w:r>
              <w:rPr>
                <w:rFonts w:ascii="Arial" w:cs="Arial" w:eastAsia="Arial" w:hAnsi="Arial"/>
                <w:sz w:val="18"/>
                <w:szCs w:val="18"/>
                <w:color w:val="auto"/>
              </w:rPr>
              <w:t>Total shares retired</w:t>
            </w:r>
          </w:p>
        </w:tc>
        <w:tc>
          <w:tcPr>
            <w:tcW w:w="10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287,005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233,010</w:t>
            </w:r>
          </w:p>
        </w:tc>
        <w:tc>
          <w:tcPr>
            <w:tcW w:w="100" w:type="dxa"/>
            <w:vAlign w:val="bottom"/>
          </w:tcPr>
          <w:p>
            <w:pPr>
              <w:spacing w:after="0"/>
              <w:rPr>
                <w:sz w:val="17"/>
                <w:szCs w:val="17"/>
                <w:color w:val="auto"/>
              </w:rPr>
            </w:pPr>
          </w:p>
        </w:tc>
      </w:tr>
      <w:tr>
        <w:trPr>
          <w:trHeight w:val="203"/>
        </w:trPr>
        <w:tc>
          <w:tcPr>
            <w:tcW w:w="7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Average price paid per share</w:t>
            </w:r>
          </w:p>
        </w:tc>
        <w:tc>
          <w:tcPr>
            <w:tcW w:w="1080" w:type="dxa"/>
            <w:vAlign w:val="bottom"/>
            <w:shd w:val="clear" w:color="auto" w:fill="CFF0FC"/>
          </w:tcPr>
          <w:p>
            <w:pPr>
              <w:jc w:val="right"/>
              <w:ind w:right="879"/>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87.10</w:t>
            </w:r>
          </w:p>
        </w:tc>
        <w:tc>
          <w:tcPr>
            <w:tcW w:w="6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47.21</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308"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Segments Information</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 operations, missile defense, and military facility modernization, logistics support, hazardous material remediation and engineering services.</w:t>
      </w:r>
    </w:p>
    <w:p>
      <w:pPr>
        <w:spacing w:after="0" w:line="17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380" w:firstLine="509"/>
        <w:spacing w:after="0" w:line="253"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7" w:name="page148"/>
    <w:bookmarkEnd w:id="147"/>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evaluates segment operating performance using segment Revenue, segment direct cost of contracts, segment Selling, General and Administrative expense and segment Adjusted EBITDA attributable to Parsons Corporation.</w:t>
      </w:r>
    </w:p>
    <w:p>
      <w:pPr>
        <w:spacing w:after="0" w:line="18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w:t>
      </w:r>
    </w:p>
    <w:p>
      <w:pPr>
        <w:spacing w:after="0" w:line="239"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Adjusted EBITDA is the measure of our operating performance used by the CODM to assess our segments’ financial performance. The CODM uses Adjusted EBITDA for business planning purposes, including to manage our segments against internal projected results of operations and measure the performance of our segments generally.</w:t>
      </w:r>
    </w:p>
    <w:p>
      <w:pPr>
        <w:spacing w:after="0" w:line="23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following tables present segment information provided to the CODM, as of each fiscal year presented, along with a reconciliation of segment adjusted EBITDA attributable to Parsons Corporation to net income attributable to Parsons Corporation for the periods presented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rPr>
              <w:t>Twelve Months Ended December 31, 2024</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Federal</w:t>
            </w:r>
          </w:p>
        </w:tc>
        <w:tc>
          <w:tcPr>
            <w:tcW w:w="380" w:type="dxa"/>
            <w:vAlign w:val="bottom"/>
          </w:tcPr>
          <w:p>
            <w:pPr>
              <w:spacing w:after="0"/>
              <w:rPr>
                <w:sz w:val="14"/>
                <w:szCs w:val="14"/>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96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4,007,114</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2,743,462</w:t>
            </w:r>
          </w:p>
        </w:tc>
        <w:tc>
          <w:tcPr>
            <w:tcW w:w="1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6,750,576</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Direct cost of contracts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(3,187,829 )</w:t>
            </w:r>
          </w:p>
        </w:tc>
        <w:tc>
          <w:tcPr>
            <w:tcW w:w="38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(2,156,325 )</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(5,344,154 )</w:t>
            </w: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(157,442 )</w:t>
            </w:r>
          </w:p>
        </w:tc>
        <w:tc>
          <w:tcPr>
            <w:tcW w:w="3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(146,744 )</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(304,186 )</w:t>
            </w: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3,254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(26,615 )</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(23,361 )</w:t>
            </w: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segment items (b)</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(249,759 )</w:t>
            </w:r>
          </w:p>
        </w:tc>
        <w:tc>
          <w:tcPr>
            <w:tcW w:w="3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(280,877 )</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(530,636 )</w:t>
            </w:r>
          </w:p>
        </w:tc>
      </w:tr>
      <w:tr>
        <w:trPr>
          <w:trHeight w:val="196"/>
        </w:trPr>
        <w:tc>
          <w:tcPr>
            <w:tcW w:w="50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6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415,338</w:t>
            </w: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132,901</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548,239</w:t>
            </w:r>
          </w:p>
        </w:tc>
        <w:tc>
          <w:tcPr>
            <w:tcW w:w="100" w:type="dxa"/>
            <w:vAlign w:val="bottom"/>
            <w:tcBorders>
              <w:top w:val="single" w:sz="8" w:color="CFF0FC"/>
            </w:tcBorders>
          </w:tcPr>
          <w:p>
            <w:pPr>
              <w:spacing w:after="0"/>
              <w:rPr>
                <w:sz w:val="17"/>
                <w:szCs w:val="17"/>
                <w:color w:val="auto"/>
              </w:rPr>
            </w:pPr>
          </w:p>
        </w:tc>
      </w:tr>
      <w:tr>
        <w:trPr>
          <w:trHeight w:val="177"/>
        </w:trPr>
        <w:tc>
          <w:tcPr>
            <w:tcW w:w="6040" w:type="dxa"/>
            <w:vAlign w:val="bottom"/>
            <w:gridSpan w:val="3"/>
            <w:shd w:val="clear" w:color="auto" w:fill="CFF0FC"/>
          </w:tcPr>
          <w:p>
            <w:pPr>
              <w:ind w:left="20"/>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 Parsons Corporation</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56,714</w:t>
            </w:r>
          </w:p>
        </w:tc>
        <w:tc>
          <w:tcPr>
            <w:tcW w:w="100" w:type="dxa"/>
            <w:vAlign w:val="bottom"/>
          </w:tcPr>
          <w:p>
            <w:pPr>
              <w:spacing w:after="0"/>
              <w:rPr>
                <w:sz w:val="17"/>
                <w:szCs w:val="17"/>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(99,251 )</w:t>
            </w:r>
          </w:p>
        </w:tc>
      </w:tr>
      <w:tr>
        <w:trPr>
          <w:trHeight w:val="202"/>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(40,154 )</w:t>
            </w: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(76,986 )</w:t>
            </w: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Equity-based compensation expense</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(61,492 )</w:t>
            </w: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Convertible debt repurchase loss</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(18,355 )</w:t>
            </w: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Transaction related costs (c)</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(17,138 )</w:t>
            </w: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(912 )</w:t>
            </w:r>
          </w:p>
        </w:tc>
      </w:tr>
      <w:tr>
        <w:trPr>
          <w:trHeight w:val="196"/>
        </w:trPr>
        <w:tc>
          <w:tcPr>
            <w:tcW w:w="50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66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290,665</w:t>
            </w:r>
          </w:p>
        </w:tc>
        <w:tc>
          <w:tcPr>
            <w:tcW w:w="100" w:type="dxa"/>
            <w:vAlign w:val="bottom"/>
            <w:tcBorders>
              <w:top w:val="single" w:sz="8" w:color="CFF0FC"/>
            </w:tcBorders>
          </w:tcPr>
          <w:p>
            <w:pPr>
              <w:spacing w:after="0"/>
              <w:rPr>
                <w:sz w:val="17"/>
                <w:szCs w:val="17"/>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(55,612 )</w:t>
            </w:r>
          </w:p>
        </w:tc>
      </w:tr>
      <w:tr>
        <w:trPr>
          <w:trHeight w:val="196"/>
        </w:trPr>
        <w:tc>
          <w:tcPr>
            <w:tcW w:w="50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66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235,053</w:t>
            </w:r>
          </w:p>
        </w:tc>
        <w:tc>
          <w:tcPr>
            <w:tcW w:w="100" w:type="dxa"/>
            <w:vAlign w:val="bottom"/>
            <w:tcBorders>
              <w:top w:val="single" w:sz="8" w:color="CFF0FC"/>
            </w:tcBorders>
          </w:tcPr>
          <w:p>
            <w:pPr>
              <w:spacing w:after="0"/>
              <w:rPr>
                <w:sz w:val="17"/>
                <w:szCs w:val="17"/>
                <w:color w:val="auto"/>
              </w:rPr>
            </w:pPr>
          </w:p>
        </w:tc>
      </w:tr>
      <w:tr>
        <w:trPr>
          <w:trHeight w:val="875"/>
        </w:trPr>
        <w:tc>
          <w:tcPr>
            <w:tcW w:w="5080" w:type="dxa"/>
            <w:vAlign w:val="bottom"/>
          </w:tcPr>
          <w:p>
            <w:pPr>
              <w:spacing w:after="0"/>
              <w:rPr>
                <w:sz w:val="24"/>
                <w:szCs w:val="24"/>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F-54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50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-2887980</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-2887980</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8" w:name="page149"/>
    <w:bookmarkEnd w:id="148"/>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rPr>
              <w:t>Twelve Months Ended December 31, 2023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8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Solutions</w:t>
            </w:r>
          </w:p>
        </w:tc>
        <w:tc>
          <w:tcPr>
            <w:tcW w:w="38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3,020,701</w:t>
            </w:r>
          </w:p>
        </w:tc>
        <w:tc>
          <w:tcPr>
            <w:tcW w:w="1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2,422,048</w:t>
            </w:r>
          </w:p>
        </w:tc>
        <w:tc>
          <w:tcPr>
            <w:tcW w:w="120" w:type="dxa"/>
            <w:vAlign w:val="bottom"/>
            <w:shd w:val="clear" w:color="auto" w:fill="CFF0FC"/>
          </w:tcPr>
          <w:p>
            <w:pPr>
              <w:spacing w:after="0"/>
              <w:rPr>
                <w:sz w:val="17"/>
                <w:szCs w:val="17"/>
                <w:color w:val="auto"/>
              </w:rPr>
            </w:pPr>
          </w:p>
        </w:tc>
        <w:tc>
          <w:tcPr>
            <w:tcW w:w="580" w:type="dxa"/>
            <w:vAlign w:val="bottom"/>
            <w:tcBorders>
              <w:top w:val="single" w:sz="8" w:color="auto"/>
            </w:tcBorders>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5,442,749</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(2,375,350 )</w:t>
            </w:r>
          </w:p>
        </w:tc>
        <w:tc>
          <w:tcPr>
            <w:tcW w:w="38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(1,861,385 )</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(4,236,735 )</w:t>
            </w: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(129,507 )</w:t>
            </w:r>
          </w:p>
        </w:tc>
        <w:tc>
          <w:tcPr>
            <w:tcW w:w="3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(129,747 )</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(259,254 )</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4,190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(51,941 )</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(47,751 )</w:t>
            </w: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(230,784 )</w:t>
            </w:r>
          </w:p>
        </w:tc>
        <w:tc>
          <w:tcPr>
            <w:tcW w:w="3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(251,190 )</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(481,974 )</w:t>
            </w:r>
          </w:p>
        </w:tc>
      </w:tr>
      <w:tr>
        <w:trPr>
          <w:trHeight w:val="196"/>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289,250</w:t>
            </w: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127,785</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417,035</w:t>
            </w:r>
          </w:p>
        </w:tc>
        <w:tc>
          <w:tcPr>
            <w:tcW w:w="100" w:type="dxa"/>
            <w:vAlign w:val="bottom"/>
            <w:tcBorders>
              <w:top w:val="single" w:sz="8" w:color="CFF0FC"/>
            </w:tcBorders>
          </w:tcPr>
          <w:p>
            <w:pPr>
              <w:spacing w:after="0"/>
              <w:rPr>
                <w:sz w:val="17"/>
                <w:szCs w:val="17"/>
                <w:color w:val="auto"/>
              </w:rPr>
            </w:pPr>
          </w:p>
        </w:tc>
      </w:tr>
      <w:tr>
        <w:trPr>
          <w:trHeight w:val="177"/>
        </w:trPr>
        <w:tc>
          <w:tcPr>
            <w:tcW w:w="574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47,638</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(119,973 )</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(29,306 )</w:t>
            </w: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(56,138 )</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(36,151 )</w:t>
            </w: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(12,013 )</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Restructuring expense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(1,244 )</w:t>
            </w: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(1,933 )</w:t>
            </w:r>
          </w:p>
        </w:tc>
      </w:tr>
      <w:tr>
        <w:trPr>
          <w:trHeight w:val="196"/>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207,915</w:t>
            </w:r>
          </w:p>
        </w:tc>
        <w:tc>
          <w:tcPr>
            <w:tcW w:w="100" w:type="dxa"/>
            <w:vAlign w:val="bottom"/>
            <w:tcBorders>
              <w:top w:val="single" w:sz="8" w:color="CFF0FC"/>
            </w:tcBorders>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(46,766 )</w:t>
            </w:r>
          </w:p>
        </w:tc>
      </w:tr>
      <w:tr>
        <w:trPr>
          <w:trHeight w:val="196"/>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161,149</w:t>
            </w:r>
          </w:p>
        </w:tc>
        <w:tc>
          <w:tcPr>
            <w:tcW w:w="100" w:type="dxa"/>
            <w:vAlign w:val="bottom"/>
            <w:tcBorders>
              <w:top w:val="single" w:sz="8" w:color="CFF0FC"/>
            </w:tcBorders>
          </w:tcPr>
          <w:p>
            <w:pPr>
              <w:spacing w:after="0"/>
              <w:rPr>
                <w:sz w:val="17"/>
                <w:szCs w:val="17"/>
                <w:color w:val="auto"/>
              </w:rPr>
            </w:pPr>
          </w:p>
        </w:tc>
      </w:tr>
      <w:tr>
        <w:trPr>
          <w:trHeight w:val="389"/>
        </w:trPr>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rPr>
              <w:t>Twelve Months Ended December 31, 2022</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8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Solutions</w:t>
            </w:r>
          </w:p>
        </w:tc>
        <w:tc>
          <w:tcPr>
            <w:tcW w:w="38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2,212,987</w:t>
            </w:r>
          </w:p>
        </w:tc>
        <w:tc>
          <w:tcPr>
            <w:tcW w:w="1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1,982,285</w:t>
            </w:r>
          </w:p>
        </w:tc>
        <w:tc>
          <w:tcPr>
            <w:tcW w:w="120" w:type="dxa"/>
            <w:vAlign w:val="bottom"/>
            <w:shd w:val="clear" w:color="auto" w:fill="CFF0FC"/>
          </w:tcPr>
          <w:p>
            <w:pPr>
              <w:spacing w:after="0"/>
              <w:rPr>
                <w:sz w:val="17"/>
                <w:szCs w:val="17"/>
                <w:color w:val="auto"/>
              </w:rPr>
            </w:pPr>
          </w:p>
        </w:tc>
        <w:tc>
          <w:tcPr>
            <w:tcW w:w="580" w:type="dxa"/>
            <w:vAlign w:val="bottom"/>
            <w:tcBorders>
              <w:top w:val="single" w:sz="8" w:color="auto"/>
            </w:tcBorders>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4,195,272</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(1,703,297 )</w:t>
            </w:r>
          </w:p>
        </w:tc>
        <w:tc>
          <w:tcPr>
            <w:tcW w:w="38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(1,545,253 )</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(3,248,550 )</w:t>
            </w: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(117,759 )</w:t>
            </w:r>
          </w:p>
        </w:tc>
        <w:tc>
          <w:tcPr>
            <w:tcW w:w="3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(110,468 )</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(228,227 )</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Equity in earnings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3,677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12,670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16,347</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(196,604 )</w:t>
            </w:r>
          </w:p>
        </w:tc>
        <w:tc>
          <w:tcPr>
            <w:tcW w:w="3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(215,849 )</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(412,453 )</w:t>
            </w:r>
          </w:p>
        </w:tc>
      </w:tr>
      <w:tr>
        <w:trPr>
          <w:trHeight w:val="196"/>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199,004</w:t>
            </w: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123,385</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322,389</w:t>
            </w:r>
          </w:p>
        </w:tc>
        <w:tc>
          <w:tcPr>
            <w:tcW w:w="100" w:type="dxa"/>
            <w:vAlign w:val="bottom"/>
            <w:tcBorders>
              <w:top w:val="single" w:sz="8" w:color="CFF0FC"/>
            </w:tcBorders>
          </w:tcPr>
          <w:p>
            <w:pPr>
              <w:spacing w:after="0"/>
              <w:rPr>
                <w:sz w:val="17"/>
                <w:szCs w:val="17"/>
                <w:color w:val="auto"/>
              </w:rPr>
            </w:pPr>
          </w:p>
        </w:tc>
      </w:tr>
      <w:tr>
        <w:trPr>
          <w:trHeight w:val="177"/>
        </w:trPr>
        <w:tc>
          <w:tcPr>
            <w:tcW w:w="574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30,393</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(120,501 )</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(22,219 )</w:t>
            </w: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(39,657 )</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(24,354 )</w:t>
            </w: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(16,270 )</w:t>
            </w: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Restructuring expense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(213 )</w:t>
            </w: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(3,003 )</w:t>
            </w:r>
          </w:p>
        </w:tc>
      </w:tr>
      <w:tr>
        <w:trPr>
          <w:trHeight w:val="196"/>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126,565</w:t>
            </w:r>
          </w:p>
        </w:tc>
        <w:tc>
          <w:tcPr>
            <w:tcW w:w="100" w:type="dxa"/>
            <w:vAlign w:val="bottom"/>
            <w:tcBorders>
              <w:top w:val="single" w:sz="8" w:color="CFF0FC"/>
            </w:tcBorders>
          </w:tcPr>
          <w:p>
            <w:pPr>
              <w:spacing w:after="0"/>
              <w:rPr>
                <w:sz w:val="17"/>
                <w:szCs w:val="17"/>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(29,901 )</w:t>
            </w:r>
          </w:p>
        </w:tc>
      </w:tr>
      <w:tr>
        <w:trPr>
          <w:trHeight w:val="196"/>
        </w:trPr>
        <w:tc>
          <w:tcPr>
            <w:tcW w:w="57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96,664</w:t>
            </w:r>
          </w:p>
        </w:tc>
        <w:tc>
          <w:tcPr>
            <w:tcW w:w="100" w:type="dxa"/>
            <w:vAlign w:val="bottom"/>
            <w:tcBorders>
              <w:top w:val="single" w:sz="8" w:color="CFF0FC"/>
            </w:tcBorders>
          </w:tcPr>
          <w:p>
            <w:pPr>
              <w:spacing w:after="0"/>
              <w:rPr>
                <w:sz w:val="17"/>
                <w:szCs w:val="17"/>
                <w:color w:val="auto"/>
              </w:rPr>
            </w:pPr>
          </w:p>
        </w:tc>
      </w:tr>
      <w:tr>
        <w:trPr>
          <w:trHeight w:val="875"/>
        </w:trPr>
        <w:tc>
          <w:tcPr>
            <w:tcW w:w="6040" w:type="dxa"/>
            <w:vAlign w:val="bottom"/>
            <w:gridSpan w:val="2"/>
          </w:tcPr>
          <w:p>
            <w:pPr>
              <w:ind w:left="5440"/>
              <w:spacing w:after="0"/>
              <w:rPr>
                <w:sz w:val="20"/>
                <w:szCs w:val="20"/>
                <w:color w:val="auto"/>
              </w:rPr>
            </w:pPr>
            <w:r>
              <w:rPr>
                <w:rFonts w:ascii="Arial" w:cs="Arial" w:eastAsia="Arial" w:hAnsi="Arial"/>
                <w:sz w:val="18"/>
                <w:szCs w:val="18"/>
                <w:color w:val="auto"/>
              </w:rPr>
              <w:t>F-55</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5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-5845810</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-5845810</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-5845810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-4413885</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-4148455</wp:posOffset>
            </wp:positionV>
            <wp:extent cx="685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-2887980</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-2887980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9" w:name="page150"/>
    <w:bookmarkEnd w:id="149"/>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 of selling, general and administrative expenses (“SG&amp;A”) is total SG&amp;A excluding allocations.</w:t>
      </w:r>
    </w:p>
    <w:p>
      <w:pPr>
        <w:spacing w:after="0" w:line="13" w:lineRule="exact"/>
        <w:rPr>
          <w:rFonts w:ascii="Arial" w:cs="Arial" w:eastAsia="Arial" w:hAnsi="Arial"/>
          <w:sz w:val="18"/>
          <w:szCs w:val="18"/>
          <w:color w:val="auto"/>
        </w:rPr>
      </w:pPr>
    </w:p>
    <w:p>
      <w:pPr>
        <w:ind w:left="520" w:right="440" w:hanging="512"/>
        <w:spacing w:after="0" w:line="234"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 of other segment items is the difference between segment revenue less direct cost of contracts, segment SG&amp;A expenses, equity in earnings (losses) of unconsolidated joint ventures, and Adjusted EBITDA attributable to Parsons Corporation. Other segment items primarily include:</w:t>
      </w:r>
    </w:p>
    <w:p>
      <w:pPr>
        <w:spacing w:after="0" w:line="2" w:lineRule="exact"/>
        <w:rPr>
          <w:rFonts w:ascii="Arial" w:cs="Arial" w:eastAsia="Arial" w:hAnsi="Arial"/>
          <w:sz w:val="18"/>
          <w:szCs w:val="18"/>
          <w:color w:val="auto"/>
        </w:rPr>
      </w:pPr>
    </w:p>
    <w:p>
      <w:pPr>
        <w:ind w:left="1260" w:hanging="503"/>
        <w:spacing w:after="0" w:line="234"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Corporate and shared segment SG&amp;A (excluding Adjusted EBITDA items)</w:t>
      </w:r>
    </w:p>
    <w:p>
      <w:pPr>
        <w:ind w:left="1260" w:hanging="503"/>
        <w:spacing w:after="0" w:line="234"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Noncontrolling interests attributable to operating income and other income/expense</w:t>
      </w:r>
    </w:p>
    <w:p>
      <w:pPr>
        <w:ind w:left="1260" w:hanging="503"/>
        <w:spacing w:after="0" w:line="234"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Bad debt expense</w:t>
      </w:r>
    </w:p>
    <w:p>
      <w:pPr>
        <w:ind w:left="1260" w:hanging="503"/>
        <w:spacing w:after="0" w:line="234"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Sublease income</w:t>
      </w:r>
    </w:p>
    <w:p>
      <w:pPr>
        <w:ind w:left="1260" w:hanging="503"/>
        <w:spacing w:after="0" w:line="234"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Foreign currency gain/loss, and</w:t>
      </w:r>
    </w:p>
    <w:p>
      <w:pPr>
        <w:ind w:left="1260" w:hanging="503"/>
        <w:spacing w:after="0" w:line="234"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Certain other income/expense items</w:t>
      </w:r>
    </w:p>
    <w:p>
      <w:pPr>
        <w:ind w:left="520" w:right="220" w:hanging="512"/>
        <w:spacing w:after="0" w:line="234"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initiatives.</w:t>
      </w:r>
    </w:p>
    <w:p>
      <w:pPr>
        <w:ind w:left="520" w:right="240" w:hanging="512"/>
        <w:spacing w:after="0" w:line="250"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The following table presents revenues and property and equipment, net by geographic area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North America</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5,677,933</w:t>
            </w:r>
          </w:p>
        </w:tc>
        <w:tc>
          <w:tcPr>
            <w:tcW w:w="5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4,481,492</w:t>
            </w:r>
          </w:p>
        </w:tc>
        <w:tc>
          <w:tcPr>
            <w:tcW w:w="5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3,463,128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Middle East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1,052,509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943,175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710,830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20,134</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18,082</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21,314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6,750,576</w:t>
            </w:r>
          </w:p>
        </w:tc>
        <w:tc>
          <w:tcPr>
            <w:tcW w:w="5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5,442,749</w:t>
            </w:r>
          </w:p>
        </w:tc>
        <w:tc>
          <w:tcPr>
            <w:tcW w:w="5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4,195,272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80"/>
              <w:spacing w:after="0" w:line="202" w:lineRule="exact"/>
              <w:rPr>
                <w:sz w:val="20"/>
                <w:szCs w:val="20"/>
                <w:color w:val="auto"/>
              </w:rPr>
            </w:pPr>
            <w:r>
              <w:rPr>
                <w:rFonts w:ascii="Arial" w:cs="Arial" w:eastAsia="Arial" w:hAnsi="Arial"/>
                <w:sz w:val="18"/>
                <w:szCs w:val="18"/>
                <w:color w:val="auto"/>
              </w:rPr>
              <w:t>North America</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101,044</w:t>
            </w:r>
          </w:p>
        </w:tc>
        <w:tc>
          <w:tcPr>
            <w:tcW w:w="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91,766</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91,217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Middle East</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10,531</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7,191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4,833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Total property and equipment, net</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111,575</w:t>
            </w:r>
          </w:p>
        </w:tc>
        <w:tc>
          <w:tcPr>
            <w:tcW w:w="5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98,957</w:t>
            </w:r>
          </w:p>
        </w:tc>
        <w:tc>
          <w:tcPr>
            <w:tcW w:w="5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96,050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-710565</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-710565</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-162560</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-162560</wp:posOffset>
            </wp:positionV>
            <wp:extent cx="685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North America revenue includes $5.2 billion, $4.1 billion and $3.2 billion of United States revenue for the years ended December 31, 2024, December 31, 2023 and December 31, 2022, respectively. North America property and equipment, net includes $94.0 million, $83.9 million and $84.4 million of property and equipment, net in the United States at December 31, 2024, December 31, 2023 and December 31, 2022, respectively.</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revenues by business lines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Defense &amp; Intelligence</w:t>
            </w:r>
          </w:p>
        </w:tc>
        <w:tc>
          <w:tcPr>
            <w:tcW w:w="20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1,772,481</w:t>
            </w:r>
          </w:p>
        </w:tc>
        <w:tc>
          <w:tcPr>
            <w:tcW w:w="5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1,539,968</w:t>
            </w:r>
          </w:p>
        </w:tc>
        <w:tc>
          <w:tcPr>
            <w:tcW w:w="5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1,368,779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520"/>
              <w:spacing w:after="0" w:line="202" w:lineRule="exact"/>
              <w:rPr>
                <w:sz w:val="20"/>
                <w:szCs w:val="20"/>
                <w:color w:val="auto"/>
              </w:rPr>
            </w:pPr>
            <w:r>
              <w:rPr>
                <w:rFonts w:ascii="Arial" w:cs="Arial" w:eastAsia="Arial" w:hAnsi="Arial"/>
                <w:sz w:val="18"/>
                <w:szCs w:val="18"/>
                <w:color w:val="auto"/>
              </w:rPr>
              <w:t>Engineered Systems</w:t>
            </w:r>
          </w:p>
        </w:tc>
        <w:tc>
          <w:tcPr>
            <w:tcW w:w="1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00"/>
              <w:spacing w:after="0" w:line="202" w:lineRule="exact"/>
              <w:rPr>
                <w:sz w:val="20"/>
                <w:szCs w:val="20"/>
                <w:color w:val="auto"/>
              </w:rPr>
            </w:pPr>
            <w:r>
              <w:rPr>
                <w:rFonts w:ascii="Arial" w:cs="Arial" w:eastAsia="Arial" w:hAnsi="Arial"/>
                <w:sz w:val="18"/>
                <w:szCs w:val="18"/>
                <w:color w:val="auto"/>
                <w:w w:val="99"/>
              </w:rPr>
              <w:t>2,234,633</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1,480,733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844,208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Federal Solutions revenues</w:t>
            </w:r>
          </w:p>
        </w:tc>
        <w:tc>
          <w:tcPr>
            <w:tcW w:w="17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w w:val="99"/>
              </w:rPr>
              <w:t>4,007,114</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3,020,701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2,212,987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ind w:left="520"/>
              <w:spacing w:after="0" w:line="196" w:lineRule="exact"/>
              <w:rPr>
                <w:sz w:val="20"/>
                <w:szCs w:val="20"/>
                <w:color w:val="auto"/>
              </w:rPr>
            </w:pPr>
            <w:r>
              <w:rPr>
                <w:rFonts w:ascii="Arial" w:cs="Arial" w:eastAsia="Arial" w:hAnsi="Arial"/>
                <w:sz w:val="18"/>
                <w:szCs w:val="18"/>
                <w:color w:val="auto"/>
              </w:rPr>
              <w:t>Infrastructure – North America</w:t>
            </w: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ind w:left="200"/>
              <w:spacing w:after="0" w:line="196" w:lineRule="exact"/>
              <w:rPr>
                <w:sz w:val="20"/>
                <w:szCs w:val="20"/>
                <w:color w:val="auto"/>
              </w:rPr>
            </w:pPr>
            <w:r>
              <w:rPr>
                <w:rFonts w:ascii="Arial" w:cs="Arial" w:eastAsia="Arial" w:hAnsi="Arial"/>
                <w:sz w:val="18"/>
                <w:szCs w:val="18"/>
                <w:color w:val="auto"/>
                <w:w w:val="99"/>
              </w:rPr>
              <w:t>1,683,664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1,472,768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1,265,376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FF0FC"/>
            </w:tcBorders>
            <w:shd w:val="clear" w:color="auto" w:fill="CFF0FC"/>
          </w:tcPr>
          <w:p>
            <w:pPr>
              <w:ind w:left="520"/>
              <w:spacing w:after="0" w:line="202" w:lineRule="exact"/>
              <w:rPr>
                <w:sz w:val="20"/>
                <w:szCs w:val="20"/>
                <w:color w:val="auto"/>
              </w:rPr>
            </w:pPr>
            <w:r>
              <w:rPr>
                <w:rFonts w:ascii="Arial" w:cs="Arial" w:eastAsia="Arial" w:hAnsi="Arial"/>
                <w:sz w:val="18"/>
                <w:szCs w:val="18"/>
                <w:color w:val="auto"/>
              </w:rPr>
              <w:t>Infrastructure – Europe, Middle East and Africa</w:t>
            </w:r>
          </w:p>
        </w:tc>
        <w:tc>
          <w:tcPr>
            <w:tcW w:w="17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1,059,798</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949,280</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716,909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ind w:left="280"/>
              <w:spacing w:after="0" w:line="196" w:lineRule="exact"/>
              <w:rPr>
                <w:sz w:val="20"/>
                <w:szCs w:val="20"/>
                <w:color w:val="auto"/>
              </w:rPr>
            </w:pPr>
            <w:r>
              <w:rPr>
                <w:rFonts w:ascii="Arial" w:cs="Arial" w:eastAsia="Arial" w:hAnsi="Arial"/>
                <w:sz w:val="18"/>
                <w:szCs w:val="18"/>
                <w:color w:val="auto"/>
              </w:rPr>
              <w:t>Critical Infrastructure revenues</w:t>
            </w:r>
          </w:p>
        </w:tc>
        <w:tc>
          <w:tcPr>
            <w:tcW w:w="1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w w:val="99"/>
              </w:rPr>
              <w:t>2,743,462</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2,422,048</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1,982,285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revenues</w:t>
            </w:r>
          </w:p>
        </w:tc>
        <w:tc>
          <w:tcPr>
            <w:tcW w:w="17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ind w:left="200"/>
              <w:spacing w:after="0" w:line="196" w:lineRule="exact"/>
              <w:rPr>
                <w:sz w:val="20"/>
                <w:szCs w:val="20"/>
                <w:color w:val="auto"/>
              </w:rPr>
            </w:pPr>
            <w:r>
              <w:rPr>
                <w:rFonts w:ascii="Arial" w:cs="Arial" w:eastAsia="Arial" w:hAnsi="Arial"/>
                <w:sz w:val="18"/>
                <w:szCs w:val="18"/>
                <w:color w:val="auto"/>
                <w:w w:val="99"/>
              </w:rPr>
              <w:t>6,750,576</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5,442,749</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4,195,272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56"/>
        </w:trPr>
        <w:tc>
          <w:tcPr>
            <w:tcW w:w="4860" w:type="dxa"/>
            <w:vAlign w:val="bottom"/>
          </w:tcPr>
          <w:p>
            <w:pPr>
              <w:spacing w:after="0"/>
              <w:rPr>
                <w:sz w:val="24"/>
                <w:szCs w:val="24"/>
                <w:color w:val="auto"/>
              </w:rPr>
            </w:pPr>
          </w:p>
        </w:tc>
        <w:tc>
          <w:tcPr>
            <w:tcW w:w="2060" w:type="dxa"/>
            <w:vAlign w:val="bottom"/>
            <w:gridSpan w:val="2"/>
          </w:tcPr>
          <w:p>
            <w:pPr>
              <w:jc w:val="right"/>
              <w:ind w:right="1030"/>
              <w:spacing w:after="0"/>
              <w:rPr>
                <w:sz w:val="20"/>
                <w:szCs w:val="20"/>
                <w:color w:val="auto"/>
              </w:rPr>
            </w:pPr>
            <w:r>
              <w:rPr>
                <w:rFonts w:ascii="Arial" w:cs="Arial" w:eastAsia="Arial" w:hAnsi="Arial"/>
                <w:sz w:val="18"/>
                <w:szCs w:val="18"/>
                <w:color w:val="auto"/>
              </w:rPr>
              <w:t>F-56</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8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-1670685</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-1670685</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-1405255</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-1405255</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-1130935</wp:posOffset>
            </wp:positionV>
            <wp:extent cx="6858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-1113790</wp:posOffset>
            </wp:positionV>
            <wp:extent cx="6858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-1130935</wp:posOffset>
            </wp:positionV>
            <wp:extent cx="6858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-1113790</wp:posOffset>
            </wp:positionV>
            <wp:extent cx="685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0" w:name="page151"/>
    <w:bookmarkEnd w:id="150"/>
    <w:p>
      <w:pPr>
        <w:jc w:val="center"/>
        <w:ind w:right="4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40"/>
        <w:spacing w:after="0"/>
        <w:rPr>
          <w:sz w:val="20"/>
          <w:szCs w:val="20"/>
          <w:color w:val="auto"/>
        </w:rPr>
      </w:pPr>
      <w:r>
        <w:rPr>
          <w:rFonts w:ascii="Arial" w:cs="Arial" w:eastAsia="Arial" w:hAnsi="Arial"/>
          <w:sz w:val="18"/>
          <w:szCs w:val="18"/>
          <w:b w:val="1"/>
          <w:bCs w:val="1"/>
          <w:color w:val="auto"/>
        </w:rPr>
        <w:t>December 31, 2024, December 31,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right="40" w:firstLine="509"/>
        <w:spacing w:after="0" w:line="266" w:lineRule="auto"/>
        <w:rPr>
          <w:sz w:val="20"/>
          <w:szCs w:val="20"/>
          <w:color w:val="auto"/>
        </w:rPr>
      </w:pPr>
      <w:r>
        <w:rPr>
          <w:rFonts w:ascii="Arial" w:cs="Arial" w:eastAsia="Arial" w:hAnsi="Arial"/>
          <w:sz w:val="17"/>
          <w:szCs w:val="17"/>
          <w:color w:val="auto"/>
        </w:rPr>
        <w:t>Effective June 1, 2022, the Company made changes to its Federal Solutions business units by transferring a portion of legacy Defense and Intelligence business unit to the Engineered Systems business unit. Effective October 1, 2023, the Company reorganized its Critical Infrastructure business units from Mobility Solutions and Connected Communities to Infrastructure – North America and Infrastructure – Europe, Middle East and Africa. The prior year information in the table above has been reclassified to conform to the business unit changes.</w:t>
      </w:r>
    </w:p>
    <w:p>
      <w:pPr>
        <w:spacing w:after="0" w:line="267"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 Unaudited</w:t>
      </w:r>
    </w:p>
    <w:p>
      <w:pPr>
        <w:spacing w:after="0" w:line="10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selected quarterly financial information (in thousands except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March 31, 2024</w:t>
            </w:r>
          </w:p>
        </w:tc>
        <w:tc>
          <w:tcPr>
            <w:tcW w:w="400" w:type="dxa"/>
            <w:vAlign w:val="bottom"/>
          </w:tcPr>
          <w:p>
            <w:pPr>
              <w:spacing w:after="0"/>
              <w:rPr>
                <w:sz w:val="14"/>
                <w:szCs w:val="14"/>
                <w:color w:val="auto"/>
              </w:rPr>
            </w:pPr>
          </w:p>
        </w:tc>
        <w:tc>
          <w:tcPr>
            <w:tcW w:w="1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 2024</w:t>
            </w:r>
          </w:p>
        </w:tc>
      </w:tr>
      <w:tr>
        <w:trPr>
          <w:trHeight w:val="155"/>
        </w:trPr>
        <w:tc>
          <w:tcPr>
            <w:tcW w:w="64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Federal Solutions revenue</w:t>
            </w:r>
          </w:p>
        </w:tc>
        <w:tc>
          <w:tcPr>
            <w:tcW w:w="34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909,608</w:t>
            </w:r>
          </w:p>
        </w:tc>
        <w:tc>
          <w:tcPr>
            <w:tcW w:w="30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1,003,323</w:t>
            </w:r>
          </w:p>
        </w:tc>
        <w:tc>
          <w:tcPr>
            <w:tcW w:w="100" w:type="dxa"/>
            <w:vAlign w:val="bottom"/>
            <w:shd w:val="clear" w:color="auto" w:fill="CFF0FC"/>
          </w:tcPr>
          <w:p>
            <w:pPr>
              <w:spacing w:after="0"/>
              <w:rPr>
                <w:sz w:val="13"/>
                <w:szCs w:val="13"/>
                <w:color w:val="auto"/>
              </w:rPr>
            </w:pPr>
          </w:p>
        </w:tc>
      </w:tr>
      <w:tr>
        <w:trPr>
          <w:trHeight w:val="162"/>
        </w:trPr>
        <w:tc>
          <w:tcPr>
            <w:tcW w:w="6440" w:type="dxa"/>
            <w:vAlign w:val="bottom"/>
          </w:tcPr>
          <w:p>
            <w:pPr>
              <w:ind w:left="20"/>
              <w:spacing w:after="0"/>
              <w:rPr>
                <w:sz w:val="20"/>
                <w:szCs w:val="20"/>
                <w:color w:val="auto"/>
              </w:rPr>
            </w:pPr>
            <w:r>
              <w:rPr>
                <w:rFonts w:ascii="Arial" w:cs="Arial" w:eastAsia="Arial" w:hAnsi="Arial"/>
                <w:sz w:val="14"/>
                <w:szCs w:val="14"/>
                <w:color w:val="auto"/>
              </w:rPr>
              <w:t>Critical Infrastructure revenue</w:t>
            </w: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626,068</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730,994</w:t>
            </w:r>
          </w:p>
        </w:tc>
        <w:tc>
          <w:tcPr>
            <w:tcW w:w="100" w:type="dxa"/>
            <w:vAlign w:val="bottom"/>
          </w:tcPr>
          <w:p>
            <w:pPr>
              <w:spacing w:after="0"/>
              <w:rPr>
                <w:sz w:val="14"/>
                <w:szCs w:val="14"/>
                <w:color w:val="auto"/>
              </w:rPr>
            </w:pPr>
          </w:p>
        </w:tc>
      </w:tr>
      <w:tr>
        <w:trPr>
          <w:trHeight w:val="155"/>
        </w:trPr>
        <w:tc>
          <w:tcPr>
            <w:tcW w:w="64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Total revenue</w:t>
            </w:r>
          </w:p>
        </w:tc>
        <w:tc>
          <w:tcPr>
            <w:tcW w:w="34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1,535,676</w:t>
            </w:r>
          </w:p>
        </w:tc>
        <w:tc>
          <w:tcPr>
            <w:tcW w:w="3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1,734,317</w:t>
            </w:r>
          </w:p>
        </w:tc>
        <w:tc>
          <w:tcPr>
            <w:tcW w:w="100" w:type="dxa"/>
            <w:vAlign w:val="bottom"/>
            <w:shd w:val="clear" w:color="auto" w:fill="CFF0FC"/>
          </w:tcPr>
          <w:p>
            <w:pPr>
              <w:spacing w:after="0"/>
              <w:rPr>
                <w:sz w:val="13"/>
                <w:szCs w:val="13"/>
                <w:color w:val="auto"/>
              </w:rPr>
            </w:pPr>
          </w:p>
        </w:tc>
      </w:tr>
      <w:tr>
        <w:trPr>
          <w:trHeight w:val="162"/>
        </w:trPr>
        <w:tc>
          <w:tcPr>
            <w:tcW w:w="64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101,844</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99,812</w:t>
            </w:r>
          </w:p>
        </w:tc>
        <w:tc>
          <w:tcPr>
            <w:tcW w:w="100" w:type="dxa"/>
            <w:vAlign w:val="bottom"/>
          </w:tcPr>
          <w:p>
            <w:pPr>
              <w:spacing w:after="0"/>
              <w:rPr>
                <w:sz w:val="14"/>
                <w:szCs w:val="14"/>
                <w:color w:val="auto"/>
              </w:rPr>
            </w:pPr>
          </w:p>
        </w:tc>
      </w:tr>
      <w:tr>
        <w:trPr>
          <w:trHeight w:val="162"/>
        </w:trPr>
        <w:tc>
          <w:tcPr>
            <w:tcW w:w="6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Convertible debt repurchase loss (1)</w:t>
            </w:r>
          </w:p>
        </w:tc>
        <w:tc>
          <w:tcPr>
            <w:tcW w:w="34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(18,355 )</w:t>
            </w:r>
          </w:p>
        </w:tc>
        <w:tc>
          <w:tcPr>
            <w:tcW w:w="400" w:type="dxa"/>
            <w:vAlign w:val="bottom"/>
            <w:shd w:val="clear" w:color="auto" w:fill="CFF0FC"/>
          </w:tcPr>
          <w:p>
            <w:pPr>
              <w:spacing w:after="0"/>
              <w:rPr>
                <w:sz w:val="14"/>
                <w:szCs w:val="14"/>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6440" w:type="dxa"/>
            <w:vAlign w:val="bottom"/>
          </w:tcPr>
          <w:p>
            <w:pPr>
              <w:ind w:left="20"/>
              <w:spacing w:after="0"/>
              <w:rPr>
                <w:sz w:val="20"/>
                <w:szCs w:val="20"/>
                <w:color w:val="auto"/>
              </w:rPr>
            </w:pPr>
            <w:r>
              <w:rPr>
                <w:rFonts w:ascii="Arial" w:cs="Arial" w:eastAsia="Arial" w:hAnsi="Arial"/>
                <w:sz w:val="14"/>
                <w:szCs w:val="14"/>
                <w:color w:val="auto"/>
              </w:rPr>
              <w:t>Income tax expense (1)</w:t>
            </w:r>
          </w:p>
        </w:tc>
        <w:tc>
          <w:tcPr>
            <w:tcW w:w="340" w:type="dxa"/>
            <w:vAlign w:val="bottom"/>
          </w:tcPr>
          <w:p>
            <w:pPr>
              <w:spacing w:after="0"/>
              <w:rPr>
                <w:sz w:val="14"/>
                <w:szCs w:val="14"/>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4"/>
                <w:szCs w:val="14"/>
                <w:color w:val="auto"/>
              </w:rPr>
              <w:t>(13,324 )</w:t>
            </w:r>
          </w:p>
        </w:tc>
        <w:tc>
          <w:tcPr>
            <w:tcW w:w="400" w:type="dxa"/>
            <w:vAlign w:val="bottom"/>
          </w:tcPr>
          <w:p>
            <w:pPr>
              <w:spacing w:after="0"/>
              <w:rPr>
                <w:sz w:val="14"/>
                <w:szCs w:val="14"/>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4"/>
                <w:szCs w:val="14"/>
                <w:color w:val="auto"/>
              </w:rPr>
              <w:t>(18,729 )</w:t>
            </w:r>
          </w:p>
        </w:tc>
      </w:tr>
      <w:tr>
        <w:trPr>
          <w:trHeight w:val="162"/>
        </w:trPr>
        <w:tc>
          <w:tcPr>
            <w:tcW w:w="6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Parsons Corporation (1)</w:t>
            </w:r>
          </w:p>
        </w:tc>
        <w:tc>
          <w:tcPr>
            <w:tcW w:w="340" w:type="dxa"/>
            <w:vAlign w:val="bottom"/>
            <w:shd w:val="clear" w:color="auto" w:fill="CFF0FC"/>
          </w:tcPr>
          <w:p>
            <w:pPr>
              <w:spacing w:after="0"/>
              <w:rPr>
                <w:sz w:val="14"/>
                <w:szCs w:val="14"/>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39,750</w:t>
            </w: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54,180</w:t>
            </w:r>
          </w:p>
        </w:tc>
        <w:tc>
          <w:tcPr>
            <w:tcW w:w="100" w:type="dxa"/>
            <w:vAlign w:val="bottom"/>
            <w:shd w:val="clear" w:color="auto" w:fill="CFF0FC"/>
          </w:tcPr>
          <w:p>
            <w:pPr>
              <w:spacing w:after="0"/>
              <w:rPr>
                <w:sz w:val="14"/>
                <w:szCs w:val="14"/>
                <w:color w:val="auto"/>
              </w:rPr>
            </w:pPr>
          </w:p>
        </w:tc>
      </w:tr>
      <w:tr>
        <w:trPr>
          <w:trHeight w:val="175"/>
        </w:trPr>
        <w:tc>
          <w:tcPr>
            <w:tcW w:w="644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0.37</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0.51</w:t>
            </w:r>
          </w:p>
        </w:tc>
        <w:tc>
          <w:tcPr>
            <w:tcW w:w="100" w:type="dxa"/>
            <w:vAlign w:val="bottom"/>
            <w:shd w:val="clear" w:color="auto" w:fill="CFF0FC"/>
          </w:tcPr>
          <w:p>
            <w:pPr>
              <w:spacing w:after="0"/>
              <w:rPr>
                <w:sz w:val="15"/>
                <w:szCs w:val="15"/>
                <w:color w:val="auto"/>
              </w:rPr>
            </w:pPr>
          </w:p>
        </w:tc>
      </w:tr>
      <w:tr>
        <w:trPr>
          <w:trHeight w:val="194"/>
        </w:trPr>
        <w:tc>
          <w:tcPr>
            <w:tcW w:w="6440" w:type="dxa"/>
            <w:vAlign w:val="bottom"/>
          </w:tcPr>
          <w:p>
            <w:pPr>
              <w:ind w:left="120"/>
              <w:spacing w:after="0"/>
              <w:rPr>
                <w:sz w:val="20"/>
                <w:szCs w:val="20"/>
                <w:color w:val="auto"/>
              </w:rPr>
            </w:pPr>
            <w:r>
              <w:rPr>
                <w:rFonts w:ascii="Arial" w:cs="Arial" w:eastAsia="Arial" w:hAnsi="Arial"/>
                <w:sz w:val="14"/>
                <w:szCs w:val="14"/>
                <w:color w:val="auto"/>
              </w:rPr>
              <w:t>Diluted (2)</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0.37</w:t>
            </w:r>
          </w:p>
        </w:tc>
        <w:tc>
          <w:tcPr>
            <w:tcW w:w="3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6"/>
                <w:szCs w:val="16"/>
                <w:color w:val="auto"/>
              </w:rPr>
            </w:pPr>
          </w:p>
        </w:tc>
      </w:tr>
    </w:tbl>
    <w:p>
      <w:pPr>
        <w:spacing w:after="0" w:line="102" w:lineRule="exact"/>
        <w:rPr>
          <w:sz w:val="20"/>
          <w:szCs w:val="20"/>
          <w:color w:val="auto"/>
        </w:rPr>
      </w:pPr>
    </w:p>
    <w:p>
      <w:pPr>
        <w:ind w:right="20" w:firstLine="517"/>
        <w:spacing w:after="0"/>
        <w:tabs>
          <w:tab w:leader="none" w:pos="602" w:val="left"/>
        </w:tabs>
        <w:numPr>
          <w:ilvl w:val="0"/>
          <w:numId w:val="79"/>
        </w:numPr>
        <w:rPr>
          <w:rFonts w:ascii="Arial" w:cs="Arial" w:eastAsia="Arial" w:hAnsi="Arial"/>
          <w:sz w:val="22"/>
          <w:szCs w:val="22"/>
          <w:color w:val="auto"/>
          <w:vertAlign w:val="superscript"/>
        </w:rPr>
      </w:pPr>
      <w:r>
        <w:rPr>
          <w:rFonts w:ascii="Arial" w:cs="Arial" w:eastAsia="Arial" w:hAnsi="Arial"/>
          <w:sz w:val="16"/>
          <w:szCs w:val="16"/>
          <w:color w:val="auto"/>
        </w:rPr>
        <w:t>Presents the revised quarterly financial data resulting from the adoption of Accounting Standards Update (“ASU”) 2024-04 as of January 1, 2024 on a prospective basis. As a result of the adoption of ASU 2024-04, the Company reversed a loss on extinguishment of debt for the partial repurchase of the Convertible Senior Notes due 2025 and recorded the repurchase transaction as an induced conversion. This change from extinguishment to inducement accounting resulted in the Company (i.) reversing the $211.0 million loss and the related $49.9 million tax benefit on extinguishment of debt, recorded in Q1 2024, (ii.) recording a $18.4 million convertible debt repurchase loss, (iii.) the difference between the extinguishment loss and inducement expense of $192.6 million recorded to equity, and (iv.) the related tax benefit of $45.6 million recorded to equity. See "Note 2—Summary of Significant Accounting Polices— New Accounting Pronouncements</w:t>
      </w:r>
      <w:r>
        <w:rPr>
          <w:rFonts w:ascii="Arial" w:cs="Arial" w:eastAsia="Arial" w:hAnsi="Arial"/>
          <w:sz w:val="16"/>
          <w:szCs w:val="16"/>
          <w:i w:val="1"/>
          <w:iCs w:val="1"/>
          <w:color w:val="auto"/>
        </w:rPr>
        <w:t>"</w:t>
      </w:r>
      <w:r>
        <w:rPr>
          <w:rFonts w:ascii="Arial" w:cs="Arial" w:eastAsia="Arial" w:hAnsi="Arial"/>
          <w:sz w:val="16"/>
          <w:szCs w:val="16"/>
          <w:color w:val="auto"/>
        </w:rPr>
        <w:t xml:space="preserve"> for a further discussion of the first quarter 2024 extinguishment accounting and subsequent change to inducement accounting.</w:t>
      </w:r>
    </w:p>
    <w:p>
      <w:pPr>
        <w:spacing w:after="0" w:line="277" w:lineRule="exact"/>
        <w:rPr>
          <w:sz w:val="20"/>
          <w:szCs w:val="20"/>
          <w:color w:val="auto"/>
        </w:rPr>
      </w:pPr>
    </w:p>
    <w:p>
      <w:pPr>
        <w:ind w:right="120" w:firstLine="517"/>
        <w:spacing w:after="0" w:line="216" w:lineRule="auto"/>
        <w:tabs>
          <w:tab w:leader="none" w:pos="614" w:val="left"/>
        </w:tabs>
        <w:numPr>
          <w:ilvl w:val="1"/>
          <w:numId w:val="80"/>
        </w:numPr>
        <w:rPr>
          <w:rFonts w:ascii="Arial" w:cs="Arial" w:eastAsia="Arial" w:hAnsi="Arial"/>
          <w:sz w:val="22"/>
          <w:szCs w:val="22"/>
          <w:color w:val="auto"/>
          <w:vertAlign w:val="superscript"/>
        </w:rPr>
      </w:pPr>
      <w:r>
        <w:rPr>
          <w:rFonts w:ascii="Arial" w:cs="Arial" w:eastAsia="Arial" w:hAnsi="Arial"/>
          <w:sz w:val="16"/>
          <w:szCs w:val="16"/>
          <w:color w:val="auto"/>
        </w:rPr>
        <w:t>Diluted earnings per share prior to the adoption of ASU 2024-04 did not include certain adjustments as their inclusion would have been antidilutive. Subsequent to the adoption of ASU 2024-04 these adjustments are no longer antidilutive. Dilutive adjustments include if converted interest of $2.8 million,</w:t>
      </w:r>
    </w:p>
    <w:p>
      <w:pPr>
        <w:ind w:right="60"/>
        <w:spacing w:after="0" w:line="265" w:lineRule="auto"/>
        <w:rPr>
          <w:rFonts w:ascii="Arial" w:cs="Arial" w:eastAsia="Arial" w:hAnsi="Arial"/>
          <w:sz w:val="22"/>
          <w:szCs w:val="22"/>
          <w:color w:val="auto"/>
          <w:vertAlign w:val="superscript"/>
        </w:rPr>
      </w:pPr>
      <w:r>
        <w:rPr>
          <w:rFonts w:ascii="Arial" w:cs="Arial" w:eastAsia="Arial" w:hAnsi="Arial"/>
          <w:sz w:val="16"/>
          <w:szCs w:val="16"/>
          <w:color w:val="auto"/>
        </w:rPr>
        <w:t>1.5 million shares related to stock based awards and 6.8 million shares related to convertible senior notes. Inclusion of these dilution adjustments resulted in dilutive net income attributable to Parsons Corporation of $42.5 million and total diluted shares of 114.4 million for the quarter ended March 31, 2024.</w:t>
      </w:r>
    </w:p>
    <w:p>
      <w:pPr>
        <w:spacing w:after="0" w:line="274" w:lineRule="exact"/>
        <w:rPr>
          <w:rFonts w:ascii="Arial" w:cs="Arial" w:eastAsia="Arial" w:hAnsi="Arial"/>
          <w:sz w:val="22"/>
          <w:szCs w:val="22"/>
          <w:color w:val="auto"/>
          <w:vertAlign w:val="superscript"/>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After the year ended December 31, 2024, the Company entered into a merger agreement to acquire a 100% ownership interest in TRS</w:t>
      </w:r>
    </w:p>
    <w:p>
      <w:pPr>
        <w:spacing w:after="0" w:line="2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Group, Inc. ("TRS") for approximately $36 million from cash on hand. Headquartered in Indianapolis, Indiana, TRS is an environmental solutions firm that specializes in remediation technology. At the time of the filing of this Form 10-K, the Company has just started the process of obtaining the relevant data to make the required acquisition related disclosures. This acquisition is not 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1" w:name="page152"/>
    <w:bookmarkEnd w:id="151"/>
    <w:p>
      <w:pPr>
        <w:ind w:left="356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 and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6"/>
              <w:spacing w:after="0"/>
              <w:rPr>
                <w:sz w:val="20"/>
                <w:szCs w:val="20"/>
                <w:color w:val="auto"/>
              </w:rPr>
            </w:pPr>
            <w:r>
              <w:rPr>
                <w:rFonts w:ascii="Arial" w:cs="Arial" w:eastAsia="Arial" w:hAnsi="Arial"/>
                <w:sz w:val="14"/>
                <w:szCs w:val="14"/>
                <w:b w:val="1"/>
                <w:bCs w:val="1"/>
                <w:color w:val="auto"/>
              </w:rPr>
              <w:t>beginning</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foreign</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Balance at</w:t>
            </w: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040" w:type="dxa"/>
            <w:vAlign w:val="bottom"/>
          </w:tcPr>
          <w:p>
            <w:pPr>
              <w:jc w:val="center"/>
              <w:ind w:right="96"/>
              <w:spacing w:after="0"/>
              <w:rPr>
                <w:sz w:val="20"/>
                <w:szCs w:val="20"/>
                <w:color w:val="auto"/>
              </w:rPr>
            </w:pPr>
            <w:r>
              <w:rPr>
                <w:rFonts w:ascii="Arial" w:cs="Arial" w:eastAsia="Arial" w:hAnsi="Arial"/>
                <w:sz w:val="14"/>
                <w:szCs w:val="14"/>
                <w:b w:val="1"/>
                <w:bCs w:val="1"/>
                <w:color w:val="auto"/>
              </w:rPr>
              <w:t>of period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213"/>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Deductions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exchange impact</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end of period</w:t>
            </w:r>
          </w:p>
        </w:tc>
      </w:tr>
      <w:tr>
        <w:trPr>
          <w:trHeight w:val="196"/>
        </w:trPr>
        <w:tc>
          <w:tcPr>
            <w:tcW w:w="4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2024</w:t>
            </w: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3,952</w:t>
            </w:r>
          </w:p>
        </w:tc>
        <w:tc>
          <w:tcPr>
            <w:tcW w:w="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(66 )</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3,886</w:t>
            </w:r>
          </w:p>
        </w:tc>
        <w:tc>
          <w:tcPr>
            <w:tcW w:w="100" w:type="dxa"/>
            <w:vAlign w:val="bottom"/>
          </w:tcPr>
          <w:p>
            <w:pPr>
              <w:spacing w:after="0"/>
              <w:rPr>
                <w:sz w:val="17"/>
                <w:szCs w:val="17"/>
                <w:color w:val="auto"/>
              </w:rPr>
            </w:pPr>
          </w:p>
        </w:tc>
      </w:tr>
      <w:tr>
        <w:trPr>
          <w:trHeight w:val="203"/>
        </w:trPr>
        <w:tc>
          <w:tcPr>
            <w:tcW w:w="4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34,779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11,452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(328 )</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(585 )</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45,318</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4,011</w:t>
            </w:r>
          </w:p>
        </w:tc>
        <w:tc>
          <w:tcPr>
            <w:tcW w:w="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(59 )</w:t>
            </w:r>
          </w:p>
        </w:tc>
        <w:tc>
          <w:tcPr>
            <w:tcW w:w="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3,952</w:t>
            </w: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28,705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8,209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(2,437 )</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34,779</w:t>
            </w:r>
          </w:p>
        </w:tc>
        <w:tc>
          <w:tcPr>
            <w:tcW w:w="100" w:type="dxa"/>
            <w:vAlign w:val="bottom"/>
          </w:tcPr>
          <w:p>
            <w:pPr>
              <w:spacing w:after="0"/>
              <w:rPr>
                <w:sz w:val="17"/>
                <w:szCs w:val="17"/>
                <w:color w:val="auto"/>
              </w:rPr>
            </w:pPr>
          </w:p>
        </w:tc>
      </w:tr>
      <w:tr>
        <w:trPr>
          <w:trHeight w:val="203"/>
        </w:trPr>
        <w:tc>
          <w:tcPr>
            <w:tcW w:w="4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3,955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(3 )</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4,011</w:t>
            </w:r>
          </w:p>
        </w:tc>
        <w:tc>
          <w:tcPr>
            <w:tcW w:w="100" w:type="dxa"/>
            <w:vAlign w:val="bottom"/>
          </w:tcPr>
          <w:p>
            <w:pPr>
              <w:spacing w:after="0"/>
              <w:rPr>
                <w:sz w:val="17"/>
                <w:szCs w:val="17"/>
                <w:color w:val="auto"/>
              </w:rPr>
            </w:pPr>
          </w:p>
        </w:tc>
      </w:tr>
      <w:tr>
        <w:trPr>
          <w:trHeight w:val="203"/>
        </w:trPr>
        <w:tc>
          <w:tcPr>
            <w:tcW w:w="4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27,348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(2,180 )</w:t>
            </w: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(119 )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28,705</w:t>
            </w:r>
          </w:p>
        </w:tc>
        <w:tc>
          <w:tcPr>
            <w:tcW w:w="100" w:type="dxa"/>
            <w:vAlign w:val="bottom"/>
            <w:shd w:val="clear" w:color="auto" w:fill="CFF0FC"/>
          </w:tcPr>
          <w:p>
            <w:pPr>
              <w:spacing w:after="0"/>
              <w:rPr>
                <w:sz w:val="17"/>
                <w:szCs w:val="17"/>
                <w:color w:val="auto"/>
              </w:rPr>
            </w:pPr>
          </w:p>
        </w:tc>
      </w:tr>
      <w:tr>
        <w:trPr>
          <w:trHeight w:val="882"/>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F-58</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2" w:name="page153"/>
    <w:bookmarkEnd w:id="152"/>
    <w:p>
      <w:pPr>
        <w:jc w:val="right"/>
        <w:spacing w:after="0"/>
        <w:rPr>
          <w:sz w:val="20"/>
          <w:szCs w:val="20"/>
          <w:color w:val="auto"/>
        </w:rPr>
      </w:pPr>
      <w:r>
        <w:rPr>
          <w:rFonts w:ascii="Calibri" w:cs="Calibri" w:eastAsia="Calibri" w:hAnsi="Calibri"/>
          <w:sz w:val="20"/>
          <w:szCs w:val="20"/>
          <w:color w:val="auto"/>
        </w:rPr>
        <w:t>Exhibit 10.71</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ELEVENTH AMENDMENT TO THE</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PARSONS CORPORATION RETIREMENT SAVINGS PLAN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(2017 AMENDMENT AND RESTATEMENT)</w:t>
      </w:r>
    </w:p>
    <w:p>
      <w:pPr>
        <w:spacing w:after="0" w:line="356"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20"/>
          <w:szCs w:val="20"/>
          <w:color w:val="auto"/>
        </w:rPr>
        <w:t>The Parsons Corporation Retirement Savings Plan (2017 Amendment and Restatement), as previously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 hereby amended as follows:</w:t>
      </w:r>
    </w:p>
    <w:p>
      <w:pPr>
        <w:spacing w:after="0" w:line="78" w:lineRule="exact"/>
        <w:rPr>
          <w:sz w:val="20"/>
          <w:szCs w:val="20"/>
          <w:color w:val="auto"/>
        </w:rPr>
      </w:pPr>
    </w:p>
    <w:p>
      <w:pPr>
        <w:ind w:left="760" w:hanging="378"/>
        <w:spacing w:after="0"/>
        <w:tabs>
          <w:tab w:leader="none" w:pos="7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2.14.2.8 is hereby amended to read as follows:</w:t>
      </w:r>
    </w:p>
    <w:p>
      <w:pPr>
        <w:spacing w:after="0" w:line="144" w:lineRule="exact"/>
        <w:rPr>
          <w:rFonts w:ascii="Times New Roman" w:cs="Times New Roman" w:eastAsia="Times New Roman" w:hAnsi="Times New Roman"/>
          <w:sz w:val="20"/>
          <w:szCs w:val="20"/>
          <w:color w:val="auto"/>
        </w:rPr>
      </w:pPr>
    </w:p>
    <w:p>
      <w:pPr>
        <w:jc w:val="both"/>
        <w:ind w:left="760" w:right="160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2.14.2.8. </w:t>
      </w:r>
      <w:r>
        <w:rPr>
          <w:rFonts w:ascii="Times New Roman" w:cs="Times New Roman" w:eastAsia="Times New Roman" w:hAnsi="Times New Roman"/>
          <w:sz w:val="20"/>
          <w:szCs w:val="20"/>
          <w:color w:val="auto"/>
        </w:rPr>
        <w:t>for periods prior to June 1, 2022, an Employee of Parsons Government Support Services who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performing services for a Participating Company under a public contract subject to the Davis-Bacon Act, the Service Contract Act, or any other federal, state or municipal prevailing wage law.</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3" w:lineRule="exact"/>
        <w:rPr>
          <w:rFonts w:ascii="Times New Roman" w:cs="Times New Roman" w:eastAsia="Times New Roman" w:hAnsi="Times New Roman"/>
          <w:sz w:val="20"/>
          <w:szCs w:val="20"/>
          <w:color w:val="auto"/>
        </w:rPr>
      </w:pPr>
    </w:p>
    <w:p>
      <w:pPr>
        <w:ind w:left="5240"/>
        <w:spacing w:after="0"/>
        <w:rPr>
          <w:rFonts w:ascii="Times New Roman" w:cs="Times New Roman" w:eastAsia="Times New Roman" w:hAnsi="Times New Roman"/>
          <w:sz w:val="20"/>
          <w:szCs w:val="20"/>
          <w:color w:val="auto"/>
        </w:rPr>
      </w:pPr>
      <w:r>
        <w:rPr>
          <w:rFonts w:ascii="Calibri" w:cs="Calibri" w:eastAsia="Calibri" w:hAnsi="Calibri"/>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53" w:name="page154"/>
    <w:bookmarkEnd w:id="153"/>
    <w:p>
      <w:pPr>
        <w:jc w:val="right"/>
        <w:spacing w:after="0"/>
        <w:rPr>
          <w:sz w:val="20"/>
          <w:szCs w:val="20"/>
          <w:color w:val="auto"/>
        </w:rPr>
      </w:pPr>
      <w:r>
        <w:rPr>
          <w:rFonts w:ascii="Calibri" w:cs="Calibri" w:eastAsia="Calibri" w:hAnsi="Calibri"/>
          <w:sz w:val="20"/>
          <w:szCs w:val="20"/>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this instrument of amendment is executed this 21 day of October, 2024.</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PARSONS CORPORATION</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4060"/>
        <w:spacing w:after="0"/>
        <w:tabs>
          <w:tab w:leader="none" w:pos="4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1026795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75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7440" w:type="dxa"/>
            <w:vAlign w:val="bottom"/>
            <w:gridSpan w:val="3"/>
          </w:tcPr>
          <w:p>
            <w:pPr>
              <w:ind w:left="40"/>
              <w:spacing w:after="0"/>
              <w:rPr>
                <w:sz w:val="20"/>
                <w:szCs w:val="20"/>
                <w:color w:val="auto"/>
              </w:rPr>
            </w:pPr>
            <w:r>
              <w:rPr>
                <w:rFonts w:ascii="Calibri" w:cs="Calibri" w:eastAsia="Calibri" w:hAnsi="Calibri"/>
                <w:sz w:val="20"/>
                <w:szCs w:val="20"/>
                <w:b w:val="1"/>
                <w:bCs w:val="1"/>
                <w:color w:val="auto"/>
              </w:rPr>
              <w:t>LIST OF SUBSIDIARIES OF THE REGISTRANT</w:t>
            </w:r>
          </w:p>
        </w:tc>
      </w:tr>
      <w:tr>
        <w:trPr>
          <w:trHeight w:val="711"/>
        </w:trPr>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Calibri" w:cs="Calibri" w:eastAsia="Calibri" w:hAnsi="Calibri"/>
                <w:sz w:val="20"/>
                <w:szCs w:val="20"/>
                <w:b w:val="1"/>
                <w:bCs w:val="1"/>
                <w:color w:val="auto"/>
                <w:w w:val="99"/>
              </w:rPr>
              <w:t>Subsidiary</w:t>
            </w:r>
          </w:p>
        </w:tc>
        <w:tc>
          <w:tcPr>
            <w:tcW w:w="2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Calibri" w:cs="Calibri" w:eastAsia="Calibri" w:hAnsi="Calibri"/>
                <w:sz w:val="20"/>
                <w:szCs w:val="20"/>
                <w:b w:val="1"/>
                <w:bCs w:val="1"/>
                <w:color w:val="auto"/>
              </w:rPr>
              <w:t>Registered Jurisdicton</w:t>
            </w:r>
          </w:p>
        </w:tc>
        <w:tc>
          <w:tcPr>
            <w:tcW w:w="2080" w:type="dxa"/>
            <w:vAlign w:val="bottom"/>
          </w:tcPr>
          <w:p>
            <w:pPr>
              <w:spacing w:after="0"/>
              <w:rPr>
                <w:sz w:val="24"/>
                <w:szCs w:val="24"/>
                <w:color w:val="auto"/>
              </w:rPr>
            </w:pPr>
          </w:p>
        </w:tc>
      </w:tr>
      <w:tr>
        <w:trPr>
          <w:trHeight w:val="258"/>
        </w:trPr>
        <w:tc>
          <w:tcPr>
            <w:tcW w:w="100" w:type="dxa"/>
            <w:vAlign w:val="bottom"/>
          </w:tcPr>
          <w:p>
            <w:pPr>
              <w:spacing w:after="0"/>
              <w:rPr>
                <w:sz w:val="22"/>
                <w:szCs w:val="22"/>
                <w:color w:val="auto"/>
              </w:rPr>
            </w:pPr>
          </w:p>
        </w:tc>
        <w:tc>
          <w:tcPr>
            <w:tcW w:w="3700" w:type="dxa"/>
            <w:vAlign w:val="bottom"/>
            <w:gridSpan w:val="2"/>
          </w:tcPr>
          <w:p>
            <w:pPr>
              <w:spacing w:after="0"/>
              <w:rPr>
                <w:sz w:val="20"/>
                <w:szCs w:val="20"/>
                <w:color w:val="auto"/>
              </w:rPr>
            </w:pPr>
            <w:r>
              <w:rPr>
                <w:rFonts w:ascii="Calibri" w:cs="Calibri" w:eastAsia="Calibri" w:hAnsi="Calibri"/>
                <w:sz w:val="20"/>
                <w:szCs w:val="20"/>
                <w:color w:val="auto"/>
              </w:rPr>
              <w:t>3D/Internatonal, Inc.</w:t>
            </w:r>
          </w:p>
        </w:tc>
        <w:tc>
          <w:tcPr>
            <w:tcW w:w="7440" w:type="dxa"/>
            <w:vAlign w:val="bottom"/>
            <w:gridSpan w:val="3"/>
          </w:tcPr>
          <w:p>
            <w:pPr>
              <w:ind w:left="3460"/>
              <w:spacing w:after="0"/>
              <w:rPr>
                <w:sz w:val="20"/>
                <w:szCs w:val="20"/>
                <w:color w:val="auto"/>
              </w:rPr>
            </w:pPr>
            <w:r>
              <w:rPr>
                <w:rFonts w:ascii="Calibri" w:cs="Calibri" w:eastAsia="Calibri" w:hAnsi="Calibri"/>
                <w:sz w:val="20"/>
                <w:szCs w:val="20"/>
                <w:color w:val="auto"/>
              </w:rPr>
              <w:t>Texas</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Amplus Corporaton</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BCC Engineering Acquisiton Corporaton</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BCC Engineering Holding Corporaton</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BCC Engineering,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Florida</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Black Signal Technologies,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Blackhorse, A Parsons Company</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Blue Ridge Envisioneering, Inc.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Bonifca S.P.A.</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Italy</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Braxton Science &amp; Technology Group,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Colorado</w:t>
            </w:r>
          </w:p>
        </w:tc>
      </w:tr>
      <w:tr>
        <w:trPr>
          <w:trHeight w:val="608"/>
        </w:trPr>
        <w:tc>
          <w:tcPr>
            <w:tcW w:w="10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Calibri" w:cs="Calibri" w:eastAsia="Calibri" w:hAnsi="Calibri"/>
                <w:sz w:val="20"/>
                <w:szCs w:val="20"/>
                <w:color w:val="auto"/>
              </w:rPr>
              <w:t>Braxton Technologies, LLC</w:t>
            </w:r>
          </w:p>
        </w:tc>
        <w:tc>
          <w:tcPr>
            <w:tcW w:w="7440" w:type="dxa"/>
            <w:vAlign w:val="bottom"/>
            <w:gridSpan w:val="3"/>
          </w:tcPr>
          <w:p>
            <w:pPr>
              <w:ind w:left="3460"/>
              <w:spacing w:after="0"/>
              <w:rPr>
                <w:sz w:val="20"/>
                <w:szCs w:val="20"/>
                <w:color w:val="auto"/>
              </w:rPr>
            </w:pPr>
            <w:r>
              <w:rPr>
                <w:rFonts w:ascii="Calibri" w:cs="Calibri" w:eastAsia="Calibri" w:hAnsi="Calibri"/>
                <w:sz w:val="20"/>
                <w:szCs w:val="20"/>
                <w:color w:val="auto"/>
              </w:rPr>
              <w:t>Colorado</w:t>
            </w:r>
          </w:p>
        </w:tc>
      </w:tr>
      <w:tr>
        <w:trPr>
          <w:trHeight w:val="405"/>
        </w:trPr>
        <w:tc>
          <w:tcPr>
            <w:tcW w:w="10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Calibri" w:cs="Calibri" w:eastAsia="Calibri" w:hAnsi="Calibri"/>
                <w:sz w:val="20"/>
                <w:szCs w:val="20"/>
                <w:color w:val="auto"/>
              </w:rPr>
              <w:t>Bright Star For Engineering Services LLC</w:t>
            </w:r>
          </w:p>
        </w:tc>
        <w:tc>
          <w:tcPr>
            <w:tcW w:w="7440" w:type="dxa"/>
            <w:vAlign w:val="bottom"/>
            <w:gridSpan w:val="3"/>
          </w:tcPr>
          <w:p>
            <w:pPr>
              <w:ind w:left="3460"/>
              <w:spacing w:after="0"/>
              <w:rPr>
                <w:sz w:val="20"/>
                <w:szCs w:val="20"/>
                <w:color w:val="auto"/>
              </w:rPr>
            </w:pPr>
            <w:r>
              <w:rPr>
                <w:rFonts w:ascii="Calibri" w:cs="Calibri" w:eastAsia="Calibri" w:hAnsi="Calibri"/>
                <w:sz w:val="20"/>
                <w:szCs w:val="20"/>
                <w:color w:val="auto"/>
              </w:rPr>
              <w:t>Iraq, Republic of</w:t>
            </w:r>
          </w:p>
        </w:tc>
      </w:tr>
      <w:tr>
        <w:trPr>
          <w:trHeight w:val="608"/>
        </w:trPr>
        <w:tc>
          <w:tcPr>
            <w:tcW w:w="10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Calibri" w:cs="Calibri" w:eastAsia="Calibri" w:hAnsi="Calibri"/>
                <w:sz w:val="20"/>
                <w:szCs w:val="20"/>
                <w:color w:val="auto"/>
              </w:rPr>
              <w:t>CMX Technologies LLC</w:t>
            </w:r>
          </w:p>
        </w:tc>
        <w:tc>
          <w:tcPr>
            <w:tcW w:w="7440" w:type="dxa"/>
            <w:vAlign w:val="bottom"/>
            <w:gridSpan w:val="3"/>
          </w:tcPr>
          <w:p>
            <w:pPr>
              <w:ind w:left="3460"/>
              <w:spacing w:after="0"/>
              <w:rPr>
                <w:sz w:val="20"/>
                <w:szCs w:val="20"/>
                <w:color w:val="auto"/>
              </w:rPr>
            </w:pPr>
            <w:r>
              <w:rPr>
                <w:rFonts w:ascii="Calibri" w:cs="Calibri" w:eastAsia="Calibri" w:hAnsi="Calibri"/>
                <w:sz w:val="20"/>
                <w:szCs w:val="20"/>
                <w:color w:val="auto"/>
              </w:rPr>
              <w:t>Delaware</w:t>
            </w:r>
          </w:p>
        </w:tc>
      </w:tr>
      <w:tr>
        <w:trPr>
          <w:trHeight w:val="405"/>
        </w:trPr>
        <w:tc>
          <w:tcPr>
            <w:tcW w:w="10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Calibri" w:cs="Calibri" w:eastAsia="Calibri" w:hAnsi="Calibri"/>
                <w:sz w:val="20"/>
                <w:szCs w:val="20"/>
                <w:color w:val="auto"/>
              </w:rPr>
              <w:t>Command Engineering Internatonal Limited</w:t>
            </w:r>
          </w:p>
        </w:tc>
        <w:tc>
          <w:tcPr>
            <w:tcW w:w="7440" w:type="dxa"/>
            <w:vAlign w:val="bottom"/>
            <w:gridSpan w:val="3"/>
          </w:tcPr>
          <w:p>
            <w:pPr>
              <w:ind w:left="3460"/>
              <w:spacing w:after="0"/>
              <w:rPr>
                <w:sz w:val="20"/>
                <w:szCs w:val="20"/>
                <w:color w:val="auto"/>
              </w:rPr>
            </w:pPr>
            <w:r>
              <w:rPr>
                <w:rFonts w:ascii="Calibri" w:cs="Calibri" w:eastAsia="Calibri" w:hAnsi="Calibri"/>
                <w:sz w:val="20"/>
                <w:szCs w:val="20"/>
                <w:color w:val="auto"/>
              </w:rPr>
              <w:t>Ontario</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Cromulence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Florida</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De Leuw, Cather Internatonal Limited</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Delaware</w:t>
            </w:r>
          </w:p>
        </w:tc>
      </w:tr>
      <w:tr>
        <w:trPr>
          <w:trHeight w:val="405"/>
        </w:trPr>
        <w:tc>
          <w:tcPr>
            <w:tcW w:w="10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Calibri" w:cs="Calibri" w:eastAsia="Calibri" w:hAnsi="Calibri"/>
                <w:sz w:val="20"/>
                <w:szCs w:val="20"/>
                <w:color w:val="auto"/>
              </w:rPr>
              <w:t>Delcan Corporaton</w:t>
            </w:r>
          </w:p>
        </w:tc>
        <w:tc>
          <w:tcPr>
            <w:tcW w:w="7440" w:type="dxa"/>
            <w:vAlign w:val="bottom"/>
            <w:gridSpan w:val="3"/>
          </w:tcPr>
          <w:p>
            <w:pPr>
              <w:ind w:left="3460"/>
              <w:spacing w:after="0"/>
              <w:rPr>
                <w:sz w:val="20"/>
                <w:szCs w:val="20"/>
                <w:color w:val="auto"/>
              </w:rPr>
            </w:pPr>
            <w:r>
              <w:rPr>
                <w:rFonts w:ascii="Calibri" w:cs="Calibri" w:eastAsia="Calibri" w:hAnsi="Calibri"/>
                <w:sz w:val="20"/>
                <w:szCs w:val="20"/>
                <w:color w:val="auto"/>
              </w:rPr>
              <w:t>Illinois</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Delcan Technologies, Inc.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Georgia</w:t>
            </w:r>
          </w:p>
        </w:tc>
      </w:tr>
      <w:tr>
        <w:trPr>
          <w:trHeight w:val="243"/>
        </w:trPr>
        <w:tc>
          <w:tcPr>
            <w:tcW w:w="100" w:type="dxa"/>
            <w:vAlign w:val="bottom"/>
          </w:tcPr>
          <w:p>
            <w:pPr>
              <w:spacing w:after="0"/>
              <w:rPr>
                <w:sz w:val="21"/>
                <w:szCs w:val="21"/>
                <w:color w:val="auto"/>
              </w:rPr>
            </w:pPr>
          </w:p>
        </w:tc>
        <w:tc>
          <w:tcPr>
            <w:tcW w:w="11140" w:type="dxa"/>
            <w:vAlign w:val="bottom"/>
            <w:gridSpan w:val="5"/>
          </w:tcPr>
          <w:p>
            <w:pPr>
              <w:spacing w:after="0" w:line="243" w:lineRule="exact"/>
              <w:rPr>
                <w:sz w:val="20"/>
                <w:szCs w:val="20"/>
                <w:color w:val="auto"/>
              </w:rPr>
            </w:pPr>
            <w:r>
              <w:rPr>
                <w:rFonts w:ascii="Calibri" w:cs="Calibri" w:eastAsia="Calibri" w:hAnsi="Calibri"/>
                <w:sz w:val="20"/>
                <w:szCs w:val="20"/>
                <w:color w:val="auto"/>
              </w:rPr>
              <w:t>Diqqat Al /hilool for Engineering and Technical Services, Project Management and</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Electronic Equipment Supply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Iraq</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DZSP 21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Echo Ridge,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Emeret,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Colorado</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Engineering Financing Services,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First Defense Services Pte. Ltd.</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Singapore</w:t>
            </w:r>
          </w:p>
        </w:tc>
      </w:tr>
      <w:tr>
        <w:trPr>
          <w:trHeight w:val="405"/>
        </w:trPr>
        <w:tc>
          <w:tcPr>
            <w:tcW w:w="10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Calibri" w:cs="Calibri" w:eastAsia="Calibri" w:hAnsi="Calibri"/>
                <w:sz w:val="20"/>
                <w:szCs w:val="20"/>
                <w:color w:val="auto"/>
              </w:rPr>
              <w:t>Fourth Dimension Engineering LLC</w:t>
            </w:r>
          </w:p>
        </w:tc>
        <w:tc>
          <w:tcPr>
            <w:tcW w:w="7440" w:type="dxa"/>
            <w:vAlign w:val="bottom"/>
            <w:gridSpan w:val="3"/>
          </w:tcPr>
          <w:p>
            <w:pPr>
              <w:ind w:left="3460"/>
              <w:spacing w:after="0"/>
              <w:rPr>
                <w:sz w:val="20"/>
                <w:szCs w:val="20"/>
                <w:color w:val="auto"/>
              </w:rPr>
            </w:pPr>
            <w:r>
              <w:rPr>
                <w:rFonts w:ascii="Calibri" w:cs="Calibri" w:eastAsia="Calibri" w:hAnsi="Calibri"/>
                <w:sz w:val="20"/>
                <w:szCs w:val="20"/>
                <w:color w:val="auto"/>
              </w:rPr>
              <w:t>Delaware</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Heath &amp; Lineback Engineers, Inc.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Georgia</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Holding S.r.L.</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Italy</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I.S. Engineers,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Texas</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Ingenicomm,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IPKeys Power Partners, Inc.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Marigold Infrastructure Partners Inc.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Alberta</w:t>
            </w:r>
          </w:p>
        </w:tc>
      </w:tr>
      <w:tr>
        <w:trPr>
          <w:trHeight w:val="486"/>
        </w:trPr>
        <w:tc>
          <w:tcPr>
            <w:tcW w:w="10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Calibri" w:cs="Calibri" w:eastAsia="Calibri" w:hAnsi="Calibri"/>
                <w:sz w:val="20"/>
                <w:szCs w:val="20"/>
                <w:color w:val="auto"/>
              </w:rPr>
              <w:t>NDP, LLC</w:t>
            </w:r>
          </w:p>
        </w:tc>
        <w:tc>
          <w:tcPr>
            <w:tcW w:w="7440" w:type="dxa"/>
            <w:vAlign w:val="bottom"/>
            <w:gridSpan w:val="3"/>
          </w:tcPr>
          <w:p>
            <w:pPr>
              <w:ind w:left="3460"/>
              <w:spacing w:after="0"/>
              <w:rPr>
                <w:sz w:val="20"/>
                <w:szCs w:val="20"/>
                <w:color w:val="auto"/>
              </w:rPr>
            </w:pPr>
            <w:r>
              <w:rPr>
                <w:rFonts w:ascii="Calibri" w:cs="Calibri" w:eastAsia="Calibri" w:hAnsi="Calibri"/>
                <w:sz w:val="20"/>
                <w:szCs w:val="20"/>
                <w:color w:val="auto"/>
              </w:rPr>
              <w:t>Colorado</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New Millenium Engineering, Inc.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Florida</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OGSystems,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Paragon Communicatons Solutons LlC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Virginia</w:t>
            </w:r>
          </w:p>
        </w:tc>
      </w:tr>
      <w:tr>
        <w:trPr>
          <w:trHeight w:val="243"/>
        </w:trPr>
        <w:tc>
          <w:tcPr>
            <w:tcW w:w="100" w:type="dxa"/>
            <w:vAlign w:val="bottom"/>
          </w:tcPr>
          <w:p>
            <w:pPr>
              <w:spacing w:after="0"/>
              <w:rPr>
                <w:sz w:val="21"/>
                <w:szCs w:val="21"/>
                <w:color w:val="auto"/>
              </w:rPr>
            </w:pPr>
          </w:p>
        </w:tc>
        <w:tc>
          <w:tcPr>
            <w:tcW w:w="3700" w:type="dxa"/>
            <w:vAlign w:val="bottom"/>
            <w:gridSpan w:val="2"/>
          </w:tcPr>
          <w:p>
            <w:pPr>
              <w:spacing w:after="0" w:line="243" w:lineRule="exact"/>
              <w:rPr>
                <w:sz w:val="20"/>
                <w:szCs w:val="20"/>
                <w:color w:val="auto"/>
              </w:rPr>
            </w:pPr>
            <w:r>
              <w:rPr>
                <w:rFonts w:ascii="Calibri" w:cs="Calibri" w:eastAsia="Calibri" w:hAnsi="Calibri"/>
                <w:sz w:val="20"/>
                <w:szCs w:val="20"/>
                <w:color w:val="auto"/>
              </w:rPr>
              <w:t>PARCAN, Inc.</w:t>
            </w:r>
          </w:p>
        </w:tc>
        <w:tc>
          <w:tcPr>
            <w:tcW w:w="7440" w:type="dxa"/>
            <w:vAlign w:val="bottom"/>
            <w:gridSpan w:val="3"/>
          </w:tcPr>
          <w:p>
            <w:pPr>
              <w:ind w:left="3460"/>
              <w:spacing w:after="0" w:line="243" w:lineRule="exact"/>
              <w:rPr>
                <w:sz w:val="20"/>
                <w:szCs w:val="20"/>
                <w:color w:val="auto"/>
              </w:rPr>
            </w:pPr>
            <w:r>
              <w:rPr>
                <w:rFonts w:ascii="Calibri" w:cs="Calibri" w:eastAsia="Calibri" w:hAnsi="Calibri"/>
                <w:sz w:val="20"/>
                <w:szCs w:val="20"/>
                <w:color w:val="auto"/>
              </w:rPr>
              <w:t>Delaware</w:t>
            </w:r>
          </w:p>
        </w:tc>
      </w:tr>
      <w:tr>
        <w:trPr>
          <w:trHeight w:val="1444"/>
        </w:trPr>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4"/>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5540" w:type="dxa"/>
            <w:vAlign w:val="bottom"/>
          </w:tcPr>
          <w:p>
            <w:pPr>
              <w:spacing w:after="0"/>
              <w:rPr>
                <w:sz w:val="18"/>
                <w:szCs w:val="18"/>
                <w:color w:val="auto"/>
              </w:rPr>
            </w:pPr>
          </w:p>
        </w:tc>
      </w:tr>
      <w:tr>
        <w:trPr>
          <w:trHeight w:val="234"/>
        </w:trPr>
        <w:tc>
          <w:tcPr>
            <w:tcW w:w="5700" w:type="dxa"/>
            <w:vAlign w:val="bottom"/>
          </w:tcPr>
          <w:p>
            <w:pPr>
              <w:ind w:left="100"/>
              <w:spacing w:after="0" w:line="234" w:lineRule="exact"/>
              <w:rPr>
                <w:sz w:val="20"/>
                <w:szCs w:val="20"/>
                <w:color w:val="auto"/>
              </w:rPr>
            </w:pPr>
            <w:r>
              <w:rPr>
                <w:rFonts w:ascii="Calibri" w:cs="Calibri" w:eastAsia="Calibri" w:hAnsi="Calibri"/>
                <w:sz w:val="20"/>
                <w:szCs w:val="20"/>
                <w:color w:val="auto"/>
              </w:rPr>
              <w:t>Parmetek, S.A. De C.V.</w:t>
            </w:r>
          </w:p>
        </w:tc>
        <w:tc>
          <w:tcPr>
            <w:tcW w:w="5540" w:type="dxa"/>
            <w:vAlign w:val="bottom"/>
          </w:tcPr>
          <w:p>
            <w:pPr>
              <w:ind w:left="1560"/>
              <w:spacing w:after="0" w:line="234" w:lineRule="exact"/>
              <w:rPr>
                <w:sz w:val="20"/>
                <w:szCs w:val="20"/>
                <w:color w:val="auto"/>
              </w:rPr>
            </w:pPr>
            <w:r>
              <w:rPr>
                <w:rFonts w:ascii="Calibri" w:cs="Calibri" w:eastAsia="Calibri" w:hAnsi="Calibri"/>
                <w:sz w:val="20"/>
                <w:szCs w:val="20"/>
                <w:color w:val="auto"/>
              </w:rPr>
              <w:t>Mexico</w:t>
            </w:r>
          </w:p>
        </w:tc>
      </w:tr>
      <w:tr>
        <w:trPr>
          <w:trHeight w:val="243"/>
        </w:trPr>
        <w:tc>
          <w:tcPr>
            <w:tcW w:w="5700" w:type="dxa"/>
            <w:vAlign w:val="bottom"/>
          </w:tcPr>
          <w:p>
            <w:pPr>
              <w:ind w:left="100"/>
              <w:spacing w:after="0" w:line="243" w:lineRule="exact"/>
              <w:rPr>
                <w:sz w:val="20"/>
                <w:szCs w:val="20"/>
                <w:color w:val="auto"/>
              </w:rPr>
            </w:pPr>
            <w:r>
              <w:rPr>
                <w:rFonts w:ascii="Calibri" w:cs="Calibri" w:eastAsia="Calibri" w:hAnsi="Calibri"/>
                <w:sz w:val="20"/>
                <w:szCs w:val="20"/>
                <w:color w:val="auto"/>
              </w:rPr>
              <w:t>Parsons 401Hot GP Inc.</w:t>
            </w:r>
          </w:p>
        </w:tc>
        <w:tc>
          <w:tcPr>
            <w:tcW w:w="5540" w:type="dxa"/>
            <w:vAlign w:val="bottom"/>
          </w:tcPr>
          <w:p>
            <w:pPr>
              <w:ind w:left="1560"/>
              <w:spacing w:after="0" w:line="243" w:lineRule="exact"/>
              <w:rPr>
                <w:sz w:val="20"/>
                <w:szCs w:val="20"/>
                <w:color w:val="auto"/>
              </w:rPr>
            </w:pPr>
            <w:r>
              <w:rPr>
                <w:rFonts w:ascii="Calibri" w:cs="Calibri" w:eastAsia="Calibri" w:hAnsi="Calibri"/>
                <w:sz w:val="20"/>
                <w:szCs w:val="20"/>
                <w:color w:val="auto"/>
              </w:rPr>
              <w:t>Ontario</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401Hot Limited Partnership</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Ontario</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Architectural Services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Alberta</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Architectural Services of Illinois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Illinois</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Architecture of Florida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Florida</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Architecture of New Jersey P.C.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New Jersey</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Canada Holdings, LLC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Constructon Craf Services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Texas</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Constructon Group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Constructors &amp; Fabricators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Constructors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Corporaton</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243"/>
        </w:trPr>
        <w:tc>
          <w:tcPr>
            <w:tcW w:w="5700" w:type="dxa"/>
            <w:vAlign w:val="bottom"/>
          </w:tcPr>
          <w:p>
            <w:pPr>
              <w:ind w:left="100"/>
              <w:spacing w:after="0" w:line="243" w:lineRule="exact"/>
              <w:rPr>
                <w:sz w:val="20"/>
                <w:szCs w:val="20"/>
                <w:color w:val="auto"/>
              </w:rPr>
            </w:pPr>
            <w:r>
              <w:rPr>
                <w:rFonts w:ascii="Calibri" w:cs="Calibri" w:eastAsia="Calibri" w:hAnsi="Calibri"/>
                <w:sz w:val="20"/>
                <w:szCs w:val="20"/>
                <w:color w:val="auto"/>
              </w:rPr>
              <w:t>Parsons Delcan Inc.</w:t>
            </w:r>
          </w:p>
        </w:tc>
        <w:tc>
          <w:tcPr>
            <w:tcW w:w="5540" w:type="dxa"/>
            <w:vAlign w:val="bottom"/>
          </w:tcPr>
          <w:p>
            <w:pPr>
              <w:ind w:left="15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700" w:type="dxa"/>
            <w:vAlign w:val="bottom"/>
          </w:tcPr>
          <w:p>
            <w:pPr>
              <w:ind w:left="100"/>
              <w:spacing w:after="0" w:line="243" w:lineRule="exact"/>
              <w:rPr>
                <w:sz w:val="20"/>
                <w:szCs w:val="20"/>
                <w:color w:val="auto"/>
              </w:rPr>
            </w:pPr>
            <w:r>
              <w:rPr>
                <w:rFonts w:ascii="Calibri" w:cs="Calibri" w:eastAsia="Calibri" w:hAnsi="Calibri"/>
                <w:sz w:val="20"/>
                <w:szCs w:val="20"/>
                <w:color w:val="auto"/>
              </w:rPr>
              <w:t>Parsons do Brasil Construcoes Ltda.</w:t>
            </w:r>
          </w:p>
        </w:tc>
        <w:tc>
          <w:tcPr>
            <w:tcW w:w="5540" w:type="dxa"/>
            <w:vAlign w:val="bottom"/>
          </w:tcPr>
          <w:p>
            <w:pPr>
              <w:ind w:left="1560"/>
              <w:spacing w:after="0" w:line="243" w:lineRule="exact"/>
              <w:rPr>
                <w:sz w:val="20"/>
                <w:szCs w:val="20"/>
                <w:color w:val="auto"/>
              </w:rPr>
            </w:pPr>
            <w:r>
              <w:rPr>
                <w:rFonts w:ascii="Calibri" w:cs="Calibri" w:eastAsia="Calibri" w:hAnsi="Calibri"/>
                <w:sz w:val="20"/>
                <w:szCs w:val="20"/>
                <w:color w:val="auto"/>
              </w:rPr>
              <w:t>Brazil</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Engineering Inc. of Michigan</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Michigan</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Engineering Limited</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Cork</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Engineering of New York,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New York</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Engineering Science Internatonal,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608"/>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Engineering Science,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California</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Engineering Services L.L.C.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Dubai</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Enterprises,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Environment &amp; Infrastructure Group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608"/>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Europe Holdings B.V.</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Netherlands</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Federal Constructon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California</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Global Services, Ltd.</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Cayman Islands (B.W.I.)</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Government Services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Nevada</w:t>
            </w:r>
          </w:p>
        </w:tc>
      </w:tr>
      <w:tr>
        <w:trPr>
          <w:trHeight w:val="405"/>
        </w:trPr>
        <w:tc>
          <w:tcPr>
            <w:tcW w:w="5700" w:type="dxa"/>
            <w:vAlign w:val="bottom"/>
          </w:tcPr>
          <w:p>
            <w:pPr>
              <w:ind w:left="100"/>
              <w:spacing w:after="0"/>
              <w:rPr>
                <w:sz w:val="20"/>
                <w:szCs w:val="20"/>
                <w:color w:val="auto"/>
              </w:rPr>
            </w:pPr>
            <w:r>
              <w:rPr>
                <w:rFonts w:ascii="Calibri" w:cs="Calibri" w:eastAsia="Calibri" w:hAnsi="Calibri"/>
                <w:sz w:val="20"/>
                <w:szCs w:val="20"/>
                <w:color w:val="auto"/>
              </w:rPr>
              <w:t>Parsons Government Services Internatonal Inc.</w:t>
            </w:r>
          </w:p>
        </w:tc>
        <w:tc>
          <w:tcPr>
            <w:tcW w:w="5540" w:type="dxa"/>
            <w:vAlign w:val="bottom"/>
          </w:tcPr>
          <w:p>
            <w:pPr>
              <w:ind w:left="1560"/>
              <w:spacing w:after="0"/>
              <w:rPr>
                <w:sz w:val="20"/>
                <w:szCs w:val="20"/>
                <w:color w:val="auto"/>
              </w:rPr>
            </w:pPr>
            <w:r>
              <w:rPr>
                <w:rFonts w:ascii="Calibri" w:cs="Calibri" w:eastAsia="Calibri" w:hAnsi="Calibri"/>
                <w:sz w:val="20"/>
                <w:szCs w:val="20"/>
                <w:color w:val="auto"/>
              </w:rPr>
              <w:t>Delaware</w:t>
            </w:r>
          </w:p>
        </w:tc>
      </w:tr>
      <w:tr>
        <w:trPr>
          <w:trHeight w:val="1808"/>
        </w:trPr>
        <w:tc>
          <w:tcPr>
            <w:tcW w:w="570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4860" w:type="dxa"/>
            <w:vAlign w:val="bottom"/>
          </w:tcPr>
          <w:p>
            <w:pPr>
              <w:spacing w:after="0"/>
              <w:rPr>
                <w:sz w:val="18"/>
                <w:szCs w:val="18"/>
                <w:color w:val="auto"/>
              </w:rPr>
            </w:pPr>
          </w:p>
        </w:tc>
      </w:tr>
      <w:tr>
        <w:trPr>
          <w:trHeight w:val="234"/>
        </w:trPr>
        <w:tc>
          <w:tcPr>
            <w:tcW w:w="6380" w:type="dxa"/>
            <w:vAlign w:val="bottom"/>
          </w:tcPr>
          <w:p>
            <w:pPr>
              <w:ind w:left="100"/>
              <w:spacing w:after="0" w:line="234" w:lineRule="exact"/>
              <w:rPr>
                <w:sz w:val="20"/>
                <w:szCs w:val="20"/>
                <w:color w:val="auto"/>
              </w:rPr>
            </w:pPr>
            <w:r>
              <w:rPr>
                <w:rFonts w:ascii="Calibri" w:cs="Calibri" w:eastAsia="Calibri" w:hAnsi="Calibri"/>
                <w:sz w:val="20"/>
                <w:szCs w:val="20"/>
                <w:color w:val="auto"/>
              </w:rPr>
              <w:t>Parsons Government Support Services Inc.</w:t>
            </w:r>
          </w:p>
        </w:tc>
        <w:tc>
          <w:tcPr>
            <w:tcW w:w="4860" w:type="dxa"/>
            <w:vAlign w:val="bottom"/>
          </w:tcPr>
          <w:p>
            <w:pPr>
              <w:ind w:left="880"/>
              <w:spacing w:after="0" w:line="234" w:lineRule="exact"/>
              <w:rPr>
                <w:sz w:val="20"/>
                <w:szCs w:val="20"/>
                <w:color w:val="auto"/>
              </w:rPr>
            </w:pPr>
            <w:r>
              <w:rPr>
                <w:rFonts w:ascii="Calibri" w:cs="Calibri" w:eastAsia="Calibri" w:hAnsi="Calibri"/>
                <w:sz w:val="20"/>
                <w:szCs w:val="20"/>
                <w:color w:val="auto"/>
              </w:rPr>
              <w:t>Texas</w:t>
            </w:r>
          </w:p>
        </w:tc>
      </w:tr>
      <w:tr>
        <w:trPr>
          <w:trHeight w:val="243"/>
        </w:trPr>
        <w:tc>
          <w:tcPr>
            <w:tcW w:w="6380" w:type="dxa"/>
            <w:vAlign w:val="bottom"/>
          </w:tcPr>
          <w:p>
            <w:pPr>
              <w:ind w:left="100"/>
              <w:spacing w:after="0" w:line="243" w:lineRule="exact"/>
              <w:rPr>
                <w:sz w:val="20"/>
                <w:szCs w:val="20"/>
                <w:color w:val="auto"/>
              </w:rPr>
            </w:pPr>
            <w:r>
              <w:rPr>
                <w:rFonts w:ascii="Calibri" w:cs="Calibri" w:eastAsia="Calibri" w:hAnsi="Calibri"/>
                <w:sz w:val="20"/>
                <w:szCs w:val="20"/>
                <w:color w:val="auto"/>
              </w:rPr>
              <w:t>Parsons Group France SAS</w:t>
            </w:r>
          </w:p>
        </w:tc>
        <w:tc>
          <w:tcPr>
            <w:tcW w:w="4860" w:type="dxa"/>
            <w:vAlign w:val="bottom"/>
          </w:tcPr>
          <w:p>
            <w:pPr>
              <w:ind w:left="880"/>
              <w:spacing w:after="0" w:line="243" w:lineRule="exact"/>
              <w:rPr>
                <w:sz w:val="20"/>
                <w:szCs w:val="20"/>
                <w:color w:val="auto"/>
              </w:rPr>
            </w:pPr>
            <w:r>
              <w:rPr>
                <w:rFonts w:ascii="Calibri" w:cs="Calibri" w:eastAsia="Calibri" w:hAnsi="Calibri"/>
                <w:sz w:val="20"/>
                <w:szCs w:val="20"/>
                <w:color w:val="auto"/>
              </w:rPr>
              <w:t>France</w:t>
            </w:r>
          </w:p>
        </w:tc>
      </w:tr>
      <w:tr>
        <w:trPr>
          <w:trHeight w:val="243"/>
        </w:trPr>
        <w:tc>
          <w:tcPr>
            <w:tcW w:w="6380" w:type="dxa"/>
            <w:vAlign w:val="bottom"/>
          </w:tcPr>
          <w:p>
            <w:pPr>
              <w:ind w:left="100"/>
              <w:spacing w:after="0" w:line="243" w:lineRule="exact"/>
              <w:rPr>
                <w:sz w:val="20"/>
                <w:szCs w:val="20"/>
                <w:color w:val="auto"/>
              </w:rPr>
            </w:pPr>
            <w:r>
              <w:rPr>
                <w:rFonts w:ascii="Calibri" w:cs="Calibri" w:eastAsia="Calibri" w:hAnsi="Calibri"/>
                <w:sz w:val="20"/>
                <w:szCs w:val="20"/>
                <w:color w:val="auto"/>
              </w:rPr>
              <w:t>Parsons Group Internatonal Limited</w:t>
            </w:r>
          </w:p>
        </w:tc>
        <w:tc>
          <w:tcPr>
            <w:tcW w:w="4860" w:type="dxa"/>
            <w:vAlign w:val="bottom"/>
          </w:tcPr>
          <w:p>
            <w:pPr>
              <w:ind w:left="880"/>
              <w:spacing w:after="0" w:line="243" w:lineRule="exact"/>
              <w:rPr>
                <w:sz w:val="20"/>
                <w:szCs w:val="20"/>
                <w:color w:val="auto"/>
              </w:rPr>
            </w:pPr>
            <w:r>
              <w:rPr>
                <w:rFonts w:ascii="Calibri" w:cs="Calibri" w:eastAsia="Calibri" w:hAnsi="Calibri"/>
                <w:sz w:val="20"/>
                <w:szCs w:val="20"/>
                <w:color w:val="auto"/>
              </w:rPr>
              <w:t>United Kingdom</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Inc.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Federally Chartered (Canada)</w:t>
            </w:r>
          </w:p>
        </w:tc>
      </w:tr>
      <w:tr>
        <w:trPr>
          <w:trHeight w:val="243"/>
        </w:trPr>
        <w:tc>
          <w:tcPr>
            <w:tcW w:w="6380" w:type="dxa"/>
            <w:vAlign w:val="bottom"/>
          </w:tcPr>
          <w:p>
            <w:pPr>
              <w:ind w:left="100"/>
              <w:spacing w:after="0" w:line="243" w:lineRule="exact"/>
              <w:rPr>
                <w:sz w:val="20"/>
                <w:szCs w:val="20"/>
                <w:color w:val="auto"/>
              </w:rPr>
            </w:pPr>
            <w:r>
              <w:rPr>
                <w:rFonts w:ascii="Calibri" w:cs="Calibri" w:eastAsia="Calibri" w:hAnsi="Calibri"/>
                <w:sz w:val="20"/>
                <w:szCs w:val="20"/>
                <w:color w:val="auto"/>
              </w:rPr>
              <w:t>Parsons Infrastructure &amp; Technology Group Inc. of Ohio</w:t>
            </w:r>
          </w:p>
        </w:tc>
        <w:tc>
          <w:tcPr>
            <w:tcW w:w="4860" w:type="dxa"/>
            <w:vAlign w:val="bottom"/>
          </w:tcPr>
          <w:p>
            <w:pPr>
              <w:ind w:left="880"/>
              <w:spacing w:after="0" w:line="243" w:lineRule="exact"/>
              <w:rPr>
                <w:sz w:val="20"/>
                <w:szCs w:val="20"/>
                <w:color w:val="auto"/>
              </w:rPr>
            </w:pPr>
            <w:r>
              <w:rPr>
                <w:rFonts w:ascii="Calibri" w:cs="Calibri" w:eastAsia="Calibri" w:hAnsi="Calibri"/>
                <w:sz w:val="20"/>
                <w:szCs w:val="20"/>
                <w:color w:val="auto"/>
              </w:rPr>
              <w:t>Ohio</w:t>
            </w:r>
          </w:p>
        </w:tc>
      </w:tr>
      <w:tr>
        <w:trPr>
          <w:trHeight w:val="608"/>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Infrastructure &amp; Technology Group of Illinois P.C.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Illinois</w:t>
            </w:r>
          </w:p>
        </w:tc>
      </w:tr>
      <w:tr>
        <w:trPr>
          <w:trHeight w:val="608"/>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Infrastructure &amp; Technology Group of Michigan Inc.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Nevada</w:t>
            </w:r>
          </w:p>
        </w:tc>
      </w:tr>
      <w:tr>
        <w:trPr>
          <w:trHeight w:val="608"/>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Infrastructure &amp; Technology Group of New York Inc.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New York</w:t>
            </w:r>
          </w:p>
        </w:tc>
      </w:tr>
      <w:tr>
        <w:trPr>
          <w:trHeight w:val="608"/>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Inspecton &amp; Maintenance Corporaton</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Delaware</w:t>
            </w:r>
          </w:p>
        </w:tc>
      </w:tr>
      <w:tr>
        <w:trPr>
          <w:trHeight w:val="608"/>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Internatonal &amp; Company LLC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Sultanate of Oman</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Internatonal Limited</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Nevada</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Internatonal Limited</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Delaware</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Internatonal Limited (L.L.C.), a Limited Liability Company</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Egypt, Arab Republic of</w:t>
            </w:r>
          </w:p>
        </w:tc>
      </w:tr>
      <w:tr>
        <w:trPr>
          <w:trHeight w:val="810"/>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Main of New York, Inc.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New York</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Middle East Corporaton</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Nevada</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Middle East Ltd.</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Delaware</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MIP Inc.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Alberta</w:t>
            </w:r>
          </w:p>
        </w:tc>
      </w:tr>
      <w:tr>
        <w:trPr>
          <w:trHeight w:val="243"/>
        </w:trPr>
        <w:tc>
          <w:tcPr>
            <w:tcW w:w="6380" w:type="dxa"/>
            <w:vAlign w:val="bottom"/>
          </w:tcPr>
          <w:p>
            <w:pPr>
              <w:ind w:left="100"/>
              <w:spacing w:after="0" w:line="243" w:lineRule="exact"/>
              <w:rPr>
                <w:sz w:val="20"/>
                <w:szCs w:val="20"/>
                <w:color w:val="auto"/>
              </w:rPr>
            </w:pPr>
            <w:r>
              <w:rPr>
                <w:rFonts w:ascii="Calibri" w:cs="Calibri" w:eastAsia="Calibri" w:hAnsi="Calibri"/>
                <w:sz w:val="20"/>
                <w:szCs w:val="20"/>
                <w:color w:val="auto"/>
              </w:rPr>
              <w:t>Parsons of North Carolina Inc.</w:t>
            </w:r>
          </w:p>
        </w:tc>
        <w:tc>
          <w:tcPr>
            <w:tcW w:w="4860" w:type="dxa"/>
            <w:vAlign w:val="bottom"/>
          </w:tcPr>
          <w:p>
            <w:pPr>
              <w:ind w:left="880"/>
              <w:spacing w:after="0" w:line="243" w:lineRule="exact"/>
              <w:rPr>
                <w:sz w:val="20"/>
                <w:szCs w:val="20"/>
                <w:color w:val="auto"/>
              </w:rPr>
            </w:pPr>
            <w:r>
              <w:rPr>
                <w:rFonts w:ascii="Calibri" w:cs="Calibri" w:eastAsia="Calibri" w:hAnsi="Calibri"/>
                <w:sz w:val="20"/>
                <w:szCs w:val="20"/>
                <w:color w:val="auto"/>
              </w:rPr>
              <w:t>North Carolina</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of Puerto Rico Professional Engineers, P.S.C.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Puerto Rico</w:t>
            </w:r>
          </w:p>
        </w:tc>
      </w:tr>
      <w:tr>
        <w:trPr>
          <w:trHeight w:val="608"/>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Overseas Company</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Nevada</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Overseas Limited Inc.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Delaware</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PATCO Inc.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Delaware</w:t>
            </w:r>
          </w:p>
        </w:tc>
      </w:tr>
      <w:tr>
        <w:trPr>
          <w:trHeight w:val="243"/>
        </w:trPr>
        <w:tc>
          <w:tcPr>
            <w:tcW w:w="6380" w:type="dxa"/>
            <w:vAlign w:val="bottom"/>
          </w:tcPr>
          <w:p>
            <w:pPr>
              <w:ind w:left="100"/>
              <w:spacing w:after="0" w:line="243" w:lineRule="exact"/>
              <w:rPr>
                <w:sz w:val="20"/>
                <w:szCs w:val="20"/>
                <w:color w:val="auto"/>
              </w:rPr>
            </w:pPr>
            <w:r>
              <w:rPr>
                <w:rFonts w:ascii="Calibri" w:cs="Calibri" w:eastAsia="Calibri" w:hAnsi="Calibri"/>
                <w:sz w:val="20"/>
                <w:szCs w:val="20"/>
                <w:color w:val="auto"/>
              </w:rPr>
              <w:t>Parsons Professional Corporaton</w:t>
            </w:r>
          </w:p>
        </w:tc>
        <w:tc>
          <w:tcPr>
            <w:tcW w:w="4860" w:type="dxa"/>
            <w:vAlign w:val="bottom"/>
          </w:tcPr>
          <w:p>
            <w:pPr>
              <w:ind w:left="880"/>
              <w:spacing w:after="0" w:line="243" w:lineRule="exact"/>
              <w:rPr>
                <w:sz w:val="20"/>
                <w:szCs w:val="20"/>
                <w:color w:val="auto"/>
              </w:rPr>
            </w:pPr>
            <w:r>
              <w:rPr>
                <w:rFonts w:ascii="Calibri" w:cs="Calibri" w:eastAsia="Calibri" w:hAnsi="Calibri"/>
                <w:sz w:val="20"/>
                <w:szCs w:val="20"/>
                <w:color w:val="auto"/>
              </w:rPr>
              <w:t>District of Columbia</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Professional Services Inc.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Ontario</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Project Services, Inc.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California</w:t>
            </w:r>
          </w:p>
        </w:tc>
      </w:tr>
      <w:tr>
        <w:trPr>
          <w:trHeight w:val="405"/>
        </w:trPr>
        <w:tc>
          <w:tcPr>
            <w:tcW w:w="6380" w:type="dxa"/>
            <w:vAlign w:val="bottom"/>
          </w:tcPr>
          <w:p>
            <w:pPr>
              <w:ind w:left="100"/>
              <w:spacing w:after="0"/>
              <w:rPr>
                <w:sz w:val="20"/>
                <w:szCs w:val="20"/>
                <w:color w:val="auto"/>
              </w:rPr>
            </w:pPr>
            <w:r>
              <w:rPr>
                <w:rFonts w:ascii="Calibri" w:cs="Calibri" w:eastAsia="Calibri" w:hAnsi="Calibri"/>
                <w:sz w:val="20"/>
                <w:szCs w:val="20"/>
                <w:color w:val="auto"/>
              </w:rPr>
              <w:t>Parsons RCI Inc.</w:t>
            </w:r>
          </w:p>
        </w:tc>
        <w:tc>
          <w:tcPr>
            <w:tcW w:w="4860" w:type="dxa"/>
            <w:vAlign w:val="bottom"/>
          </w:tcPr>
          <w:p>
            <w:pPr>
              <w:ind w:left="880"/>
              <w:spacing w:after="0"/>
              <w:rPr>
                <w:sz w:val="20"/>
                <w:szCs w:val="20"/>
                <w:color w:val="auto"/>
              </w:rPr>
            </w:pPr>
            <w:r>
              <w:rPr>
                <w:rFonts w:ascii="Calibri" w:cs="Calibri" w:eastAsia="Calibri" w:hAnsi="Calibri"/>
                <w:sz w:val="20"/>
                <w:szCs w:val="20"/>
                <w:color w:val="auto"/>
              </w:rPr>
              <w:t>Washington</w:t>
            </w:r>
          </w:p>
        </w:tc>
      </w:tr>
      <w:tr>
        <w:trPr>
          <w:trHeight w:val="243"/>
        </w:trPr>
        <w:tc>
          <w:tcPr>
            <w:tcW w:w="6380" w:type="dxa"/>
            <w:vAlign w:val="bottom"/>
          </w:tcPr>
          <w:p>
            <w:pPr>
              <w:ind w:left="100"/>
              <w:spacing w:after="0" w:line="243" w:lineRule="exact"/>
              <w:rPr>
                <w:sz w:val="20"/>
                <w:szCs w:val="20"/>
                <w:color w:val="auto"/>
              </w:rPr>
            </w:pPr>
            <w:r>
              <w:rPr>
                <w:rFonts w:ascii="Calibri" w:cs="Calibri" w:eastAsia="Calibri" w:hAnsi="Calibri"/>
                <w:sz w:val="20"/>
                <w:szCs w:val="20"/>
                <w:color w:val="auto"/>
              </w:rPr>
              <w:t>Parsons Regional Headquarters Company</w:t>
            </w:r>
          </w:p>
        </w:tc>
        <w:tc>
          <w:tcPr>
            <w:tcW w:w="4860" w:type="dxa"/>
            <w:vAlign w:val="bottom"/>
          </w:tcPr>
          <w:p>
            <w:pPr>
              <w:ind w:left="880"/>
              <w:spacing w:after="0" w:line="243" w:lineRule="exact"/>
              <w:rPr>
                <w:sz w:val="20"/>
                <w:szCs w:val="20"/>
                <w:color w:val="auto"/>
              </w:rPr>
            </w:pPr>
            <w:r>
              <w:rPr>
                <w:rFonts w:ascii="Calibri" w:cs="Calibri" w:eastAsia="Calibri" w:hAnsi="Calibri"/>
                <w:sz w:val="20"/>
                <w:szCs w:val="20"/>
                <w:color w:val="auto"/>
              </w:rPr>
              <w:t>Saudi Arabia</w:t>
            </w:r>
          </w:p>
        </w:tc>
      </w:tr>
      <w:tr>
        <w:trPr>
          <w:trHeight w:val="1444"/>
        </w:trPr>
        <w:tc>
          <w:tcPr>
            <w:tcW w:w="63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4240" w:type="dxa"/>
            <w:vAlign w:val="bottom"/>
          </w:tcPr>
          <w:p>
            <w:pPr>
              <w:spacing w:after="0"/>
              <w:rPr>
                <w:sz w:val="18"/>
                <w:szCs w:val="18"/>
                <w:color w:val="auto"/>
              </w:rPr>
            </w:pPr>
          </w:p>
        </w:tc>
      </w:tr>
      <w:tr>
        <w:trPr>
          <w:trHeight w:val="234"/>
        </w:trPr>
        <w:tc>
          <w:tcPr>
            <w:tcW w:w="7000" w:type="dxa"/>
            <w:vAlign w:val="bottom"/>
          </w:tcPr>
          <w:p>
            <w:pPr>
              <w:ind w:left="100"/>
              <w:spacing w:after="0" w:line="234" w:lineRule="exact"/>
              <w:rPr>
                <w:sz w:val="20"/>
                <w:szCs w:val="20"/>
                <w:color w:val="auto"/>
              </w:rPr>
            </w:pPr>
            <w:r>
              <w:rPr>
                <w:rFonts w:ascii="Calibri" w:cs="Calibri" w:eastAsia="Calibri" w:hAnsi="Calibri"/>
                <w:sz w:val="20"/>
                <w:szCs w:val="20"/>
                <w:color w:val="auto"/>
              </w:rPr>
              <w:t>Parsons Savannah Constructon Company</w:t>
            </w:r>
          </w:p>
        </w:tc>
        <w:tc>
          <w:tcPr>
            <w:tcW w:w="4240" w:type="dxa"/>
            <w:vAlign w:val="bottom"/>
          </w:tcPr>
          <w:p>
            <w:pPr>
              <w:ind w:left="260"/>
              <w:spacing w:after="0" w:line="234" w:lineRule="exact"/>
              <w:rPr>
                <w:sz w:val="20"/>
                <w:szCs w:val="20"/>
                <w:color w:val="auto"/>
              </w:rPr>
            </w:pPr>
            <w:r>
              <w:rPr>
                <w:rFonts w:ascii="Calibri" w:cs="Calibri" w:eastAsia="Calibri" w:hAnsi="Calibri"/>
                <w:sz w:val="20"/>
                <w:szCs w:val="20"/>
                <w:color w:val="auto"/>
              </w:rPr>
              <w:t>South Carolina</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Savannah Services Company</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Delaware</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Secure Solutons Inc.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Virginia</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Services Company</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Texas</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SGTP GP Holdings Inc.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Federally Chartered</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Technical Services Inc.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Delaware</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Technical Services Internatonal Inc.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Texas</w:t>
            </w:r>
          </w:p>
        </w:tc>
      </w:tr>
      <w:tr>
        <w:trPr>
          <w:trHeight w:val="608"/>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Transportaton Architectural Services LLC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Delaware</w:t>
            </w:r>
          </w:p>
        </w:tc>
      </w:tr>
      <w:tr>
        <w:trPr>
          <w:trHeight w:val="608"/>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Transportaton Group Inc.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Illinois</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Transportaton Group Inc. of Michigan</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Michigan</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Transportaton Group Inc. of Virginia</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Virginia</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Transportaton Group of New York, Inc.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New York</w:t>
            </w:r>
          </w:p>
        </w:tc>
      </w:tr>
      <w:tr>
        <w:trPr>
          <w:trHeight w:val="607"/>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Transportaton Group, Professional Corporaton</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District of Columbia</w:t>
            </w:r>
          </w:p>
        </w:tc>
      </w:tr>
      <w:tr>
        <w:trPr>
          <w:trHeight w:val="608"/>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 Water &amp; Infrastructure Inc.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Delaware</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Parsons-Versar LLC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Delaware</w:t>
            </w:r>
          </w:p>
        </w:tc>
      </w:tr>
      <w:tr>
        <w:trPr>
          <w:trHeight w:val="243"/>
        </w:trPr>
        <w:tc>
          <w:tcPr>
            <w:tcW w:w="7000" w:type="dxa"/>
            <w:vAlign w:val="bottom"/>
          </w:tcPr>
          <w:p>
            <w:pPr>
              <w:ind w:left="100"/>
              <w:spacing w:after="0" w:line="243" w:lineRule="exact"/>
              <w:rPr>
                <w:sz w:val="20"/>
                <w:szCs w:val="20"/>
                <w:color w:val="auto"/>
              </w:rPr>
            </w:pPr>
            <w:r>
              <w:rPr>
                <w:rFonts w:ascii="Calibri" w:cs="Calibri" w:eastAsia="Calibri" w:hAnsi="Calibri"/>
                <w:sz w:val="20"/>
                <w:szCs w:val="20"/>
                <w:color w:val="auto"/>
              </w:rPr>
              <w:t>Partnership for Temporary Housing LLC</w:t>
            </w:r>
          </w:p>
        </w:tc>
        <w:tc>
          <w:tcPr>
            <w:tcW w:w="4240" w:type="dxa"/>
            <w:vAlign w:val="bottom"/>
          </w:tcPr>
          <w:p>
            <w:pPr>
              <w:ind w:left="260"/>
              <w:spacing w:after="0" w:line="243" w:lineRule="exact"/>
              <w:rPr>
                <w:sz w:val="20"/>
                <w:szCs w:val="20"/>
                <w:color w:val="auto"/>
              </w:rPr>
            </w:pPr>
            <w:r>
              <w:rPr>
                <w:rFonts w:ascii="Calibri" w:cs="Calibri" w:eastAsia="Calibri" w:hAnsi="Calibri"/>
                <w:sz w:val="20"/>
                <w:szCs w:val="20"/>
                <w:color w:val="auto"/>
              </w:rPr>
              <w:t>Delaware</w:t>
            </w:r>
          </w:p>
        </w:tc>
      </w:tr>
      <w:tr>
        <w:trPr>
          <w:trHeight w:val="608"/>
        </w:trPr>
        <w:tc>
          <w:tcPr>
            <w:tcW w:w="7000" w:type="dxa"/>
            <w:vAlign w:val="bottom"/>
          </w:tcPr>
          <w:p>
            <w:pPr>
              <w:ind w:left="100"/>
              <w:spacing w:after="0"/>
              <w:rPr>
                <w:sz w:val="20"/>
                <w:szCs w:val="20"/>
                <w:color w:val="auto"/>
              </w:rPr>
            </w:pPr>
            <w:r>
              <w:rPr>
                <w:rFonts w:ascii="Calibri" w:cs="Calibri" w:eastAsia="Calibri" w:hAnsi="Calibri"/>
                <w:sz w:val="20"/>
                <w:szCs w:val="20"/>
                <w:color w:val="auto"/>
              </w:rPr>
              <w:t>Polaris Alpha Advanced Systems, Inc.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Virginia</w:t>
            </w:r>
          </w:p>
        </w:tc>
      </w:tr>
      <w:tr>
        <w:trPr>
          <w:trHeight w:val="608"/>
        </w:trPr>
        <w:tc>
          <w:tcPr>
            <w:tcW w:w="7000" w:type="dxa"/>
            <w:vAlign w:val="bottom"/>
          </w:tcPr>
          <w:p>
            <w:pPr>
              <w:ind w:left="100"/>
              <w:spacing w:after="0"/>
              <w:rPr>
                <w:sz w:val="20"/>
                <w:szCs w:val="20"/>
                <w:color w:val="auto"/>
              </w:rPr>
            </w:pPr>
            <w:r>
              <w:rPr>
                <w:rFonts w:ascii="Calibri" w:cs="Calibri" w:eastAsia="Calibri" w:hAnsi="Calibri"/>
                <w:sz w:val="20"/>
                <w:szCs w:val="20"/>
                <w:color w:val="auto"/>
              </w:rPr>
              <w:t>Polaris Alpha Cyber and Sigint, LLC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Delaware</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Polaris Alpha Cyber Technologies, LLC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Delaware</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Polaris Alpha, LLC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Delaware</w:t>
            </w:r>
          </w:p>
        </w:tc>
      </w:tr>
      <w:tr>
        <w:trPr>
          <w:trHeight w:val="243"/>
        </w:trPr>
        <w:tc>
          <w:tcPr>
            <w:tcW w:w="7000" w:type="dxa"/>
            <w:vAlign w:val="bottom"/>
          </w:tcPr>
          <w:p>
            <w:pPr>
              <w:ind w:left="100"/>
              <w:spacing w:after="0" w:line="243" w:lineRule="exact"/>
              <w:rPr>
                <w:sz w:val="20"/>
                <w:szCs w:val="20"/>
                <w:color w:val="auto"/>
              </w:rPr>
            </w:pPr>
            <w:r>
              <w:rPr>
                <w:rFonts w:ascii="Calibri" w:cs="Calibri" w:eastAsia="Calibri" w:hAnsi="Calibri"/>
                <w:sz w:val="20"/>
                <w:szCs w:val="20"/>
                <w:color w:val="auto"/>
              </w:rPr>
              <w:t>PTSI Managed Services Inc.</w:t>
            </w:r>
          </w:p>
        </w:tc>
        <w:tc>
          <w:tcPr>
            <w:tcW w:w="4240" w:type="dxa"/>
            <w:vAlign w:val="bottom"/>
          </w:tcPr>
          <w:p>
            <w:pPr>
              <w:ind w:left="260"/>
              <w:spacing w:after="0" w:line="243" w:lineRule="exact"/>
              <w:rPr>
                <w:sz w:val="20"/>
                <w:szCs w:val="20"/>
                <w:color w:val="auto"/>
              </w:rPr>
            </w:pPr>
            <w:r>
              <w:rPr>
                <w:rFonts w:ascii="Calibri" w:cs="Calibri" w:eastAsia="Calibri" w:hAnsi="Calibri"/>
                <w:sz w:val="20"/>
                <w:szCs w:val="20"/>
                <w:color w:val="auto"/>
              </w:rPr>
              <w:t>California</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QRC, LLC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Virginia</w:t>
            </w:r>
          </w:p>
        </w:tc>
      </w:tr>
      <w:tr>
        <w:trPr>
          <w:trHeight w:val="243"/>
        </w:trPr>
        <w:tc>
          <w:tcPr>
            <w:tcW w:w="7000" w:type="dxa"/>
            <w:vAlign w:val="bottom"/>
          </w:tcPr>
          <w:p>
            <w:pPr>
              <w:ind w:left="100"/>
              <w:spacing w:after="0" w:line="243" w:lineRule="exact"/>
              <w:rPr>
                <w:sz w:val="20"/>
                <w:szCs w:val="20"/>
                <w:color w:val="auto"/>
              </w:rPr>
            </w:pPr>
            <w:r>
              <w:rPr>
                <w:rFonts w:ascii="Calibri" w:cs="Calibri" w:eastAsia="Calibri" w:hAnsi="Calibri"/>
                <w:sz w:val="20"/>
                <w:szCs w:val="20"/>
                <w:color w:val="auto"/>
              </w:rPr>
              <w:t>RMP Infrastructure Holdings Inc.</w:t>
            </w:r>
          </w:p>
        </w:tc>
        <w:tc>
          <w:tcPr>
            <w:tcW w:w="4240" w:type="dxa"/>
            <w:vAlign w:val="bottom"/>
          </w:tcPr>
          <w:p>
            <w:pPr>
              <w:ind w:left="260"/>
              <w:spacing w:after="0" w:line="243" w:lineRule="exact"/>
              <w:rPr>
                <w:sz w:val="20"/>
                <w:szCs w:val="20"/>
                <w:color w:val="auto"/>
              </w:rPr>
            </w:pPr>
            <w:r>
              <w:rPr>
                <w:rFonts w:ascii="Calibri" w:cs="Calibri" w:eastAsia="Calibri" w:hAnsi="Calibri"/>
                <w:sz w:val="20"/>
                <w:szCs w:val="20"/>
                <w:color w:val="auto"/>
              </w:rPr>
              <w:t>Federally Chartered</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S&amp;P Geology Services P.C.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New York</w:t>
            </w:r>
          </w:p>
        </w:tc>
      </w:tr>
      <w:tr>
        <w:trPr>
          <w:trHeight w:val="405"/>
        </w:trPr>
        <w:tc>
          <w:tcPr>
            <w:tcW w:w="7000" w:type="dxa"/>
            <w:vAlign w:val="bottom"/>
          </w:tcPr>
          <w:p>
            <w:pPr>
              <w:ind w:left="100"/>
              <w:spacing w:after="0"/>
              <w:rPr>
                <w:sz w:val="20"/>
                <w:szCs w:val="20"/>
                <w:color w:val="auto"/>
              </w:rPr>
            </w:pPr>
            <w:r>
              <w:rPr>
                <w:rFonts w:ascii="Calibri" w:cs="Calibri" w:eastAsia="Calibri" w:hAnsi="Calibri"/>
                <w:sz w:val="20"/>
                <w:szCs w:val="20"/>
                <w:color w:val="auto"/>
              </w:rPr>
              <w:t>Sage Management Enterprise, LLC</w:t>
            </w:r>
          </w:p>
        </w:tc>
        <w:tc>
          <w:tcPr>
            <w:tcW w:w="4240" w:type="dxa"/>
            <w:vAlign w:val="bottom"/>
          </w:tcPr>
          <w:p>
            <w:pPr>
              <w:ind w:left="260"/>
              <w:spacing w:after="0"/>
              <w:rPr>
                <w:sz w:val="20"/>
                <w:szCs w:val="20"/>
                <w:color w:val="auto"/>
              </w:rPr>
            </w:pPr>
            <w:r>
              <w:rPr>
                <w:rFonts w:ascii="Calibri" w:cs="Calibri" w:eastAsia="Calibri" w:hAnsi="Calibri"/>
                <w:sz w:val="20"/>
                <w:szCs w:val="20"/>
                <w:color w:val="auto"/>
              </w:rPr>
              <w:t>Maryland</w:t>
            </w:r>
          </w:p>
        </w:tc>
      </w:tr>
      <w:tr>
        <w:trPr>
          <w:trHeight w:val="243"/>
        </w:trPr>
        <w:tc>
          <w:tcPr>
            <w:tcW w:w="7000" w:type="dxa"/>
            <w:vAlign w:val="bottom"/>
          </w:tcPr>
          <w:p>
            <w:pPr>
              <w:ind w:left="100"/>
              <w:spacing w:after="0" w:line="243" w:lineRule="exact"/>
              <w:rPr>
                <w:sz w:val="20"/>
                <w:szCs w:val="20"/>
                <w:color w:val="auto"/>
              </w:rPr>
            </w:pPr>
            <w:r>
              <w:rPr>
                <w:rFonts w:ascii="Calibri" w:cs="Calibri" w:eastAsia="Calibri" w:hAnsi="Calibri"/>
                <w:sz w:val="20"/>
                <w:szCs w:val="20"/>
                <w:color w:val="auto"/>
              </w:rPr>
              <w:t>Saudi Arabian Parsons for Engineering Consultng Company (Professional Limited</w:t>
            </w:r>
          </w:p>
        </w:tc>
        <w:tc>
          <w:tcPr>
            <w:tcW w:w="4240" w:type="dxa"/>
            <w:vAlign w:val="bottom"/>
          </w:tcPr>
          <w:p>
            <w:pPr>
              <w:spacing w:after="0"/>
              <w:rPr>
                <w:sz w:val="21"/>
                <w:szCs w:val="21"/>
                <w:color w:val="auto"/>
              </w:rPr>
            </w:pPr>
          </w:p>
        </w:tc>
      </w:tr>
      <w:tr>
        <w:trPr>
          <w:trHeight w:val="243"/>
        </w:trPr>
        <w:tc>
          <w:tcPr>
            <w:tcW w:w="7000" w:type="dxa"/>
            <w:vAlign w:val="bottom"/>
          </w:tcPr>
          <w:p>
            <w:pPr>
              <w:ind w:left="100"/>
              <w:spacing w:after="0" w:line="243" w:lineRule="exact"/>
              <w:rPr>
                <w:sz w:val="20"/>
                <w:szCs w:val="20"/>
                <w:color w:val="auto"/>
              </w:rPr>
            </w:pPr>
            <w:r>
              <w:rPr>
                <w:rFonts w:ascii="Calibri" w:cs="Calibri" w:eastAsia="Calibri" w:hAnsi="Calibri"/>
                <w:sz w:val="20"/>
                <w:szCs w:val="20"/>
                <w:color w:val="auto"/>
              </w:rPr>
              <w:t>Liability Company)</w:t>
            </w:r>
          </w:p>
        </w:tc>
        <w:tc>
          <w:tcPr>
            <w:tcW w:w="4240" w:type="dxa"/>
            <w:vAlign w:val="bottom"/>
          </w:tcPr>
          <w:p>
            <w:pPr>
              <w:ind w:left="260"/>
              <w:spacing w:after="0" w:line="243" w:lineRule="exact"/>
              <w:rPr>
                <w:sz w:val="20"/>
                <w:szCs w:val="20"/>
                <w:color w:val="auto"/>
              </w:rPr>
            </w:pPr>
            <w:r>
              <w:rPr>
                <w:rFonts w:ascii="Calibri" w:cs="Calibri" w:eastAsia="Calibri" w:hAnsi="Calibri"/>
                <w:sz w:val="20"/>
                <w:szCs w:val="20"/>
                <w:color w:val="auto"/>
              </w:rPr>
              <w:t>Saudi Arabia</w:t>
            </w:r>
          </w:p>
        </w:tc>
      </w:tr>
      <w:tr>
        <w:trPr>
          <w:trHeight w:val="243"/>
        </w:trPr>
        <w:tc>
          <w:tcPr>
            <w:tcW w:w="7000" w:type="dxa"/>
            <w:vAlign w:val="bottom"/>
          </w:tcPr>
          <w:p>
            <w:pPr>
              <w:ind w:left="100"/>
              <w:spacing w:after="0" w:line="243" w:lineRule="exact"/>
              <w:rPr>
                <w:sz w:val="20"/>
                <w:szCs w:val="20"/>
                <w:color w:val="auto"/>
              </w:rPr>
            </w:pPr>
            <w:r>
              <w:rPr>
                <w:rFonts w:ascii="Calibri" w:cs="Calibri" w:eastAsia="Calibri" w:hAnsi="Calibri"/>
                <w:sz w:val="20"/>
                <w:szCs w:val="20"/>
                <w:color w:val="auto"/>
              </w:rPr>
              <w:t>Saudi Arabian Parsons Limited</w:t>
            </w:r>
          </w:p>
        </w:tc>
        <w:tc>
          <w:tcPr>
            <w:tcW w:w="4240" w:type="dxa"/>
            <w:vAlign w:val="bottom"/>
          </w:tcPr>
          <w:p>
            <w:pPr>
              <w:ind w:left="260"/>
              <w:spacing w:after="0" w:line="243" w:lineRule="exact"/>
              <w:rPr>
                <w:sz w:val="20"/>
                <w:szCs w:val="20"/>
                <w:color w:val="auto"/>
              </w:rPr>
            </w:pPr>
            <w:r>
              <w:rPr>
                <w:rFonts w:ascii="Calibri" w:cs="Calibri" w:eastAsia="Calibri" w:hAnsi="Calibri"/>
                <w:sz w:val="20"/>
                <w:szCs w:val="20"/>
                <w:color w:val="auto"/>
              </w:rPr>
              <w:t>Saudi Arabia</w:t>
            </w:r>
          </w:p>
        </w:tc>
      </w:tr>
      <w:tr>
        <w:trPr>
          <w:trHeight w:val="1606"/>
        </w:trPr>
        <w:tc>
          <w:tcPr>
            <w:tcW w:w="70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4"/>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5640" w:type="dxa"/>
            <w:vAlign w:val="bottom"/>
          </w:tcPr>
          <w:p>
            <w:pPr>
              <w:spacing w:after="0"/>
              <w:rPr>
                <w:sz w:val="18"/>
                <w:szCs w:val="18"/>
                <w:color w:val="auto"/>
              </w:rPr>
            </w:pPr>
          </w:p>
        </w:tc>
      </w:tr>
      <w:tr>
        <w:trPr>
          <w:trHeight w:val="234"/>
        </w:trPr>
        <w:tc>
          <w:tcPr>
            <w:tcW w:w="5600" w:type="dxa"/>
            <w:vAlign w:val="bottom"/>
          </w:tcPr>
          <w:p>
            <w:pPr>
              <w:ind w:left="100"/>
              <w:spacing w:after="0" w:line="234" w:lineRule="exact"/>
              <w:rPr>
                <w:sz w:val="20"/>
                <w:szCs w:val="20"/>
                <w:color w:val="auto"/>
              </w:rPr>
            </w:pPr>
            <w:r>
              <w:rPr>
                <w:rFonts w:ascii="Calibri" w:cs="Calibri" w:eastAsia="Calibri" w:hAnsi="Calibri"/>
                <w:sz w:val="20"/>
                <w:szCs w:val="20"/>
                <w:color w:val="auto"/>
              </w:rPr>
              <w:t>Sealing Technologies, LLC</w:t>
            </w:r>
          </w:p>
        </w:tc>
        <w:tc>
          <w:tcPr>
            <w:tcW w:w="5640" w:type="dxa"/>
            <w:vAlign w:val="bottom"/>
          </w:tcPr>
          <w:p>
            <w:pPr>
              <w:ind w:left="1660"/>
              <w:spacing w:after="0" w:line="234" w:lineRule="exact"/>
              <w:rPr>
                <w:sz w:val="20"/>
                <w:szCs w:val="20"/>
                <w:color w:val="auto"/>
              </w:rPr>
            </w:pPr>
            <w:r>
              <w:rPr>
                <w:rFonts w:ascii="Calibri" w:cs="Calibri" w:eastAsia="Calibri" w:hAnsi="Calibri"/>
                <w:sz w:val="20"/>
                <w:szCs w:val="20"/>
                <w:color w:val="auto"/>
              </w:rPr>
              <w:t>Maryland</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SGTP Highway Bypass GP Inc.</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Saskatchewan</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SGTP Highway Bypass Limited Partnership</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Saskatchewan</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Silver Palm Technologies, LLC</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Maryland</w:t>
            </w:r>
          </w:p>
        </w:tc>
      </w:tr>
      <w:tr>
        <w:trPr>
          <w:trHeight w:val="243"/>
        </w:trPr>
        <w:tc>
          <w:tcPr>
            <w:tcW w:w="5600" w:type="dxa"/>
            <w:vAlign w:val="bottom"/>
          </w:tcPr>
          <w:p>
            <w:pPr>
              <w:ind w:left="100"/>
              <w:spacing w:after="0" w:line="243" w:lineRule="exact"/>
              <w:rPr>
                <w:sz w:val="20"/>
                <w:szCs w:val="20"/>
                <w:color w:val="auto"/>
              </w:rPr>
            </w:pPr>
            <w:r>
              <w:rPr>
                <w:rFonts w:ascii="Calibri" w:cs="Calibri" w:eastAsia="Calibri" w:hAnsi="Calibri"/>
                <w:sz w:val="20"/>
                <w:szCs w:val="20"/>
                <w:color w:val="auto"/>
              </w:rPr>
              <w:t>Solidyn Solutons, LLC</w:t>
            </w:r>
          </w:p>
        </w:tc>
        <w:tc>
          <w:tcPr>
            <w:tcW w:w="5640" w:type="dxa"/>
            <w:vAlign w:val="bottom"/>
          </w:tcPr>
          <w:p>
            <w:pPr>
              <w:ind w:left="1660"/>
              <w:spacing w:after="0" w:line="243" w:lineRule="exact"/>
              <w:rPr>
                <w:sz w:val="20"/>
                <w:szCs w:val="20"/>
                <w:color w:val="auto"/>
              </w:rPr>
            </w:pPr>
            <w:r>
              <w:rPr>
                <w:rFonts w:ascii="Calibri" w:cs="Calibri" w:eastAsia="Calibri" w:hAnsi="Calibri"/>
                <w:sz w:val="20"/>
                <w:szCs w:val="20"/>
                <w:color w:val="auto"/>
              </w:rPr>
              <w:t>Delaware</w:t>
            </w:r>
          </w:p>
        </w:tc>
      </w:tr>
      <w:tr>
        <w:trPr>
          <w:trHeight w:val="243"/>
        </w:trPr>
        <w:tc>
          <w:tcPr>
            <w:tcW w:w="5600" w:type="dxa"/>
            <w:vAlign w:val="bottom"/>
          </w:tcPr>
          <w:p>
            <w:pPr>
              <w:ind w:left="100"/>
              <w:spacing w:after="0" w:line="243" w:lineRule="exact"/>
              <w:rPr>
                <w:sz w:val="20"/>
                <w:szCs w:val="20"/>
                <w:color w:val="auto"/>
              </w:rPr>
            </w:pPr>
            <w:r>
              <w:rPr>
                <w:rFonts w:ascii="Calibri" w:cs="Calibri" w:eastAsia="Calibri" w:hAnsi="Calibri"/>
                <w:sz w:val="20"/>
                <w:szCs w:val="20"/>
                <w:color w:val="auto"/>
              </w:rPr>
              <w:t>Space Ground System Solutons, Inc.</w:t>
            </w:r>
          </w:p>
        </w:tc>
        <w:tc>
          <w:tcPr>
            <w:tcW w:w="5640" w:type="dxa"/>
            <w:vAlign w:val="bottom"/>
          </w:tcPr>
          <w:p>
            <w:pPr>
              <w:ind w:left="1660"/>
              <w:spacing w:after="0" w:line="243" w:lineRule="exact"/>
              <w:rPr>
                <w:sz w:val="20"/>
                <w:szCs w:val="20"/>
                <w:color w:val="auto"/>
              </w:rPr>
            </w:pPr>
            <w:r>
              <w:rPr>
                <w:rFonts w:ascii="Calibri" w:cs="Calibri" w:eastAsia="Calibri" w:hAnsi="Calibri"/>
                <w:sz w:val="20"/>
                <w:szCs w:val="20"/>
                <w:color w:val="auto"/>
              </w:rPr>
              <w:t>Florida</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SPW 2020 LLC</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Virginia</w:t>
            </w:r>
          </w:p>
        </w:tc>
      </w:tr>
      <w:tr>
        <w:trPr>
          <w:trHeight w:val="243"/>
        </w:trPr>
        <w:tc>
          <w:tcPr>
            <w:tcW w:w="5600" w:type="dxa"/>
            <w:vAlign w:val="bottom"/>
          </w:tcPr>
          <w:p>
            <w:pPr>
              <w:ind w:left="100"/>
              <w:spacing w:after="0" w:line="243" w:lineRule="exact"/>
              <w:rPr>
                <w:sz w:val="20"/>
                <w:szCs w:val="20"/>
                <w:color w:val="auto"/>
              </w:rPr>
            </w:pPr>
            <w:r>
              <w:rPr>
                <w:rFonts w:ascii="Calibri" w:cs="Calibri" w:eastAsia="Calibri" w:hAnsi="Calibri"/>
                <w:sz w:val="20"/>
                <w:szCs w:val="20"/>
                <w:color w:val="auto"/>
              </w:rPr>
              <w:t>Steinman Boynton Gronquist &amp; Birdsall</w:t>
            </w:r>
          </w:p>
        </w:tc>
        <w:tc>
          <w:tcPr>
            <w:tcW w:w="5640" w:type="dxa"/>
            <w:vAlign w:val="bottom"/>
          </w:tcPr>
          <w:p>
            <w:pPr>
              <w:ind w:left="1660"/>
              <w:spacing w:after="0" w:line="243" w:lineRule="exact"/>
              <w:rPr>
                <w:sz w:val="20"/>
                <w:szCs w:val="20"/>
                <w:color w:val="auto"/>
              </w:rPr>
            </w:pPr>
            <w:r>
              <w:rPr>
                <w:rFonts w:ascii="Calibri" w:cs="Calibri" w:eastAsia="Calibri" w:hAnsi="Calibri"/>
                <w:sz w:val="20"/>
                <w:szCs w:val="20"/>
                <w:color w:val="auto"/>
              </w:rPr>
              <w:t>New York</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Steinman Inc.</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New York</w:t>
            </w:r>
          </w:p>
        </w:tc>
      </w:tr>
      <w:tr>
        <w:trPr>
          <w:trHeight w:val="243"/>
        </w:trPr>
        <w:tc>
          <w:tcPr>
            <w:tcW w:w="5600" w:type="dxa"/>
            <w:vAlign w:val="bottom"/>
          </w:tcPr>
          <w:p>
            <w:pPr>
              <w:ind w:left="100"/>
              <w:spacing w:after="0" w:line="243" w:lineRule="exact"/>
              <w:rPr>
                <w:sz w:val="20"/>
                <w:szCs w:val="20"/>
                <w:color w:val="auto"/>
              </w:rPr>
            </w:pPr>
            <w:r>
              <w:rPr>
                <w:rFonts w:ascii="Calibri" w:cs="Calibri" w:eastAsia="Calibri" w:hAnsi="Calibri"/>
                <w:sz w:val="20"/>
                <w:szCs w:val="20"/>
                <w:color w:val="auto"/>
              </w:rPr>
              <w:t>T.J. Cross Engineers, Inc.</w:t>
            </w:r>
          </w:p>
        </w:tc>
        <w:tc>
          <w:tcPr>
            <w:tcW w:w="5640" w:type="dxa"/>
            <w:vAlign w:val="bottom"/>
          </w:tcPr>
          <w:p>
            <w:pPr>
              <w:ind w:left="1660"/>
              <w:spacing w:after="0" w:line="243" w:lineRule="exact"/>
              <w:rPr>
                <w:sz w:val="20"/>
                <w:szCs w:val="20"/>
                <w:color w:val="auto"/>
              </w:rPr>
            </w:pPr>
            <w:r>
              <w:rPr>
                <w:rFonts w:ascii="Calibri" w:cs="Calibri" w:eastAsia="Calibri" w:hAnsi="Calibri"/>
                <w:sz w:val="20"/>
                <w:szCs w:val="20"/>
                <w:color w:val="auto"/>
              </w:rPr>
              <w:t>California</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Tailored Engineering Deployments, LLC</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Maryland</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TCG Internatonal Group Ltd.</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Virginia</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The Ralph M. Parsons Company</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Nevada</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TSM LLC</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Tennessee</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Vaxcom Services LLC</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Delaware</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West Corridor Developers General Partnership</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Alberta</w:t>
            </w:r>
          </w:p>
        </w:tc>
      </w:tr>
      <w:tr>
        <w:trPr>
          <w:trHeight w:val="608"/>
        </w:trPr>
        <w:tc>
          <w:tcPr>
            <w:tcW w:w="5600" w:type="dxa"/>
            <w:vAlign w:val="bottom"/>
          </w:tcPr>
          <w:p>
            <w:pPr>
              <w:ind w:left="100"/>
              <w:spacing w:after="0"/>
              <w:rPr>
                <w:sz w:val="20"/>
                <w:szCs w:val="20"/>
                <w:color w:val="auto"/>
              </w:rPr>
            </w:pPr>
            <w:r>
              <w:rPr>
                <w:rFonts w:ascii="Calibri" w:cs="Calibri" w:eastAsia="Calibri" w:hAnsi="Calibri"/>
                <w:sz w:val="20"/>
                <w:szCs w:val="20"/>
                <w:color w:val="auto"/>
              </w:rPr>
              <w:t>Williams Electric Co., Inc.</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Florida</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Xator AFG LLC</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Delaware</w:t>
            </w:r>
          </w:p>
        </w:tc>
      </w:tr>
      <w:tr>
        <w:trPr>
          <w:trHeight w:val="405"/>
        </w:trPr>
        <w:tc>
          <w:tcPr>
            <w:tcW w:w="5600" w:type="dxa"/>
            <w:vAlign w:val="bottom"/>
          </w:tcPr>
          <w:p>
            <w:pPr>
              <w:ind w:left="100"/>
              <w:spacing w:after="0"/>
              <w:rPr>
                <w:sz w:val="20"/>
                <w:szCs w:val="20"/>
                <w:color w:val="auto"/>
              </w:rPr>
            </w:pPr>
            <w:r>
              <w:rPr>
                <w:rFonts w:ascii="Calibri" w:cs="Calibri" w:eastAsia="Calibri" w:hAnsi="Calibri"/>
                <w:sz w:val="20"/>
                <w:szCs w:val="20"/>
                <w:color w:val="auto"/>
              </w:rPr>
              <w:t>Xator LLC</w:t>
            </w:r>
          </w:p>
        </w:tc>
        <w:tc>
          <w:tcPr>
            <w:tcW w:w="5640" w:type="dxa"/>
            <w:vAlign w:val="bottom"/>
          </w:tcPr>
          <w:p>
            <w:pPr>
              <w:ind w:left="1660"/>
              <w:spacing w:after="0"/>
              <w:rPr>
                <w:sz w:val="20"/>
                <w:szCs w:val="20"/>
                <w:color w:val="auto"/>
              </w:rPr>
            </w:pPr>
            <w:r>
              <w:rPr>
                <w:rFonts w:ascii="Calibri" w:cs="Calibri" w:eastAsia="Calibri" w:hAnsi="Calibri"/>
                <w:sz w:val="20"/>
                <w:szCs w:val="20"/>
                <w:color w:val="auto"/>
              </w:rPr>
              <w:t>Florida</w:t>
            </w:r>
          </w:p>
        </w:tc>
      </w:tr>
      <w:tr>
        <w:trPr>
          <w:trHeight w:val="1606"/>
        </w:trPr>
        <w:tc>
          <w:tcPr>
            <w:tcW w:w="560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color w:val="auto"/>
        </w:rPr>
        <w:t>Exhibit 23.1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333-234626 and 333-231387) of Parsons Corporation of our report dated February 19, 2025 relating to the financial statements and financial statement schedule and the effectiveness of internal control over financial reporting, which appears in this Form 10-K.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940" w:val="left"/>
          <w:tab w:leader="none" w:pos="8020" w:val="left"/>
        </w:tabs>
        <w:rPr>
          <w:sz w:val="20"/>
          <w:szCs w:val="20"/>
          <w:color w:val="auto"/>
        </w:rPr>
      </w:pPr>
      <w:r>
        <w:rPr>
          <w:rFonts w:ascii="Arial" w:cs="Arial" w:eastAsia="Arial" w:hAnsi="Arial"/>
          <w:sz w:val="18"/>
          <w:szCs w:val="18"/>
          <w:color w:val="auto"/>
        </w:rPr>
        <w:t>Date: February 19,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8890</wp:posOffset>
            </wp:positionV>
            <wp:extent cx="31457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8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Carey A. Smith</w:t>
      </w:r>
    </w:p>
    <w:p>
      <w:pPr>
        <w:jc w:val="center"/>
        <w:ind w:left="6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940" w:val="left"/>
          <w:tab w:leader="none" w:pos="7900" w:val="left"/>
        </w:tabs>
        <w:rPr>
          <w:sz w:val="20"/>
          <w:szCs w:val="20"/>
          <w:color w:val="auto"/>
        </w:rPr>
      </w:pPr>
      <w:r>
        <w:rPr>
          <w:rFonts w:ascii="Arial" w:cs="Arial" w:eastAsia="Arial" w:hAnsi="Arial"/>
          <w:sz w:val="18"/>
          <w:szCs w:val="18"/>
          <w:color w:val="auto"/>
        </w:rPr>
        <w:t>Date: February 19,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8890</wp:posOffset>
            </wp:positionV>
            <wp:extent cx="31457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8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jc w:val="center"/>
        <w:ind w:left="6260"/>
        <w:spacing w:after="0"/>
        <w:rPr>
          <w:sz w:val="20"/>
          <w:szCs w:val="20"/>
          <w:color w:val="auto"/>
        </w:rPr>
      </w:pPr>
      <w:r>
        <w:rPr>
          <w:rFonts w:ascii="Arial" w:cs="Arial" w:eastAsia="Arial" w:hAnsi="Arial"/>
          <w:sz w:val="18"/>
          <w:szCs w:val="18"/>
          <w:color w:val="auto"/>
        </w:rPr>
        <w:t>Matthew M. Ofilos</w:t>
      </w:r>
    </w:p>
    <w:p>
      <w:pPr>
        <w:jc w:val="center"/>
        <w:ind w:left="62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Annual Report of Parsons Corporation (the “Company”) on Form 10-K for the period ending December 31, 2024 as filed with the Securities and Exchange Commission on the date hereof (the “Report”), I, Carey A. Smith, Chief Executive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February 19,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8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Carey A. Smith</w:t>
      </w:r>
    </w:p>
    <w:p>
      <w:pPr>
        <w:jc w:val="center"/>
        <w:ind w:left="60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connection with the Annual Report of Parsons Corporation (the “Company”) on Form 10-K for the period ending December 31, 2024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ind w:left="20"/>
        <w:spacing w:after="0"/>
        <w:tabs>
          <w:tab w:leader="none" w:pos="5680" w:val="left"/>
          <w:tab w:leader="none" w:pos="7780" w:val="left"/>
        </w:tabs>
        <w:rPr>
          <w:sz w:val="20"/>
          <w:szCs w:val="20"/>
          <w:color w:val="auto"/>
        </w:rPr>
      </w:pPr>
      <w:r>
        <w:rPr>
          <w:rFonts w:ascii="Arial" w:cs="Arial" w:eastAsia="Arial" w:hAnsi="Arial"/>
          <w:sz w:val="18"/>
          <w:szCs w:val="18"/>
          <w:color w:val="auto"/>
        </w:rPr>
        <w:t>Date: February 19,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8890</wp:posOffset>
            </wp:positionV>
            <wp:extent cx="330898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8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Matthew M. Ofilos</w:t>
      </w:r>
    </w:p>
    <w:p>
      <w:pPr>
        <w:jc w:val="center"/>
        <w:ind w:left="60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7A6D8D3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4B588F54"/>
    <w:multiLevelType w:val="hybridMultilevel"/>
    <w:lvl w:ilvl="0">
      <w:lvlJc w:val="left"/>
      <w:lvlText w:val="•"/>
      <w:numFmt w:val="bullet"/>
      <w:start w:val="1"/>
    </w:lvl>
    <w:lvl w:ilvl="1">
      <w:lvlJc w:val="left"/>
      <w:lvlText w:val="•"/>
      <w:numFmt w:val="bullet"/>
      <w:start w:val="1"/>
    </w:lvl>
  </w:abstractNum>
  <w:abstractNum w:abstractNumId="7">
    <w:nsid w:val="542289EC"/>
    <w:multiLevelType w:val="hybridMultilevel"/>
    <w:lvl w:ilvl="0">
      <w:lvlJc w:val="left"/>
      <w:lvlText w:val="•"/>
      <w:numFmt w:val="bullet"/>
      <w:start w:val="1"/>
    </w:lvl>
    <w:lvl w:ilvl="1">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lowerLetter"/>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lowerLetter"/>
      <w:start w:val="1"/>
    </w:lvl>
    <w:lvl w:ilvl="1">
      <w:lvlJc w:val="left"/>
      <w:lvlText w:val="(%2)"/>
      <w:numFmt w:val="decimal"/>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2"/>
    </w:lvl>
  </w:abstractNum>
  <w:abstractNum w:abstractNumId="52">
    <w:nsid w:val="6590700B"/>
    <w:multiLevelType w:val="hybridMultilevel"/>
    <w:lvl w:ilvl="0">
      <w:lvlJc w:val="left"/>
      <w:lvlText w:val="%1."/>
      <w:numFmt w:val="decimal"/>
      <w:start w:val="1"/>
    </w:lvl>
  </w:abstractNum>
  <w:abstractNum w:abstractNumId="53">
    <w:nsid w:val="15014ACB"/>
    <w:multiLevelType w:val="hybridMultilevel"/>
    <w:lvl w:ilvl="0">
      <w:lvlJc w:val="left"/>
      <w:lvlText w:val="%1."/>
      <w:numFmt w:val="decimal"/>
      <w:start w:val="3"/>
    </w:lvl>
  </w:abstractNum>
  <w:abstractNum w:abstractNumId="54">
    <w:nsid w:val="5F5E7FD0"/>
    <w:multiLevelType w:val="hybridMultilevel"/>
    <w:lvl w:ilvl="0">
      <w:lvlJc w:val="left"/>
      <w:lvlText w:val="%1."/>
      <w:numFmt w:val="decimal"/>
      <w:start w:val="4"/>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1."/>
      <w:numFmt w:val="decimal"/>
      <w:start w:val="5"/>
    </w:lvl>
  </w:abstractNum>
  <w:abstractNum w:abstractNumId="57">
    <w:nsid w:val="6B94764"/>
    <w:multiLevelType w:val="hybridMultilevel"/>
    <w:lvl w:ilvl="0">
      <w:lvlJc w:val="left"/>
      <w:lvlText w:val="%1."/>
      <w:numFmt w:val="decimal"/>
      <w:start w:val="6"/>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1."/>
      <w:numFmt w:val="decimal"/>
      <w:start w:val="7"/>
    </w:lvl>
  </w:abstractNum>
  <w:abstractNum w:abstractNumId="60">
    <w:nsid w:val="1EBA5D23"/>
    <w:multiLevelType w:val="hybridMultilevel"/>
    <w:lvl w:ilvl="0">
      <w:lvlJc w:val="left"/>
      <w:lvlText w:val="%1."/>
      <w:numFmt w:val="decimal"/>
      <w:start w:val="8"/>
    </w:lvl>
  </w:abstractNum>
  <w:abstractNum w:abstractNumId="61">
    <w:nsid w:val="661E3F1E"/>
    <w:multiLevelType w:val="hybridMultilevel"/>
    <w:lvl w:ilvl="0">
      <w:lvlJc w:val="left"/>
      <w:lvlText w:val="%1."/>
      <w:numFmt w:val="decimal"/>
      <w:start w:val="9"/>
    </w:lvl>
  </w:abstractNum>
  <w:abstractNum w:abstractNumId="62">
    <w:nsid w:val="5DC79EA8"/>
    <w:multiLevelType w:val="hybridMultilevel"/>
    <w:lvl w:ilvl="0">
      <w:lvlJc w:val="left"/>
      <w:lvlText w:val="%1."/>
      <w:numFmt w:val="decimal"/>
      <w:start w:val="10"/>
    </w:lvl>
  </w:abstractNum>
  <w:abstractNum w:abstractNumId="63">
    <w:nsid w:val="540A471C"/>
    <w:multiLevelType w:val="hybridMultilevel"/>
    <w:lvl w:ilvl="0">
      <w:lvlJc w:val="left"/>
      <w:lvlText w:val="%1."/>
      <w:numFmt w:val="decimal"/>
      <w:start w:val="1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1."/>
      <w:numFmt w:val="decimal"/>
      <w:start w:val="12"/>
    </w:lvl>
  </w:abstractNum>
  <w:abstractNum w:abstractNumId="67">
    <w:nsid w:val="BF72B14"/>
    <w:multiLevelType w:val="hybridMultilevel"/>
    <w:lvl w:ilvl="0">
      <w:lvlJc w:val="left"/>
      <w:lvlText w:val="%1."/>
      <w:numFmt w:val="decimal"/>
      <w:start w:val="13"/>
    </w:lvl>
  </w:abstractNum>
  <w:abstractNum w:abstractNumId="68">
    <w:nsid w:val="11447B73"/>
    <w:multiLevelType w:val="hybridMultilevel"/>
    <w:lvl w:ilvl="0">
      <w:lvlJc w:val="left"/>
      <w:lvlText w:val="%1."/>
      <w:numFmt w:val="decimal"/>
      <w:start w:val="14"/>
    </w:lvl>
  </w:abstractNum>
  <w:abstractNum w:abstractNumId="69">
    <w:nsid w:val="42963E5A"/>
    <w:multiLevelType w:val="hybridMultilevel"/>
    <w:lvl w:ilvl="0">
      <w:lvlJc w:val="left"/>
      <w:lvlText w:val="%1."/>
      <w:numFmt w:val="decimal"/>
      <w:start w:val="15"/>
    </w:lvl>
  </w:abstractNum>
  <w:abstractNum w:abstractNumId="70">
    <w:nsid w:val="A0382C5"/>
    <w:multiLevelType w:val="hybridMultilevel"/>
    <w:lvl w:ilvl="0">
      <w:lvlJc w:val="left"/>
      <w:lvlText w:val="%1."/>
      <w:numFmt w:val="decimal"/>
      <w:start w:val="17"/>
    </w:lvl>
  </w:abstractNum>
  <w:abstractNum w:abstractNumId="71">
    <w:nsid w:val="8F2B15E"/>
    <w:multiLevelType w:val="hybridMultilevel"/>
    <w:lvl w:ilvl="0">
      <w:lvlJc w:val="left"/>
      <w:lvlText w:val="%1."/>
      <w:numFmt w:val="decimal"/>
      <w:start w:val="18"/>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1."/>
      <w:numFmt w:val="decimal"/>
      <w:start w:val="19"/>
    </w:lvl>
  </w:abstractNum>
  <w:abstractNum w:abstractNumId="74">
    <w:nsid w:val="68EB2F63"/>
    <w:multiLevelType w:val="hybridMultilevel"/>
    <w:lvl w:ilvl="0">
      <w:lvlJc w:val="left"/>
      <w:lvlText w:val="%1."/>
      <w:numFmt w:val="decimal"/>
      <w:start w:val="1"/>
    </w:lvl>
    <w:lvl w:ilvl="1">
      <w:lvlJc w:val="left"/>
      <w:lvlText w:val="%2."/>
      <w:numFmt w:val="lowerLetter"/>
      <w:start w:val="1"/>
    </w:lvl>
  </w:abstractNum>
  <w:abstractNum w:abstractNumId="75">
    <w:nsid w:val="4962813B"/>
    <w:multiLevelType w:val="hybridMultilevel"/>
    <w:lvl w:ilvl="0">
      <w:lvlJc w:val="left"/>
      <w:lvlText w:val="%1."/>
      <w:numFmt w:val="decimal"/>
      <w:start w:val="20"/>
    </w:lvl>
  </w:abstractNum>
  <w:abstractNum w:abstractNumId="76">
    <w:nsid w:val="60B6DF70"/>
    <w:multiLevelType w:val="hybridMultilevel"/>
    <w:lvl w:ilvl="0">
      <w:lvlJc w:val="left"/>
      <w:lvlText w:val="(%1)"/>
      <w:numFmt w:val="lowerLetter"/>
      <w:start w:val="1"/>
    </w:lvl>
    <w:lvl w:ilvl="1">
      <w:lvlJc w:val="left"/>
      <w:lvlText w:val="%2."/>
      <w:numFmt w:val="lowerRoman"/>
      <w:start w:val="1"/>
    </w:lvl>
  </w:abstractNum>
  <w:abstractNum w:abstractNumId="77">
    <w:nsid w:val="6A5EE64"/>
    <w:multiLevelType w:val="hybridMultilevel"/>
    <w:lvl w:ilvl="0">
      <w:lvlJc w:val="left"/>
      <w:lvlText w:val="%1."/>
      <w:numFmt w:val="decimal"/>
      <w:start w:val="21"/>
    </w:lvl>
  </w:abstractNum>
  <w:abstractNum w:abstractNumId="78">
    <w:nsid w:val="14330624"/>
    <w:multiLevelType w:val="hybridMultilevel"/>
    <w:lvl w:ilvl="0">
      <w:lvlJc w:val="left"/>
      <w:lvlText w:val="1"/>
      <w:numFmt w:val="bullet"/>
      <w:start w:val="1"/>
    </w:lvl>
  </w:abstractNum>
  <w:abstractNum w:abstractNumId="79">
    <w:nsid w:val="7FFFCA11"/>
    <w:multiLevelType w:val="hybridMultilevel"/>
    <w:lvl w:ilvl="0">
      <w:lvlJc w:val="left"/>
      <w:lvlText w:val="%1."/>
      <w:numFmt w:val="decimal"/>
      <w:start w:val="21"/>
    </w:lvl>
    <w:lvl w:ilvl="1">
      <w:lvlJc w:val="left"/>
      <w:lvlText w:val="2"/>
      <w:numFmt w:val="bullet"/>
      <w:start w:val="1"/>
    </w:lvl>
  </w:abstractNum>
  <w:abstractNum w:abstractNumId="80">
    <w:nsid w:val="1A27709E"/>
    <w:multiLevelType w:val="hybridMultilevel"/>
    <w:lvl w:ilvl="0">
      <w:lvlJc w:val="left"/>
      <w:lvlText w:val="%1."/>
      <w:numFmt w:val="decimal"/>
      <w:start w:val="1"/>
    </w:lvl>
    <w:lvl w:ilvl="1">
      <w:lvlJc w:val="left"/>
      <w:lvlText w:val="*"/>
      <w:numFmt w:val="bullet"/>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7" Type="http://schemas.openxmlformats.org/officeDocument/2006/relationships/image" Target="media/image160.png"/><Relationship Id="rId199" Type="http://schemas.openxmlformats.org/officeDocument/2006/relationships/image" Target="media/image161.png"/><Relationship Id="rId201"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6" Type="http://schemas.openxmlformats.org/officeDocument/2006/relationships/image" Target="media/image165.png"/><Relationship Id="rId208" Type="http://schemas.openxmlformats.org/officeDocument/2006/relationships/image" Target="media/image166.png"/><Relationship Id="rId210" Type="http://schemas.openxmlformats.org/officeDocument/2006/relationships/image" Target="media/image167.png"/><Relationship Id="rId212"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6" Type="http://schemas.openxmlformats.org/officeDocument/2006/relationships/image" Target="media/image205.png"/><Relationship Id="rId267"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2" Type="http://schemas.openxmlformats.org/officeDocument/2006/relationships/image" Target="media/image209.png"/><Relationship Id="rId273" Type="http://schemas.openxmlformats.org/officeDocument/2006/relationships/image" Target="media/image210.png"/><Relationship Id="rId274" Type="http://schemas.openxmlformats.org/officeDocument/2006/relationships/image" Target="media/image211.png"/><Relationship Id="rId276" Type="http://schemas.openxmlformats.org/officeDocument/2006/relationships/image" Target="media/image212.png"/><Relationship Id="rId277" Type="http://schemas.openxmlformats.org/officeDocument/2006/relationships/image" Target="media/image213.png"/><Relationship Id="rId279" Type="http://schemas.openxmlformats.org/officeDocument/2006/relationships/image" Target="media/image214.png"/><Relationship Id="rId281" Type="http://schemas.openxmlformats.org/officeDocument/2006/relationships/image" Target="media/image215.png"/><Relationship Id="rId283" Type="http://schemas.openxmlformats.org/officeDocument/2006/relationships/image" Target="media/image216.png"/><Relationship Id="rId284" Type="http://schemas.openxmlformats.org/officeDocument/2006/relationships/image" Target="media/image217.png"/><Relationship Id="rId296" Type="http://schemas.openxmlformats.org/officeDocument/2006/relationships/image" Target="media/image218.png"/><Relationship Id="rId297" Type="http://schemas.openxmlformats.org/officeDocument/2006/relationships/image" Target="media/image219.png"/><Relationship Id="rId300" Type="http://schemas.openxmlformats.org/officeDocument/2006/relationships/image" Target="media/image220.png"/><Relationship Id="rId301" Type="http://schemas.openxmlformats.org/officeDocument/2006/relationships/image" Target="media/image221.png"/><Relationship Id="rId302" Type="http://schemas.openxmlformats.org/officeDocument/2006/relationships/image" Target="media/image222.png"/><Relationship Id="rId303" Type="http://schemas.openxmlformats.org/officeDocument/2006/relationships/image" Target="media/image223.png"/><Relationship Id="rId304" Type="http://schemas.openxmlformats.org/officeDocument/2006/relationships/image" Target="media/image224.png"/><Relationship Id="rId305" Type="http://schemas.openxmlformats.org/officeDocument/2006/relationships/image" Target="media/image225.png"/><Relationship Id="rId306" Type="http://schemas.openxmlformats.org/officeDocument/2006/relationships/image" Target="media/image226.png"/><Relationship Id="rId307" Type="http://schemas.openxmlformats.org/officeDocument/2006/relationships/image" Target="media/image227.png"/><Relationship Id="rId308" Type="http://schemas.openxmlformats.org/officeDocument/2006/relationships/image" Target="media/image228.png"/><Relationship Id="rId309" Type="http://schemas.openxmlformats.org/officeDocument/2006/relationships/image" Target="media/image229.png"/><Relationship Id="rId310" Type="http://schemas.openxmlformats.org/officeDocument/2006/relationships/image" Target="media/image230.png"/><Relationship Id="rId311" Type="http://schemas.openxmlformats.org/officeDocument/2006/relationships/image" Target="media/image231.png"/><Relationship Id="rId312" Type="http://schemas.openxmlformats.org/officeDocument/2006/relationships/image" Target="media/image232.png"/><Relationship Id="rId313" Type="http://schemas.openxmlformats.org/officeDocument/2006/relationships/image" Target="media/image233.png"/><Relationship Id="rId314" Type="http://schemas.openxmlformats.org/officeDocument/2006/relationships/image" Target="media/image234.png"/><Relationship Id="rId315" Type="http://schemas.openxmlformats.org/officeDocument/2006/relationships/image" Target="media/image235.png"/><Relationship Id="rId316" Type="http://schemas.openxmlformats.org/officeDocument/2006/relationships/image" Target="media/image236.png"/><Relationship Id="rId317" Type="http://schemas.openxmlformats.org/officeDocument/2006/relationships/image" Target="media/image237.png"/><Relationship Id="rId318" Type="http://schemas.openxmlformats.org/officeDocument/2006/relationships/image" Target="media/image238.png"/><Relationship Id="rId319" Type="http://schemas.openxmlformats.org/officeDocument/2006/relationships/image" Target="media/image239.png"/><Relationship Id="rId320" Type="http://schemas.openxmlformats.org/officeDocument/2006/relationships/image" Target="media/image240.png"/><Relationship Id="rId321" Type="http://schemas.openxmlformats.org/officeDocument/2006/relationships/image" Target="media/image241.png"/><Relationship Id="rId322" Type="http://schemas.openxmlformats.org/officeDocument/2006/relationships/image" Target="media/image242.png"/><Relationship Id="rId323" Type="http://schemas.openxmlformats.org/officeDocument/2006/relationships/image" Target="media/image243.png"/><Relationship Id="rId324" Type="http://schemas.openxmlformats.org/officeDocument/2006/relationships/image" Target="media/image244.png"/><Relationship Id="rId325" Type="http://schemas.openxmlformats.org/officeDocument/2006/relationships/image" Target="media/image245.png"/><Relationship Id="rId326" Type="http://schemas.openxmlformats.org/officeDocument/2006/relationships/image" Target="media/image246.png"/><Relationship Id="rId327" Type="http://schemas.openxmlformats.org/officeDocument/2006/relationships/image" Target="media/image247.png"/><Relationship Id="rId328" Type="http://schemas.openxmlformats.org/officeDocument/2006/relationships/image" Target="media/image248.png"/><Relationship Id="rId329" Type="http://schemas.openxmlformats.org/officeDocument/2006/relationships/image" Target="media/image249.png"/><Relationship Id="rId330" Type="http://schemas.openxmlformats.org/officeDocument/2006/relationships/image" Target="media/image250.png"/><Relationship Id="rId331" Type="http://schemas.openxmlformats.org/officeDocument/2006/relationships/image" Target="media/image251.png"/><Relationship Id="rId332" Type="http://schemas.openxmlformats.org/officeDocument/2006/relationships/image" Target="media/image252.png"/><Relationship Id="rId333" Type="http://schemas.openxmlformats.org/officeDocument/2006/relationships/image" Target="media/image253.png"/><Relationship Id="rId334" Type="http://schemas.openxmlformats.org/officeDocument/2006/relationships/image" Target="media/image254.png"/><Relationship Id="rId335" Type="http://schemas.openxmlformats.org/officeDocument/2006/relationships/image" Target="media/image255.png"/><Relationship Id="rId336" Type="http://schemas.openxmlformats.org/officeDocument/2006/relationships/image" Target="media/image256.png"/><Relationship Id="rId337" Type="http://schemas.openxmlformats.org/officeDocument/2006/relationships/image" Target="media/image257.png"/><Relationship Id="rId338" Type="http://schemas.openxmlformats.org/officeDocument/2006/relationships/image" Target="media/image258.png"/><Relationship Id="rId339" Type="http://schemas.openxmlformats.org/officeDocument/2006/relationships/image" Target="media/image259.png"/><Relationship Id="rId340" Type="http://schemas.openxmlformats.org/officeDocument/2006/relationships/image" Target="media/image260.png"/><Relationship Id="rId341" Type="http://schemas.openxmlformats.org/officeDocument/2006/relationships/image" Target="media/image261.png"/><Relationship Id="rId342" Type="http://schemas.openxmlformats.org/officeDocument/2006/relationships/image" Target="media/image262.png"/><Relationship Id="rId343" Type="http://schemas.openxmlformats.org/officeDocument/2006/relationships/image" Target="media/image263.png"/><Relationship Id="rId344" Type="http://schemas.openxmlformats.org/officeDocument/2006/relationships/image" Target="media/image264.png"/><Relationship Id="rId345" Type="http://schemas.openxmlformats.org/officeDocument/2006/relationships/image" Target="media/image265.png"/><Relationship Id="rId346" Type="http://schemas.openxmlformats.org/officeDocument/2006/relationships/image" Target="media/image266.png"/><Relationship Id="rId347" Type="http://schemas.openxmlformats.org/officeDocument/2006/relationships/image" Target="media/image267.png"/><Relationship Id="rId348" Type="http://schemas.openxmlformats.org/officeDocument/2006/relationships/image" Target="media/image268.png"/><Relationship Id="rId349" Type="http://schemas.openxmlformats.org/officeDocument/2006/relationships/image" Target="media/image269.png"/><Relationship Id="rId350" Type="http://schemas.openxmlformats.org/officeDocument/2006/relationships/image" Target="media/image270.png"/><Relationship Id="rId351" Type="http://schemas.openxmlformats.org/officeDocument/2006/relationships/image" Target="media/image271.png"/><Relationship Id="rId352" Type="http://schemas.openxmlformats.org/officeDocument/2006/relationships/image" Target="media/image272.png"/><Relationship Id="rId353" Type="http://schemas.openxmlformats.org/officeDocument/2006/relationships/image" Target="media/image273.png"/><Relationship Id="rId354" Type="http://schemas.openxmlformats.org/officeDocument/2006/relationships/image" Target="media/image274.png"/><Relationship Id="rId355" Type="http://schemas.openxmlformats.org/officeDocument/2006/relationships/image" Target="media/image275.png"/><Relationship Id="rId356" Type="http://schemas.openxmlformats.org/officeDocument/2006/relationships/image" Target="media/image276.png"/><Relationship Id="rId357" Type="http://schemas.openxmlformats.org/officeDocument/2006/relationships/image" Target="media/image277.png"/><Relationship Id="rId358" Type="http://schemas.openxmlformats.org/officeDocument/2006/relationships/image" Target="media/image278.png"/><Relationship Id="rId359" Type="http://schemas.openxmlformats.org/officeDocument/2006/relationships/image" Target="media/image279.png"/><Relationship Id="rId360" Type="http://schemas.openxmlformats.org/officeDocument/2006/relationships/image" Target="media/image280.png"/><Relationship Id="rId361" Type="http://schemas.openxmlformats.org/officeDocument/2006/relationships/image" Target="media/image281.png"/><Relationship Id="rId362" Type="http://schemas.openxmlformats.org/officeDocument/2006/relationships/image" Target="media/image282.png"/><Relationship Id="rId363" Type="http://schemas.openxmlformats.org/officeDocument/2006/relationships/image" Target="media/image283.png"/><Relationship Id="rId364" Type="http://schemas.openxmlformats.org/officeDocument/2006/relationships/image" Target="media/image284.png"/><Relationship Id="rId365" Type="http://schemas.openxmlformats.org/officeDocument/2006/relationships/image" Target="media/image285.png"/><Relationship Id="rId366" Type="http://schemas.openxmlformats.org/officeDocument/2006/relationships/image" Target="media/image286.png"/><Relationship Id="rId367" Type="http://schemas.openxmlformats.org/officeDocument/2006/relationships/image" Target="media/image287.png"/><Relationship Id="rId368" Type="http://schemas.openxmlformats.org/officeDocument/2006/relationships/image" Target="media/image288.png"/><Relationship Id="rId369" Type="http://schemas.openxmlformats.org/officeDocument/2006/relationships/image" Target="media/image289.png"/><Relationship Id="rId370" Type="http://schemas.openxmlformats.org/officeDocument/2006/relationships/image" Target="media/image290.png"/><Relationship Id="rId371" Type="http://schemas.openxmlformats.org/officeDocument/2006/relationships/image" Target="media/image291.png"/><Relationship Id="rId372" Type="http://schemas.openxmlformats.org/officeDocument/2006/relationships/image" Target="media/image292.png"/><Relationship Id="rId373" Type="http://schemas.openxmlformats.org/officeDocument/2006/relationships/image" Target="media/image293.png"/><Relationship Id="rId374" Type="http://schemas.openxmlformats.org/officeDocument/2006/relationships/image" Target="media/image294.png"/><Relationship Id="rId375" Type="http://schemas.openxmlformats.org/officeDocument/2006/relationships/image" Target="media/image295.png"/><Relationship Id="rId376" Type="http://schemas.openxmlformats.org/officeDocument/2006/relationships/image" Target="media/image296.png"/><Relationship Id="rId377" Type="http://schemas.openxmlformats.org/officeDocument/2006/relationships/image" Target="media/image297.png"/><Relationship Id="rId378" Type="http://schemas.openxmlformats.org/officeDocument/2006/relationships/image" Target="media/image298.png"/><Relationship Id="rId379" Type="http://schemas.openxmlformats.org/officeDocument/2006/relationships/image" Target="media/image299.png"/><Relationship Id="rId380" Type="http://schemas.openxmlformats.org/officeDocument/2006/relationships/image" Target="media/image300.png"/><Relationship Id="rId381" Type="http://schemas.openxmlformats.org/officeDocument/2006/relationships/image" Target="media/image301.png"/><Relationship Id="rId382" Type="http://schemas.openxmlformats.org/officeDocument/2006/relationships/image" Target="media/image302.png"/><Relationship Id="rId383" Type="http://schemas.openxmlformats.org/officeDocument/2006/relationships/image" Target="media/image303.png"/><Relationship Id="rId384" Type="http://schemas.openxmlformats.org/officeDocument/2006/relationships/image" Target="media/image304.png"/><Relationship Id="rId385" Type="http://schemas.openxmlformats.org/officeDocument/2006/relationships/image" Target="media/image305.png"/><Relationship Id="rId386" Type="http://schemas.openxmlformats.org/officeDocument/2006/relationships/image" Target="media/image306.png"/><Relationship Id="rId387" Type="http://schemas.openxmlformats.org/officeDocument/2006/relationships/image" Target="media/image307.png"/><Relationship Id="rId388" Type="http://schemas.openxmlformats.org/officeDocument/2006/relationships/image" Target="media/image308.png"/><Relationship Id="rId389" Type="http://schemas.openxmlformats.org/officeDocument/2006/relationships/image" Target="media/image309.png"/><Relationship Id="rId390" Type="http://schemas.openxmlformats.org/officeDocument/2006/relationships/image" Target="media/image310.png"/><Relationship Id="rId391" Type="http://schemas.openxmlformats.org/officeDocument/2006/relationships/image" Target="media/image311.png"/><Relationship Id="rId392" Type="http://schemas.openxmlformats.org/officeDocument/2006/relationships/image" Target="media/image312.png"/><Relationship Id="rId393" Type="http://schemas.openxmlformats.org/officeDocument/2006/relationships/image" Target="media/image313.png"/><Relationship Id="rId394" Type="http://schemas.openxmlformats.org/officeDocument/2006/relationships/image" Target="media/image314.png"/><Relationship Id="rId395" Type="http://schemas.openxmlformats.org/officeDocument/2006/relationships/image" Target="media/image315.png"/><Relationship Id="rId396" Type="http://schemas.openxmlformats.org/officeDocument/2006/relationships/image" Target="media/image316.png"/><Relationship Id="rId397" Type="http://schemas.openxmlformats.org/officeDocument/2006/relationships/image" Target="media/image317.png"/><Relationship Id="rId398" Type="http://schemas.openxmlformats.org/officeDocument/2006/relationships/image" Target="media/image318.png"/><Relationship Id="rId399" Type="http://schemas.openxmlformats.org/officeDocument/2006/relationships/image" Target="media/image319.png"/><Relationship Id="rId400" Type="http://schemas.openxmlformats.org/officeDocument/2006/relationships/image" Target="media/image320.png"/><Relationship Id="rId401" Type="http://schemas.openxmlformats.org/officeDocument/2006/relationships/image" Target="media/image321.png"/><Relationship Id="rId402" Type="http://schemas.openxmlformats.org/officeDocument/2006/relationships/image" Target="media/image322.png"/><Relationship Id="rId403" Type="http://schemas.openxmlformats.org/officeDocument/2006/relationships/image" Target="media/image323.png"/><Relationship Id="rId404" Type="http://schemas.openxmlformats.org/officeDocument/2006/relationships/image" Target="media/image324.png"/><Relationship Id="rId405" Type="http://schemas.openxmlformats.org/officeDocument/2006/relationships/image" Target="media/image325.png"/><Relationship Id="rId406" Type="http://schemas.openxmlformats.org/officeDocument/2006/relationships/image" Target="media/image326.png"/><Relationship Id="rId407" Type="http://schemas.openxmlformats.org/officeDocument/2006/relationships/image" Target="media/image327.png"/><Relationship Id="rId408" Type="http://schemas.openxmlformats.org/officeDocument/2006/relationships/image" Target="media/image328.png"/><Relationship Id="rId409" Type="http://schemas.openxmlformats.org/officeDocument/2006/relationships/image" Target="media/image329.png"/><Relationship Id="rId410" Type="http://schemas.openxmlformats.org/officeDocument/2006/relationships/image" Target="media/image330.png"/><Relationship Id="rId411" Type="http://schemas.openxmlformats.org/officeDocument/2006/relationships/image" Target="media/image331.png"/><Relationship Id="rId412" Type="http://schemas.openxmlformats.org/officeDocument/2006/relationships/image" Target="media/image332.png"/><Relationship Id="rId413" Type="http://schemas.openxmlformats.org/officeDocument/2006/relationships/image" Target="media/image333.png"/><Relationship Id="rId414" Type="http://schemas.openxmlformats.org/officeDocument/2006/relationships/image" Target="media/image334.png"/><Relationship Id="rId415" Type="http://schemas.openxmlformats.org/officeDocument/2006/relationships/image" Target="media/image335.png"/><Relationship Id="rId416" Type="http://schemas.openxmlformats.org/officeDocument/2006/relationships/image" Target="media/image336.png"/><Relationship Id="rId417" Type="http://schemas.openxmlformats.org/officeDocument/2006/relationships/image" Target="media/image337.png"/><Relationship Id="rId418" Type="http://schemas.openxmlformats.org/officeDocument/2006/relationships/image" Target="media/image338.png"/><Relationship Id="rId419" Type="http://schemas.openxmlformats.org/officeDocument/2006/relationships/image" Target="media/image339.png"/><Relationship Id="rId420" Type="http://schemas.openxmlformats.org/officeDocument/2006/relationships/image" Target="media/image340.png"/><Relationship Id="rId421" Type="http://schemas.openxmlformats.org/officeDocument/2006/relationships/image" Target="media/image341.png"/><Relationship Id="rId422" Type="http://schemas.openxmlformats.org/officeDocument/2006/relationships/image" Target="media/image342.png"/><Relationship Id="rId423" Type="http://schemas.openxmlformats.org/officeDocument/2006/relationships/image" Target="media/image343.png"/><Relationship Id="rId424" Type="http://schemas.openxmlformats.org/officeDocument/2006/relationships/image" Target="media/image344.png"/><Relationship Id="rId425" Type="http://schemas.openxmlformats.org/officeDocument/2006/relationships/image" Target="media/image345.png"/><Relationship Id="rId426" Type="http://schemas.openxmlformats.org/officeDocument/2006/relationships/image" Target="media/image346.png"/><Relationship Id="rId427" Type="http://schemas.openxmlformats.org/officeDocument/2006/relationships/image" Target="media/image347.png"/><Relationship Id="rId428" Type="http://schemas.openxmlformats.org/officeDocument/2006/relationships/image" Target="media/image348.png"/><Relationship Id="rId429" Type="http://schemas.openxmlformats.org/officeDocument/2006/relationships/image" Target="media/image349.png"/><Relationship Id="rId430" Type="http://schemas.openxmlformats.org/officeDocument/2006/relationships/image" Target="media/image350.png"/><Relationship Id="rId431" Type="http://schemas.openxmlformats.org/officeDocument/2006/relationships/image" Target="media/image351.png"/><Relationship Id="rId432" Type="http://schemas.openxmlformats.org/officeDocument/2006/relationships/image" Target="media/image352.png"/><Relationship Id="rId433" Type="http://schemas.openxmlformats.org/officeDocument/2006/relationships/image" Target="media/image353.png"/><Relationship Id="rId434" Type="http://schemas.openxmlformats.org/officeDocument/2006/relationships/image" Target="media/image354.png"/><Relationship Id="rId435" Type="http://schemas.openxmlformats.org/officeDocument/2006/relationships/image" Target="media/image355.png"/><Relationship Id="rId436" Type="http://schemas.openxmlformats.org/officeDocument/2006/relationships/image" Target="media/image356.png"/><Relationship Id="rId437" Type="http://schemas.openxmlformats.org/officeDocument/2006/relationships/image" Target="media/image357.png"/><Relationship Id="rId438" Type="http://schemas.openxmlformats.org/officeDocument/2006/relationships/image" Target="media/image358.png"/><Relationship Id="rId439" Type="http://schemas.openxmlformats.org/officeDocument/2006/relationships/image" Target="media/image359.png"/><Relationship Id="rId440" Type="http://schemas.openxmlformats.org/officeDocument/2006/relationships/image" Target="media/image360.png"/><Relationship Id="rId441" Type="http://schemas.openxmlformats.org/officeDocument/2006/relationships/image" Target="media/image361.png"/><Relationship Id="rId442" Type="http://schemas.openxmlformats.org/officeDocument/2006/relationships/image" Target="media/image362.png"/><Relationship Id="rId443" Type="http://schemas.openxmlformats.org/officeDocument/2006/relationships/image" Target="media/image363.png"/><Relationship Id="rId444" Type="http://schemas.openxmlformats.org/officeDocument/2006/relationships/image" Target="media/image364.png"/><Relationship Id="rId445" Type="http://schemas.openxmlformats.org/officeDocument/2006/relationships/image" Target="media/image365.png"/><Relationship Id="rId446" Type="http://schemas.openxmlformats.org/officeDocument/2006/relationships/image" Target="media/image366.png"/><Relationship Id="rId447" Type="http://schemas.openxmlformats.org/officeDocument/2006/relationships/image" Target="media/image367.png"/><Relationship Id="rId448" Type="http://schemas.openxmlformats.org/officeDocument/2006/relationships/image" Target="media/image368.png"/><Relationship Id="rId449" Type="http://schemas.openxmlformats.org/officeDocument/2006/relationships/image" Target="media/image369.png"/><Relationship Id="rId450" Type="http://schemas.openxmlformats.org/officeDocument/2006/relationships/image" Target="media/image370.png"/><Relationship Id="rId451" Type="http://schemas.openxmlformats.org/officeDocument/2006/relationships/image" Target="media/image371.png"/><Relationship Id="rId452" Type="http://schemas.openxmlformats.org/officeDocument/2006/relationships/image" Target="media/image372.png"/><Relationship Id="rId453" Type="http://schemas.openxmlformats.org/officeDocument/2006/relationships/image" Target="media/image373.png"/><Relationship Id="rId454" Type="http://schemas.openxmlformats.org/officeDocument/2006/relationships/image" Target="media/image374.png"/><Relationship Id="rId455" Type="http://schemas.openxmlformats.org/officeDocument/2006/relationships/image" Target="media/image375.png"/><Relationship Id="rId456" Type="http://schemas.openxmlformats.org/officeDocument/2006/relationships/image" Target="media/image376.png"/><Relationship Id="rId457" Type="http://schemas.openxmlformats.org/officeDocument/2006/relationships/image" Target="media/image377.png"/><Relationship Id="rId458" Type="http://schemas.openxmlformats.org/officeDocument/2006/relationships/image" Target="media/image378.png"/><Relationship Id="rId459" Type="http://schemas.openxmlformats.org/officeDocument/2006/relationships/image" Target="media/image379.png"/><Relationship Id="rId460" Type="http://schemas.openxmlformats.org/officeDocument/2006/relationships/image" Target="media/image380.png"/><Relationship Id="rId461" Type="http://schemas.openxmlformats.org/officeDocument/2006/relationships/image" Target="media/image381.png"/><Relationship Id="rId462" Type="http://schemas.openxmlformats.org/officeDocument/2006/relationships/image" Target="media/image382.png"/><Relationship Id="rId463" Type="http://schemas.openxmlformats.org/officeDocument/2006/relationships/image" Target="media/image383.png"/><Relationship Id="rId464" Type="http://schemas.openxmlformats.org/officeDocument/2006/relationships/image" Target="media/image384.png"/><Relationship Id="rId465" Type="http://schemas.openxmlformats.org/officeDocument/2006/relationships/image" Target="media/image385.png"/><Relationship Id="rId466" Type="http://schemas.openxmlformats.org/officeDocument/2006/relationships/image" Target="media/image386.png"/><Relationship Id="rId467" Type="http://schemas.openxmlformats.org/officeDocument/2006/relationships/image" Target="media/image387.png"/><Relationship Id="rId468" Type="http://schemas.openxmlformats.org/officeDocument/2006/relationships/image" Target="media/image388.png"/><Relationship Id="rId469" Type="http://schemas.openxmlformats.org/officeDocument/2006/relationships/image" Target="media/image389.png"/><Relationship Id="rId470" Type="http://schemas.openxmlformats.org/officeDocument/2006/relationships/image" Target="media/image390.png"/><Relationship Id="rId471" Type="http://schemas.openxmlformats.org/officeDocument/2006/relationships/image" Target="media/image391.png"/><Relationship Id="rId472" Type="http://schemas.openxmlformats.org/officeDocument/2006/relationships/image" Target="media/image392.png"/><Relationship Id="rId473" Type="http://schemas.openxmlformats.org/officeDocument/2006/relationships/image" Target="media/image393.png"/><Relationship Id="rId474" Type="http://schemas.openxmlformats.org/officeDocument/2006/relationships/image" Target="media/image394.png"/><Relationship Id="rId475" Type="http://schemas.openxmlformats.org/officeDocument/2006/relationships/image" Target="media/image395.png"/><Relationship Id="rId476" Type="http://schemas.openxmlformats.org/officeDocument/2006/relationships/image" Target="media/image396.png"/><Relationship Id="rId477" Type="http://schemas.openxmlformats.org/officeDocument/2006/relationships/image" Target="media/image397.png"/><Relationship Id="rId478" Type="http://schemas.openxmlformats.org/officeDocument/2006/relationships/image" Target="media/image398.png"/><Relationship Id="rId479" Type="http://schemas.openxmlformats.org/officeDocument/2006/relationships/image" Target="media/image399.png"/><Relationship Id="rId480" Type="http://schemas.openxmlformats.org/officeDocument/2006/relationships/image" Target="media/image400.png"/><Relationship Id="rId481" Type="http://schemas.openxmlformats.org/officeDocument/2006/relationships/image" Target="media/image401.png"/><Relationship Id="rId482" Type="http://schemas.openxmlformats.org/officeDocument/2006/relationships/image" Target="media/image402.png"/><Relationship Id="rId483" Type="http://schemas.openxmlformats.org/officeDocument/2006/relationships/image" Target="media/image403.png"/><Relationship Id="rId484" Type="http://schemas.openxmlformats.org/officeDocument/2006/relationships/image" Target="media/image404.png"/><Relationship Id="rId485" Type="http://schemas.openxmlformats.org/officeDocument/2006/relationships/image" Target="media/image405.png"/><Relationship Id="rId486" Type="http://schemas.openxmlformats.org/officeDocument/2006/relationships/image" Target="media/image406.png"/><Relationship Id="rId487" Type="http://schemas.openxmlformats.org/officeDocument/2006/relationships/image" Target="media/image407.png"/><Relationship Id="rId488" Type="http://schemas.openxmlformats.org/officeDocument/2006/relationships/image" Target="media/image408.png"/><Relationship Id="rId489" Type="http://schemas.openxmlformats.org/officeDocument/2006/relationships/image" Target="media/image409.png"/><Relationship Id="rId490" Type="http://schemas.openxmlformats.org/officeDocument/2006/relationships/image" Target="media/image410.png"/><Relationship Id="rId491" Type="http://schemas.openxmlformats.org/officeDocument/2006/relationships/image" Target="media/image411.png"/><Relationship Id="rId492" Type="http://schemas.openxmlformats.org/officeDocument/2006/relationships/image" Target="media/image412.png"/><Relationship Id="rId493" Type="http://schemas.openxmlformats.org/officeDocument/2006/relationships/image" Target="media/image413.png"/><Relationship Id="rId494" Type="http://schemas.openxmlformats.org/officeDocument/2006/relationships/image" Target="media/image414.png"/><Relationship Id="rId495" Type="http://schemas.openxmlformats.org/officeDocument/2006/relationships/image" Target="media/image415.png"/><Relationship Id="rId496" Type="http://schemas.openxmlformats.org/officeDocument/2006/relationships/image" Target="media/image416.png"/><Relationship Id="rId497" Type="http://schemas.openxmlformats.org/officeDocument/2006/relationships/image" Target="media/image417.png"/><Relationship Id="rId498" Type="http://schemas.openxmlformats.org/officeDocument/2006/relationships/image" Target="media/image418.png"/><Relationship Id="rId499" Type="http://schemas.openxmlformats.org/officeDocument/2006/relationships/image" Target="media/image419.png"/><Relationship Id="rId500" Type="http://schemas.openxmlformats.org/officeDocument/2006/relationships/image" Target="media/image420.png"/><Relationship Id="rId501" Type="http://schemas.openxmlformats.org/officeDocument/2006/relationships/image" Target="media/image421.png"/><Relationship Id="rId502" Type="http://schemas.openxmlformats.org/officeDocument/2006/relationships/image" Target="media/image422.png"/><Relationship Id="rId503" Type="http://schemas.openxmlformats.org/officeDocument/2006/relationships/image" Target="media/image423.png"/><Relationship Id="rId504" Type="http://schemas.openxmlformats.org/officeDocument/2006/relationships/image" Target="media/image424.png"/><Relationship Id="rId505" Type="http://schemas.openxmlformats.org/officeDocument/2006/relationships/image" Target="media/image425.png"/><Relationship Id="rId506" Type="http://schemas.openxmlformats.org/officeDocument/2006/relationships/image" Target="media/image426.png"/><Relationship Id="rId507" Type="http://schemas.openxmlformats.org/officeDocument/2006/relationships/image" Target="media/image427.png"/><Relationship Id="rId508" Type="http://schemas.openxmlformats.org/officeDocument/2006/relationships/image" Target="media/image428.png"/><Relationship Id="rId509" Type="http://schemas.openxmlformats.org/officeDocument/2006/relationships/image" Target="media/image429.png"/><Relationship Id="rId510" Type="http://schemas.openxmlformats.org/officeDocument/2006/relationships/image" Target="media/image430.png"/><Relationship Id="rId511" Type="http://schemas.openxmlformats.org/officeDocument/2006/relationships/image" Target="media/image431.png"/><Relationship Id="rId512" Type="http://schemas.openxmlformats.org/officeDocument/2006/relationships/image" Target="media/image432.png"/><Relationship Id="rId513" Type="http://schemas.openxmlformats.org/officeDocument/2006/relationships/image" Target="media/image433.png"/><Relationship Id="rId514" Type="http://schemas.openxmlformats.org/officeDocument/2006/relationships/image" Target="media/image434.png"/><Relationship Id="rId515" Type="http://schemas.openxmlformats.org/officeDocument/2006/relationships/image" Target="media/image435.png"/><Relationship Id="rId516" Type="http://schemas.openxmlformats.org/officeDocument/2006/relationships/image" Target="media/image436.png"/><Relationship Id="rId517" Type="http://schemas.openxmlformats.org/officeDocument/2006/relationships/image" Target="media/image437.png"/><Relationship Id="rId518" Type="http://schemas.openxmlformats.org/officeDocument/2006/relationships/image" Target="media/image438.png"/><Relationship Id="rId519" Type="http://schemas.openxmlformats.org/officeDocument/2006/relationships/image" Target="media/image439.png"/><Relationship Id="rId520" Type="http://schemas.openxmlformats.org/officeDocument/2006/relationships/image" Target="media/image440.png"/><Relationship Id="rId521" Type="http://schemas.openxmlformats.org/officeDocument/2006/relationships/image" Target="media/image441.png"/><Relationship Id="rId522" Type="http://schemas.openxmlformats.org/officeDocument/2006/relationships/image" Target="media/image442.png"/><Relationship Id="rId523" Type="http://schemas.openxmlformats.org/officeDocument/2006/relationships/image" Target="media/image443.png"/><Relationship Id="rId524" Type="http://schemas.openxmlformats.org/officeDocument/2006/relationships/image" Target="media/image444.png"/><Relationship Id="rId525" Type="http://schemas.openxmlformats.org/officeDocument/2006/relationships/image" Target="media/image445.png"/><Relationship Id="rId526" Type="http://schemas.openxmlformats.org/officeDocument/2006/relationships/image" Target="media/image446.png"/><Relationship Id="rId527" Type="http://schemas.openxmlformats.org/officeDocument/2006/relationships/image" Target="media/image447.png"/><Relationship Id="rId528" Type="http://schemas.openxmlformats.org/officeDocument/2006/relationships/image" Target="media/image448.png"/><Relationship Id="rId529" Type="http://schemas.openxmlformats.org/officeDocument/2006/relationships/image" Target="media/image449.png"/><Relationship Id="rId530" Type="http://schemas.openxmlformats.org/officeDocument/2006/relationships/image" Target="media/image450.png"/><Relationship Id="rId531" Type="http://schemas.openxmlformats.org/officeDocument/2006/relationships/image" Target="media/image451.png"/><Relationship Id="rId532" Type="http://schemas.openxmlformats.org/officeDocument/2006/relationships/image" Target="media/image452.png"/><Relationship Id="rId533" Type="http://schemas.openxmlformats.org/officeDocument/2006/relationships/image" Target="media/image453.png"/><Relationship Id="rId534" Type="http://schemas.openxmlformats.org/officeDocument/2006/relationships/image" Target="media/image454.png"/><Relationship Id="rId535" Type="http://schemas.openxmlformats.org/officeDocument/2006/relationships/image" Target="media/image455.png"/><Relationship Id="rId536" Type="http://schemas.openxmlformats.org/officeDocument/2006/relationships/image" Target="media/image456.png"/><Relationship Id="rId537" Type="http://schemas.openxmlformats.org/officeDocument/2006/relationships/image" Target="media/image457.png"/><Relationship Id="rId538" Type="http://schemas.openxmlformats.org/officeDocument/2006/relationships/image" Target="media/image458.png"/><Relationship Id="rId539" Type="http://schemas.openxmlformats.org/officeDocument/2006/relationships/image" Target="media/image459.png"/><Relationship Id="rId540" Type="http://schemas.openxmlformats.org/officeDocument/2006/relationships/image" Target="media/image460.png"/><Relationship Id="rId541" Type="http://schemas.openxmlformats.org/officeDocument/2006/relationships/image" Target="media/image461.png"/><Relationship Id="rId542" Type="http://schemas.openxmlformats.org/officeDocument/2006/relationships/image" Target="media/image462.png"/><Relationship Id="rId543" Type="http://schemas.openxmlformats.org/officeDocument/2006/relationships/image" Target="media/image463.png"/><Relationship Id="rId544" Type="http://schemas.openxmlformats.org/officeDocument/2006/relationships/image" Target="media/image464.png"/><Relationship Id="rId545" Type="http://schemas.openxmlformats.org/officeDocument/2006/relationships/image" Target="media/image465.png"/><Relationship Id="rId546" Type="http://schemas.openxmlformats.org/officeDocument/2006/relationships/image" Target="media/image466.png"/><Relationship Id="rId547" Type="http://schemas.openxmlformats.org/officeDocument/2006/relationships/image" Target="media/image467.png"/><Relationship Id="rId548" Type="http://schemas.openxmlformats.org/officeDocument/2006/relationships/image" Target="media/image468.png"/><Relationship Id="rId549" Type="http://schemas.openxmlformats.org/officeDocument/2006/relationships/image" Target="media/image469.png"/><Relationship Id="rId550" Type="http://schemas.openxmlformats.org/officeDocument/2006/relationships/image" Target="media/image470.png"/><Relationship Id="rId551" Type="http://schemas.openxmlformats.org/officeDocument/2006/relationships/image" Target="media/image471.png"/><Relationship Id="rId552" Type="http://schemas.openxmlformats.org/officeDocument/2006/relationships/image" Target="media/image472.png"/><Relationship Id="rId553" Type="http://schemas.openxmlformats.org/officeDocument/2006/relationships/image" Target="media/image473.png"/><Relationship Id="rId554" Type="http://schemas.openxmlformats.org/officeDocument/2006/relationships/image" Target="media/image474.png"/><Relationship Id="rId555" Type="http://schemas.openxmlformats.org/officeDocument/2006/relationships/image" Target="media/image475.png"/><Relationship Id="rId556" Type="http://schemas.openxmlformats.org/officeDocument/2006/relationships/image" Target="media/image476.png"/><Relationship Id="rId557" Type="http://schemas.openxmlformats.org/officeDocument/2006/relationships/image" Target="media/image477.png"/><Relationship Id="rId558" Type="http://schemas.openxmlformats.org/officeDocument/2006/relationships/image" Target="media/image478.png"/><Relationship Id="rId559" Type="http://schemas.openxmlformats.org/officeDocument/2006/relationships/image" Target="media/image479.png"/><Relationship Id="rId560" Type="http://schemas.openxmlformats.org/officeDocument/2006/relationships/image" Target="media/image480.png"/><Relationship Id="rId561" Type="http://schemas.openxmlformats.org/officeDocument/2006/relationships/image" Target="media/image481.png"/><Relationship Id="rId562" Type="http://schemas.openxmlformats.org/officeDocument/2006/relationships/image" Target="media/image482.png"/><Relationship Id="rId563" Type="http://schemas.openxmlformats.org/officeDocument/2006/relationships/image" Target="media/image483.png"/><Relationship Id="rId564" Type="http://schemas.openxmlformats.org/officeDocument/2006/relationships/image" Target="media/image484.png"/><Relationship Id="rId565" Type="http://schemas.openxmlformats.org/officeDocument/2006/relationships/image" Target="media/image485.png"/><Relationship Id="rId566" Type="http://schemas.openxmlformats.org/officeDocument/2006/relationships/image" Target="media/image486.png"/><Relationship Id="rId567" Type="http://schemas.openxmlformats.org/officeDocument/2006/relationships/image" Target="media/image487.png"/><Relationship Id="rId568" Type="http://schemas.openxmlformats.org/officeDocument/2006/relationships/image" Target="media/image488.png"/><Relationship Id="rId569" Type="http://schemas.openxmlformats.org/officeDocument/2006/relationships/image" Target="media/image489.png"/><Relationship Id="rId570" Type="http://schemas.openxmlformats.org/officeDocument/2006/relationships/image" Target="media/image490.png"/><Relationship Id="rId571" Type="http://schemas.openxmlformats.org/officeDocument/2006/relationships/image" Target="media/image491.png"/><Relationship Id="rId572" Type="http://schemas.openxmlformats.org/officeDocument/2006/relationships/image" Target="media/image492.png"/><Relationship Id="rId573" Type="http://schemas.openxmlformats.org/officeDocument/2006/relationships/image" Target="media/image493.png"/><Relationship Id="rId574" Type="http://schemas.openxmlformats.org/officeDocument/2006/relationships/image" Target="media/image494.png"/><Relationship Id="rId575" Type="http://schemas.openxmlformats.org/officeDocument/2006/relationships/image" Target="media/image495.png"/><Relationship Id="rId576" Type="http://schemas.openxmlformats.org/officeDocument/2006/relationships/image" Target="media/image496.png"/><Relationship Id="rId577" Type="http://schemas.openxmlformats.org/officeDocument/2006/relationships/image" Target="media/image497.png"/><Relationship Id="rId578" Type="http://schemas.openxmlformats.org/officeDocument/2006/relationships/image" Target="media/image498.png"/><Relationship Id="rId579" Type="http://schemas.openxmlformats.org/officeDocument/2006/relationships/image" Target="media/image499.png"/><Relationship Id="rId580" Type="http://schemas.openxmlformats.org/officeDocument/2006/relationships/image" Target="media/image500.png"/><Relationship Id="rId581" Type="http://schemas.openxmlformats.org/officeDocument/2006/relationships/image" Target="media/image501.png"/><Relationship Id="rId582" Type="http://schemas.openxmlformats.org/officeDocument/2006/relationships/image" Target="media/image502.png"/><Relationship Id="rId583" Type="http://schemas.openxmlformats.org/officeDocument/2006/relationships/image" Target="media/image503.png"/><Relationship Id="rId584" Type="http://schemas.openxmlformats.org/officeDocument/2006/relationships/image" Target="media/image504.png"/><Relationship Id="rId585" Type="http://schemas.openxmlformats.org/officeDocument/2006/relationships/image" Target="media/image505.png"/><Relationship Id="rId586" Type="http://schemas.openxmlformats.org/officeDocument/2006/relationships/image" Target="media/image506.png"/><Relationship Id="rId587" Type="http://schemas.openxmlformats.org/officeDocument/2006/relationships/image" Target="media/image507.png"/><Relationship Id="rId588" Type="http://schemas.openxmlformats.org/officeDocument/2006/relationships/image" Target="media/image508.png"/><Relationship Id="rId589" Type="http://schemas.openxmlformats.org/officeDocument/2006/relationships/image" Target="media/image509.png"/><Relationship Id="rId590" Type="http://schemas.openxmlformats.org/officeDocument/2006/relationships/image" Target="media/image510.png"/><Relationship Id="rId591" Type="http://schemas.openxmlformats.org/officeDocument/2006/relationships/image" Target="media/image511.png"/><Relationship Id="rId592" Type="http://schemas.openxmlformats.org/officeDocument/2006/relationships/image" Target="media/image512.png"/><Relationship Id="rId593" Type="http://schemas.openxmlformats.org/officeDocument/2006/relationships/image" Target="media/image513.png"/><Relationship Id="rId594" Type="http://schemas.openxmlformats.org/officeDocument/2006/relationships/image" Target="media/image514.png"/><Relationship Id="rId595" Type="http://schemas.openxmlformats.org/officeDocument/2006/relationships/image" Target="media/image515.png"/><Relationship Id="rId596" Type="http://schemas.openxmlformats.org/officeDocument/2006/relationships/image" Target="media/image516.png"/><Relationship Id="rId597" Type="http://schemas.openxmlformats.org/officeDocument/2006/relationships/image" Target="media/image517.png"/><Relationship Id="rId598" Type="http://schemas.openxmlformats.org/officeDocument/2006/relationships/image" Target="media/image518.png"/><Relationship Id="rId599" Type="http://schemas.openxmlformats.org/officeDocument/2006/relationships/image" Target="media/image519.png"/><Relationship Id="rId600" Type="http://schemas.openxmlformats.org/officeDocument/2006/relationships/image" Target="media/image520.png"/><Relationship Id="rId601" Type="http://schemas.openxmlformats.org/officeDocument/2006/relationships/image" Target="media/image521.png"/><Relationship Id="rId602" Type="http://schemas.openxmlformats.org/officeDocument/2006/relationships/image" Target="media/image522.png"/><Relationship Id="rId603" Type="http://schemas.openxmlformats.org/officeDocument/2006/relationships/image" Target="media/image523.png"/><Relationship Id="rId604" Type="http://schemas.openxmlformats.org/officeDocument/2006/relationships/image" Target="media/image524.png"/><Relationship Id="rId605" Type="http://schemas.openxmlformats.org/officeDocument/2006/relationships/image" Target="media/image525.png"/><Relationship Id="rId606" Type="http://schemas.openxmlformats.org/officeDocument/2006/relationships/image" Target="media/image526.png"/><Relationship Id="rId607" Type="http://schemas.openxmlformats.org/officeDocument/2006/relationships/image" Target="media/image527.png"/><Relationship Id="rId608" Type="http://schemas.openxmlformats.org/officeDocument/2006/relationships/image" Target="media/image528.png"/><Relationship Id="rId609" Type="http://schemas.openxmlformats.org/officeDocument/2006/relationships/image" Target="media/image529.png"/><Relationship Id="rId610" Type="http://schemas.openxmlformats.org/officeDocument/2006/relationships/image" Target="media/image530.png"/><Relationship Id="rId611" Type="http://schemas.openxmlformats.org/officeDocument/2006/relationships/image" Target="media/image531.png"/><Relationship Id="rId612" Type="http://schemas.openxmlformats.org/officeDocument/2006/relationships/image" Target="media/image532.png"/><Relationship Id="rId613" Type="http://schemas.openxmlformats.org/officeDocument/2006/relationships/image" Target="media/image533.png"/><Relationship Id="rId614" Type="http://schemas.openxmlformats.org/officeDocument/2006/relationships/image" Target="media/image534.png"/><Relationship Id="rId615" Type="http://schemas.openxmlformats.org/officeDocument/2006/relationships/image" Target="media/image535.png"/><Relationship Id="rId616" Type="http://schemas.openxmlformats.org/officeDocument/2006/relationships/image" Target="media/image536.png"/><Relationship Id="rId617" Type="http://schemas.openxmlformats.org/officeDocument/2006/relationships/image" Target="media/image537.png"/><Relationship Id="rId618" Type="http://schemas.openxmlformats.org/officeDocument/2006/relationships/image" Target="media/image538.png"/><Relationship Id="rId619" Type="http://schemas.openxmlformats.org/officeDocument/2006/relationships/image" Target="media/image539.png"/><Relationship Id="rId620" Type="http://schemas.openxmlformats.org/officeDocument/2006/relationships/image" Target="media/image540.png"/><Relationship Id="rId621" Type="http://schemas.openxmlformats.org/officeDocument/2006/relationships/image" Target="media/image541.png"/><Relationship Id="rId622" Type="http://schemas.openxmlformats.org/officeDocument/2006/relationships/image" Target="media/image542.png"/><Relationship Id="rId623" Type="http://schemas.openxmlformats.org/officeDocument/2006/relationships/image" Target="media/image543.png"/><Relationship Id="rId624" Type="http://schemas.openxmlformats.org/officeDocument/2006/relationships/image" Target="media/image544.png"/><Relationship Id="rId625" Type="http://schemas.openxmlformats.org/officeDocument/2006/relationships/image" Target="media/image545.png"/><Relationship Id="rId626" Type="http://schemas.openxmlformats.org/officeDocument/2006/relationships/image" Target="media/image546.png"/><Relationship Id="rId627" Type="http://schemas.openxmlformats.org/officeDocument/2006/relationships/image" Target="media/image547.png"/><Relationship Id="rId628" Type="http://schemas.openxmlformats.org/officeDocument/2006/relationships/image" Target="media/image548.png"/><Relationship Id="rId629" Type="http://schemas.openxmlformats.org/officeDocument/2006/relationships/image" Target="media/image549.png"/><Relationship Id="rId630" Type="http://schemas.openxmlformats.org/officeDocument/2006/relationships/image" Target="media/image550.png"/><Relationship Id="rId631" Type="http://schemas.openxmlformats.org/officeDocument/2006/relationships/image" Target="media/image551.png"/><Relationship Id="rId632" Type="http://schemas.openxmlformats.org/officeDocument/2006/relationships/image" Target="media/image552.png"/><Relationship Id="rId633" Type="http://schemas.openxmlformats.org/officeDocument/2006/relationships/image" Target="media/image553.png"/><Relationship Id="rId634" Type="http://schemas.openxmlformats.org/officeDocument/2006/relationships/image" Target="media/image554.png"/><Relationship Id="rId635" Type="http://schemas.openxmlformats.org/officeDocument/2006/relationships/image" Target="media/image555.png"/><Relationship Id="rId636" Type="http://schemas.openxmlformats.org/officeDocument/2006/relationships/image" Target="media/image556.png"/><Relationship Id="rId637" Type="http://schemas.openxmlformats.org/officeDocument/2006/relationships/image" Target="media/image557.png"/><Relationship Id="rId638" Type="http://schemas.openxmlformats.org/officeDocument/2006/relationships/image" Target="media/image558.png"/><Relationship Id="rId639" Type="http://schemas.openxmlformats.org/officeDocument/2006/relationships/image" Target="media/image559.png"/><Relationship Id="rId640" Type="http://schemas.openxmlformats.org/officeDocument/2006/relationships/image" Target="media/image560.png"/><Relationship Id="rId641" Type="http://schemas.openxmlformats.org/officeDocument/2006/relationships/image" Target="media/image561.png"/><Relationship Id="rId642" Type="http://schemas.openxmlformats.org/officeDocument/2006/relationships/image" Target="media/image562.png"/><Relationship Id="rId643" Type="http://schemas.openxmlformats.org/officeDocument/2006/relationships/image" Target="media/image563.png"/><Relationship Id="rId644" Type="http://schemas.openxmlformats.org/officeDocument/2006/relationships/image" Target="media/image564.png"/><Relationship Id="rId645" Type="http://schemas.openxmlformats.org/officeDocument/2006/relationships/image" Target="media/image565.png"/><Relationship Id="rId646" Type="http://schemas.openxmlformats.org/officeDocument/2006/relationships/image" Target="media/image566.png"/><Relationship Id="rId647" Type="http://schemas.openxmlformats.org/officeDocument/2006/relationships/image" Target="media/image567.png"/><Relationship Id="rId648" Type="http://schemas.openxmlformats.org/officeDocument/2006/relationships/image" Target="media/image568.png"/><Relationship Id="rId649" Type="http://schemas.openxmlformats.org/officeDocument/2006/relationships/image" Target="media/image569.png"/><Relationship Id="rId650" Type="http://schemas.openxmlformats.org/officeDocument/2006/relationships/image" Target="media/image570.png"/><Relationship Id="rId651" Type="http://schemas.openxmlformats.org/officeDocument/2006/relationships/image" Target="media/image571.png"/><Relationship Id="rId652" Type="http://schemas.openxmlformats.org/officeDocument/2006/relationships/image" Target="media/image572.png"/><Relationship Id="rId653" Type="http://schemas.openxmlformats.org/officeDocument/2006/relationships/image" Target="media/image573.png"/><Relationship Id="rId654" Type="http://schemas.openxmlformats.org/officeDocument/2006/relationships/image" Target="media/image574.png"/><Relationship Id="rId655" Type="http://schemas.openxmlformats.org/officeDocument/2006/relationships/image" Target="media/image575.png"/><Relationship Id="rId656" Type="http://schemas.openxmlformats.org/officeDocument/2006/relationships/image" Target="media/image576.png"/><Relationship Id="rId657" Type="http://schemas.openxmlformats.org/officeDocument/2006/relationships/image" Target="media/image577.png"/><Relationship Id="rId658" Type="http://schemas.openxmlformats.org/officeDocument/2006/relationships/image" Target="media/image578.png"/><Relationship Id="rId659" Type="http://schemas.openxmlformats.org/officeDocument/2006/relationships/image" Target="media/image579.png"/><Relationship Id="rId660" Type="http://schemas.openxmlformats.org/officeDocument/2006/relationships/image" Target="media/image580.png"/><Relationship Id="rId661" Type="http://schemas.openxmlformats.org/officeDocument/2006/relationships/image" Target="media/image581.png"/><Relationship Id="rId662" Type="http://schemas.openxmlformats.org/officeDocument/2006/relationships/image" Target="media/image582.png"/><Relationship Id="rId663" Type="http://schemas.openxmlformats.org/officeDocument/2006/relationships/image" Target="media/image583.png"/><Relationship Id="rId664" Type="http://schemas.openxmlformats.org/officeDocument/2006/relationships/image" Target="media/image584.png"/><Relationship Id="rId665" Type="http://schemas.openxmlformats.org/officeDocument/2006/relationships/image" Target="media/image585.png"/><Relationship Id="rId666" Type="http://schemas.openxmlformats.org/officeDocument/2006/relationships/image" Target="media/image586.png"/><Relationship Id="rId667" Type="http://schemas.openxmlformats.org/officeDocument/2006/relationships/image" Target="media/image587.png"/><Relationship Id="rId668" Type="http://schemas.openxmlformats.org/officeDocument/2006/relationships/image" Target="media/image588.png"/><Relationship Id="rId669" Type="http://schemas.openxmlformats.org/officeDocument/2006/relationships/image" Target="media/image589.png"/><Relationship Id="rId670" Type="http://schemas.openxmlformats.org/officeDocument/2006/relationships/image" Target="media/image590.png"/><Relationship Id="rId671" Type="http://schemas.openxmlformats.org/officeDocument/2006/relationships/image" Target="media/image591.png"/><Relationship Id="rId672" Type="http://schemas.openxmlformats.org/officeDocument/2006/relationships/image" Target="media/image592.png"/><Relationship Id="rId673" Type="http://schemas.openxmlformats.org/officeDocument/2006/relationships/image" Target="media/image593.png"/><Relationship Id="rId674" Type="http://schemas.openxmlformats.org/officeDocument/2006/relationships/image" Target="media/image594.png"/><Relationship Id="rId675" Type="http://schemas.openxmlformats.org/officeDocument/2006/relationships/image" Target="media/image595.png"/><Relationship Id="rId676" Type="http://schemas.openxmlformats.org/officeDocument/2006/relationships/image" Target="media/image596.png"/><Relationship Id="rId677" Type="http://schemas.openxmlformats.org/officeDocument/2006/relationships/image" Target="media/image597.png"/><Relationship Id="rId678" Type="http://schemas.openxmlformats.org/officeDocument/2006/relationships/image" Target="media/image598.png"/><Relationship Id="rId679" Type="http://schemas.openxmlformats.org/officeDocument/2006/relationships/image" Target="media/image599.png"/><Relationship Id="rId680" Type="http://schemas.openxmlformats.org/officeDocument/2006/relationships/image" Target="media/image600.png"/><Relationship Id="rId681" Type="http://schemas.openxmlformats.org/officeDocument/2006/relationships/image" Target="media/image601.png"/><Relationship Id="rId682" Type="http://schemas.openxmlformats.org/officeDocument/2006/relationships/image" Target="media/image602.png"/><Relationship Id="rId683" Type="http://schemas.openxmlformats.org/officeDocument/2006/relationships/image" Target="media/image603.png"/><Relationship Id="rId684" Type="http://schemas.openxmlformats.org/officeDocument/2006/relationships/image" Target="media/image604.png"/><Relationship Id="rId685" Type="http://schemas.openxmlformats.org/officeDocument/2006/relationships/image" Target="media/image605.png"/><Relationship Id="rId686" Type="http://schemas.openxmlformats.org/officeDocument/2006/relationships/image" Target="media/image606.png"/><Relationship Id="rId687" Type="http://schemas.openxmlformats.org/officeDocument/2006/relationships/image" Target="media/image607.png"/><Relationship Id="rId688" Type="http://schemas.openxmlformats.org/officeDocument/2006/relationships/image" Target="media/image608.png"/><Relationship Id="rId689" Type="http://schemas.openxmlformats.org/officeDocument/2006/relationships/image" Target="media/image609.png"/><Relationship Id="rId690" Type="http://schemas.openxmlformats.org/officeDocument/2006/relationships/image" Target="media/image610.png"/><Relationship Id="rId691" Type="http://schemas.openxmlformats.org/officeDocument/2006/relationships/image" Target="media/image611.png"/><Relationship Id="rId692" Type="http://schemas.openxmlformats.org/officeDocument/2006/relationships/image" Target="media/image612.png"/><Relationship Id="rId693" Type="http://schemas.openxmlformats.org/officeDocument/2006/relationships/image" Target="media/image613.png"/><Relationship Id="rId694" Type="http://schemas.openxmlformats.org/officeDocument/2006/relationships/image" Target="media/image614.png"/><Relationship Id="rId695" Type="http://schemas.openxmlformats.org/officeDocument/2006/relationships/image" Target="media/image615.png"/><Relationship Id="rId696" Type="http://schemas.openxmlformats.org/officeDocument/2006/relationships/image" Target="media/image616.png"/><Relationship Id="rId697" Type="http://schemas.openxmlformats.org/officeDocument/2006/relationships/image" Target="media/image617.png"/><Relationship Id="rId698" Type="http://schemas.openxmlformats.org/officeDocument/2006/relationships/image" Target="media/image618.png"/><Relationship Id="rId699" Type="http://schemas.openxmlformats.org/officeDocument/2006/relationships/image" Target="media/image619.png"/><Relationship Id="rId700" Type="http://schemas.openxmlformats.org/officeDocument/2006/relationships/image" Target="media/image620.png"/><Relationship Id="rId701" Type="http://schemas.openxmlformats.org/officeDocument/2006/relationships/image" Target="media/image621.png"/><Relationship Id="rId702" Type="http://schemas.openxmlformats.org/officeDocument/2006/relationships/image" Target="media/image622.png"/><Relationship Id="rId703" Type="http://schemas.openxmlformats.org/officeDocument/2006/relationships/image" Target="media/image623.png"/><Relationship Id="rId704" Type="http://schemas.openxmlformats.org/officeDocument/2006/relationships/image" Target="media/image624.png"/><Relationship Id="rId705" Type="http://schemas.openxmlformats.org/officeDocument/2006/relationships/image" Target="media/image625.png"/><Relationship Id="rId706" Type="http://schemas.openxmlformats.org/officeDocument/2006/relationships/image" Target="media/image626.png"/><Relationship Id="rId707" Type="http://schemas.openxmlformats.org/officeDocument/2006/relationships/image" Target="media/image627.png"/><Relationship Id="rId708" Type="http://schemas.openxmlformats.org/officeDocument/2006/relationships/image" Target="media/image628.png"/><Relationship Id="rId709" Type="http://schemas.openxmlformats.org/officeDocument/2006/relationships/image" Target="media/image629.png"/><Relationship Id="rId710" Type="http://schemas.openxmlformats.org/officeDocument/2006/relationships/image" Target="media/image630.png"/><Relationship Id="rId711" Type="http://schemas.openxmlformats.org/officeDocument/2006/relationships/image" Target="media/image631.png"/><Relationship Id="rId712" Type="http://schemas.openxmlformats.org/officeDocument/2006/relationships/image" Target="media/image632.png"/><Relationship Id="rId713" Type="http://schemas.openxmlformats.org/officeDocument/2006/relationships/image" Target="media/image633.png"/><Relationship Id="rId714" Type="http://schemas.openxmlformats.org/officeDocument/2006/relationships/image" Target="media/image634.png"/><Relationship Id="rId715" Type="http://schemas.openxmlformats.org/officeDocument/2006/relationships/image" Target="media/image635.png"/><Relationship Id="rId716" Type="http://schemas.openxmlformats.org/officeDocument/2006/relationships/image" Target="media/image636.png"/><Relationship Id="rId717" Type="http://schemas.openxmlformats.org/officeDocument/2006/relationships/image" Target="media/image637.png"/><Relationship Id="rId718" Type="http://schemas.openxmlformats.org/officeDocument/2006/relationships/image" Target="media/image638.png"/><Relationship Id="rId719" Type="http://schemas.openxmlformats.org/officeDocument/2006/relationships/image" Target="media/image639.png"/><Relationship Id="rId720" Type="http://schemas.openxmlformats.org/officeDocument/2006/relationships/image" Target="media/image640.png"/><Relationship Id="rId721" Type="http://schemas.openxmlformats.org/officeDocument/2006/relationships/image" Target="media/image641.png"/><Relationship Id="rId722" Type="http://schemas.openxmlformats.org/officeDocument/2006/relationships/image" Target="media/image642.png"/><Relationship Id="rId723" Type="http://schemas.openxmlformats.org/officeDocument/2006/relationships/image" Target="media/image643.png"/><Relationship Id="rId724" Type="http://schemas.openxmlformats.org/officeDocument/2006/relationships/image" Target="media/image644.png"/><Relationship Id="rId725" Type="http://schemas.openxmlformats.org/officeDocument/2006/relationships/image" Target="media/image645.png"/><Relationship Id="rId726" Type="http://schemas.openxmlformats.org/officeDocument/2006/relationships/image" Target="media/image646.png"/><Relationship Id="rId727" Type="http://schemas.openxmlformats.org/officeDocument/2006/relationships/image" Target="media/image647.png"/><Relationship Id="rId728" Type="http://schemas.openxmlformats.org/officeDocument/2006/relationships/image" Target="media/image648.png"/><Relationship Id="rId729" Type="http://schemas.openxmlformats.org/officeDocument/2006/relationships/image" Target="media/image649.png"/><Relationship Id="rId730" Type="http://schemas.openxmlformats.org/officeDocument/2006/relationships/image" Target="media/image650.png"/><Relationship Id="rId731" Type="http://schemas.openxmlformats.org/officeDocument/2006/relationships/image" Target="media/image651.png"/><Relationship Id="rId732" Type="http://schemas.openxmlformats.org/officeDocument/2006/relationships/image" Target="media/image652.png"/><Relationship Id="rId733" Type="http://schemas.openxmlformats.org/officeDocument/2006/relationships/image" Target="media/image653.png"/><Relationship Id="rId734" Type="http://schemas.openxmlformats.org/officeDocument/2006/relationships/image" Target="media/image654.png"/><Relationship Id="rId735" Type="http://schemas.openxmlformats.org/officeDocument/2006/relationships/image" Target="media/image655.png"/><Relationship Id="rId736" Type="http://schemas.openxmlformats.org/officeDocument/2006/relationships/image" Target="media/image656.png"/><Relationship Id="rId737" Type="http://schemas.openxmlformats.org/officeDocument/2006/relationships/image" Target="media/image657.png"/><Relationship Id="rId738" Type="http://schemas.openxmlformats.org/officeDocument/2006/relationships/image" Target="media/image658.png"/><Relationship Id="rId739" Type="http://schemas.openxmlformats.org/officeDocument/2006/relationships/image" Target="media/image659.png"/><Relationship Id="rId740" Type="http://schemas.openxmlformats.org/officeDocument/2006/relationships/image" Target="media/image660.png"/><Relationship Id="rId741" Type="http://schemas.openxmlformats.org/officeDocument/2006/relationships/image" Target="media/image661.png"/><Relationship Id="rId742" Type="http://schemas.openxmlformats.org/officeDocument/2006/relationships/image" Target="media/image662.png"/><Relationship Id="rId743" Type="http://schemas.openxmlformats.org/officeDocument/2006/relationships/image" Target="media/image663.png"/><Relationship Id="rId744" Type="http://schemas.openxmlformats.org/officeDocument/2006/relationships/image" Target="media/image664.png"/><Relationship Id="rId745" Type="http://schemas.openxmlformats.org/officeDocument/2006/relationships/image" Target="media/image665.png"/><Relationship Id="rId746" Type="http://schemas.openxmlformats.org/officeDocument/2006/relationships/image" Target="media/image666.png"/><Relationship Id="rId747" Type="http://schemas.openxmlformats.org/officeDocument/2006/relationships/image" Target="media/image667.png"/><Relationship Id="rId748" Type="http://schemas.openxmlformats.org/officeDocument/2006/relationships/image" Target="media/image668.png"/><Relationship Id="rId749" Type="http://schemas.openxmlformats.org/officeDocument/2006/relationships/image" Target="media/image669.png"/><Relationship Id="rId750" Type="http://schemas.openxmlformats.org/officeDocument/2006/relationships/image" Target="media/image670.png"/><Relationship Id="rId751" Type="http://schemas.openxmlformats.org/officeDocument/2006/relationships/image" Target="media/image671.png"/><Relationship Id="rId752" Type="http://schemas.openxmlformats.org/officeDocument/2006/relationships/image" Target="media/image672.png"/><Relationship Id="rId753" Type="http://schemas.openxmlformats.org/officeDocument/2006/relationships/image" Target="media/image673.png"/><Relationship Id="rId754" Type="http://schemas.openxmlformats.org/officeDocument/2006/relationships/image" Target="media/image674.png"/><Relationship Id="rId755" Type="http://schemas.openxmlformats.org/officeDocument/2006/relationships/image" Target="media/image675.png"/><Relationship Id="rId756" Type="http://schemas.openxmlformats.org/officeDocument/2006/relationships/image" Target="media/image676.png"/><Relationship Id="rId757" Type="http://schemas.openxmlformats.org/officeDocument/2006/relationships/image" Target="media/image677.png"/><Relationship Id="rId758" Type="http://schemas.openxmlformats.org/officeDocument/2006/relationships/image" Target="media/image678.png"/><Relationship Id="rId759" Type="http://schemas.openxmlformats.org/officeDocument/2006/relationships/image" Target="media/image679.png"/><Relationship Id="rId760" Type="http://schemas.openxmlformats.org/officeDocument/2006/relationships/image" Target="media/image680.png"/><Relationship Id="rId761" Type="http://schemas.openxmlformats.org/officeDocument/2006/relationships/image" Target="media/image681.png"/><Relationship Id="rId762" Type="http://schemas.openxmlformats.org/officeDocument/2006/relationships/image" Target="media/image682.png"/><Relationship Id="rId763" Type="http://schemas.openxmlformats.org/officeDocument/2006/relationships/image" Target="media/image683.png"/><Relationship Id="rId764" Type="http://schemas.openxmlformats.org/officeDocument/2006/relationships/image" Target="media/image684.png"/><Relationship Id="rId765" Type="http://schemas.openxmlformats.org/officeDocument/2006/relationships/image" Target="media/image685.png"/><Relationship Id="rId766" Type="http://schemas.openxmlformats.org/officeDocument/2006/relationships/image" Target="media/image686.png"/><Relationship Id="rId767" Type="http://schemas.openxmlformats.org/officeDocument/2006/relationships/image" Target="media/image687.png"/><Relationship Id="rId768" Type="http://schemas.openxmlformats.org/officeDocument/2006/relationships/image" Target="media/image688.png"/><Relationship Id="rId769" Type="http://schemas.openxmlformats.org/officeDocument/2006/relationships/image" Target="media/image689.png"/><Relationship Id="rId770" Type="http://schemas.openxmlformats.org/officeDocument/2006/relationships/image" Target="media/image690.png"/><Relationship Id="rId771" Type="http://schemas.openxmlformats.org/officeDocument/2006/relationships/image" Target="media/image691.png"/><Relationship Id="rId772" Type="http://schemas.openxmlformats.org/officeDocument/2006/relationships/image" Target="media/image692.png"/><Relationship Id="rId773" Type="http://schemas.openxmlformats.org/officeDocument/2006/relationships/image" Target="media/image693.png"/><Relationship Id="rId774" Type="http://schemas.openxmlformats.org/officeDocument/2006/relationships/image" Target="media/image694.png"/><Relationship Id="rId775" Type="http://schemas.openxmlformats.org/officeDocument/2006/relationships/image" Target="media/image695.png"/><Relationship Id="rId776" Type="http://schemas.openxmlformats.org/officeDocument/2006/relationships/image" Target="media/image696.png"/><Relationship Id="rId777" Type="http://schemas.openxmlformats.org/officeDocument/2006/relationships/image" Target="media/image697.png"/><Relationship Id="rId778" Type="http://schemas.openxmlformats.org/officeDocument/2006/relationships/image" Target="media/image698.png"/><Relationship Id="rId779" Type="http://schemas.openxmlformats.org/officeDocument/2006/relationships/image" Target="media/image699.png"/><Relationship Id="rId780" Type="http://schemas.openxmlformats.org/officeDocument/2006/relationships/image" Target="media/image700.png"/><Relationship Id="rId781" Type="http://schemas.openxmlformats.org/officeDocument/2006/relationships/image" Target="media/image701.png"/><Relationship Id="rId782" Type="http://schemas.openxmlformats.org/officeDocument/2006/relationships/image" Target="media/image702.png"/><Relationship Id="rId783" Type="http://schemas.openxmlformats.org/officeDocument/2006/relationships/image" Target="media/image703.png"/><Relationship Id="rId784" Type="http://schemas.openxmlformats.org/officeDocument/2006/relationships/image" Target="media/image704.png"/><Relationship Id="rId785" Type="http://schemas.openxmlformats.org/officeDocument/2006/relationships/image" Target="media/image705.png"/><Relationship Id="rId786" Type="http://schemas.openxmlformats.org/officeDocument/2006/relationships/image" Target="media/image706.png"/><Relationship Id="rId787" Type="http://schemas.openxmlformats.org/officeDocument/2006/relationships/image" Target="media/image707.png"/><Relationship Id="rId788" Type="http://schemas.openxmlformats.org/officeDocument/2006/relationships/image" Target="media/image708.png"/><Relationship Id="rId165" Type="http://schemas.openxmlformats.org/officeDocument/2006/relationships/hyperlink" Target="https://www.sec.gov/Archives/edgar/data/275880/000119312519144517/d730409dex31.htm" TargetMode="External"/><Relationship Id="rId166" Type="http://schemas.openxmlformats.org/officeDocument/2006/relationships/hyperlink" Target="https://www.sec.gov/Archives/edgar/data/275880/000119312519144517/d730409dex32.htm" TargetMode="External"/><Relationship Id="rId167" Type="http://schemas.openxmlformats.org/officeDocument/2006/relationships/hyperlink" Target="https://www.sec.gov/Archives/edgar/data/275880/000119312523012070/d415393dex31.htm" TargetMode="External"/><Relationship Id="rId168" Type="http://schemas.openxmlformats.org/officeDocument/2006/relationships/hyperlink" Target="https://www.sec.gov/Archives/edgar/data/275880/000156459020009791/psn-ex41_813.htm" TargetMode="External"/><Relationship Id="rId169" Type="http://schemas.openxmlformats.org/officeDocument/2006/relationships/hyperlink" Target="https://www.sec.gov/Archives/edgar/data/275880/000119312520225229/d51070dex41.htm" TargetMode="External"/><Relationship Id="rId170" Type="http://schemas.openxmlformats.org/officeDocument/2006/relationships/hyperlink" Target="https://www.sec.gov/Archives/edgar/data/275880/000095017024050876/psn-ex4_1.htm" TargetMode="External"/><Relationship Id="rId171" Type="http://schemas.openxmlformats.org/officeDocument/2006/relationships/hyperlink" Target="https://www.sec.gov/Archives/edgar/data/275880/000119312519105051/d625480dex101.htm" TargetMode="External"/><Relationship Id="rId172" Type="http://schemas.openxmlformats.org/officeDocument/2006/relationships/hyperlink" Target="https://www.sec.gov/Archives/edgar/data/275880/000119312519123626/d625480dex102.htm" TargetMode="External"/><Relationship Id="rId173" Type="http://schemas.openxmlformats.org/officeDocument/2006/relationships/hyperlink" Target="https://www.sec.gov/Archives/edgar/data/275880/000156459021007800/psn-ex103_1470.htm" TargetMode="External"/><Relationship Id="rId174" Type="http://schemas.openxmlformats.org/officeDocument/2006/relationships/hyperlink" Target="https://www.sec.gov/Archives/edgar/data/275880/000156459020009791/psn-ex103_702.htm" TargetMode="External"/><Relationship Id="rId175" Type="http://schemas.openxmlformats.org/officeDocument/2006/relationships/hyperlink" Target="https://www.sec.gov/Archives/edgar/data/275880/000119312519105051/d625480dex103.htm" TargetMode="External"/><Relationship Id="rId176" Type="http://schemas.openxmlformats.org/officeDocument/2006/relationships/hyperlink" Target="https://www.sec.gov/Archives/edgar/data/275880/000119312519105051/d625480dex104.htm" TargetMode="External"/><Relationship Id="rId177" Type="http://schemas.openxmlformats.org/officeDocument/2006/relationships/hyperlink" Target="https://www.sec.gov/Archives/edgar/data/275880/000119312519105051/d625480dex105.htm" TargetMode="External"/><Relationship Id="rId178" Type="http://schemas.openxmlformats.org/officeDocument/2006/relationships/hyperlink" Target="https://www.sec.gov/Archives/edgar/data/275880/000156459021007800/psn-ex108_1472.htm" TargetMode="External"/><Relationship Id="rId179" Type="http://schemas.openxmlformats.org/officeDocument/2006/relationships/hyperlink" Target="https://www.sec.gov/Archives/edgar/data/275880/000156459021007800/psn-ex109_1471.htm" TargetMode="External"/><Relationship Id="rId180" Type="http://schemas.openxmlformats.org/officeDocument/2006/relationships/hyperlink" Target="https://www.sec.gov/Archives/edgar/data/275880/000156459022006026/psn-ex1010_1101.htm" TargetMode="External"/><Relationship Id="rId181" Type="http://schemas.openxmlformats.org/officeDocument/2006/relationships/hyperlink" Target="https://www.sec.gov/Archives/edgar/data/275880/000119312519105051/d625480dex107.htm" TargetMode="External"/><Relationship Id="rId182" Type="http://schemas.openxmlformats.org/officeDocument/2006/relationships/hyperlink" Target="https://www.sec.gov/Archives/edgar/data/275880/000119312519105051/d625480dex108.htm" TargetMode="External"/><Relationship Id="rId183" Type="http://schemas.openxmlformats.org/officeDocument/2006/relationships/hyperlink" Target="https://www.sec.gov/Archives/edgar/data/275880/000119312519105051/d625480dex109.htm" TargetMode="External"/><Relationship Id="rId184" Type="http://schemas.openxmlformats.org/officeDocument/2006/relationships/hyperlink" Target="https://www.sec.gov/Archives/edgar/data/275880/000119312519123626/d625480dex1010.htm" TargetMode="External"/><Relationship Id="rId185" Type="http://schemas.openxmlformats.org/officeDocument/2006/relationships/hyperlink" Target="https://www.sec.gov/Archives/edgar/data/275880/000156459020009791/psn-ex1012_572.htm" TargetMode="External"/><Relationship Id="rId186" Type="http://schemas.openxmlformats.org/officeDocument/2006/relationships/hyperlink" Target="https://www.sec.gov/Archives/edgar/data/275880/000156459021007800/psn-ex1015_1473.htm" TargetMode="External"/><Relationship Id="rId187" Type="http://schemas.openxmlformats.org/officeDocument/2006/relationships/hyperlink" Target="https://www.sec.gov/Archives/edgar/data/275880/000156459020009791/psn-ex1014_571.htm" TargetMode="External"/><Relationship Id="rId188" Type="http://schemas.openxmlformats.org/officeDocument/2006/relationships/hyperlink" Target="https://www.sec.gov/Archives/edgar/data/275880/000156459020009791/psn-ex1015_570.htm" TargetMode="External"/><Relationship Id="rId189" Type="http://schemas.openxmlformats.org/officeDocument/2006/relationships/hyperlink" Target="https://www.sec.gov/Archives/edgar/data/275880/000156459020009791/psn-ex1017_568.htm" TargetMode="External"/><Relationship Id="rId190" Type="http://schemas.openxmlformats.org/officeDocument/2006/relationships/hyperlink" Target="https://www.sec.gov/Archives/edgar/data/275880/000156459021007800/psn-ex1019_2198.htm" TargetMode="External"/><Relationship Id="rId191" Type="http://schemas.openxmlformats.org/officeDocument/2006/relationships/hyperlink" Target="https://www.sec.gov/Archives/edgar/data/275880/000119312519123626/d625480dex1028.htm" TargetMode="External"/><Relationship Id="rId192" Type="http://schemas.openxmlformats.org/officeDocument/2006/relationships/hyperlink" Target="https://www.sec.gov/Archives/edgar/data/275880/000156459020009791/psn-ex1019_567.htm" TargetMode="External"/><Relationship Id="rId193" Type="http://schemas.openxmlformats.org/officeDocument/2006/relationships/hyperlink" Target="https://www.sec.gov/Archives/edgar/data/275880/000156459022006026/psn-ex1023_1100.htm" TargetMode="External"/><Relationship Id="rId196" Type="http://schemas.openxmlformats.org/officeDocument/2006/relationships/hyperlink" Target="https://www.sec.gov/Archives/edgar/data/275880/000156459021007800/psn-ex1022_1474.htm" TargetMode="External"/><Relationship Id="rId198" Type="http://schemas.openxmlformats.org/officeDocument/2006/relationships/hyperlink" Target="https://www.sec.gov/Archives/edgar/data/275880/000156459021007800/psn-ex1023_1475.htm" TargetMode="External"/><Relationship Id="rId200" Type="http://schemas.openxmlformats.org/officeDocument/2006/relationships/hyperlink" Target="https://www.sec.gov/Archives/edgar/data/275880/000156459022006026/psn-ex1028_1095.htm" TargetMode="External"/><Relationship Id="rId202" Type="http://schemas.openxmlformats.org/officeDocument/2006/relationships/hyperlink" Target="https://www.sec.gov/Archives/edgar/data/275880/000156459022006026/psn-ex1029_1094.htm" TargetMode="External"/><Relationship Id="rId205" Type="http://schemas.openxmlformats.org/officeDocument/2006/relationships/hyperlink" Target="https://www.sec.gov/Archives/edgar/data/275880/000156459022006026/psn-ex1030_1093.htm" TargetMode="External"/><Relationship Id="rId207" Type="http://schemas.openxmlformats.org/officeDocument/2006/relationships/hyperlink" Target="https://www.sec.gov/Archives/edgar/data/275880/000156459022006026/psn-ex1031_1092.htm" TargetMode="External"/><Relationship Id="rId209" Type="http://schemas.openxmlformats.org/officeDocument/2006/relationships/hyperlink" Target="https://www.sec.gov/Archives/edgar/data/275880/000156459022006026/psn-ex1032_1097.htm" TargetMode="External"/><Relationship Id="rId211" Type="http://schemas.openxmlformats.org/officeDocument/2006/relationships/hyperlink" Target="https://www.sec.gov/Archives/edgar/data/275880/000156459022006026/psn-ex1033_1096.htm" TargetMode="External"/><Relationship Id="rId213" Type="http://schemas.openxmlformats.org/officeDocument/2006/relationships/hyperlink" Target="https://www.sec.gov/Archives/edgar/data/275880/000156459021007800/psn-ex1028_1385.htm" TargetMode="External"/><Relationship Id="rId216" Type="http://schemas.openxmlformats.org/officeDocument/2006/relationships/hyperlink" Target="https://www.sec.gov/Archives/edgar/data/275880/000156459021007800/psn-ex1029_1478.htm" TargetMode="External"/><Relationship Id="rId219" Type="http://schemas.openxmlformats.org/officeDocument/2006/relationships/hyperlink" Target="https://www.sec.gov/Archives/edgar/data/275880/000156459021007800/psn-ex1030_1479.htm" TargetMode="External"/><Relationship Id="rId222" Type="http://schemas.openxmlformats.org/officeDocument/2006/relationships/hyperlink" Target="https://www.sec.gov/Archives/edgar/data/275880/000156459021007800/psn-ex1031_1476.htm" TargetMode="External"/><Relationship Id="rId225" Type="http://schemas.openxmlformats.org/officeDocument/2006/relationships/hyperlink" Target="https://www.sec.gov/Archives/edgar/data/275880/000156459021007800/psn-ex1032_1477.htm" TargetMode="External"/><Relationship Id="rId228" Type="http://schemas.openxmlformats.org/officeDocument/2006/relationships/hyperlink" Target="https://www.sec.gov/Archives/edgar/data/275880/000156459022006026/psn-ex1039_478.htm" TargetMode="External"/><Relationship Id="rId231" Type="http://schemas.openxmlformats.org/officeDocument/2006/relationships/hyperlink" Target="https://www.sec.gov/Archives/edgar/data/275880/000156459022006026/psn-ex1040_477.htm" TargetMode="External"/><Relationship Id="rId234" Type="http://schemas.openxmlformats.org/officeDocument/2006/relationships/hyperlink" Target="https://www.sec.gov/Archives/edgar/data/275880/000156459022006026/psn-ex1041_476.htm" TargetMode="External"/><Relationship Id="rId237" Type="http://schemas.openxmlformats.org/officeDocument/2006/relationships/hyperlink" Target="https://www.sec.gov/Archives/edgar/data/275880/000156459022006026/psn-ex1042_475.htm" TargetMode="External"/><Relationship Id="rId240" Type="http://schemas.openxmlformats.org/officeDocument/2006/relationships/hyperlink" Target="https://www.sec.gov/Archives/edgar/data/275880/000156459022006026/psn-ex1043_474.htm" TargetMode="External"/><Relationship Id="rId243" Type="http://schemas.openxmlformats.org/officeDocument/2006/relationships/hyperlink" Target="https://www.sec.gov/Archives/edgar/data/275880/000156459022006026/psn-ex1044_473.htm" TargetMode="External"/><Relationship Id="rId246" Type="http://schemas.openxmlformats.org/officeDocument/2006/relationships/hyperlink" Target="https://www.sec.gov/Archives/edgar/data/275880/000156459022006026/psn-ex1045_472.htm" TargetMode="External"/><Relationship Id="rId249" Type="http://schemas.openxmlformats.org/officeDocument/2006/relationships/hyperlink" Target="https://www.sec.gov/Archives/edgar/data/275880/000156459022006026/psn-ex1046_471.htm" TargetMode="External"/><Relationship Id="rId252" Type="http://schemas.openxmlformats.org/officeDocument/2006/relationships/hyperlink" Target="https://www.sec.gov/Archives/edgar/data/275880/000156459022006026/psn-ex1047_1090.htm" TargetMode="External"/><Relationship Id="rId255" Type="http://schemas.openxmlformats.org/officeDocument/2006/relationships/hyperlink" Target="https://www.sec.gov/Archives/edgar/data/275880/000156459022006026/psn-ex1048_1091.htm" TargetMode="External"/><Relationship Id="rId259" Type="http://schemas.openxmlformats.org/officeDocument/2006/relationships/hyperlink" Target="https://www.sec.gov/Archives/edgar/data/275880/000119312519105051/d625480dex1021.htm" TargetMode="External"/><Relationship Id="rId265" Type="http://schemas.openxmlformats.org/officeDocument/2006/relationships/hyperlink" Target="https://www.sec.gov/Archives/edgar/data/275880/000119312519105051/d625480dex1022.htm" TargetMode="External"/><Relationship Id="rId268" Type="http://schemas.openxmlformats.org/officeDocument/2006/relationships/hyperlink" Target="https://www.sec.gov/Archives/edgar/data/0000275880/000156459021034854/psn-ex991_17.htm" TargetMode="External"/><Relationship Id="rId271" Type="http://schemas.openxmlformats.org/officeDocument/2006/relationships/hyperlink" Target="https://www.sec.gov/Archives/edgar/data/275880/000119312519105051/d625480dex1023.htm" TargetMode="External"/><Relationship Id="rId275" Type="http://schemas.openxmlformats.org/officeDocument/2006/relationships/hyperlink" Target="https://www.sec.gov/Archives/edgar/data/275880/000156459021007800/psn-ex1039_1753.htm" TargetMode="External"/><Relationship Id="rId278" Type="http://schemas.openxmlformats.org/officeDocument/2006/relationships/hyperlink" Target="https://www.sec.gov/Archives/edgar/data/275880/000119312519123626/d625480dex1026.htm" TargetMode="External"/><Relationship Id="rId280" Type="http://schemas.openxmlformats.org/officeDocument/2006/relationships/hyperlink" Target="https://www.sec.gov/Archives/edgar/data/275880/000156459021007800/psn-ex1041_1480.htm" TargetMode="External"/><Relationship Id="rId282" Type="http://schemas.openxmlformats.org/officeDocument/2006/relationships/hyperlink" Target="https://www.sec.gov/Archives/edgar/data/275880/000156459021007800/psn-ex1042_2855.htm" TargetMode="External"/><Relationship Id="rId285" Type="http://schemas.openxmlformats.org/officeDocument/2006/relationships/hyperlink" Target="https://www.sec.gov/Archives/edgar/data/275880/000156459022006026/psn-ex1060_1089.htm" TargetMode="External"/><Relationship Id="rId286" Type="http://schemas.openxmlformats.org/officeDocument/2006/relationships/hyperlink" Target="https://www.sec.gov/Archives/edgar/data/275880/000119312519123626/d625480dex1017.htm" TargetMode="External"/><Relationship Id="rId287" Type="http://schemas.openxmlformats.org/officeDocument/2006/relationships/hyperlink" Target="https://www.sec.gov/Archives/edgar/data/275880/000156459022006026/psn-ex1062_1088.htm" TargetMode="External"/><Relationship Id="rId288" Type="http://schemas.openxmlformats.org/officeDocument/2006/relationships/hyperlink" Target="https://www.sec.gov/ix?doc=/Archives/edgar/data/0000275880/000156459022031876/psn-8k_20220914.htm" TargetMode="External"/><Relationship Id="rId289" Type="http://schemas.openxmlformats.org/officeDocument/2006/relationships/hyperlink" Target="https://www.sec.gov/Archives/edgar/data/275880/000156459023002040/psn-ex1065_472.htm" TargetMode="External"/><Relationship Id="rId290" Type="http://schemas.openxmlformats.org/officeDocument/2006/relationships/hyperlink" Target="https://www.sec.gov/Archives/edgar/data/275880/000156459022017655/psn-ex101_148.htm" TargetMode="External"/><Relationship Id="rId291" Type="http://schemas.openxmlformats.org/officeDocument/2006/relationships/hyperlink" Target="https://www.sec.gov/Archives/edgar/data/275880/000156459023002040/psn-ex1067_761.htm" TargetMode="External"/><Relationship Id="rId292" Type="http://schemas.openxmlformats.org/officeDocument/2006/relationships/hyperlink" Target="https://www.sec.gov/Archives/edgar/data/275880/000095017024050876/psn-ex10_1.htm" TargetMode="External"/><Relationship Id="rId293" Type="http://schemas.openxmlformats.org/officeDocument/2006/relationships/hyperlink" Target="https://www.sec.gov/Archives/edgar/data/275880/000095017024088219/psn-ex10_1.htm" TargetMode="External"/><Relationship Id="rId294" Type="http://schemas.openxmlformats.org/officeDocument/2006/relationships/hyperlink" Target="https://www.sec.gov/Archives/edgar/data/275880/000095017024088219/psn-ex10_2.htm" TargetMode="External"/><Relationship Id="rId295" Type="http://schemas.openxmlformats.org/officeDocument/2006/relationships/hyperlink" Target="https://www.sec.gov/Archives/edgar/data/275880/000095017024014927/psn-ex19_3.htm" TargetMode="External"/><Relationship Id="rId298" Type="http://schemas.openxmlformats.org/officeDocument/2006/relationships/hyperlink" Target="https://www.sec.gov/Archives/edgar/data/275880/000095017023057104/psn-ex19_1.htm" TargetMode="External"/><Relationship Id="rId299" Type="http://schemas.openxmlformats.org/officeDocument/2006/relationships/hyperlink" Target="https://www.sec.gov/Archives/edgar/data/275880/000095017023057104/psn-ex1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2025-02-19T05:43:51Z</dcterms:created>
  <dcterms:modified xsi:type="dcterms:W3CDTF">2025-02-19T05:43:51Z</dcterms:modified>
</cp:coreProperties>
</file>