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680" w:right="1260" w:hanging="2410"/>
        <w:spacing w:after="0" w:line="323" w:lineRule="auto"/>
        <w:tabs>
          <w:tab w:leader="none" w:pos="167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69"/>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80010</wp:posOffset>
            </wp:positionV>
            <wp:extent cx="233997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0" w:lineRule="exact"/>
        <w:rPr>
          <w:sz w:val="24"/>
          <w:szCs w:val="24"/>
          <w:color w:val="auto"/>
        </w:rPr>
      </w:pPr>
    </w:p>
    <w:tbl>
      <w:tblPr>
        <w:tblLayout w:type="fixed"/>
        <w:tblInd w:w="1280" w:type="dxa"/>
        <w:tblCellMar>
          <w:top w:w="0" w:type="dxa"/>
          <w:left w:w="0" w:type="dxa"/>
          <w:bottom w:w="0" w:type="dxa"/>
          <w:right w:w="0" w:type="dxa"/>
        </w:tblCellMar>
      </w:tblPr>
      <w:tr>
        <w:trPr>
          <w:trHeight w:val="239"/>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330"/>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39"/>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200"/>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33"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6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63" w:lineRule="exact"/>
        <w:rPr>
          <w:sz w:val="24"/>
          <w:szCs w:val="24"/>
          <w:color w:val="auto"/>
        </w:rPr>
      </w:pPr>
    </w:p>
    <w:p>
      <w:pPr>
        <w:jc w:val="both"/>
        <w:ind w:right="30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80"/>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520" w:firstLine="599"/>
        <w:spacing w:after="0" w:line="24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5" w:lineRule="exact"/>
        <w:rPr>
          <w:sz w:val="24"/>
          <w:szCs w:val="24"/>
          <w:color w:val="auto"/>
        </w:rPr>
      </w:pPr>
    </w:p>
    <w:p>
      <w:pPr>
        <w:ind w:right="160" w:firstLine="599"/>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600" w:right="1320" w:hanging="598"/>
        <w:spacing w:after="0" w:line="250"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19, 2023, the registrant had 104,888,937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5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gridSpan w:val="7"/>
          </w:tcPr>
          <w:p>
            <w:pPr>
              <w:ind w:left="22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Statements of Income</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Statements of Comprehensive Income</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Statements of Shareholders’ Equity</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840" w:type="dxa"/>
            <w:vAlign w:val="bottom"/>
            <w:tcBorders>
              <w:right w:val="single" w:sz="8" w:color="0000EE"/>
            </w:tcBorders>
            <w:gridSpan w:val="6"/>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31"/>
        </w:trPr>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$100,478 and $53,193 Cash of consolidated joint ventures)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205,406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262,539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receivable, net (including $293,023 and $217,419 Accounts receivable of consolidated joint ventures, net)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906,741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717,345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assets (including $12,622 and $11,313 Contract assets of consolidated joint ventures)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756,630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634,033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80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 (including $12,731 and $7,913 Prepaid expenses and other current</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146,764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105,866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00" w:type="dxa"/>
            <w:vAlign w:val="bottom"/>
          </w:tcPr>
          <w:p>
            <w:pPr>
              <w:ind w:left="260"/>
              <w:spacing w:after="0"/>
              <w:rPr>
                <w:sz w:val="20"/>
                <w:szCs w:val="20"/>
                <w:color w:val="auto"/>
              </w:rPr>
            </w:pPr>
            <w:r>
              <w:rPr>
                <w:rFonts w:ascii="Arial" w:cs="Arial" w:eastAsia="Arial" w:hAnsi="Arial"/>
                <w:sz w:val="14"/>
                <w:szCs w:val="14"/>
                <w:color w:val="auto"/>
              </w:rPr>
              <w:t>assets of consolidated joint ventures)</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2,015,541</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1,719,783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 (including $3,902 and $2,543 Property and equipment of consolidated joint ventures,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99,344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96,050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800" w:type="dxa"/>
            <w:vAlign w:val="bottom"/>
          </w:tcPr>
          <w:p>
            <w:pPr>
              <w:ind w:left="260"/>
              <w:spacing w:after="0"/>
              <w:rPr>
                <w:sz w:val="20"/>
                <w:szCs w:val="20"/>
                <w:color w:val="auto"/>
              </w:rPr>
            </w:pPr>
            <w:r>
              <w:rPr>
                <w:rFonts w:ascii="Arial" w:cs="Arial" w:eastAsia="Arial" w:hAnsi="Arial"/>
                <w:sz w:val="14"/>
                <w:szCs w:val="14"/>
                <w:color w:val="auto"/>
              </w:rPr>
              <w:t>Right of use assets, operating leases (including $7,011 and $6,315 Right of use assets, operating leases of</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00" w:type="dxa"/>
            <w:vAlign w:val="bottom"/>
          </w:tcPr>
          <w:p>
            <w:pPr>
              <w:ind w:left="260"/>
              <w:spacing w:after="0"/>
              <w:rPr>
                <w:sz w:val="20"/>
                <w:szCs w:val="20"/>
                <w:color w:val="auto"/>
              </w:rPr>
            </w:pPr>
            <w:r>
              <w:rPr>
                <w:rFonts w:ascii="Arial" w:cs="Arial" w:eastAsia="Arial" w:hAnsi="Arial"/>
                <w:sz w:val="14"/>
                <w:szCs w:val="14"/>
                <w:color w:val="auto"/>
              </w:rPr>
              <w:t>consolidated joint ventures)</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158,400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155,090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1,797,330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1,661,850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164,858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107,425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282,098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254,127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148,512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137,709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66,905</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66,108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4,732,988</w:t>
            </w: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4,198,142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payable (including $54,668 and $49,078 Accounts payable of consolidated joint ventures)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266,345</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201,428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 (including $147,808 and $102,417 Accrued expenses and other</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liabilities of consolidated joint ventures)</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771,912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630,193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Contract liabilities (including $72,168 and $40,654 Contract liabilities of consolidated joint ventures)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277,249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213,064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Short-term lease liabilities, operating leases (including $3,507 and $2,552 Short-term lease liabilities, operating</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56,930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21,657</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1,394,093</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1,108,119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employee incentives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19,199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820,366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743,605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lease liabilities, operating leases (including $3,504 and $3,763 Long-term lease liabilities, operating</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119,281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20,448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111,501</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109,220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2,484,888</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2,102,207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Contingencies (Note 12)</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$1 par value; authorized 1,000,000,000 shares; 146,317,493 and 146,132,016 shares issued;</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45,136,147 and 40,960,845 public shares outstanding; 59,752,326 and 63,742,151 ESOP shares outstanding</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146,318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Treasury stock, 41,429,020 shares at cost</w:t>
            </w:r>
          </w:p>
        </w:tc>
        <w:tc>
          <w:tcPr>
            <w:tcW w:w="10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(844,936 )</w:t>
            </w: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2,729,206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2,717,134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158,945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(16,797 )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(17,849 )</w:t>
            </w:r>
          </w:p>
        </w:tc>
        <w:tc>
          <w:tcPr>
            <w:tcW w:w="0" w:type="dxa"/>
            <w:vAlign w:val="bottom"/>
          </w:tcPr>
          <w:p>
            <w:pPr>
              <w:spacing w:after="0"/>
              <w:rPr>
                <w:sz w:val="1"/>
                <w:szCs w:val="1"/>
                <w:color w:val="auto"/>
              </w:rPr>
            </w:pPr>
          </w:p>
        </w:tc>
      </w:tr>
      <w:tr>
        <w:trPr>
          <w:trHeight w:val="183"/>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100" w:type="dxa"/>
            <w:vAlign w:val="bottom"/>
            <w:tcBorders>
              <w:top w:val="single" w:sz="8" w:color="auto"/>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2,172,736</w:t>
            </w: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2,043,570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75,364</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Total shareholders' equity</w:t>
            </w: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2,248,100</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2,095,935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60"/>
              <w:spacing w:after="0"/>
              <w:rPr>
                <w:sz w:val="20"/>
                <w:szCs w:val="20"/>
                <w:color w:val="auto"/>
              </w:rPr>
            </w:pPr>
            <w:r>
              <w:rPr>
                <w:rFonts w:ascii="Arial" w:cs="Arial" w:eastAsia="Arial" w:hAnsi="Arial"/>
                <w:sz w:val="14"/>
                <w:szCs w:val="14"/>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4,732,988</w:t>
            </w: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4,198,142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-5065395</wp:posOffset>
            </wp:positionV>
            <wp:extent cx="6858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-3891280</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-2442210</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-1610995</wp:posOffset>
            </wp:positionV>
            <wp:extent cx="6858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-153670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6"/>
                <w:szCs w:val="16"/>
                <w:color w:val="auto"/>
              </w:rPr>
            </w:pPr>
          </w:p>
        </w:tc>
      </w:tr>
      <w:tr>
        <w:trPr>
          <w:trHeight w:val="156"/>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40" w:type="dxa"/>
            <w:vAlign w:val="bottom"/>
            <w:gridSpan w:val="2"/>
          </w:tcPr>
          <w:p>
            <w:pPr>
              <w:jc w:val="right"/>
              <w:ind w:right="44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40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8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3,948,523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3,092,160</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Direct cost of contracts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1,124,305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872,423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3,109,713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2,388,095</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(974 )</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shd w:val="clear" w:color="auto" w:fill="CFF0FC"/>
          </w:tcPr>
          <w:p>
            <w:pPr>
              <w:spacing w:after="0"/>
              <w:rPr>
                <w:sz w:val="19"/>
                <w:szCs w:val="19"/>
                <w:color w:val="auto"/>
              </w:rPr>
            </w:pPr>
          </w:p>
        </w:tc>
      </w:tr>
      <w:tr>
        <w:trPr>
          <w:trHeight w:val="229"/>
        </w:trPr>
        <w:tc>
          <w:tcPr>
            <w:tcW w:w="51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221,188</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196,960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632,393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581,969</w:t>
            </w:r>
          </w:p>
        </w:tc>
        <w:tc>
          <w:tcPr>
            <w:tcW w:w="10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83,340</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64,013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210,914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(8,612 )</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(6,323 )</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(22,369 )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(14,786 )</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(191 )</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(685 )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(304 )</w:t>
            </w:r>
          </w:p>
        </w:tc>
      </w:tr>
      <w:tr>
        <w:trPr>
          <w:trHeight w:val="20"/>
        </w:trPr>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(8,311 )</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(6,626 )</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(19,112 )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(14,472 )</w:t>
            </w:r>
          </w:p>
        </w:tc>
      </w:tr>
      <w:tr>
        <w:trPr>
          <w:trHeight w:val="223"/>
        </w:trPr>
        <w:tc>
          <w:tcPr>
            <w:tcW w:w="5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income tax expense</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75,029</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57,387</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191,802</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117,861</w:t>
            </w:r>
          </w:p>
        </w:tc>
        <w:tc>
          <w:tcPr>
            <w:tcW w:w="100" w:type="dxa"/>
            <w:vAlign w:val="bottom"/>
            <w:tcBorders>
              <w:top w:val="single" w:sz="8" w:color="CFF0FC"/>
            </w:tcBorders>
          </w:tcPr>
          <w:p>
            <w:pPr>
              <w:spacing w:after="0"/>
              <w:rPr>
                <w:sz w:val="19"/>
                <w:szCs w:val="19"/>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(15,218 )</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(13,792 )</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(41,944 )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(27,643 )</w:t>
            </w:r>
          </w:p>
        </w:tc>
      </w:tr>
      <w:tr>
        <w:trPr>
          <w:trHeight w:val="223"/>
        </w:trPr>
        <w:tc>
          <w:tcPr>
            <w:tcW w:w="5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59,811</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43,595</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149,858</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90,218</w:t>
            </w:r>
          </w:p>
        </w:tc>
        <w:tc>
          <w:tcPr>
            <w:tcW w:w="100" w:type="dxa"/>
            <w:vAlign w:val="bottom"/>
            <w:tcBorders>
              <w:top w:val="single" w:sz="8" w:color="CFF0FC"/>
            </w:tcBorders>
          </w:tcPr>
          <w:p>
            <w:pPr>
              <w:spacing w:after="0"/>
              <w:rPr>
                <w:sz w:val="19"/>
                <w:szCs w:val="19"/>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(12,364 )</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(14,024 )</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(33,617 )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(21,685 )</w:t>
            </w:r>
          </w:p>
        </w:tc>
      </w:tr>
      <w:tr>
        <w:trPr>
          <w:trHeight w:val="223"/>
        </w:trPr>
        <w:tc>
          <w:tcPr>
            <w:tcW w:w="5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attributable to Parsons Corporation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47,447</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29,571</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116,241</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68,533</w:t>
            </w:r>
          </w:p>
        </w:tc>
        <w:tc>
          <w:tcPr>
            <w:tcW w:w="100" w:type="dxa"/>
            <w:vAlign w:val="bottom"/>
            <w:tcBorders>
              <w:top w:val="single" w:sz="8" w:color="CFF0FC"/>
            </w:tcBorders>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20" w:type="dxa"/>
            <w:vAlign w:val="bottom"/>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-1983740</wp:posOffset>
            </wp:positionV>
            <wp:extent cx="7145020" cy="321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-1216660</wp:posOffset>
            </wp:positionV>
            <wp:extent cx="7747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-1216660</wp:posOffset>
            </wp:positionV>
            <wp:extent cx="774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-1216660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-916305</wp:posOffset>
            </wp:positionV>
            <wp:extent cx="7747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-916305</wp:posOffset>
            </wp:positionV>
            <wp:extent cx="774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-916305</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-616585</wp:posOffset>
            </wp:positionV>
            <wp:extent cx="7747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-616585</wp:posOffset>
            </wp:positionV>
            <wp:extent cx="7747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-616585</wp:posOffset>
            </wp:positionV>
            <wp:extent cx="685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6"/>
                <w:szCs w:val="16"/>
                <w:color w:val="auto"/>
              </w:rPr>
            </w:pPr>
          </w:p>
        </w:tc>
      </w:tr>
      <w:tr>
        <w:trPr>
          <w:trHeight w:val="156"/>
        </w:trPr>
        <w:tc>
          <w:tcPr>
            <w:tcW w:w="6040" w:type="dxa"/>
            <w:vAlign w:val="bottom"/>
          </w:tcPr>
          <w:p>
            <w:pPr>
              <w:spacing w:after="0"/>
              <w:rPr>
                <w:sz w:val="13"/>
                <w:szCs w:val="13"/>
                <w:color w:val="auto"/>
              </w:rPr>
            </w:pPr>
          </w:p>
        </w:tc>
        <w:tc>
          <w:tcPr>
            <w:tcW w:w="1460" w:type="dxa"/>
            <w:vAlign w:val="bottom"/>
            <w:gridSpan w:val="3"/>
          </w:tcPr>
          <w:p>
            <w:pPr>
              <w:jc w:val="right"/>
              <w:ind w:right="400"/>
              <w:spacing w:after="0" w:line="156"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3"/>
          </w:tcPr>
          <w:p>
            <w:pPr>
              <w:jc w:val="right"/>
              <w:ind w:right="360"/>
              <w:spacing w:after="0" w:line="156"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jc w:val="right"/>
              <w:ind w:right="380"/>
              <w:spacing w:after="0" w:line="156" w:lineRule="exact"/>
              <w:rPr>
                <w:sz w:val="20"/>
                <w:szCs w:val="20"/>
                <w:color w:val="auto"/>
              </w:rPr>
            </w:pPr>
            <w:r>
              <w:rPr>
                <w:rFonts w:ascii="Arial" w:cs="Arial" w:eastAsia="Arial" w:hAnsi="Arial"/>
                <w:sz w:val="14"/>
                <w:szCs w:val="14"/>
                <w:b w:val="1"/>
                <w:bCs w:val="1"/>
                <w:color w:val="auto"/>
              </w:rPr>
              <w:t>September</w:t>
            </w:r>
          </w:p>
        </w:tc>
        <w:tc>
          <w:tcPr>
            <w:tcW w:w="1100" w:type="dxa"/>
            <w:vAlign w:val="bottom"/>
            <w:gridSpan w:val="3"/>
          </w:tcPr>
          <w:p>
            <w:pPr>
              <w:jc w:val="right"/>
              <w:ind w:right="260"/>
              <w:spacing w:after="0" w:line="156" w:lineRule="exact"/>
              <w:rPr>
                <w:sz w:val="20"/>
                <w:szCs w:val="20"/>
                <w:color w:val="auto"/>
              </w:rPr>
            </w:pPr>
            <w:r>
              <w:rPr>
                <w:rFonts w:ascii="Arial" w:cs="Arial" w:eastAsia="Arial" w:hAnsi="Arial"/>
                <w:sz w:val="14"/>
                <w:szCs w:val="14"/>
                <w:b w:val="1"/>
                <w:bCs w:val="1"/>
                <w:color w:val="auto"/>
              </w:rPr>
              <w:t>September</w:t>
            </w:r>
          </w:p>
        </w:tc>
      </w:tr>
      <w:tr>
        <w:trPr>
          <w:trHeight w:val="189"/>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30, 2023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30, 2022</w:t>
            </w:r>
          </w:p>
        </w:tc>
        <w:tc>
          <w:tcPr>
            <w:tcW w:w="100" w:type="dxa"/>
            <w:vAlign w:val="bottom"/>
          </w:tcPr>
          <w:p>
            <w:pPr>
              <w:spacing w:after="0"/>
              <w:rPr>
                <w:sz w:val="16"/>
                <w:szCs w:val="16"/>
                <w:color w:val="auto"/>
              </w:rPr>
            </w:pPr>
          </w:p>
        </w:tc>
      </w:tr>
      <w:tr>
        <w:trPr>
          <w:trHeight w:val="22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90,218</w:t>
            </w:r>
          </w:p>
        </w:tc>
        <w:tc>
          <w:tcPr>
            <w:tcW w:w="100" w:type="dxa"/>
            <w:vAlign w:val="bottom"/>
            <w:shd w:val="clear" w:color="auto" w:fill="CFF0FC"/>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 net of tax</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(1,929 )</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(7,134 )</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(9,643 )</w:t>
            </w:r>
          </w:p>
        </w:tc>
      </w:tr>
      <w:tr>
        <w:trPr>
          <w:trHeight w:val="229"/>
        </w:trPr>
        <w:tc>
          <w:tcPr>
            <w:tcW w:w="6040" w:type="dxa"/>
            <w:vAlign w:val="bottom"/>
          </w:tcPr>
          <w:p>
            <w:pPr>
              <w:ind w:left="280"/>
              <w:spacing w:after="0"/>
              <w:rPr>
                <w:sz w:val="20"/>
                <w:szCs w:val="20"/>
                <w:color w:val="auto"/>
              </w:rPr>
            </w:pPr>
            <w:r>
              <w:rPr>
                <w:rFonts w:ascii="Arial" w:cs="Arial" w:eastAsia="Arial" w:hAnsi="Arial"/>
                <w:sz w:val="18"/>
                <w:szCs w:val="18"/>
                <w:color w:val="auto"/>
              </w:rPr>
              <w:t>Pension adjustments, net of tax</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(68 )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r>
      <w:tr>
        <w:trPr>
          <w:trHeight w:val="197"/>
        </w:trPr>
        <w:tc>
          <w:tcPr>
            <w:tcW w:w="6040" w:type="dxa"/>
            <w:vAlign w:val="bottom"/>
            <w:shd w:val="clear" w:color="auto" w:fill="CFF0FC"/>
          </w:tcPr>
          <w:p>
            <w:pPr>
              <w:ind w:left="520"/>
              <w:spacing w:after="0" w:line="197" w:lineRule="exact"/>
              <w:rPr>
                <w:sz w:val="20"/>
                <w:szCs w:val="20"/>
                <w:color w:val="auto"/>
              </w:rPr>
            </w:pPr>
            <w:r>
              <w:rPr>
                <w:rFonts w:ascii="Arial" w:cs="Arial" w:eastAsia="Arial" w:hAnsi="Arial"/>
                <w:sz w:val="18"/>
                <w:szCs w:val="18"/>
                <w:color w:val="auto"/>
              </w:rPr>
              <w:t>Comprehensive income including noncontrolling interests, net of</w:t>
            </w: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60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tax</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57,871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80,482</w:t>
            </w:r>
          </w:p>
        </w:tc>
        <w:tc>
          <w:tcPr>
            <w:tcW w:w="100" w:type="dxa"/>
            <w:vAlign w:val="bottom"/>
            <w:shd w:val="clear" w:color="auto" w:fill="CFF0FC"/>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(12,361 )</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(14,014 )</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(33,617 )</w:t>
            </w: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(21,673 )</w:t>
            </w:r>
          </w:p>
        </w:tc>
      </w:tr>
      <w:tr>
        <w:trPr>
          <w:trHeight w:val="263"/>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Parsons Corporation, net of tax</w:t>
            </w:r>
          </w:p>
        </w:tc>
        <w:tc>
          <w:tcPr>
            <w:tcW w:w="22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45,510</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22,379</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117,293</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-25400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 2023</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80" w:type="dxa"/>
            <w:vAlign w:val="bottom"/>
          </w:tcPr>
          <w:p>
            <w:pPr>
              <w:ind w:left="320"/>
              <w:spacing w:after="0"/>
              <w:rPr>
                <w:sz w:val="20"/>
                <w:szCs w:val="20"/>
                <w:color w:val="auto"/>
              </w:rPr>
            </w:pPr>
            <w:r>
              <w:rPr>
                <w:rFonts w:ascii="Arial" w:cs="Arial" w:eastAsia="Arial" w:hAnsi="Arial"/>
                <w:sz w:val="16"/>
                <w:szCs w:val="16"/>
                <w:color w:val="auto"/>
              </w:rPr>
              <w:t>Net income including noncontrolling interests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149,858</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90,218</w:t>
            </w: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87,202</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90,668</w:t>
            </w: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Amortization of debt issue costs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Loss (gain) on disposal of property and equipment</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(27 )</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(261 )</w:t>
            </w: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Provision for doubtful accounts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Deferred taxes</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(8,205 )</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(6,334 )</w:t>
            </w: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Foreign currency transaction gains and losses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Equity in losses (earnings) of unconsolidated joint ventures</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(4,497 )</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(10,237 )</w:t>
            </w: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Return on investments in unconsolidated joint ventures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30,328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25,626</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23,872</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14,991</w:t>
            </w: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Contributions of treasury stock</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44,072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41,980</w:t>
            </w:r>
          </w:p>
        </w:tc>
        <w:tc>
          <w:tcPr>
            <w:tcW w:w="100" w:type="dxa"/>
            <w:vAlign w:val="bottom"/>
            <w:shd w:val="clear" w:color="auto" w:fill="CFF0FC"/>
          </w:tcPr>
          <w:p>
            <w:pPr>
              <w:spacing w:after="0"/>
              <w:rPr>
                <w:sz w:val="19"/>
                <w:szCs w:val="19"/>
                <w:color w:val="auto"/>
              </w:rPr>
            </w:pPr>
          </w:p>
        </w:tc>
      </w:tr>
      <w:tr>
        <w:trPr>
          <w:trHeight w:val="192"/>
        </w:trPr>
        <w:tc>
          <w:tcPr>
            <w:tcW w:w="7780" w:type="dxa"/>
            <w:vAlign w:val="bottom"/>
          </w:tcPr>
          <w:p>
            <w:pPr>
              <w:ind w:left="32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7780" w:type="dxa"/>
            <w:vAlign w:val="bottom"/>
          </w:tcPr>
          <w:p>
            <w:pPr>
              <w:ind w:left="460"/>
              <w:spacing w:after="0"/>
              <w:rPr>
                <w:sz w:val="20"/>
                <w:szCs w:val="20"/>
                <w:color w:val="auto"/>
              </w:rPr>
            </w:pPr>
            <w:r>
              <w:rPr>
                <w:rFonts w:ascii="Arial" w:cs="Arial" w:eastAsia="Arial" w:hAnsi="Arial"/>
                <w:sz w:val="16"/>
                <w:szCs w:val="16"/>
                <w:color w:val="auto"/>
              </w:rPr>
              <w:t>joint ventures: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(168,964 )</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(90,913 )</w:t>
            </w: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Contract assets</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(120,414 )</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(62,861 )</w:t>
            </w: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(40,470 )</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8,772</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48,294</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(918 )</w:t>
            </w: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93,263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20,220</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Contract liabilities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61,503</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26,665</w:t>
            </w: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Income taxes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400"/>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662</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(5,866 )</w:t>
            </w:r>
          </w:p>
        </w:tc>
      </w:tr>
      <w:tr>
        <w:trPr>
          <w:trHeight w:val="209"/>
        </w:trPr>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217,566</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148,368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Capital expenditures</w:t>
            </w: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(30,877 )</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(19,784 )</w:t>
            </w:r>
          </w:p>
        </w:tc>
      </w:tr>
      <w:tr>
        <w:trPr>
          <w:trHeight w:val="213"/>
        </w:trPr>
        <w:tc>
          <w:tcPr>
            <w:tcW w:w="7780" w:type="dxa"/>
            <w:vAlign w:val="bottom"/>
          </w:tcPr>
          <w:p>
            <w:pPr>
              <w:ind w:left="320"/>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Payments for acquisitions, net of cash acquired</w:t>
            </w:r>
          </w:p>
        </w:tc>
        <w:tc>
          <w:tcPr>
            <w:tcW w:w="1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(215,497 )</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(379,272 )</w:t>
            </w:r>
          </w:p>
        </w:tc>
      </w:tr>
      <w:tr>
        <w:trPr>
          <w:trHeight w:val="213"/>
        </w:trPr>
        <w:tc>
          <w:tcPr>
            <w:tcW w:w="7780" w:type="dxa"/>
            <w:vAlign w:val="bottom"/>
          </w:tcPr>
          <w:p>
            <w:pPr>
              <w:ind w:left="320"/>
              <w:spacing w:after="0"/>
              <w:rPr>
                <w:sz w:val="20"/>
                <w:szCs w:val="20"/>
                <w:color w:val="auto"/>
              </w:rPr>
            </w:pPr>
            <w:r>
              <w:rPr>
                <w:rFonts w:ascii="Arial" w:cs="Arial" w:eastAsia="Arial" w:hAnsi="Arial"/>
                <w:sz w:val="16"/>
                <w:szCs w:val="16"/>
                <w:color w:val="auto"/>
              </w:rPr>
              <w:t>Investments in unconsolidated joint ventures</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(81,598 )</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(13,637 )</w:t>
            </w:r>
          </w:p>
        </w:tc>
      </w:tr>
      <w:tr>
        <w:trPr>
          <w:trHeight w:val="219"/>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Return of investments in unconsolidated joint ventures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9,443</w:t>
            </w:r>
          </w:p>
        </w:tc>
        <w:tc>
          <w:tcPr>
            <w:tcW w:w="100" w:type="dxa"/>
            <w:vAlign w:val="bottom"/>
            <w:shd w:val="clear" w:color="auto" w:fill="CFF0FC"/>
          </w:tcPr>
          <w:p>
            <w:pPr>
              <w:spacing w:after="0"/>
              <w:rPr>
                <w:sz w:val="19"/>
                <w:szCs w:val="19"/>
                <w:color w:val="auto"/>
              </w:rPr>
            </w:pPr>
          </w:p>
        </w:tc>
      </w:tr>
      <w:tr>
        <w:trPr>
          <w:trHeight w:val="213"/>
        </w:trPr>
        <w:tc>
          <w:tcPr>
            <w:tcW w:w="7780" w:type="dxa"/>
            <w:vAlign w:val="bottom"/>
          </w:tcPr>
          <w:p>
            <w:pPr>
              <w:ind w:left="32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(327,245 )</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(402,677 )</w:t>
            </w:r>
          </w:p>
        </w:tc>
      </w:tr>
      <w:tr>
        <w:trPr>
          <w:trHeight w:val="213"/>
        </w:trPr>
        <w:tc>
          <w:tcPr>
            <w:tcW w:w="77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Proceeds from borrowings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511,500</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680,900</w:t>
            </w:r>
          </w:p>
        </w:tc>
        <w:tc>
          <w:tcPr>
            <w:tcW w:w="100" w:type="dxa"/>
            <w:vAlign w:val="bottom"/>
            <w:shd w:val="clear" w:color="auto" w:fill="CFF0FC"/>
          </w:tcPr>
          <w:p>
            <w:pPr>
              <w:spacing w:after="0"/>
              <w:rPr>
                <w:sz w:val="18"/>
                <w:szCs w:val="18"/>
                <w:color w:val="auto"/>
              </w:rPr>
            </w:pPr>
          </w:p>
        </w:tc>
      </w:tr>
      <w:tr>
        <w:trPr>
          <w:trHeight w:val="210"/>
        </w:trPr>
        <w:tc>
          <w:tcPr>
            <w:tcW w:w="7780" w:type="dxa"/>
            <w:vAlign w:val="bottom"/>
          </w:tcPr>
          <w:p>
            <w:pPr>
              <w:ind w:left="320"/>
              <w:spacing w:after="0"/>
              <w:rPr>
                <w:sz w:val="20"/>
                <w:szCs w:val="20"/>
                <w:color w:val="auto"/>
              </w:rPr>
            </w:pPr>
            <w:r>
              <w:rPr>
                <w:rFonts w:ascii="Arial" w:cs="Arial" w:eastAsia="Arial" w:hAnsi="Arial"/>
                <w:sz w:val="16"/>
                <w:szCs w:val="16"/>
                <w:color w:val="auto"/>
              </w:rPr>
              <w:t>Repayments of borrowings</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(436,500 )</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(579,700 )</w:t>
            </w:r>
          </w:p>
        </w:tc>
      </w:tr>
      <w:tr>
        <w:trPr>
          <w:trHeight w:val="219"/>
        </w:trPr>
        <w:tc>
          <w:tcPr>
            <w:tcW w:w="7780" w:type="dxa"/>
            <w:vAlign w:val="bottom"/>
          </w:tcPr>
          <w:p>
            <w:pPr>
              <w:ind w:left="320"/>
              <w:spacing w:after="0"/>
              <w:rPr>
                <w:sz w:val="20"/>
                <w:szCs w:val="20"/>
                <w:color w:val="auto"/>
              </w:rPr>
            </w:pPr>
            <w:r>
              <w:rPr>
                <w:rFonts w:ascii="Arial" w:cs="Arial" w:eastAsia="Arial" w:hAnsi="Arial"/>
                <w:sz w:val="16"/>
                <w:szCs w:val="16"/>
                <w:color w:val="auto"/>
              </w:rPr>
              <w:t>Payments for debt costs and credit agreement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(870 )</w:t>
            </w:r>
          </w:p>
        </w:tc>
      </w:tr>
      <w:tr>
        <w:trPr>
          <w:trHeight w:val="219"/>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Payments for acquired warrants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(11,243 )</w:t>
            </w:r>
          </w:p>
        </w:tc>
      </w:tr>
      <w:tr>
        <w:trPr>
          <w:trHeight w:val="213"/>
        </w:trPr>
        <w:tc>
          <w:tcPr>
            <w:tcW w:w="7780" w:type="dxa"/>
            <w:vAlign w:val="bottom"/>
          </w:tcPr>
          <w:p>
            <w:pPr>
              <w:ind w:left="320"/>
              <w:spacing w:after="0"/>
              <w:rPr>
                <w:sz w:val="20"/>
                <w:szCs w:val="20"/>
                <w:color w:val="auto"/>
              </w:rPr>
            </w:pPr>
            <w:r>
              <w:rPr>
                <w:rFonts w:ascii="Arial" w:cs="Arial" w:eastAsia="Arial" w:hAnsi="Arial"/>
                <w:sz w:val="16"/>
                <w:szCs w:val="16"/>
                <w:color w:val="auto"/>
              </w:rPr>
              <w:t>Contributions by noncontrolling interests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1,537</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8,299</w:t>
            </w:r>
          </w:p>
        </w:tc>
        <w:tc>
          <w:tcPr>
            <w:tcW w:w="100" w:type="dxa"/>
            <w:vAlign w:val="bottom"/>
          </w:tcPr>
          <w:p>
            <w:pPr>
              <w:spacing w:after="0"/>
              <w:rPr>
                <w:sz w:val="18"/>
                <w:szCs w:val="18"/>
                <w:color w:val="auto"/>
              </w:rPr>
            </w:pPr>
          </w:p>
        </w:tc>
      </w:tr>
      <w:tr>
        <w:trPr>
          <w:trHeight w:val="219"/>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Distributions to noncontrolling interests</w:t>
            </w:r>
          </w:p>
        </w:tc>
        <w:tc>
          <w:tcPr>
            <w:tcW w:w="1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(12,156 )</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(14,290 )</w:t>
            </w:r>
          </w:p>
        </w:tc>
      </w:tr>
      <w:tr>
        <w:trPr>
          <w:trHeight w:val="213"/>
        </w:trPr>
        <w:tc>
          <w:tcPr>
            <w:tcW w:w="7780" w:type="dxa"/>
            <w:vAlign w:val="bottom"/>
          </w:tcPr>
          <w:p>
            <w:pPr>
              <w:ind w:left="320"/>
              <w:spacing w:after="0"/>
              <w:rPr>
                <w:sz w:val="20"/>
                <w:szCs w:val="20"/>
                <w:color w:val="auto"/>
              </w:rPr>
            </w:pPr>
            <w:r>
              <w:rPr>
                <w:rFonts w:ascii="Arial" w:cs="Arial" w:eastAsia="Arial" w:hAnsi="Arial"/>
                <w:sz w:val="16"/>
                <w:szCs w:val="16"/>
                <w:color w:val="auto"/>
              </w:rPr>
              <w:t>Repurchases of common stock</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(8,000 )</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(19,500 )</w:t>
            </w:r>
          </w:p>
        </w:tc>
      </w:tr>
      <w:tr>
        <w:trPr>
          <w:trHeight w:val="219"/>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Taxes paid on vested stock</w:t>
            </w:r>
          </w:p>
        </w:tc>
        <w:tc>
          <w:tcPr>
            <w:tcW w:w="1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(6,941 )</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(6,135 )</w:t>
            </w:r>
          </w:p>
        </w:tc>
      </w:tr>
      <w:tr>
        <w:trPr>
          <w:trHeight w:val="213"/>
        </w:trPr>
        <w:tc>
          <w:tcPr>
            <w:tcW w:w="7780" w:type="dxa"/>
            <w:vAlign w:val="bottom"/>
          </w:tcPr>
          <w:p>
            <w:pPr>
              <w:ind w:left="320"/>
              <w:spacing w:after="0"/>
              <w:rPr>
                <w:sz w:val="20"/>
                <w:szCs w:val="20"/>
                <w:color w:val="auto"/>
              </w:rPr>
            </w:pPr>
            <w:r>
              <w:rPr>
                <w:rFonts w:ascii="Arial" w:cs="Arial" w:eastAsia="Arial" w:hAnsi="Arial"/>
                <w:sz w:val="16"/>
                <w:szCs w:val="16"/>
                <w:color w:val="auto"/>
              </w:rPr>
              <w:t>Proceeds from issuance of common stock</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2,724</w:t>
            </w:r>
          </w:p>
        </w:tc>
        <w:tc>
          <w:tcPr>
            <w:tcW w:w="100" w:type="dxa"/>
            <w:vAlign w:val="bottom"/>
          </w:tcPr>
          <w:p>
            <w:pPr>
              <w:spacing w:after="0"/>
              <w:rPr>
                <w:sz w:val="18"/>
                <w:szCs w:val="18"/>
                <w:color w:val="auto"/>
              </w:rPr>
            </w:pPr>
          </w:p>
        </w:tc>
      </w:tr>
      <w:tr>
        <w:trPr>
          <w:trHeight w:val="210"/>
        </w:trPr>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52,380</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320"/>
              <w:spacing w:after="0"/>
              <w:rPr>
                <w:sz w:val="20"/>
                <w:szCs w:val="20"/>
                <w:color w:val="auto"/>
              </w:rPr>
            </w:pPr>
            <w:r>
              <w:rPr>
                <w:rFonts w:ascii="Arial" w:cs="Arial" w:eastAsia="Arial" w:hAnsi="Arial"/>
                <w:sz w:val="16"/>
                <w:szCs w:val="16"/>
                <w:color w:val="auto"/>
              </w:rPr>
              <w:t>Effect of exchange rate changes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166</w:t>
            </w:r>
          </w:p>
        </w:tc>
        <w:tc>
          <w:tcPr>
            <w:tcW w:w="28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(2,220 )</w:t>
            </w:r>
          </w:p>
        </w:tc>
      </w:tr>
      <w:tr>
        <w:trPr>
          <w:trHeight w:val="20"/>
        </w:trPr>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decrease in cash, cash equivalents, and restricted cash</w:t>
            </w: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(57,133 )</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(196,344 )</w:t>
            </w:r>
          </w:p>
        </w:tc>
      </w:tr>
      <w:tr>
        <w:trPr>
          <w:trHeight w:val="213"/>
        </w:trPr>
        <w:tc>
          <w:tcPr>
            <w:tcW w:w="7780" w:type="dxa"/>
            <w:vAlign w:val="bottom"/>
          </w:tcPr>
          <w:p>
            <w:pPr>
              <w:ind w:left="320"/>
              <w:spacing w:after="0"/>
              <w:rPr>
                <w:sz w:val="20"/>
                <w:szCs w:val="20"/>
                <w:color w:val="auto"/>
              </w:rPr>
            </w:pPr>
            <w:r>
              <w:rPr>
                <w:rFonts w:ascii="Arial" w:cs="Arial" w:eastAsia="Arial" w:hAnsi="Arial"/>
                <w:sz w:val="16"/>
                <w:szCs w:val="16"/>
                <w:color w:val="auto"/>
              </w:rPr>
              <w:t>Cash, cash equivalents and restricted cash:</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Beginning of year</w:t>
            </w: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262,539</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343,883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320"/>
              <w:spacing w:after="0"/>
              <w:rPr>
                <w:sz w:val="20"/>
                <w:szCs w:val="20"/>
                <w:color w:val="auto"/>
              </w:rPr>
            </w:pPr>
            <w:r>
              <w:rPr>
                <w:rFonts w:ascii="Arial" w:cs="Arial" w:eastAsia="Arial" w:hAnsi="Arial"/>
                <w:sz w:val="16"/>
                <w:szCs w:val="16"/>
                <w:color w:val="auto"/>
              </w:rPr>
              <w:t>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205,406</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147,539</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-3376930</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-2262505</wp:posOffset>
            </wp:positionV>
            <wp:extent cx="68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-736600</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September 30, 2023 and September 30, 2022</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Commo</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w:t>
            </w: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Parsons</w:t>
            </w:r>
          </w:p>
        </w:tc>
        <w:tc>
          <w:tcPr>
            <w:tcW w:w="10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7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Balance at June 30,</w:t>
            </w:r>
          </w:p>
        </w:tc>
        <w:tc>
          <w:tcPr>
            <w:tcW w:w="1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146,31</w:t>
            </w: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(844,93</w:t>
            </w:r>
          </w:p>
        </w:tc>
        <w:tc>
          <w:tcPr>
            <w:tcW w:w="26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2,721,402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(14,860 )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2,119,431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71,334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2,190,765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47,447</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47,447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8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320"/>
              <w:spacing w:after="0"/>
              <w:rPr>
                <w:sz w:val="20"/>
                <w:szCs w:val="20"/>
                <w:color w:val="auto"/>
              </w:rPr>
            </w:pPr>
            <w:r>
              <w:rPr>
                <w:rFonts w:ascii="Arial" w:cs="Arial" w:eastAsia="Arial" w:hAnsi="Arial"/>
                <w:sz w:val="14"/>
                <w:szCs w:val="14"/>
                <w:color w:val="auto"/>
              </w:rPr>
              <w:t>gain, net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(1,926 )</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(1,926 )</w:t>
            </w: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(3 )</w:t>
            </w: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(1,929 )</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(11 )</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(9,669 )</w:t>
            </w: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(9,669 )</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Arial" w:cs="Arial" w:eastAsia="Arial" w:hAnsi="Arial"/>
                <w:sz w:val="14"/>
                <w:szCs w:val="14"/>
                <w:color w:val="auto"/>
              </w:rPr>
              <w:t>Issuance of equity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140"/>
              <w:spacing w:after="0"/>
              <w:rPr>
                <w:sz w:val="20"/>
                <w:szCs w:val="20"/>
                <w:color w:val="auto"/>
              </w:rPr>
            </w:pPr>
            <w:r>
              <w:rPr>
                <w:rFonts w:ascii="Arial" w:cs="Arial" w:eastAsia="Arial" w:hAnsi="Arial"/>
                <w:sz w:val="14"/>
                <w:szCs w:val="14"/>
                <w:color w:val="auto"/>
              </w:rPr>
              <w:t>net of retirements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common</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7,894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7,894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7,894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(844,93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FF0FC"/>
          </w:tcPr>
          <w:p>
            <w:pPr>
              <w:ind w:left="20"/>
              <w:spacing w:after="0" w:line="142" w:lineRule="exact"/>
              <w:rPr>
                <w:sz w:val="20"/>
                <w:szCs w:val="20"/>
                <w:color w:val="auto"/>
              </w:rPr>
            </w:pPr>
            <w:r>
              <w:rPr>
                <w:rFonts w:ascii="Arial" w:cs="Arial" w:eastAsia="Arial" w:hAnsi="Arial"/>
                <w:sz w:val="14"/>
                <w:szCs w:val="14"/>
                <w:b w:val="1"/>
                <w:bCs w:val="1"/>
                <w:color w:val="auto"/>
              </w:rPr>
              <w:t>30, 2023</w:t>
            </w: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4"/>
                <w:szCs w:val="14"/>
                <w:color w:val="auto"/>
              </w:rPr>
              <w:t>6 )</w:t>
            </w:r>
          </w:p>
        </w:tc>
        <w:tc>
          <w:tcPr>
            <w:tcW w:w="1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2,729,206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158,945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4"/>
                <w:szCs w:val="14"/>
                <w:color w:val="auto"/>
              </w:rPr>
              <w:t>(16,797 )</w:t>
            </w: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2,172,736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75,364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2,248,100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78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Balance at June 30,</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146,17</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(867,39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2,676,063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(14,565 )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(12,100 )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1,928,181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36,486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1,964,667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14,024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8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320"/>
              <w:spacing w:after="0"/>
              <w:rPr>
                <w:sz w:val="20"/>
                <w:szCs w:val="20"/>
                <w:color w:val="auto"/>
              </w:rPr>
            </w:pPr>
            <w:r>
              <w:rPr>
                <w:rFonts w:ascii="Arial" w:cs="Arial" w:eastAsia="Arial" w:hAnsi="Arial"/>
                <w:sz w:val="14"/>
                <w:szCs w:val="14"/>
                <w:color w:val="auto"/>
              </w:rPr>
              <w:t>loss, net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(7,124 )</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(7,124 )</w:t>
            </w: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(10 )</w:t>
            </w: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(7,134 )</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(68 )</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5,472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(3,946 )</w:t>
            </w: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(3,946 )</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Arial" w:cs="Arial" w:eastAsia="Arial" w:hAnsi="Arial"/>
                <w:sz w:val="14"/>
                <w:szCs w:val="14"/>
                <w:color w:val="auto"/>
              </w:rPr>
              <w:t>Issuance of equity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140"/>
              <w:spacing w:after="0"/>
              <w:rPr>
                <w:sz w:val="20"/>
                <w:szCs w:val="20"/>
                <w:color w:val="auto"/>
              </w:rPr>
            </w:pPr>
            <w:r>
              <w:rPr>
                <w:rFonts w:ascii="Arial" w:cs="Arial" w:eastAsia="Arial" w:hAnsi="Arial"/>
                <w:sz w:val="14"/>
                <w:szCs w:val="14"/>
                <w:color w:val="auto"/>
              </w:rPr>
              <w:t>net of retirements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(186 )</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(175 )</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common</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(95 )</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(3,857 )</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(3,952 )</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(3,952 )</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6,633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Balance at September</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146,08</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(867,39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30, 2022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2,678,653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(19,292 )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1,953,066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2,005,092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-4619625</wp:posOffset>
            </wp:positionV>
            <wp:extent cx="7683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-4619625</wp:posOffset>
            </wp:positionV>
            <wp:extent cx="7683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-4619625</wp:posOffset>
            </wp:positionV>
            <wp:extent cx="6858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-4619625</wp:posOffset>
            </wp:positionV>
            <wp:extent cx="6858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-4619625</wp:posOffset>
            </wp:positionV>
            <wp:extent cx="6858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-4619625</wp:posOffset>
            </wp:positionV>
            <wp:extent cx="6858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-4619625</wp:posOffset>
            </wp:positionV>
            <wp:extent cx="6858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-2571115</wp:posOffset>
            </wp:positionV>
            <wp:extent cx="5597525"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97525" cy="27432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-2073910</wp:posOffset>
            </wp:positionV>
            <wp:extent cx="7683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-2073910</wp:posOffset>
            </wp:positionV>
            <wp:extent cx="7683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-2073910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-2073910</wp:posOffset>
            </wp:positionV>
            <wp:extent cx="6858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-2073910</wp:posOffset>
            </wp:positionV>
            <wp:extent cx="685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-2073910</wp:posOffset>
            </wp:positionV>
            <wp:extent cx="685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-2073910</wp:posOffset>
            </wp:positionV>
            <wp:extent cx="6858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-24765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-8255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-8255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Nine Months Ended September 30, 2023 and September 30, 2022</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Commo</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w:t>
            </w: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Parsons</w:t>
            </w:r>
          </w:p>
        </w:tc>
        <w:tc>
          <w:tcPr>
            <w:tcW w:w="10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7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Balance at December</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146,13</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(844,93</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6 )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2,717,134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43,089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(17,849 )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2,043,570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52,365</w:t>
            </w:r>
          </w:p>
        </w:tc>
        <w:tc>
          <w:tcPr>
            <w:tcW w:w="2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2,095,935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116,241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116,241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33,617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149,858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translation gain, net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80" w:type="dxa"/>
            <w:vAlign w:val="bottom"/>
          </w:tcPr>
          <w:p>
            <w:pPr>
              <w:ind w:left="200"/>
              <w:spacing w:after="0"/>
              <w:rPr>
                <w:sz w:val="20"/>
                <w:szCs w:val="20"/>
                <w:color w:val="auto"/>
              </w:rPr>
            </w:pPr>
            <w:r>
              <w:rPr>
                <w:rFonts w:ascii="Arial" w:cs="Arial" w:eastAsia="Arial" w:hAnsi="Arial"/>
                <w:sz w:val="14"/>
                <w:szCs w:val="14"/>
                <w:color w:val="auto"/>
              </w:rPr>
              <w:t>Pension adjustments,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Contributions</w:t>
            </w: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(12,156 )</w:t>
            </w:r>
          </w:p>
        </w:tc>
        <w:tc>
          <w:tcPr>
            <w:tcW w:w="1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(12,156 )</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equity</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securities, net of</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retirement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(3,985 )</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(385 )</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(3,999 )</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(3,999 )</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Arial" w:cs="Arial" w:eastAsia="Arial" w:hAnsi="Arial"/>
                <w:sz w:val="14"/>
                <w:szCs w:val="14"/>
                <w:color w:val="auto"/>
              </w:rPr>
              <w:t>Repurchases of common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(185 )</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(7,815 )</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(8,000 )</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(8,000 )</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w:t>
            </w:r>
          </w:p>
        </w:tc>
        <w:tc>
          <w:tcPr>
            <w:tcW w:w="10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23,872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23,872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23,872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compensation</w:t>
            </w:r>
          </w:p>
        </w:tc>
        <w:tc>
          <w:tcPr>
            <w:tcW w:w="1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Balance at September</w:t>
            </w:r>
          </w:p>
        </w:tc>
        <w:tc>
          <w:tcPr>
            <w:tcW w:w="1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Arial" w:cs="Arial" w:eastAsia="Arial" w:hAnsi="Arial"/>
                <w:sz w:val="14"/>
                <w:szCs w:val="14"/>
                <w:color w:val="auto"/>
              </w:rPr>
              <w:t>146,31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4"/>
                <w:szCs w:val="14"/>
                <w:color w:val="auto"/>
              </w:rPr>
              <w:t>(844,93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30, 2023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6 )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2,729,206</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158,945</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(16,797 )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2,172,736</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75,364</w:t>
            </w:r>
          </w:p>
        </w:tc>
        <w:tc>
          <w:tcPr>
            <w:tcW w:w="2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2,248,100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146,27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(867,39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31, 2021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2,684,979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(53,529 )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(9,568 )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1,900,768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36,344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1,937,112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68,533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68,533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21,685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8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0"/>
              <w:spacing w:after="0"/>
              <w:rPr>
                <w:sz w:val="20"/>
                <w:szCs w:val="20"/>
                <w:color w:val="auto"/>
              </w:rPr>
            </w:pPr>
            <w:r>
              <w:rPr>
                <w:rFonts w:ascii="Arial" w:cs="Arial" w:eastAsia="Arial" w:hAnsi="Arial"/>
                <w:sz w:val="14"/>
                <w:szCs w:val="14"/>
                <w:color w:val="auto"/>
              </w:rPr>
              <w:t>translation loss, net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(9,631 )</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(9,631 )</w:t>
            </w: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(12 )</w:t>
            </w: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(9,643 )</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(93 )</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(93 )</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(93 )</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(14,290 )</w:t>
            </w: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(14,290 )</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Arial" w:cs="Arial" w:eastAsia="Arial" w:hAnsi="Arial"/>
                <w:sz w:val="14"/>
                <w:szCs w:val="14"/>
                <w:color w:val="auto"/>
              </w:rPr>
              <w:t>Issuance of equity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4"/>
                <w:szCs w:val="14"/>
                <w:color w:val="auto"/>
              </w:rPr>
              <w:t>securities, net of</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4"/>
                <w:szCs w:val="14"/>
                <w:color w:val="auto"/>
              </w:rPr>
              <w:t>retirement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(2,339 )</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(2,002 )</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(2,002 )</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common</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(522 )</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(18,978 )</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(19,500 )</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(19,500 )</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14,991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14,991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Balance at September</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146,08</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(867,39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30, 2022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2,678,653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(19,292 )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1,953,066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2,005,092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-2673985</wp:posOffset>
            </wp:positionV>
            <wp:extent cx="76835" cy="4972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49720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-2673985</wp:posOffset>
            </wp:positionV>
            <wp:extent cx="76835" cy="497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49720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-2673985</wp:posOffset>
            </wp:positionV>
            <wp:extent cx="68580" cy="4972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-2673985</wp:posOffset>
            </wp:positionV>
            <wp:extent cx="68580" cy="497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-2673985</wp:posOffset>
            </wp:positionV>
            <wp:extent cx="68580" cy="4972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-2673985</wp:posOffset>
            </wp:positionV>
            <wp:extent cx="68580" cy="4972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-2673985</wp:posOffset>
            </wp:positionV>
            <wp:extent cx="68580" cy="4972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497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-1953895</wp:posOffset>
            </wp:positionV>
            <wp:extent cx="7683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-1953895</wp:posOffset>
            </wp:positionV>
            <wp:extent cx="7683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-1953895</wp:posOffset>
            </wp:positionV>
            <wp:extent cx="6858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-1953895</wp:posOffset>
            </wp:positionV>
            <wp:extent cx="6858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-1953895</wp:posOffset>
            </wp:positionV>
            <wp:extent cx="6858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-1953895</wp:posOffset>
            </wp:positionV>
            <wp:extent cx="6858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-1953895</wp:posOffset>
            </wp:positionV>
            <wp:extent cx="6858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2" w:lineRule="exact"/>
        <w:rPr>
          <w:sz w:val="20"/>
          <w:szCs w:val="20"/>
          <w:color w:val="auto"/>
        </w:rPr>
      </w:pPr>
    </w:p>
    <w:p>
      <w:pPr>
        <w:ind w:left="660" w:right="8380" w:hanging="652"/>
        <w:spacing w:after="0" w:line="49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636"/>
        <w:spacing w:after="0" w:line="245"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22" w:lineRule="exact"/>
        <w:rPr>
          <w:sz w:val="20"/>
          <w:szCs w:val="20"/>
          <w:color w:val="auto"/>
        </w:rPr>
      </w:pPr>
    </w:p>
    <w:p>
      <w:pPr>
        <w:ind w:right="400" w:firstLine="636"/>
        <w:spacing w:after="0" w:line="241"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2022.</w:t>
      </w:r>
    </w:p>
    <w:p>
      <w:pPr>
        <w:spacing w:after="0" w:line="189"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84" w:lineRule="exact"/>
        <w:rPr>
          <w:sz w:val="20"/>
          <w:szCs w:val="20"/>
          <w:color w:val="auto"/>
        </w:rPr>
      </w:pPr>
    </w:p>
    <w:p>
      <w:pPr>
        <w:ind w:firstLine="636"/>
        <w:spacing w:after="0" w:line="241"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14"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goodwill, intangible assets and net assets acquired from business acquisitions; valuation of deferred income tax assets and uncertain tax positions, among others. Please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2022,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9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2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02124"/>
        </w:rPr>
        <w:t>In the first quarter of 2022, the Company early adopted ASU No. 2021-08, “Business Combinations (Topic 805):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 the beginning of the fiscal year that includes the interim period of early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right="160"/>
        <w:spacing w:after="0" w:line="260" w:lineRule="auto"/>
        <w:rPr>
          <w:sz w:val="20"/>
          <w:szCs w:val="20"/>
          <w:color w:val="auto"/>
        </w:rPr>
      </w:pPr>
      <w:r>
        <w:rPr>
          <w:rFonts w:ascii="Arial" w:cs="Arial" w:eastAsia="Arial" w:hAnsi="Arial"/>
          <w:sz w:val="18"/>
          <w:szCs w:val="18"/>
          <w:color w:val="202124"/>
        </w:rPr>
        <w:t>application and (2) prospectively to all business combinations that occur on or after the date of initial application. The early adoption of ASU 2021-08 did not have a material impact on the consolidated financial statements.</w:t>
      </w:r>
    </w:p>
    <w:p>
      <w:pPr>
        <w:spacing w:after="0" w:line="17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202124"/>
        </w:rPr>
        <w:t>During July 2023, the Financial Accounting Standards Board Issued ASU No. 2023-03. ASU No. 2023-03 incorporates, into certain accounting standards, amendments to SEC paragraphs pursuant to SEC Staff Accounting Bulletin No. 120, SEC Staff Announcement at the March 24, 2022 EITF meeting, and Staff Accounting Bulletin Topic 6.B, Accounting Series Release 280—General Revisions of Regulation S-X: Income or Loss Applicable to Common Stock. These rules are effective immediately.</w:t>
      </w:r>
    </w:p>
    <w:p>
      <w:pPr>
        <w:spacing w:after="0" w:line="18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202124"/>
        </w:rPr>
        <w:t>The significant amendment in this guidance impacting the Company involves share-based payment awards granted when the Company is in possession of material non-public information to which the market is likely to react positively when the information is announced. For each award granted, the Company needs to determine, at the date of the grant, whether positive material non-public information is currently available (or would be available) to the issuer that would be considered by a marketplace participant in estimating the expected volatility. If positive material non-public information is available, the Company should consider the future events in estimating expected volatility. ASU No. 2023-03 had no impact on the Company's consolidated financial statements as of and for the periods ending September 30, 2023.</w:t>
      </w:r>
    </w:p>
    <w:p>
      <w:pPr>
        <w:spacing w:after="0" w:line="200" w:lineRule="exact"/>
        <w:rPr>
          <w:sz w:val="20"/>
          <w:szCs w:val="20"/>
          <w:color w:val="auto"/>
        </w:rPr>
      </w:pPr>
    </w:p>
    <w:p>
      <w:pPr>
        <w:spacing w:after="0" w:line="399" w:lineRule="exact"/>
        <w:rPr>
          <w:sz w:val="20"/>
          <w:szCs w:val="20"/>
          <w:color w:val="auto"/>
        </w:rPr>
      </w:pPr>
    </w:p>
    <w:p>
      <w:pPr>
        <w:ind w:right="8980" w:firstLine="8"/>
        <w:spacing w:after="0" w:line="528" w:lineRule="auto"/>
        <w:tabs>
          <w:tab w:leader="none" w:pos="64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Sealing Technologies, Inc.</w:t>
      </w:r>
    </w:p>
    <w:p>
      <w:pPr>
        <w:ind w:right="80" w:firstLine="509"/>
        <w:spacing w:after="0" w:line="249" w:lineRule="auto"/>
        <w:rPr>
          <w:sz w:val="20"/>
          <w:szCs w:val="20"/>
          <w:color w:val="auto"/>
        </w:rPr>
      </w:pPr>
      <w:r>
        <w:rPr>
          <w:rFonts w:ascii="Arial" w:cs="Arial" w:eastAsia="Arial" w:hAnsi="Arial"/>
          <w:sz w:val="17"/>
          <w:szCs w:val="17"/>
          <w:color w:val="auto"/>
        </w:rPr>
        <w:t>On August 23, 2023, the Company acquired a 100% ownership interest in Sealing Technologies, Inc (“SealingTech”), a privately-owned company, for $181.7 million in cash and up to an additional $25 million in the event an earn out revenue target is exceeded. The Company borrowed $175 million under the Credit Agreement, as described in “Note 10 – Debt and Credit Facilities”, to fund the acquisition.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w:t>
      </w:r>
    </w:p>
    <w:p>
      <w:pPr>
        <w:spacing w:after="0" w:line="5"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management</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7"/>
          <w:szCs w:val="17"/>
          <w:color w:val="auto"/>
        </w:rPr>
        <w:t>In connection with this acquisition, the Company</w:t>
      </w:r>
      <w:r>
        <w:rPr>
          <w:rFonts w:ascii="Arial" w:cs="Arial" w:eastAsia="Arial" w:hAnsi="Arial"/>
          <w:sz w:val="18"/>
          <w:szCs w:val="18"/>
          <w:color w:val="auto"/>
        </w:rPr>
        <w:t xml:space="preserve"> recognized $3.1 million of acquisition-related expenses in “Selling, general and administrative expense” in the consolidated statements of income for the three and nine months ended September 30, 2023, including legal fees, consulting fees, and other miscellaneous direct expenses associated with the acquisition.</w:t>
      </w:r>
    </w:p>
    <w:p>
      <w:pPr>
        <w:spacing w:after="0" w:line="186"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 xml:space="preserve">The Company has agreed to pay the selling shareholders up to an additional $25 million in the event an earn out revenue target of $110 million is exceeded during the fiscal year ended December 31, 2024. The earn out payment due and payable by the Company to the selling shareholders shall be equal to (i) five-tenths (0.5),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difference of (A) the actual earn out revenue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earn out revenue target; provided, however, that in no event shall the earn out payment exceed $25 million. In the event that the earn out revenue is less than or equal to the earn out revenue target, the earn out payment shall be zero. The earn out payment, if any, shall be paid by the Company to the selling shareholders within 15 days following the date the earn out statement becomes final and binding on both parties.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at closing</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181,690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Fair value of contingent consideration to be achieved</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r>
      <w:tr>
        <w:trPr>
          <w:trHeight w:val="263"/>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185,133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right="200" w:firstLine="509"/>
        <w:spacing w:after="0" w:line="260" w:lineRule="auto"/>
        <w:rPr>
          <w:sz w:val="20"/>
          <w:szCs w:val="20"/>
          <w:color w:val="auto"/>
        </w:rPr>
      </w:pPr>
      <w:r>
        <w:rPr>
          <w:rFonts w:ascii="Arial" w:cs="Arial" w:eastAsia="Arial" w:hAnsi="Arial"/>
          <w:sz w:val="18"/>
          <w:szCs w:val="18"/>
          <w:color w:val="auto"/>
        </w:rPr>
        <w:t>Changes in the fair value of contingent consideration, when they occur, are recorded in the consolidated statements of income within “Selling, general and administrative expense”.</w:t>
      </w:r>
    </w:p>
    <w:p>
      <w:pPr>
        <w:spacing w:after="0" w:line="173" w:lineRule="exact"/>
        <w:rPr>
          <w:sz w:val="20"/>
          <w:szCs w:val="20"/>
          <w:color w:val="auto"/>
        </w:rPr>
      </w:pPr>
    </w:p>
    <w:p>
      <w:pPr>
        <w:ind w:right="520" w:firstLine="509"/>
        <w:spacing w:after="0" w:line="260"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9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106,241</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59,900</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(15,987 )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(2,377 )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(493 )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(540 )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(330 )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(551 )</w:t>
            </w:r>
          </w:p>
        </w:tc>
      </w:tr>
      <w:tr>
        <w:trPr>
          <w:trHeight w:val="223"/>
        </w:trPr>
        <w:tc>
          <w:tcPr>
            <w:tcW w:w="91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179,833</w:t>
            </w:r>
          </w:p>
        </w:tc>
        <w:tc>
          <w:tcPr>
            <w:tcW w:w="100" w:type="dxa"/>
            <w:vAlign w:val="bottom"/>
            <w:tcBorders>
              <w:top w:val="single" w:sz="8" w:color="CFF0FC"/>
            </w:tcBorders>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8"/>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8"/>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9"/>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 to 3</w:t>
            </w:r>
          </w:p>
        </w:tc>
      </w:tr>
    </w:tbl>
    <w:p>
      <w:pPr>
        <w:spacing w:after="0" w:line="365"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Amortization expense of $1.5 million related to these intangible assets was recorded for the three and nine months ended September 30, 2023. The entire value of goodwill was assigned to the Federal Solutions reporting unit and represents synergies expected to be realized from this business combination. The entire value of goodwill is deductible for tax purposes.</w:t>
      </w:r>
    </w:p>
    <w:p>
      <w:pPr>
        <w:spacing w:after="0" w:line="184"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The amount of revenue generated by SealingTech and included within consolidated revenues is $18.4 million for the three and nine months ended September 30, 2023. The Company has determined that the presentation of net income from the date of acquisition is impracticable due to the integration of general corporate functions upon acquisition.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2" w:lineRule="exact"/>
        <w:rPr>
          <w:sz w:val="20"/>
          <w:szCs w:val="20"/>
          <w:color w:val="auto"/>
        </w:rPr>
      </w:pPr>
    </w:p>
    <w:p>
      <w:pPr>
        <w:ind w:right="180" w:firstLine="509"/>
        <w:spacing w:after="0" w:line="260" w:lineRule="auto"/>
        <w:rPr>
          <w:sz w:val="20"/>
          <w:szCs w:val="20"/>
          <w:color w:val="auto"/>
        </w:rPr>
      </w:pPr>
      <w:r>
        <w:rPr>
          <w:rFonts w:ascii="Arial" w:cs="Arial" w:eastAsia="Arial" w:hAnsi="Arial"/>
          <w:sz w:val="18"/>
          <w:szCs w:val="18"/>
          <w:color w:val="auto"/>
        </w:rPr>
        <w:t>Supplemental information of unaudited pro forma operating results assuming the SealingTech acquisition had been consummated as of the beginning of fiscal year 2022 (in thousands)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41"/>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490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1,450,376</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1,154,603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4,030,873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3,134,609</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42,820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161,544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77,218</w:t>
            </w:r>
          </w:p>
        </w:tc>
        <w:tc>
          <w:tcPr>
            <w:tcW w:w="100" w:type="dxa"/>
            <w:vAlign w:val="bottom"/>
          </w:tcPr>
          <w:p>
            <w:pPr>
              <w:spacing w:after="0"/>
              <w:rPr>
                <w:sz w:val="19"/>
                <w:szCs w:val="19"/>
                <w:color w:val="auto"/>
              </w:rPr>
            </w:pPr>
          </w:p>
        </w:tc>
      </w:tr>
      <w:tr>
        <w:trPr>
          <w:trHeight w:val="648"/>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515"/>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9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IPKeys Power Partners</w:t>
      </w:r>
    </w:p>
    <w:p>
      <w:pPr>
        <w:spacing w:after="0" w:line="22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 xml:space="preserve">On April 13, 2023, the Company entered into a merger agreement to acquire a 100% ownership interest in IPKeys Power Partners (“IPKeys”), a privately-owned company, for $43.0 million in cash.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acquisition was entirely funded by cash on-hand. </w:t>
      </w:r>
      <w:r>
        <w:rPr>
          <w:rFonts w:ascii="Arial" w:cs="Arial" w:eastAsia="Arial" w:hAnsi="Arial"/>
          <w:sz w:val="17"/>
          <w:szCs w:val="17"/>
          <w:color w:val="auto"/>
        </w:rPr>
        <w:t>In connection with</w:t>
      </w:r>
      <w:r>
        <w:rPr>
          <w:rFonts w:ascii="Arial" w:cs="Arial" w:eastAsia="Arial" w:hAnsi="Arial"/>
          <w:sz w:val="18"/>
          <w:szCs w:val="18"/>
          <w:color w:val="auto"/>
        </w:rPr>
        <w:t xml:space="preserve"> </w:t>
      </w:r>
      <w:r>
        <w:rPr>
          <w:rFonts w:ascii="Arial" w:cs="Arial" w:eastAsia="Arial" w:hAnsi="Arial"/>
          <w:sz w:val="17"/>
          <w:szCs w:val="17"/>
          <w:color w:val="auto"/>
        </w:rPr>
        <w:t>this acquisition, the Company recognized $0.1 million and $0.6 million of acquisition-related expenses in “Selling, general and administrative expense” in the consolidated statements of income for the three and nine months ended September 30, 2023, respectively, including legal fees, consulting fees, and other miscellaneous direct expenses associated with the acquisition.</w:t>
      </w:r>
    </w:p>
    <w:p>
      <w:pPr>
        <w:spacing w:after="0" w:line="190" w:lineRule="exact"/>
        <w:rPr>
          <w:sz w:val="20"/>
          <w:szCs w:val="20"/>
          <w:color w:val="auto"/>
        </w:rPr>
      </w:pPr>
    </w:p>
    <w:p>
      <w:pPr>
        <w:ind w:right="520" w:firstLine="509"/>
        <w:spacing w:after="0" w:line="260"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24,126</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(541 )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(1,936 )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(5,432 )</w:t>
            </w:r>
          </w:p>
        </w:tc>
      </w:tr>
      <w:tr>
        <w:trPr>
          <w:trHeight w:val="223"/>
        </w:trPr>
        <w:tc>
          <w:tcPr>
            <w:tcW w:w="91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tcBorders>
              <w:top w:val="single" w:sz="8" w:color="CFF0FC"/>
            </w:tcBorders>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9"/>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9"/>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9"/>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0"/>
                <w:szCs w:val="10"/>
                <w:color w:val="auto"/>
              </w:rPr>
              <w:t>(1)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10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acquired business is a SaaS commercial business. Backlog for this type of business is included as customer relationships.</w:t>
      </w:r>
    </w:p>
    <w:p>
      <w:pPr>
        <w:spacing w:after="0" w:line="20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Amortization expense of $0.5 million and $0.9 million related to these intangible assets was recorded for the three and nine months ended September 30, 2023, respectively. The entire value of goodwill was assigned to the Critical Infrastructure reporting unit and represents synergies expected to be realized from this business combination. $1.0 million of goodwill is deductible for tax purposes.</w:t>
      </w:r>
    </w:p>
    <w:p>
      <w:pPr>
        <w:spacing w:after="0" w:line="184"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The amount of revenue generated by IPKeys and included within consolidated revenues is $3.5 million and $6.1 million for the three and nine months ended September 30, 2023, respectively. The Company has determined that the presentation of net income from the date of acquisition is impracticable due to the integration of general corporate functions upon acquisition.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ind w:right="80" w:firstLine="509"/>
        <w:spacing w:after="0" w:line="260" w:lineRule="auto"/>
        <w:rPr>
          <w:sz w:val="20"/>
          <w:szCs w:val="20"/>
          <w:color w:val="auto"/>
        </w:rPr>
      </w:pPr>
      <w:r>
        <w:rPr>
          <w:rFonts w:ascii="Arial" w:cs="Arial" w:eastAsia="Arial" w:hAnsi="Arial"/>
          <w:sz w:val="18"/>
          <w:szCs w:val="18"/>
          <w:color w:val="auto"/>
        </w:rPr>
        <w:t>Supplemental information of unaudited pro forma operating results assuming the IPKeys acquisition had been consummated as of the beginning of fiscal year 2022 (in thousands)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41"/>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490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1,137,381</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3,951,378</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3,101,246</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42,907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151,917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87,427</w:t>
            </w:r>
          </w:p>
        </w:tc>
        <w:tc>
          <w:tcPr>
            <w:tcW w:w="10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Xator Corporation</w:t>
      </w:r>
    </w:p>
    <w:p>
      <w:pPr>
        <w:spacing w:after="0" w:line="222" w:lineRule="exact"/>
        <w:rPr>
          <w:sz w:val="20"/>
          <w:szCs w:val="20"/>
          <w:color w:val="auto"/>
        </w:rPr>
      </w:pPr>
    </w:p>
    <w:p>
      <w:pPr>
        <w:ind w:right="280" w:firstLine="509"/>
        <w:spacing w:after="0" w:line="239" w:lineRule="auto"/>
        <w:rPr>
          <w:sz w:val="20"/>
          <w:szCs w:val="20"/>
          <w:color w:val="auto"/>
        </w:rPr>
      </w:pPr>
      <w:r>
        <w:rPr>
          <w:rFonts w:ascii="Arial" w:cs="Arial" w:eastAsia="Arial" w:hAnsi="Arial"/>
          <w:sz w:val="18"/>
          <w:szCs w:val="18"/>
          <w:color w:val="auto"/>
        </w:rPr>
        <w:t>On May 31, 2022, the Company acquired a 100% ownership interest in Xator Corporation (“Xator”), a privately-owned company, for $387.5 million in cash. The Company borrowed $300 million under the Credit Agreement, as described in “Note 10 – Debt and Credit Facilities”, to partially fund the acquisition. Xator expands Parsons’ customer base and brings differentiated technical capabilities in critical infrastructure protection, counter-unmanned aircraft systems (cUAS), intelligence and cyber solutions, biometrics, and global threat assessment and operations. In connection with this acquisition, the Company recognized $7.7 million of acquisition-related expenses in “Selling, general and administrative expense” in the consolidated statements of income for the year ended December 31, 2022, including legal fees, consulting fees, and other miscellaneous direct expenses associated with the acquisition.</w:t>
      </w:r>
    </w:p>
    <w:p>
      <w:pPr>
        <w:spacing w:after="0" w:line="191" w:lineRule="exact"/>
        <w:rPr>
          <w:sz w:val="20"/>
          <w:szCs w:val="20"/>
          <w:color w:val="auto"/>
        </w:rPr>
      </w:pPr>
    </w:p>
    <w:p>
      <w:pPr>
        <w:jc w:val="both"/>
        <w:ind w:right="220" w:firstLine="509"/>
        <w:spacing w:after="0" w:line="260"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24,332</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257,934</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Investments in and advances to unconsolidated joint ventures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(6,626 )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(31,309 )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(2,631 )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(2,371 )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(5,146 )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(9,156 )</w:t>
            </w:r>
          </w:p>
        </w:tc>
      </w:tr>
      <w:tr>
        <w:trPr>
          <w:trHeight w:val="263"/>
        </w:trPr>
        <w:tc>
          <w:tcPr>
            <w:tcW w:w="9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387,540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7"/>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7"/>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9"/>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81,000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203" w:lineRule="exact"/>
        <w:rPr>
          <w:sz w:val="20"/>
          <w:szCs w:val="20"/>
          <w:color w:val="auto"/>
        </w:rPr>
      </w:pPr>
    </w:p>
    <w:p>
      <w:pPr>
        <w:jc w:val="both"/>
        <w:ind w:right="220" w:firstLine="509"/>
        <w:spacing w:after="0" w:line="247" w:lineRule="auto"/>
        <w:rPr>
          <w:sz w:val="20"/>
          <w:szCs w:val="20"/>
          <w:color w:val="auto"/>
        </w:rPr>
      </w:pPr>
      <w:r>
        <w:rPr>
          <w:rFonts w:ascii="Arial" w:cs="Arial" w:eastAsia="Arial" w:hAnsi="Arial"/>
          <w:sz w:val="18"/>
          <w:szCs w:val="18"/>
          <w:color w:val="auto"/>
        </w:rPr>
        <w:t>Amortization expense of $4.1 million and $14.0 million related to these intangible assets was recorded for the three and nine months ended September 30, 2023, respectively and $4.9 million and $6.6 million for both the three and nine months ended September 30, 2022, respectively. The entire value of goodwill was assigned to the Federal Solutions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3" w:name="page14"/>
    <w:bookmarkEnd w:id="13"/>
    <w:p>
      <w:pPr>
        <w:ind w:right="300"/>
        <w:spacing w:after="0" w:line="260" w:lineRule="auto"/>
        <w:rPr>
          <w:sz w:val="20"/>
          <w:szCs w:val="20"/>
          <w:color w:val="auto"/>
        </w:rPr>
      </w:pPr>
      <w:r>
        <w:rPr>
          <w:rFonts w:ascii="Arial" w:cs="Arial" w:eastAsia="Arial" w:hAnsi="Arial"/>
          <w:sz w:val="18"/>
          <w:szCs w:val="18"/>
          <w:color w:val="auto"/>
        </w:rPr>
        <w:t>reporting unit and represents synergies expected to be realized from this business combination. Goodwill in its entirety is deductible for tax purposes.</w:t>
      </w:r>
    </w:p>
    <w:p>
      <w:pPr>
        <w:spacing w:after="0" w:line="173" w:lineRule="exact"/>
        <w:rPr>
          <w:sz w:val="20"/>
          <w:szCs w:val="20"/>
          <w:color w:val="auto"/>
        </w:rPr>
      </w:pPr>
    </w:p>
    <w:p>
      <w:pPr>
        <w:ind w:right="520" w:firstLine="509"/>
        <w:spacing w:after="0" w:line="247" w:lineRule="auto"/>
        <w:rPr>
          <w:sz w:val="20"/>
          <w:szCs w:val="20"/>
          <w:color w:val="auto"/>
        </w:rPr>
      </w:pPr>
      <w:r>
        <w:rPr>
          <w:rFonts w:ascii="Arial" w:cs="Arial" w:eastAsia="Arial" w:hAnsi="Arial"/>
          <w:sz w:val="18"/>
          <w:szCs w:val="18"/>
          <w:color w:val="auto"/>
        </w:rPr>
        <w:t>The amount of revenue generated by Xator and included within consolidated revenues was $70.4 million and $91.2 million for the three and nine months ended September 30, 2022. The Company has determined that the presentation of net income from the date of acquisition is impracticable due to the integration of general corporate functions upon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2" w:lineRule="exact"/>
        <w:rPr>
          <w:sz w:val="20"/>
          <w:szCs w:val="20"/>
          <w:color w:val="auto"/>
        </w:rPr>
      </w:pPr>
    </w:p>
    <w:p>
      <w:pPr>
        <w:ind w:right="280" w:firstLine="509"/>
        <w:spacing w:after="0" w:line="260" w:lineRule="auto"/>
        <w:rPr>
          <w:sz w:val="20"/>
          <w:szCs w:val="20"/>
          <w:color w:val="auto"/>
        </w:rPr>
      </w:pPr>
      <w:r>
        <w:rPr>
          <w:rFonts w:ascii="Arial" w:cs="Arial" w:eastAsia="Arial" w:hAnsi="Arial"/>
          <w:sz w:val="18"/>
          <w:szCs w:val="18"/>
          <w:color w:val="auto"/>
        </w:rPr>
        <w:t>Supplemental information of unaudited pro forma operating results assuming the Xator acquisition had been consummated as of the beginning of fiscal year 2021 (in thousands)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41"/>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490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1,134,370</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3,948,523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3,199,336</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60,374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43,970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154,275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102,859</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right="8320" w:hanging="632"/>
        <w:spacing w:after="0" w:line="365" w:lineRule="auto"/>
        <w:tabs>
          <w:tab w:leader="none" w:pos="64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spacing w:after="0" w:line="1" w:lineRule="exact"/>
        <w:rPr>
          <w:sz w:val="20"/>
          <w:szCs w:val="20"/>
          <w:color w:val="auto"/>
        </w:rPr>
      </w:pPr>
    </w:p>
    <w:p>
      <w:pPr>
        <w:ind w:right="260" w:firstLine="636"/>
        <w:spacing w:after="0" w:line="289"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5"/>
                <w:szCs w:val="15"/>
                <w:color w:val="auto"/>
              </w:rPr>
            </w:pPr>
          </w:p>
        </w:tc>
      </w:tr>
      <w:tr>
        <w:trPr>
          <w:trHeight w:val="22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Fixed-Price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452,606</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334,853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1,233,712</w:t>
            </w:r>
          </w:p>
        </w:tc>
        <w:tc>
          <w:tcPr>
            <w:tcW w:w="740" w:type="dxa"/>
            <w:vAlign w:val="bottom"/>
            <w:gridSpan w:val="2"/>
            <w:shd w:val="clear" w:color="auto" w:fill="CFF0FC"/>
          </w:tcPr>
          <w:p>
            <w:pPr>
              <w:jc w:val="right"/>
              <w:ind w:right="29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854,835</w:t>
            </w:r>
          </w:p>
        </w:tc>
        <w:tc>
          <w:tcPr>
            <w:tcW w:w="100" w:type="dxa"/>
            <w:vAlign w:val="bottom"/>
            <w:shd w:val="clear" w:color="auto" w:fill="CFF0FC"/>
          </w:tcPr>
          <w:p>
            <w:pPr>
              <w:spacing w:after="0"/>
              <w:rPr>
                <w:sz w:val="19"/>
                <w:szCs w:val="19"/>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355,689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302,236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998,037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836,881</w:t>
            </w:r>
          </w:p>
        </w:tc>
        <w:tc>
          <w:tcPr>
            <w:tcW w:w="100" w:type="dxa"/>
            <w:vAlign w:val="bottom"/>
          </w:tcPr>
          <w:p>
            <w:pPr>
              <w:spacing w:after="0"/>
              <w:rPr>
                <w:sz w:val="19"/>
                <w:szCs w:val="19"/>
                <w:color w:val="auto"/>
              </w:rPr>
            </w:pPr>
          </w:p>
        </w:tc>
      </w:tr>
      <w:tr>
        <w:trPr>
          <w:trHeight w:val="230"/>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Cost-Plus</w:t>
            </w: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610,276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497,281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1,716,774</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1,400,444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74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1,418,571</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1,134,370</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3,948,523</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3,092,160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-162560</wp:posOffset>
            </wp:positionV>
            <wp:extent cx="7747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-162560</wp:posOffset>
            </wp:positionV>
            <wp:extent cx="6858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-162560</wp:posOffset>
            </wp:positionV>
            <wp:extent cx="6858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September 30, 2023 and December 31, 2022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756,630</w:t>
            </w:r>
          </w:p>
        </w:tc>
        <w:tc>
          <w:tcPr>
            <w:tcW w:w="70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634,033</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122,597</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277,249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213,064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64,185</w:t>
            </w:r>
          </w:p>
        </w:tc>
        <w:tc>
          <w:tcPr>
            <w:tcW w:w="2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Net contract assets (liabilities) (1)</w:t>
            </w: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479,381</w:t>
            </w:r>
          </w:p>
        </w:tc>
        <w:tc>
          <w:tcPr>
            <w:tcW w:w="26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420,969</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58,412</w:t>
            </w:r>
          </w:p>
        </w:tc>
        <w:tc>
          <w:tcPr>
            <w:tcW w:w="2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8" w:lineRule="exact"/>
        <w:rPr>
          <w:sz w:val="20"/>
          <w:szCs w:val="20"/>
          <w:color w:val="auto"/>
        </w:rPr>
      </w:pPr>
    </w:p>
    <w:p>
      <w:pPr>
        <w:ind w:left="660" w:right="100" w:hanging="652"/>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$73.7 million as of September 30, 2023, of which $34.7 million are not expected to be paid in the next 12 months. Total contract retentions included in net contract assets (liabilities) were $73.5 million as of December 31, 2022. Contract assets at September 30, 2023 and December 31, 2022 include $105.6 million and $95.7 million, respectively, related to net claim recovery estimates. For the three and nine months ended September 30, 2023 and September 30, 2022, there were no material losses recognized related to the collectability of claims, unapproved change orders, and requests for equitable adjustment.</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9" w:right="279" w:bottom="1440" w:gutter="0" w:footer="0" w:header="0"/>
        </w:sectPr>
      </w:pPr>
    </w:p>
    <w:bookmarkStart w:id="14" w:name="page15"/>
    <w:bookmarkEnd w:id="14"/>
    <w:p>
      <w:pPr>
        <w:jc w:val="both"/>
        <w:ind w:right="40" w:firstLine="636"/>
        <w:spacing w:after="0" w:line="270" w:lineRule="auto"/>
        <w:rPr>
          <w:sz w:val="20"/>
          <w:szCs w:val="20"/>
          <w:color w:val="auto"/>
        </w:rPr>
      </w:pPr>
      <w:r>
        <w:rPr>
          <w:rFonts w:ascii="Arial" w:cs="Arial" w:eastAsia="Arial" w:hAnsi="Arial"/>
          <w:sz w:val="17"/>
          <w:szCs w:val="17"/>
          <w:color w:val="auto"/>
        </w:rPr>
        <w:t>During the three months ended September 30, 2023 and September 30, 2022, the Company recognized revenue of $8.9 million and $10.1 million, respectively, and $116.6 million and $91.8 million during the nine months ended September 30, 2023 and September 30, 2022, respectively, that was included in the corresponding contract liability balances at December 31, 2022 and December 31, 2021, respectively.</w:t>
      </w:r>
    </w:p>
    <w:p>
      <w:pPr>
        <w:spacing w:after="0"/>
        <w:rPr>
          <w:sz w:val="20"/>
          <w:szCs w:val="20"/>
          <w:color w:val="auto"/>
        </w:rPr>
      </w:pPr>
      <w:r>
        <w:rPr>
          <w:rFonts w:ascii="Arial" w:cs="Arial" w:eastAsia="Arial" w:hAnsi="Arial"/>
          <w:sz w:val="18"/>
          <w:szCs w:val="18"/>
          <w:color w:val="auto"/>
        </w:rPr>
        <w:t>Certain changes in contract assets and contract liabilities consisted of the following:</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0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25,397</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2,980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r>
    </w:tbl>
    <w:p>
      <w:pPr>
        <w:spacing w:after="0" w:line="136" w:lineRule="exact"/>
        <w:rPr>
          <w:sz w:val="20"/>
          <w:szCs w:val="20"/>
          <w:color w:val="auto"/>
        </w:rPr>
      </w:pPr>
    </w:p>
    <w:p>
      <w:pPr>
        <w:ind w:right="800" w:firstLine="698"/>
        <w:spacing w:after="0" w:line="275" w:lineRule="auto"/>
        <w:rPr>
          <w:sz w:val="20"/>
          <w:szCs w:val="20"/>
          <w:color w:val="auto"/>
        </w:rPr>
      </w:pPr>
      <w:r>
        <w:rPr>
          <w:rFonts w:ascii="Arial" w:cs="Arial" w:eastAsia="Arial" w:hAnsi="Arial"/>
          <w:sz w:val="18"/>
          <w:szCs w:val="18"/>
          <w:color w:val="auto"/>
        </w:rPr>
        <w:t>There was no significant impairment of contract assets recognized during the nine months ended September 30, 2023 and September 30, 2022.</w:t>
      </w:r>
    </w:p>
    <w:p>
      <w:pPr>
        <w:spacing w:after="0" w:line="187" w:lineRule="exact"/>
        <w:rPr>
          <w:sz w:val="20"/>
          <w:szCs w:val="20"/>
          <w:color w:val="auto"/>
        </w:rPr>
      </w:pPr>
    </w:p>
    <w:p>
      <w:pPr>
        <w:ind w:right="280" w:firstLine="690"/>
        <w:spacing w:after="0" w:line="275"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18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5"/>
                <w:szCs w:val="15"/>
                <w:color w:val="auto"/>
              </w:rPr>
            </w:pPr>
          </w:p>
        </w:tc>
      </w:tr>
      <w:tr>
        <w:trPr>
          <w:trHeight w:val="223"/>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impact, net</w:t>
            </w:r>
          </w:p>
        </w:tc>
        <w:tc>
          <w:tcPr>
            <w:tcW w:w="1460" w:type="dxa"/>
            <w:vAlign w:val="bottom"/>
            <w:shd w:val="clear" w:color="auto" w:fill="CFF0FC"/>
          </w:tcPr>
          <w:p>
            <w:pPr>
              <w:jc w:val="right"/>
              <w:ind w:right="126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20" w:type="dxa"/>
            <w:vAlign w:val="bottom"/>
            <w:gridSpan w:val="2"/>
            <w:shd w:val="clear" w:color="auto" w:fill="CFF0FC"/>
          </w:tcPr>
          <w:p>
            <w:pPr>
              <w:jc w:val="right"/>
              <w:ind w:right="13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12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203" w:lineRule="exact"/>
        <w:rPr>
          <w:sz w:val="20"/>
          <w:szCs w:val="20"/>
          <w:color w:val="auto"/>
        </w:rPr>
      </w:pPr>
    </w:p>
    <w:p>
      <w:pPr>
        <w:ind w:right="100" w:firstLine="644"/>
        <w:spacing w:after="0" w:line="243" w:lineRule="auto"/>
        <w:rPr>
          <w:sz w:val="20"/>
          <w:szCs w:val="20"/>
          <w:color w:val="auto"/>
        </w:rPr>
      </w:pPr>
      <w:r>
        <w:rPr>
          <w:rFonts w:ascii="Arial" w:cs="Arial" w:eastAsia="Arial" w:hAnsi="Arial"/>
          <w:sz w:val="18"/>
          <w:szCs w:val="18"/>
          <w:color w:val="auto"/>
        </w:rPr>
        <w:t>During the nine-month period ended September 30, 2023, there was a change in estimate to direct costs of contracts related to a write-down on a contract in the Critical Infrastructure segment. This change in estimate combined with changes to estimates to revenue resulted in a net decrease of $3.1 million to operating income, $2.3 million to net income and $0.02 to diluted earnings per share for the nine months ended September 30, 2023.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September 30, 2023 and December 31, 2022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w:t>
            </w:r>
          </w:p>
        </w:tc>
        <w:tc>
          <w:tcPr>
            <w:tcW w:w="108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587,160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502,411</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Unbilled</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323,592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218,945</w:t>
            </w:r>
          </w:p>
        </w:tc>
        <w:tc>
          <w:tcPr>
            <w:tcW w:w="100" w:type="dxa"/>
            <w:vAlign w:val="bottom"/>
          </w:tcPr>
          <w:p>
            <w:pPr>
              <w:spacing w:after="0"/>
              <w:rPr>
                <w:sz w:val="19"/>
                <w:szCs w:val="19"/>
                <w:color w:val="auto"/>
              </w:rPr>
            </w:pPr>
          </w:p>
        </w:tc>
      </w:tr>
      <w:tr>
        <w:trPr>
          <w:trHeight w:val="223"/>
        </w:trPr>
        <w:tc>
          <w:tcPr>
            <w:tcW w:w="7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accounts receivable, gross</w:t>
            </w:r>
          </w:p>
        </w:tc>
        <w:tc>
          <w:tcPr>
            <w:tcW w:w="10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910,752</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721,356</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(4,011 )</w:t>
            </w: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(4,011 )</w:t>
            </w:r>
          </w:p>
        </w:tc>
      </w:tr>
      <w:tr>
        <w:trPr>
          <w:trHeight w:val="263"/>
        </w:trPr>
        <w:tc>
          <w:tcPr>
            <w:tcW w:w="7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accounts receivable, net</w:t>
            </w:r>
          </w:p>
        </w:tc>
        <w:tc>
          <w:tcPr>
            <w:tcW w:w="1080" w:type="dxa"/>
            <w:vAlign w:val="bottom"/>
            <w:tcBorders>
              <w:top w:val="single" w:sz="8" w:color="auto"/>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906,741</w:t>
            </w:r>
          </w:p>
        </w:tc>
        <w:tc>
          <w:tcPr>
            <w:tcW w:w="2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717,345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0"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84" w:lineRule="exact"/>
        <w:rPr>
          <w:sz w:val="20"/>
          <w:szCs w:val="20"/>
          <w:color w:val="auto"/>
        </w:rPr>
      </w:pPr>
    </w:p>
    <w:p>
      <w:pPr>
        <w:ind w:right="400" w:firstLine="636"/>
        <w:spacing w:after="0" w:line="247"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10"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Company’s remaining unsatisfied performance obligations (“RUPO”) as of September 30, 2023 represent a measure of the total dollar value of work to be performed on contracts awarded and in-progress. The Company had $6.2 billion in RUPO as of September 30, 2023.</w:t>
      </w:r>
    </w:p>
    <w:p>
      <w:pPr>
        <w:spacing w:after="0" w:line="184" w:lineRule="exact"/>
        <w:rPr>
          <w:sz w:val="20"/>
          <w:szCs w:val="20"/>
          <w:color w:val="auto"/>
        </w:rPr>
      </w:pPr>
    </w:p>
    <w:p>
      <w:pPr>
        <w:ind w:right="120" w:firstLine="636"/>
        <w:spacing w:after="0" w:line="243"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88"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September 30, 2023 over the following periods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3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800" w:type="dxa"/>
            <w:vAlign w:val="bottom"/>
          </w:tcPr>
          <w:p>
            <w:pPr>
              <w:ind w:left="60"/>
              <w:spacing w:after="0"/>
              <w:rPr>
                <w:sz w:val="20"/>
                <w:szCs w:val="20"/>
                <w:color w:val="auto"/>
              </w:rPr>
            </w:pPr>
            <w:r>
              <w:rPr>
                <w:rFonts w:ascii="Arial" w:cs="Arial" w:eastAsia="Arial" w:hAnsi="Arial"/>
                <w:sz w:val="14"/>
                <w:szCs w:val="14"/>
                <w:b w:val="1"/>
                <w:bCs w:val="1"/>
                <w:color w:val="auto"/>
              </w:rPr>
              <w:t>Period RUPO Will Be Satisfied</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23"/>
        </w:trPr>
        <w:tc>
          <w:tcPr>
            <w:tcW w:w="5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1,620,465</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335,848</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240,563</w:t>
            </w: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ind w:left="80"/>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1,893,315</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1,076,331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1,011,917</w:t>
            </w: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3,513,780</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1,412,179</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1,252,480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41" w:lineRule="exact"/>
        <w:rPr>
          <w:sz w:val="20"/>
          <w:szCs w:val="20"/>
          <w:color w:val="auto"/>
        </w:rPr>
      </w:pPr>
    </w:p>
    <w:p>
      <w:pPr>
        <w:ind w:right="280" w:firstLine="690"/>
        <w:spacing w:after="0" w:line="255"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to nine years, some of which may include options to extend the leases for up to five years, and some of which may include options to terminate the leases after the third year.</w:t>
      </w:r>
    </w:p>
    <w:p>
      <w:pPr>
        <w:spacing w:after="0" w:line="177"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The components of lease costs for the three and nine months ended September 30, 2023 and September 30, 2022 are as follows (in thousands):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4720" w:type="dxa"/>
            <w:vAlign w:val="bottom"/>
          </w:tcPr>
          <w:p>
            <w:pPr>
              <w:spacing w:after="0"/>
              <w:rPr>
                <w:sz w:val="13"/>
                <w:szCs w:val="13"/>
                <w:color w:val="auto"/>
              </w:rPr>
            </w:pPr>
          </w:p>
        </w:tc>
        <w:tc>
          <w:tcPr>
            <w:tcW w:w="1400" w:type="dxa"/>
            <w:vAlign w:val="bottom"/>
            <w:gridSpan w:val="3"/>
          </w:tcPr>
          <w:p>
            <w:pPr>
              <w:jc w:val="right"/>
              <w:ind w:right="340"/>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3"/>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right"/>
              <w:ind w:right="20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49,049</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Short-term lease cost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Sublease income</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(1,186 )</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(1,318 )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(3,549 )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(3,321 )</w:t>
            </w:r>
          </w:p>
        </w:tc>
      </w:tr>
      <w:tr>
        <w:trPr>
          <w:trHeight w:val="223"/>
        </w:trPr>
        <w:tc>
          <w:tcPr>
            <w:tcW w:w="47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lease cost</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19,313</w:t>
            </w:r>
          </w:p>
        </w:tc>
        <w:tc>
          <w:tcPr>
            <w:tcW w:w="22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19,434</w:t>
            </w: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59,047</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58,464</w:t>
            </w:r>
          </w:p>
        </w:tc>
        <w:tc>
          <w:tcPr>
            <w:tcW w:w="100" w:type="dxa"/>
            <w:vAlign w:val="bottom"/>
            <w:tcBorders>
              <w:top w:val="single" w:sz="8" w:color="CFF0FC"/>
            </w:tcBorders>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-179070</wp:posOffset>
            </wp:positionV>
            <wp:extent cx="6858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-179070</wp:posOffset>
            </wp:positionV>
            <wp:extent cx="6032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-179070</wp:posOffset>
            </wp:positionV>
            <wp:extent cx="5969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10" w:lineRule="exact"/>
        <w:rPr>
          <w:sz w:val="20"/>
          <w:szCs w:val="20"/>
          <w:color w:val="auto"/>
        </w:rPr>
      </w:pPr>
    </w:p>
    <w:p>
      <w:pPr>
        <w:ind w:right="120" w:firstLine="636"/>
        <w:spacing w:after="0" w:line="260" w:lineRule="auto"/>
        <w:rPr>
          <w:sz w:val="20"/>
          <w:szCs w:val="20"/>
          <w:color w:val="auto"/>
        </w:rPr>
      </w:pPr>
      <w:r>
        <w:rPr>
          <w:rFonts w:ascii="Arial" w:cs="Arial" w:eastAsia="Arial" w:hAnsi="Arial"/>
          <w:sz w:val="18"/>
          <w:szCs w:val="18"/>
          <w:color w:val="auto"/>
        </w:rPr>
        <w:t>Supplemental cash flow information related to leases for the nine months ended September 30, 2023 and September 30, 2022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48,430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6480" w:type="dxa"/>
            <w:vAlign w:val="bottom"/>
          </w:tcPr>
          <w:p>
            <w:pPr>
              <w:ind w:left="49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6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ind w:right="460" w:firstLine="636"/>
        <w:spacing w:after="0" w:line="260" w:lineRule="auto"/>
        <w:rPr>
          <w:sz w:val="20"/>
          <w:szCs w:val="20"/>
          <w:color w:val="auto"/>
        </w:rPr>
      </w:pPr>
      <w:r>
        <w:rPr>
          <w:rFonts w:ascii="Arial" w:cs="Arial" w:eastAsia="Arial" w:hAnsi="Arial"/>
          <w:sz w:val="18"/>
          <w:szCs w:val="18"/>
          <w:color w:val="auto"/>
        </w:rPr>
        <w:t>Supplemental balance sheet and other information related to leases as of September 30, 2023 and December 31, 2022 are as follows (in thousands):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158,400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155,090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56,930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111,417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176,211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6,559</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4,198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4.0 years</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3.6 years</w:t>
            </w:r>
          </w:p>
        </w:tc>
        <w:tc>
          <w:tcPr>
            <w:tcW w:w="80" w:type="dxa"/>
            <w:vAlign w:val="bottom"/>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3.0 years</w:t>
            </w:r>
          </w:p>
        </w:tc>
        <w:tc>
          <w:tcPr>
            <w:tcW w:w="140" w:type="dxa"/>
            <w:vAlign w:val="bottom"/>
          </w:tcPr>
          <w:p>
            <w:pPr>
              <w:spacing w:after="0"/>
              <w:rPr>
                <w:sz w:val="19"/>
                <w:szCs w:val="19"/>
                <w:color w:val="auto"/>
              </w:rPr>
            </w:pPr>
          </w:p>
        </w:tc>
        <w:tc>
          <w:tcPr>
            <w:tcW w:w="1680" w:type="dxa"/>
            <w:vAlign w:val="bottom"/>
            <w:gridSpan w:val="3"/>
          </w:tcPr>
          <w:p>
            <w:pPr>
              <w:ind w:left="740"/>
              <w:spacing w:after="0"/>
              <w:rPr>
                <w:sz w:val="20"/>
                <w:szCs w:val="20"/>
                <w:color w:val="auto"/>
              </w:rPr>
            </w:pPr>
            <w:r>
              <w:rPr>
                <w:rFonts w:ascii="Arial" w:cs="Arial" w:eastAsia="Arial" w:hAnsi="Arial"/>
                <w:sz w:val="18"/>
                <w:szCs w:val="18"/>
                <w:color w:val="auto"/>
              </w:rPr>
              <w:t>2.6 years</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4.0 %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-1782445</wp:posOffset>
            </wp:positionV>
            <wp:extent cx="6858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-1782445</wp:posOffset>
            </wp:positionV>
            <wp:extent cx="60325"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2023, the Company has no operating leases that have not yet commenced.</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is as follows (in thousands):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2023 (remaining)</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17,404</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58,599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28,876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(14,536 )</w:t>
            </w:r>
          </w:p>
        </w:tc>
        <w:tc>
          <w:tcPr>
            <w:tcW w:w="2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(427 )</w:t>
            </w:r>
          </w:p>
        </w:tc>
      </w:tr>
      <w:tr>
        <w:trPr>
          <w:trHeight w:val="26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176,211</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2022 to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(in thousands):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17"/>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7"/>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3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r>
      <w:tr>
        <w:trPr>
          <w:trHeight w:val="189"/>
        </w:trPr>
        <w:tc>
          <w:tcPr>
            <w:tcW w:w="4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9"/>
              </w:rPr>
              <w:t>Exchange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1,591,563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110,984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1,702,547</w:t>
            </w:r>
          </w:p>
        </w:tc>
        <w:tc>
          <w:tcPr>
            <w:tcW w:w="100" w:type="dxa"/>
            <w:vAlign w:val="bottom"/>
            <w:shd w:val="clear" w:color="auto" w:fill="CFF0FC"/>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70,287</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94,783</w:t>
            </w:r>
          </w:p>
        </w:tc>
        <w:tc>
          <w:tcPr>
            <w:tcW w:w="100" w:type="dxa"/>
            <w:vAlign w:val="bottom"/>
          </w:tcPr>
          <w:p>
            <w:pPr>
              <w:spacing w:after="0"/>
              <w:rPr>
                <w:sz w:val="19"/>
                <w:szCs w:val="19"/>
                <w:color w:val="auto"/>
              </w:rPr>
            </w:pPr>
          </w:p>
        </w:tc>
      </w:tr>
      <w:tr>
        <w:trPr>
          <w:trHeight w:val="26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1,661,850</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135,110</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1,797,330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8" w:lineRule="exact"/>
        <w:rPr>
          <w:sz w:val="20"/>
          <w:szCs w:val="20"/>
          <w:color w:val="auto"/>
        </w:rPr>
      </w:pPr>
    </w:p>
    <w:p>
      <w:pPr>
        <w:ind w:right="620" w:firstLine="636"/>
        <w:spacing w:after="0" w:line="260"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September 30, 2023 and concluded there has not been an impairment.</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3" w:right="439" w:bottom="1440" w:gutter="0" w:footer="0" w:header="0"/>
        </w:sectPr>
      </w:pPr>
    </w:p>
    <w:bookmarkStart w:id="17" w:name="page18"/>
    <w:bookmarkEnd w:id="17"/>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14"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gridSpan w:val="4"/>
            <w:vMerge w:val="restart"/>
          </w:tcPr>
          <w:p>
            <w:pPr>
              <w:jc w:val="right"/>
              <w:ind w:right="80"/>
              <w:spacing w:after="0"/>
              <w:rPr>
                <w:sz w:val="20"/>
                <w:szCs w:val="20"/>
                <w:color w:val="auto"/>
              </w:rPr>
            </w:pPr>
            <w:r>
              <w:rPr>
                <w:rFonts w:ascii="Arial" w:cs="Arial" w:eastAsia="Arial" w:hAnsi="Arial"/>
                <w:sz w:val="13"/>
                <w:szCs w:val="13"/>
                <w:b w:val="1"/>
                <w:bCs w:val="1"/>
                <w:color w:val="auto"/>
              </w:rPr>
              <w:t>September 30, 2023</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gridSpan w:val="4"/>
            <w:vMerge w:val="restart"/>
          </w:tcPr>
          <w:p>
            <w:pPr>
              <w:jc w:val="right"/>
              <w:ind w:right="80"/>
              <w:spacing w:after="0"/>
              <w:rPr>
                <w:sz w:val="20"/>
                <w:szCs w:val="20"/>
                <w:color w:val="auto"/>
              </w:rPr>
            </w:pPr>
            <w:r>
              <w:rPr>
                <w:rFonts w:ascii="Arial" w:cs="Arial" w:eastAsia="Arial" w:hAnsi="Arial"/>
                <w:sz w:val="13"/>
                <w:szCs w:val="13"/>
                <w:b w:val="1"/>
                <w:bCs w:val="1"/>
                <w:color w:val="auto"/>
                <w:w w:val="97"/>
              </w:rPr>
              <w:t>December 31, 2022</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50"/>
              <w:spacing w:after="0" w:line="120"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720" w:type="dxa"/>
            <w:vAlign w:val="bottom"/>
          </w:tcPr>
          <w:p>
            <w:pPr>
              <w:jc w:val="center"/>
              <w:ind w:right="50"/>
              <w:spacing w:after="0" w:line="120" w:lineRule="exact"/>
              <w:rPr>
                <w:sz w:val="20"/>
                <w:szCs w:val="20"/>
                <w:color w:val="auto"/>
              </w:rPr>
            </w:pPr>
            <w:r>
              <w:rPr>
                <w:rFonts w:ascii="Arial" w:cs="Arial" w:eastAsia="Arial" w:hAnsi="Arial"/>
                <w:sz w:val="13"/>
                <w:szCs w:val="13"/>
                <w:b w:val="1"/>
                <w:bCs w:val="1"/>
                <w:color w:val="auto"/>
                <w:w w:val="95"/>
              </w:rPr>
              <w:t>Net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0"/>
              <w:spacing w:after="0" w:line="120"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80" w:type="dxa"/>
            <w:vAlign w:val="bottom"/>
          </w:tcPr>
          <w:p>
            <w:pPr>
              <w:jc w:val="center"/>
              <w:ind w:right="50"/>
              <w:spacing w:after="0" w:line="120"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5"/>
              </w:rPr>
              <w:t>Amortization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Period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Amortization</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Backlog</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160,700</w:t>
            </w:r>
          </w:p>
        </w:tc>
        <w:tc>
          <w:tcPr>
            <w:tcW w:w="4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(71,713 )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88,987</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142,200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(45,903 )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96,297</w:t>
            </w:r>
          </w:p>
        </w:tc>
        <w:tc>
          <w:tcPr>
            <w:tcW w:w="1120" w:type="dxa"/>
            <w:vAlign w:val="bottom"/>
            <w:gridSpan w:val="2"/>
            <w:shd w:val="clear" w:color="auto" w:fill="CFF0FC"/>
          </w:tcPr>
          <w:p>
            <w:pPr>
              <w:ind w:left="90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345,620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(174,196 )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171,424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293,730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(146,032 )</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147,698</w:t>
            </w:r>
          </w:p>
        </w:tc>
        <w:tc>
          <w:tcPr>
            <w:tcW w:w="1120" w:type="dxa"/>
            <w:vAlign w:val="bottom"/>
            <w:gridSpan w:val="2"/>
          </w:tcPr>
          <w:p>
            <w:pPr>
              <w:ind w:left="90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Leases</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(101 )</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(87 )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120" w:type="dxa"/>
            <w:vAlign w:val="bottom"/>
            <w:gridSpan w:val="2"/>
            <w:shd w:val="clear" w:color="auto" w:fill="CFF0FC"/>
          </w:tcPr>
          <w:p>
            <w:pPr>
              <w:ind w:left="9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31,600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(14,145 )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17,455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(11,560 )</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5,040</w:t>
            </w:r>
          </w:p>
        </w:tc>
        <w:tc>
          <w:tcPr>
            <w:tcW w:w="1120" w:type="dxa"/>
            <w:vAlign w:val="bottom"/>
            <w:gridSpan w:val="2"/>
          </w:tcPr>
          <w:p>
            <w:pPr>
              <w:ind w:left="90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name</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(267 )</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(3,083 )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w:t>
            </w:r>
          </w:p>
        </w:tc>
        <w:tc>
          <w:tcPr>
            <w:tcW w:w="1120" w:type="dxa"/>
            <w:vAlign w:val="bottom"/>
            <w:gridSpan w:val="2"/>
            <w:shd w:val="clear" w:color="auto" w:fill="CFF0FC"/>
          </w:tcPr>
          <w:p>
            <w:pPr>
              <w:ind w:left="90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(1,587 )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(2,074 )</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1,276</w:t>
            </w:r>
          </w:p>
        </w:tc>
        <w:tc>
          <w:tcPr>
            <w:tcW w:w="1120" w:type="dxa"/>
            <w:vAlign w:val="bottom"/>
            <w:gridSpan w:val="2"/>
          </w:tcPr>
          <w:p>
            <w:pPr>
              <w:ind w:left="90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process research and development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ind w:left="70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(258 )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(209 )</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c>
          <w:tcPr>
            <w:tcW w:w="1120" w:type="dxa"/>
            <w:vAlign w:val="bottom"/>
            <w:gridSpan w:val="2"/>
          </w:tcPr>
          <w:p>
            <w:pPr>
              <w:ind w:left="9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intangible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544,365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(262,267 )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282,098</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463,075</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(208,948 )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254,127</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0"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The aggregate amortization expense of intangible assets for the three months ended September 30, 2023 and September 30, 2022 was $18.8 million and $19.1 million, respectively, and $54.9 million and $58.9 million for the nine months ended September 30, 2023 and September 30, 2022, respectively.</w:t>
      </w:r>
    </w:p>
    <w:p>
      <w:pPr>
        <w:spacing w:after="0" w:line="184" w:lineRule="exact"/>
        <w:rPr>
          <w:sz w:val="20"/>
          <w:szCs w:val="20"/>
          <w:color w:val="auto"/>
        </w:rPr>
      </w:pPr>
    </w:p>
    <w:p>
      <w:pPr>
        <w:ind w:right="160" w:firstLine="636"/>
        <w:spacing w:after="0" w:line="260" w:lineRule="auto"/>
        <w:rPr>
          <w:sz w:val="20"/>
          <w:szCs w:val="20"/>
          <w:color w:val="auto"/>
        </w:rPr>
      </w:pPr>
      <w:r>
        <w:rPr>
          <w:rFonts w:ascii="Arial" w:cs="Arial" w:eastAsia="Arial" w:hAnsi="Arial"/>
          <w:sz w:val="18"/>
          <w:szCs w:val="18"/>
          <w:color w:val="auto"/>
        </w:rPr>
        <w:t>Estimated amortization expense for the remainder of the current fiscal year, each of the next four years and beyond is as follows (in thousands):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r>
      <w:tr>
        <w:trPr>
          <w:trHeight w:val="223"/>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w:t>
            </w:r>
          </w:p>
        </w:tc>
        <w:tc>
          <w:tcPr>
            <w:tcW w:w="100" w:type="dxa"/>
            <w:vAlign w:val="bottom"/>
            <w:shd w:val="clear" w:color="auto" w:fill="CFF0FC"/>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45,773</w:t>
            </w:r>
          </w:p>
        </w:tc>
        <w:tc>
          <w:tcPr>
            <w:tcW w:w="100" w:type="dxa"/>
            <w:vAlign w:val="bottom"/>
          </w:tcPr>
          <w:p>
            <w:pPr>
              <w:spacing w:after="0"/>
              <w:rPr>
                <w:sz w:val="19"/>
                <w:szCs w:val="19"/>
                <w:color w:val="auto"/>
              </w:rPr>
            </w:pPr>
          </w:p>
        </w:tc>
      </w:tr>
      <w:tr>
        <w:trPr>
          <w:trHeight w:val="230"/>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39,599</w:t>
            </w:r>
          </w:p>
        </w:tc>
        <w:tc>
          <w:tcPr>
            <w:tcW w:w="100" w:type="dxa"/>
            <w:vAlign w:val="bottom"/>
            <w:shd w:val="clear" w:color="auto" w:fill="CFF0FC"/>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35,880</w:t>
            </w:r>
          </w:p>
        </w:tc>
        <w:tc>
          <w:tcPr>
            <w:tcW w:w="100" w:type="dxa"/>
            <w:vAlign w:val="bottom"/>
          </w:tcPr>
          <w:p>
            <w:pPr>
              <w:spacing w:after="0"/>
              <w:rPr>
                <w:sz w:val="19"/>
                <w:szCs w:val="19"/>
                <w:color w:val="auto"/>
              </w:rPr>
            </w:pPr>
          </w:p>
        </w:tc>
      </w:tr>
      <w:tr>
        <w:trPr>
          <w:trHeight w:val="229"/>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34,766</w:t>
            </w:r>
          </w:p>
        </w:tc>
        <w:tc>
          <w:tcPr>
            <w:tcW w:w="100" w:type="dxa"/>
            <w:vAlign w:val="bottom"/>
            <w:shd w:val="clear" w:color="auto" w:fill="CFF0FC"/>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105,775</w:t>
            </w:r>
          </w:p>
        </w:tc>
        <w:tc>
          <w:tcPr>
            <w:tcW w:w="100" w:type="dxa"/>
            <w:vAlign w:val="bottom"/>
          </w:tcPr>
          <w:p>
            <w:pPr>
              <w:spacing w:after="0"/>
              <w:rPr>
                <w:sz w:val="19"/>
                <w:szCs w:val="19"/>
                <w:color w:val="auto"/>
              </w:rPr>
            </w:pPr>
          </w:p>
        </w:tc>
      </w:tr>
      <w:tr>
        <w:trPr>
          <w:trHeight w:val="263"/>
        </w:trPr>
        <w:tc>
          <w:tcPr>
            <w:tcW w:w="8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280,298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1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September 30, 2023 and December 31, 2022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16"/>
              <w:spacing w:after="0"/>
              <w:rPr>
                <w:sz w:val="20"/>
                <w:szCs w:val="20"/>
                <w:color w:val="auto"/>
              </w:rPr>
            </w:pPr>
            <w:r>
              <w:rPr>
                <w:rFonts w:ascii="Arial" w:cs="Arial" w:eastAsia="Arial" w:hAnsi="Arial"/>
                <w:sz w:val="14"/>
                <w:szCs w:val="14"/>
                <w:b w:val="1"/>
                <w:bCs w:val="1"/>
                <w:color w:val="auto"/>
              </w:rPr>
              <w:t>Useful life</w:t>
            </w:r>
          </w:p>
        </w:tc>
      </w:tr>
      <w:tr>
        <w:trPr>
          <w:trHeight w:val="189"/>
        </w:trPr>
        <w:tc>
          <w:tcPr>
            <w:tcW w:w="544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2023</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(years)</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105,192</w:t>
            </w:r>
          </w:p>
        </w:tc>
        <w:tc>
          <w:tcPr>
            <w:tcW w:w="24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103,071</w:t>
            </w:r>
          </w:p>
        </w:tc>
        <w:tc>
          <w:tcPr>
            <w:tcW w:w="220" w:type="dxa"/>
            <w:vAlign w:val="bottom"/>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88,856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85,088</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174,215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152,511</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Construction equipment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15,331</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21,952</w:t>
            </w:r>
          </w:p>
        </w:tc>
        <w:tc>
          <w:tcPr>
            <w:tcW w:w="2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389,983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367,893</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4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(290,639 )</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(271,843 )</w:t>
            </w:r>
          </w:p>
        </w:tc>
        <w:tc>
          <w:tcPr>
            <w:tcW w:w="1480" w:type="dxa"/>
            <w:vAlign w:val="bottom"/>
            <w:shd w:val="clear" w:color="auto" w:fill="CFF0FC"/>
          </w:tcPr>
          <w:p>
            <w:pPr>
              <w:spacing w:after="0"/>
              <w:rPr>
                <w:sz w:val="19"/>
                <w:szCs w:val="19"/>
                <w:color w:val="auto"/>
              </w:rPr>
            </w:pPr>
          </w:p>
        </w:tc>
      </w:tr>
      <w:tr>
        <w:trPr>
          <w:trHeight w:val="223"/>
        </w:trPr>
        <w:tc>
          <w:tcPr>
            <w:tcW w:w="544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99,344</w:t>
            </w: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96,050</w:t>
            </w:r>
          </w:p>
        </w:tc>
        <w:tc>
          <w:tcPr>
            <w:tcW w:w="220" w:type="dxa"/>
            <w:vAlign w:val="bottom"/>
            <w:tcBorders>
              <w:top w:val="single" w:sz="8" w:color="CFF0FC"/>
            </w:tcBorders>
          </w:tcPr>
          <w:p>
            <w:pPr>
              <w:spacing w:after="0"/>
              <w:rPr>
                <w:sz w:val="19"/>
                <w:szCs w:val="19"/>
                <w:color w:val="auto"/>
              </w:rPr>
            </w:pPr>
          </w:p>
        </w:tc>
        <w:tc>
          <w:tcPr>
            <w:tcW w:w="1480" w:type="dxa"/>
            <w:vAlign w:val="bottom"/>
            <w:tcBorders>
              <w:top w:val="single" w:sz="8" w:color="CFF0FC"/>
            </w:tcBorders>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-479425</wp:posOffset>
            </wp:positionV>
            <wp:extent cx="6858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-479425</wp:posOffset>
            </wp:positionV>
            <wp:extent cx="60325"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-179705</wp:posOffset>
            </wp:positionV>
            <wp:extent cx="68580"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-179705</wp:posOffset>
            </wp:positionV>
            <wp:extent cx="60325"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180340"/>
                    </a:xfrm>
                    <a:prstGeom prst="rect">
                      <a:avLst/>
                    </a:prstGeom>
                    <a:noFill/>
                  </pic:spPr>
                </pic:pic>
              </a:graphicData>
            </a:graphic>
          </wp:anchor>
        </w:drawing>
      </w:r>
    </w:p>
    <w:p>
      <w:pPr>
        <w:spacing w:after="0" w:line="210" w:lineRule="exact"/>
        <w:rPr>
          <w:sz w:val="20"/>
          <w:szCs w:val="20"/>
          <w:color w:val="auto"/>
        </w:rPr>
      </w:pPr>
    </w:p>
    <w:p>
      <w:pPr>
        <w:ind w:right="140" w:firstLine="636"/>
        <w:spacing w:after="0" w:line="260" w:lineRule="auto"/>
        <w:rPr>
          <w:sz w:val="20"/>
          <w:szCs w:val="20"/>
          <w:color w:val="auto"/>
        </w:rPr>
      </w:pPr>
      <w:r>
        <w:rPr>
          <w:rFonts w:ascii="Arial" w:cs="Arial" w:eastAsia="Arial" w:hAnsi="Arial"/>
          <w:sz w:val="18"/>
          <w:szCs w:val="18"/>
          <w:color w:val="auto"/>
        </w:rPr>
        <w:t>Depreciation expense for the three months ended September 30, 2023 and September 30, 2022 was $10.2 million and $9.7 million, respectively, and $29.1 million and $29.3 million for the nine months ended September 30, 2023 and September 30, 2022,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1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8"/>
                <w:szCs w:val="18"/>
                <w:color w:val="auto"/>
              </w:rPr>
              <w:t>Delayed draw 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3"/>
                <w:szCs w:val="23"/>
                <w:color w:val="auto"/>
              </w:rPr>
            </w:pPr>
          </w:p>
        </w:tc>
      </w:tr>
      <w:tr>
        <w:trPr>
          <w:trHeight w:val="229"/>
        </w:trPr>
        <w:tc>
          <w:tcPr>
            <w:tcW w:w="6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senior notes</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(4,634 )</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(6,395 )</w:t>
            </w:r>
          </w:p>
        </w:tc>
      </w:tr>
      <w:tr>
        <w:trPr>
          <w:trHeight w:val="223"/>
        </w:trPr>
        <w:tc>
          <w:tcPr>
            <w:tcW w:w="62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820,366</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743,605</w:t>
            </w:r>
          </w:p>
        </w:tc>
        <w:tc>
          <w:tcPr>
            <w:tcW w:w="100" w:type="dxa"/>
            <w:vAlign w:val="bottom"/>
            <w:tcBorders>
              <w:top w:val="single" w:sz="8" w:color="CFF0FC"/>
            </w:tcBorders>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-179070</wp:posOffset>
            </wp:positionV>
            <wp:extent cx="60325"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$150 million (the “2022 Delayed Draw Term Loan”). Proceeds of the 2022 Delayed Draw Term Loan Agreement may be used (a) to pay off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4"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drew $350.0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from the 2022 Delayed Draw Term Loan in November 2022. The Company incurred $0.9 million of debt issuance costs in connection with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delayed draw term loan as of December 31, 2022. These costs are presented as a direct deduction from long-term debt on the face of the</w:t>
      </w:r>
    </w:p>
    <w:p>
      <w:pPr>
        <w:spacing w:after="0" w:line="234" w:lineRule="auto"/>
        <w:rPr>
          <w:sz w:val="20"/>
          <w:szCs w:val="20"/>
          <w:color w:val="auto"/>
        </w:rPr>
      </w:pPr>
      <w:r>
        <w:rPr>
          <w:rFonts w:ascii="Arial" w:cs="Arial" w:eastAsia="Arial" w:hAnsi="Arial"/>
          <w:sz w:val="18"/>
          <w:szCs w:val="18"/>
          <w:color w:val="auto"/>
        </w:rPr>
        <w:t>balance sheet. Interest expense related to the 2022 Delayed Draw Term Loan was $5.9 million and $16.6 million for the three and nine</w:t>
      </w:r>
    </w:p>
    <w:p>
      <w:pPr>
        <w:spacing w:after="0" w:line="235" w:lineRule="auto"/>
        <w:rPr>
          <w:sz w:val="20"/>
          <w:szCs w:val="20"/>
          <w:color w:val="auto"/>
        </w:rPr>
      </w:pPr>
      <w:r>
        <w:rPr>
          <w:rFonts w:ascii="Arial" w:cs="Arial" w:eastAsia="Arial" w:hAnsi="Arial"/>
          <w:sz w:val="18"/>
          <w:szCs w:val="18"/>
          <w:color w:val="auto"/>
        </w:rPr>
        <w:t>months ended September 30, 2023, respectively There were no amounts outstanding under the 2022 Delayed Draw Term Loan as of</w:t>
      </w:r>
    </w:p>
    <w:p>
      <w:pPr>
        <w:spacing w:after="0" w:line="235" w:lineRule="auto"/>
        <w:rPr>
          <w:sz w:val="20"/>
          <w:szCs w:val="20"/>
          <w:color w:val="auto"/>
        </w:rPr>
      </w:pPr>
      <w:r>
        <w:rPr>
          <w:rFonts w:ascii="Arial" w:cs="Arial" w:eastAsia="Arial" w:hAnsi="Arial"/>
          <w:sz w:val="18"/>
          <w:szCs w:val="18"/>
          <w:color w:val="auto"/>
        </w:rPr>
        <w:t>September 30, 2022. The amortization of debt issuance costs and interest expense is recorded in “Interest expense” on the consolidated</w:t>
      </w:r>
    </w:p>
    <w:p>
      <w:pPr>
        <w:spacing w:after="0" w:line="235" w:lineRule="auto"/>
        <w:rPr>
          <w:sz w:val="20"/>
          <w:szCs w:val="20"/>
          <w:color w:val="auto"/>
        </w:rPr>
      </w:pPr>
      <w:r>
        <w:rPr>
          <w:rFonts w:ascii="Arial" w:cs="Arial" w:eastAsia="Arial" w:hAnsi="Arial"/>
          <w:sz w:val="18"/>
          <w:szCs w:val="18"/>
          <w:color w:val="auto"/>
        </w:rPr>
        <w:t>statements of income. As of September 30, 2023 and December 31, 2022, there was $350.0 million outstanding under the 2022 Delayed</w:t>
      </w:r>
    </w:p>
    <w:p>
      <w:pPr>
        <w:spacing w:after="0"/>
        <w:rPr>
          <w:sz w:val="20"/>
          <w:szCs w:val="20"/>
          <w:color w:val="auto"/>
        </w:rPr>
      </w:pPr>
      <w:r>
        <w:rPr>
          <w:rFonts w:ascii="Arial" w:cs="Arial" w:eastAsia="Arial" w:hAnsi="Arial"/>
          <w:sz w:val="18"/>
          <w:szCs w:val="18"/>
          <w:color w:val="auto"/>
        </w:rPr>
        <w:t>Draw Term Loan. The interest rates on September 30, 2023 and December 31, 2022 were 6.6% and 5.6%, respectively.</w:t>
      </w:r>
    </w:p>
    <w:p>
      <w:pPr>
        <w:spacing w:after="0" w:line="20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4" w:lineRule="exact"/>
        <w:rPr>
          <w:sz w:val="20"/>
          <w:szCs w:val="20"/>
          <w:color w:val="auto"/>
        </w:rPr>
      </w:pPr>
    </w:p>
    <w:p>
      <w:pPr>
        <w:ind w:right="60" w:firstLine="644"/>
        <w:spacing w:after="0" w:line="241"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89" w:lineRule="exact"/>
        <w:rPr>
          <w:sz w:val="20"/>
          <w:szCs w:val="20"/>
          <w:color w:val="auto"/>
        </w:rPr>
      </w:pPr>
    </w:p>
    <w:p>
      <w:pPr>
        <w:ind w:right="120" w:firstLine="644"/>
        <w:spacing w:after="0" w:line="241"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89" w:lineRule="exact"/>
        <w:rPr>
          <w:sz w:val="20"/>
          <w:szCs w:val="20"/>
          <w:color w:val="auto"/>
        </w:rPr>
      </w:pPr>
    </w:p>
    <w:p>
      <w:pPr>
        <w:ind w:right="60" w:firstLine="644"/>
        <w:spacing w:after="0" w:line="243"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9" w:name="page20"/>
    <w:bookmarkEnd w:id="19"/>
    <w:p>
      <w:pPr>
        <w:ind w:right="100" w:firstLine="644"/>
        <w:spacing w:after="0" w:line="260"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73" w:lineRule="exact"/>
        <w:rPr>
          <w:sz w:val="20"/>
          <w:szCs w:val="20"/>
          <w:color w:val="auto"/>
        </w:rPr>
      </w:pPr>
    </w:p>
    <w:p>
      <w:pPr>
        <w:ind w:left="1400" w:right="100" w:hanging="374"/>
        <w:spacing w:after="0" w:line="243"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87" w:lineRule="exact"/>
        <w:rPr>
          <w:rFonts w:ascii="Arial" w:cs="Arial" w:eastAsia="Arial" w:hAnsi="Arial"/>
          <w:sz w:val="18"/>
          <w:szCs w:val="18"/>
          <w:color w:val="auto"/>
        </w:rPr>
      </w:pPr>
    </w:p>
    <w:p>
      <w:pPr>
        <w:ind w:left="1400" w:right="40" w:hanging="374"/>
        <w:spacing w:after="0" w:line="243"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87" w:lineRule="exact"/>
        <w:rPr>
          <w:rFonts w:ascii="Arial" w:cs="Arial" w:eastAsia="Arial" w:hAnsi="Arial"/>
          <w:sz w:val="18"/>
          <w:szCs w:val="18"/>
          <w:color w:val="auto"/>
        </w:rPr>
      </w:pPr>
    </w:p>
    <w:p>
      <w:pPr>
        <w:ind w:left="1400" w:hanging="37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Company calls such Convertible Senior Notes for redemption; or</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225" w:lineRule="exact"/>
        <w:rPr>
          <w:sz w:val="20"/>
          <w:szCs w:val="20"/>
          <w:color w:val="auto"/>
        </w:rPr>
      </w:pPr>
    </w:p>
    <w:p>
      <w:pPr>
        <w:ind w:right="60" w:firstLine="644"/>
        <w:spacing w:after="0" w:line="229"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94" w:lineRule="exact"/>
        <w:rPr>
          <w:sz w:val="20"/>
          <w:szCs w:val="20"/>
          <w:color w:val="auto"/>
        </w:rPr>
      </w:pPr>
    </w:p>
    <w:p>
      <w:pPr>
        <w:ind w:firstLine="644"/>
        <w:spacing w:after="0" w:line="243"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88" w:lineRule="exact"/>
        <w:rPr>
          <w:sz w:val="20"/>
          <w:szCs w:val="20"/>
          <w:color w:val="auto"/>
        </w:rPr>
      </w:pPr>
    </w:p>
    <w:p>
      <w:pPr>
        <w:ind w:right="40" w:firstLine="644"/>
        <w:spacing w:after="0" w:line="241"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89"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The Company recognized interest expense of approximately $0.7 million for both the three months ended September 30, 2023 and September 30, 2022 and $2.3 million and $2.2 million for the nine months ended September 30, 2023 and September 30, 2022, respectively. As of September 30, 2023 and December 31, 2022, the carrying value of the Notes was $400.0 million.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27" w:lineRule="exact"/>
        <w:rPr>
          <w:sz w:val="20"/>
          <w:szCs w:val="20"/>
          <w:color w:val="auto"/>
        </w:rPr>
      </w:pPr>
    </w:p>
    <w:p>
      <w:pPr>
        <w:ind w:right="140" w:firstLine="636"/>
        <w:spacing w:after="0" w:line="241"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w:t>
      </w:r>
    </w:p>
    <w:p>
      <w:pPr>
        <w:ind w:right="120"/>
        <w:spacing w:after="0" w:line="254" w:lineRule="auto"/>
        <w:rPr>
          <w:sz w:val="20"/>
          <w:szCs w:val="20"/>
          <w:color w:val="auto"/>
        </w:rPr>
      </w:pPr>
      <w:r>
        <w:rPr>
          <w:rFonts w:ascii="Arial" w:cs="Arial" w:eastAsia="Arial" w:hAnsi="Arial"/>
          <w:sz w:val="18"/>
          <w:szCs w:val="18"/>
          <w:color w:val="auto"/>
        </w:rPr>
        <w:t>foreign currencies, and each other currency that may be approved in accordance with the 2021 Facility. The borrowings under the Credit Agreement bear interest at either the Term SOFR rate plus a margin between 1.0% and 1.625% or a base rate (as defined in the Credit Agreement) plus a margin of between 0% and 0.625%. The rates on September 30, 2023 and December 31, 2022 were 6.7% and 5.7%, respectively. Borrowings under this Credit Agreement are guaranteed by certain Company operating subsidiaries. Letters of credit commitments outstanding under this agreement aggregated to $43.9 million and $44.5 million at March 31, 2023 and December 31, 2022, respectively, which reduced borrowing limits available to the Company. Interest expense related to the Credit Agreement was $1.5 million and $2.5 million for the three months ended September 30, 2023 and September 30, 2022, respectively and $2.0 million and $3.4 million for the nine months ended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0" w:name="page21"/>
    <w:bookmarkEnd w:id="20"/>
    <w:p>
      <w:pPr>
        <w:spacing w:after="0" w:line="260" w:lineRule="auto"/>
        <w:rPr>
          <w:sz w:val="20"/>
          <w:szCs w:val="20"/>
          <w:color w:val="auto"/>
        </w:rPr>
      </w:pPr>
      <w:r>
        <w:rPr>
          <w:rFonts w:ascii="Arial" w:cs="Arial" w:eastAsia="Arial" w:hAnsi="Arial"/>
          <w:sz w:val="18"/>
          <w:szCs w:val="18"/>
          <w:color w:val="auto"/>
        </w:rPr>
        <w:t>September 30, 2023 and September 30, 2022, respectively. There was $75 million outstanding under the Credit Agreement at September 30, 2023.</w:t>
      </w:r>
    </w:p>
    <w:p>
      <w:pPr>
        <w:spacing w:after="0" w:line="173"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September 30, 2023 and December 31, 2022.</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Letters of Credit</w:t>
      </w:r>
    </w:p>
    <w:p>
      <w:pPr>
        <w:spacing w:after="0" w:line="208" w:lineRule="exact"/>
        <w:rPr>
          <w:sz w:val="20"/>
          <w:szCs w:val="20"/>
          <w:color w:val="auto"/>
        </w:rPr>
      </w:pPr>
    </w:p>
    <w:p>
      <w:pPr>
        <w:ind w:right="460" w:firstLine="509"/>
        <w:spacing w:after="0" w:line="247"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$311.8 million and $222.5 million at September 30, 2023 and December 31, 2022,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22" w:lineRule="exact"/>
        <w:rPr>
          <w:sz w:val="20"/>
          <w:szCs w:val="20"/>
          <w:color w:val="auto"/>
        </w:rPr>
      </w:pPr>
    </w:p>
    <w:p>
      <w:pPr>
        <w:ind w:right="20" w:firstLine="644"/>
        <w:spacing w:after="0" w:line="239"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94" w:lineRule="exact"/>
        <w:rPr>
          <w:sz w:val="20"/>
          <w:szCs w:val="20"/>
          <w:color w:val="auto"/>
        </w:rPr>
      </w:pPr>
    </w:p>
    <w:p>
      <w:pPr>
        <w:jc w:val="both"/>
        <w:ind w:right="320" w:firstLine="644"/>
        <w:spacing w:after="0" w:line="243"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88" w:lineRule="exact"/>
        <w:rPr>
          <w:sz w:val="20"/>
          <w:szCs w:val="20"/>
          <w:color w:val="auto"/>
        </w:rPr>
      </w:pPr>
    </w:p>
    <w:p>
      <w:pPr>
        <w:ind w:right="280" w:firstLine="644"/>
        <w:spacing w:after="0" w:line="247"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84" w:lineRule="exact"/>
        <w:rPr>
          <w:sz w:val="20"/>
          <w:szCs w:val="20"/>
          <w:color w:val="auto"/>
        </w:rPr>
      </w:pPr>
    </w:p>
    <w:p>
      <w:pPr>
        <w:jc w:val="both"/>
        <w:ind w:right="280" w:firstLine="644"/>
        <w:spacing w:after="0" w:line="247"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84" w:lineRule="exact"/>
        <w:rPr>
          <w:sz w:val="20"/>
          <w:szCs w:val="20"/>
          <w:color w:val="auto"/>
        </w:rPr>
      </w:pPr>
    </w:p>
    <w:p>
      <w:pPr>
        <w:ind w:right="100" w:firstLine="644"/>
        <w:spacing w:after="0" w:line="238" w:lineRule="auto"/>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9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The Company’s effective tax rate was 20.3% and 24.0% and income tax expense was $15.2 million and $13.8 million for the three months ended September 30, 2023 and September 30, 2022, respectively. The change in the effective tax rate was due primarily to tax benefits related to increases in the foreign-derived intangible income (FDII) deduction and a change in jurisdictional mix of earnings, partially offset by an increase in foreign withholding taxes. The Company’s effective tax rate was 21.9% and 23.5% and income tax expense was $41.9 million and $27.6 million for the nine months ended September 30, 2023 and September 30, 2022, respectively. The most significant items contributing to the change in the effective tax rate are the tax benefits related to increases in the FDII deduction and change in jurisdictional mix of earnings, partially offset by an increase in foreign withholding taxes. The difference between the effective tax rate and the statutory U.S. Federal income tax rate of 21% for the three and nine months ended September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1" w:name="page22"/>
    <w:bookmarkEnd w:id="21"/>
    <w:p>
      <w:pPr>
        <w:ind w:right="840"/>
        <w:spacing w:after="0" w:line="289" w:lineRule="auto"/>
        <w:rPr>
          <w:sz w:val="20"/>
          <w:szCs w:val="20"/>
          <w:color w:val="auto"/>
        </w:rPr>
      </w:pPr>
      <w:r>
        <w:rPr>
          <w:rFonts w:ascii="Arial" w:cs="Arial" w:eastAsia="Arial" w:hAnsi="Arial"/>
          <w:sz w:val="17"/>
          <w:szCs w:val="17"/>
          <w:color w:val="auto"/>
        </w:rPr>
        <w:t>30, 2023 primarily relates to state income taxes and foreign withholding taxes, partially offset by benefits related to untaxed income attributable to noncontrolling interests, earnings in lower tax jurisdictions, the FDII deduction, and the federal research tax credit.</w:t>
      </w:r>
    </w:p>
    <w:p>
      <w:pPr>
        <w:spacing w:after="0" w:line="150" w:lineRule="exact"/>
        <w:rPr>
          <w:sz w:val="20"/>
          <w:szCs w:val="20"/>
          <w:color w:val="auto"/>
        </w:rPr>
      </w:pPr>
    </w:p>
    <w:p>
      <w:pPr>
        <w:ind w:right="40" w:firstLine="644"/>
        <w:spacing w:after="0" w:line="239" w:lineRule="auto"/>
        <w:rPr>
          <w:sz w:val="20"/>
          <w:szCs w:val="20"/>
          <w:color w:val="auto"/>
        </w:rPr>
      </w:pPr>
      <w:r>
        <w:rPr>
          <w:rFonts w:ascii="Arial" w:cs="Arial" w:eastAsia="Arial" w:hAnsi="Arial"/>
          <w:sz w:val="18"/>
          <w:szCs w:val="18"/>
          <w:color w:val="auto"/>
        </w:rPr>
        <w:t>As of September 30, 2023, the Company’s deferred tax assets were subject to a valuation allowance of $25.7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94"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As of September 30, 2023 and December 31, 2022, the liability for income taxes associated with uncertain tax positions was $25.1 million and $22.8 million, respectively. It is reasonably possible that the Company may realize a decrease in our unrecognized tax benefits of approximately $1.4 million during the next 12 months as a result of concluding various tax audits and closing tax years.</w:t>
      </w:r>
    </w:p>
    <w:p>
      <w:pPr>
        <w:spacing w:after="0" w:line="184" w:lineRule="exact"/>
        <w:rPr>
          <w:sz w:val="20"/>
          <w:szCs w:val="20"/>
          <w:color w:val="auto"/>
        </w:rPr>
      </w:pPr>
    </w:p>
    <w:p>
      <w:pPr>
        <w:ind w:right="40" w:firstLine="644"/>
        <w:spacing w:after="0" w:line="243"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188" w:lineRule="exact"/>
        <w:rPr>
          <w:sz w:val="20"/>
          <w:szCs w:val="20"/>
          <w:color w:val="auto"/>
        </w:rPr>
      </w:pPr>
    </w:p>
    <w:p>
      <w:pPr>
        <w:ind w:right="120" w:firstLine="644"/>
        <w:spacing w:after="0" w:line="243" w:lineRule="auto"/>
        <w:rPr>
          <w:sz w:val="20"/>
          <w:szCs w:val="20"/>
          <w:color w:val="auto"/>
        </w:rPr>
      </w:pPr>
      <w:r>
        <w:rPr>
          <w:rFonts w:ascii="Arial" w:cs="Arial" w:eastAsia="Arial" w:hAnsi="Arial"/>
          <w:sz w:val="18"/>
          <w:szCs w:val="18"/>
          <w:color w:val="auto"/>
        </w:rPr>
        <w:t>On July 21, 2023, the IRS issued Notice 2023-55 which provides guidance to taxpayers in determining whether a foreign tax is eligible for a U.S. foreign tax credit for tax years 2022 and 2023, specifically delaying until 2024 the application of unfavorable foreign tax credit regulations that were originally issued late last year. The Company does not expect this Notice to have a material impact to its income tax positions.</w:t>
      </w:r>
    </w:p>
    <w:p>
      <w:pPr>
        <w:spacing w:after="0" w:line="28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14"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87"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Dispositive and/or pre-trail motions have been filed. A hearing date was held during the third quarter of 2023 on such motions; however, the court has not issued a ruling. Depending upon the court’s rulings upon such motions, a trial may be scheduled in 2023 or 2024.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2" w:name="page23"/>
    <w:bookmarkEnd w:id="22"/>
    <w:p>
      <w:pPr>
        <w:ind w:right="40" w:firstLine="636"/>
        <w:spacing w:after="0" w:line="238"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194"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14" w:lineRule="exact"/>
        <w:rPr>
          <w:sz w:val="20"/>
          <w:szCs w:val="20"/>
          <w:color w:val="auto"/>
        </w:rPr>
      </w:pPr>
    </w:p>
    <w:p>
      <w:pPr>
        <w:ind w:right="80" w:firstLine="636"/>
        <w:spacing w:after="0" w:line="255"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September 30, 2023 and December 31, 2022, total shares of the</w:t>
      </w:r>
    </w:p>
    <w:p>
      <w:pPr>
        <w:spacing w:after="0" w:line="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Company’s common stock outstanding were 104,888,473 and 104,702,996, respectively, of which 59,752,326 and 63,742,151, respectively, were held by the ESOP.</w:t>
      </w:r>
    </w:p>
    <w:p>
      <w:pPr>
        <w:spacing w:after="0" w:line="160" w:lineRule="exact"/>
        <w:rPr>
          <w:sz w:val="20"/>
          <w:szCs w:val="20"/>
          <w:color w:val="auto"/>
        </w:rPr>
      </w:pPr>
    </w:p>
    <w:p>
      <w:pPr>
        <w:ind w:right="380" w:firstLine="644"/>
        <w:spacing w:after="0" w:line="241"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89" w:lineRule="exact"/>
        <w:rPr>
          <w:sz w:val="20"/>
          <w:szCs w:val="20"/>
          <w:color w:val="auto"/>
        </w:rPr>
      </w:pPr>
    </w:p>
    <w:p>
      <w:pPr>
        <w:ind w:right="280" w:firstLine="644"/>
        <w:spacing w:after="0" w:line="250" w:lineRule="auto"/>
        <w:rPr>
          <w:sz w:val="20"/>
          <w:szCs w:val="20"/>
          <w:color w:val="auto"/>
        </w:rPr>
      </w:pPr>
      <w:r>
        <w:rPr>
          <w:rFonts w:ascii="Arial" w:cs="Arial" w:eastAsia="Arial" w:hAnsi="Arial"/>
          <w:sz w:val="18"/>
          <w:szCs w:val="18"/>
          <w:color w:val="auto"/>
        </w:rPr>
        <w:t>Total ESOP contribution expense was $14.9 million and $15.4 million for the three months ended September 30, 2023 and September 30, 2022, respectively and $44.1 million and $42.0 million for the nine months ended September 30, 2023 and September 30,</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2022, respectively. The expense is recorded in “Direct costs of contracts” and “Selling, general and administrative expense” in the consolidated statements of income. The fiscal 2023 ESOP contribution has not yet been made. The amount is currently included in accrued liabilities.</w:t>
      </w:r>
    </w:p>
    <w:p>
      <w:pPr>
        <w:spacing w:after="0" w:line="27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1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84" w:lineRule="exact"/>
        <w:rPr>
          <w:sz w:val="20"/>
          <w:szCs w:val="20"/>
          <w:color w:val="auto"/>
        </w:rPr>
      </w:pPr>
    </w:p>
    <w:p>
      <w:pPr>
        <w:ind w:right="100" w:firstLine="636"/>
        <w:spacing w:after="0" w:line="243"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88" w:lineRule="exact"/>
        <w:rPr>
          <w:sz w:val="20"/>
          <w:szCs w:val="20"/>
          <w:color w:val="auto"/>
        </w:rPr>
      </w:pPr>
    </w:p>
    <w:p>
      <w:pPr>
        <w:ind w:right="260" w:firstLine="636"/>
        <w:spacing w:after="0" w:line="243"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88"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9" w:right="379" w:bottom="1440" w:gutter="0" w:footer="0" w:header="0"/>
        </w:sectPr>
      </w:pPr>
    </w:p>
    <w:bookmarkStart w:id="23" w:name="page24"/>
    <w:bookmarkEnd w:id="23"/>
    <w:p>
      <w:pPr>
        <w:ind w:right="140" w:firstLine="636"/>
        <w:spacing w:after="0" w:line="275"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$149.9 million and $106.8 million at September 30, 2023 and December 31, 2022.</w:t>
      </w:r>
    </w:p>
    <w:p>
      <w:pPr>
        <w:spacing w:after="0" w:line="160" w:lineRule="exact"/>
        <w:rPr>
          <w:sz w:val="20"/>
          <w:szCs w:val="20"/>
          <w:color w:val="auto"/>
        </w:rPr>
      </w:pPr>
    </w:p>
    <w:p>
      <w:pPr>
        <w:jc w:val="both"/>
        <w:ind w:right="320" w:firstLine="636"/>
        <w:spacing w:after="0" w:line="247"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14" w:lineRule="exact"/>
        <w:rPr>
          <w:sz w:val="20"/>
          <w:szCs w:val="20"/>
          <w:color w:val="auto"/>
        </w:rPr>
      </w:pPr>
    </w:p>
    <w:p>
      <w:pPr>
        <w:ind w:right="380" w:firstLine="636"/>
        <w:spacing w:after="0" w:line="260"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418,854</w:t>
            </w:r>
          </w:p>
        </w:tc>
        <w:tc>
          <w:tcPr>
            <w:tcW w:w="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289,837</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19"/>
                <w:szCs w:val="19"/>
                <w:color w:val="auto"/>
              </w:rPr>
            </w:pPr>
          </w:p>
        </w:tc>
      </w:tr>
      <w:tr>
        <w:trPr>
          <w:trHeight w:val="223"/>
        </w:trPr>
        <w:tc>
          <w:tcPr>
            <w:tcW w:w="6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430,491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278,168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194,701</w:t>
            </w:r>
          </w:p>
        </w:tc>
        <w:tc>
          <w:tcPr>
            <w:tcW w:w="100" w:type="dxa"/>
            <w:vAlign w:val="bottom"/>
          </w:tcPr>
          <w:p>
            <w:pPr>
              <w:spacing w:after="0"/>
              <w:rPr>
                <w:sz w:val="19"/>
                <w:szCs w:val="19"/>
                <w:color w:val="auto"/>
              </w:rPr>
            </w:pPr>
          </w:p>
        </w:tc>
      </w:tr>
      <w:tr>
        <w:trPr>
          <w:trHeight w:val="229"/>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281,672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198,464</w:t>
            </w:r>
          </w:p>
        </w:tc>
        <w:tc>
          <w:tcPr>
            <w:tcW w:w="100" w:type="dxa"/>
            <w:vAlign w:val="bottom"/>
          </w:tcPr>
          <w:p>
            <w:pPr>
              <w:spacing w:after="0"/>
              <w:rPr>
                <w:sz w:val="19"/>
                <w:szCs w:val="19"/>
                <w:color w:val="auto"/>
              </w:rPr>
            </w:pPr>
          </w:p>
        </w:tc>
      </w:tr>
      <w:tr>
        <w:trPr>
          <w:trHeight w:val="263"/>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joint venture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148,819</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101,334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-633730</wp:posOffset>
            </wp:positionV>
            <wp:extent cx="6858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-334010</wp:posOffset>
            </wp:positionV>
            <wp:extent cx="6858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38"/>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6"/>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18"/>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16"/>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185,602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130,344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514,339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333,967</w:t>
            </w:r>
          </w:p>
        </w:tc>
        <w:tc>
          <w:tcPr>
            <w:tcW w:w="100" w:type="dxa"/>
            <w:vAlign w:val="bottom"/>
          </w:tcPr>
          <w:p>
            <w:pPr>
              <w:spacing w:after="0"/>
              <w:rPr>
                <w:sz w:val="19"/>
                <w:szCs w:val="19"/>
                <w:color w:val="auto"/>
              </w:rPr>
            </w:pPr>
          </w:p>
        </w:tc>
      </w:tr>
      <w:tr>
        <w:trPr>
          <w:trHeight w:val="229"/>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160,423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101,882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445,829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25,179</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44,482</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-325120</wp:posOffset>
            </wp:positionV>
            <wp:extent cx="77470"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-325120</wp:posOffset>
            </wp:positionV>
            <wp:extent cx="68580"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-325120</wp:posOffset>
            </wp:positionV>
            <wp:extent cx="68580" cy="180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80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10" w:lineRule="exact"/>
        <w:rPr>
          <w:sz w:val="20"/>
          <w:szCs w:val="20"/>
          <w:color w:val="auto"/>
        </w:rPr>
      </w:pPr>
    </w:p>
    <w:p>
      <w:pPr>
        <w:ind w:right="320" w:firstLine="636"/>
        <w:spacing w:after="0" w:line="260"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14" w:lineRule="exact"/>
        <w:rPr>
          <w:sz w:val="20"/>
          <w:szCs w:val="20"/>
          <w:color w:val="auto"/>
        </w:rPr>
      </w:pPr>
    </w:p>
    <w:p>
      <w:pPr>
        <w:ind w:firstLine="636"/>
        <w:spacing w:after="0" w:line="243"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88" w:lineRule="exact"/>
        <w:rPr>
          <w:sz w:val="20"/>
          <w:szCs w:val="20"/>
          <w:color w:val="auto"/>
        </w:rPr>
      </w:pPr>
    </w:p>
    <w:p>
      <w:pPr>
        <w:ind w:right="340" w:firstLine="636"/>
        <w:spacing w:after="0" w:line="260"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1,513,825</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1,610,246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Noncurrent assets</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481,708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1,995,533</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2,101,904</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960,276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1,255,297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503,705</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468,056</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1,463,981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1,723,353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joint venture equity</w:t>
            </w:r>
          </w:p>
        </w:tc>
        <w:tc>
          <w:tcPr>
            <w:tcW w:w="1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531,552</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378,551</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164,858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107,425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00" w:type="dxa"/>
            <w:vAlign w:val="bottom"/>
          </w:tcPr>
          <w:p>
            <w:pPr>
              <w:jc w:val="right"/>
              <w:ind w:right="1010"/>
              <w:spacing w:after="0"/>
              <w:rPr>
                <w:sz w:val="20"/>
                <w:szCs w:val="20"/>
                <w:color w:val="auto"/>
              </w:rPr>
            </w:pPr>
            <w:r>
              <w:rPr>
                <w:rFonts w:ascii="Arial" w:cs="Arial" w:eastAsia="Arial" w:hAnsi="Arial"/>
                <w:sz w:val="18"/>
                <w:szCs w:val="18"/>
                <w:color w:val="auto"/>
                <w:w w:val="89"/>
              </w:rPr>
              <w:t>22</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-1293495</wp:posOffset>
            </wp:positionV>
            <wp:extent cx="6858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-1293495</wp:posOffset>
            </wp:positionV>
            <wp:extent cx="6032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-993775</wp:posOffset>
            </wp:positionV>
            <wp:extent cx="68580"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-685165</wp:posOffset>
            </wp:positionV>
            <wp:extent cx="1337310" cy="196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37310"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38"/>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00" w:type="dxa"/>
            <w:vAlign w:val="bottom"/>
          </w:tcPr>
          <w:p>
            <w:pPr>
              <w:jc w:val="right"/>
              <w:ind w:right="118"/>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16"/>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634,937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782,880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1,514,561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1,762,420</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581,041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774,030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1,474,991</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1,711,555</w:t>
            </w:r>
          </w:p>
        </w:tc>
        <w:tc>
          <w:tcPr>
            <w:tcW w:w="100" w:type="dxa"/>
            <w:vAlign w:val="bottom"/>
          </w:tcPr>
          <w:p>
            <w:pPr>
              <w:spacing w:after="0"/>
              <w:rPr>
                <w:sz w:val="19"/>
                <w:szCs w:val="19"/>
                <w:color w:val="auto"/>
              </w:rPr>
            </w:pPr>
          </w:p>
        </w:tc>
      </w:tr>
      <w:tr>
        <w:trPr>
          <w:trHeight w:val="263"/>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53,896</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8,850</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39,570</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(974 )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-170815</wp:posOffset>
            </wp:positionV>
            <wp:extent cx="310324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03245" cy="171450"/>
                    </a:xfrm>
                    <a:prstGeom prst="rect">
                      <a:avLst/>
                    </a:prstGeom>
                    <a:noFill/>
                  </pic:spPr>
                </pic:pic>
              </a:graphicData>
            </a:graphic>
          </wp:anchor>
        </w:drawing>
      </w:r>
    </w:p>
    <w:p>
      <w:pPr>
        <w:spacing w:after="0" w:line="210"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The Company had net contributions to its unconsolidated joint ventures for the three and nine months ended September 30, 2023 of $36.1 million and $50.8 million, respectively and received net distributions from its unconsolidated joint ventures for the three and nine months ended September 30, 2022 of $13.2 million and $21.4 million, respectively.</w:t>
      </w:r>
    </w:p>
    <w:p>
      <w:pPr>
        <w:spacing w:after="0" w:line="184"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For the three ended September 30, 2023, the Company recorded adjustments to equity in earnings of unconsolidated joint ventures of $5.1 million and for the nine months ended September 30, 2023 the Company recorded adjustments to equity in losses of unconsolidated joint ventures of $12.4 million on two unconsolidated joint ventures in the Critical Infrastructure segment, one from lower margin change orders in the first quarter offset in the current quarter by higher margin change orders and the other from write-offs in each of the three quarters ended September 30, 2023. For the three months ended September 30, 2023, these adjustments increased operating income by $5.1 million, net income by $3.8 million and diluted earnings per share of $0.03 and for the nine months ended September 30, 2023 decreased operating income by $12.4 million, net income by $9.2 million and diluted earnings per share by $0.08.</w:t>
      </w:r>
    </w:p>
    <w:p>
      <w:pPr>
        <w:spacing w:after="0" w:line="28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4" w:lineRule="exact"/>
        <w:rPr>
          <w:sz w:val="20"/>
          <w:szCs w:val="20"/>
          <w:color w:val="auto"/>
        </w:rPr>
      </w:pPr>
    </w:p>
    <w:p>
      <w:pPr>
        <w:ind w:right="60" w:firstLine="644"/>
        <w:spacing w:after="0" w:line="243"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September 30, 2023 and September 30, 2022 were $57.3 million and $60.3 million, respectively and $164.8 million and $160.5 million for the nine months ended September 30, 2023 and September 30, 2022, respectively.</w:t>
      </w:r>
    </w:p>
    <w:p>
      <w:pPr>
        <w:spacing w:after="0" w:line="80" w:lineRule="exact"/>
        <w:rPr>
          <w:sz w:val="20"/>
          <w:szCs w:val="20"/>
          <w:color w:val="auto"/>
        </w:rPr>
      </w:pPr>
    </w:p>
    <w:p>
      <w:pPr>
        <w:ind w:right="280" w:firstLine="636"/>
        <w:spacing w:after="0" w:line="247" w:lineRule="auto"/>
        <w:rPr>
          <w:sz w:val="20"/>
          <w:szCs w:val="20"/>
          <w:color w:val="auto"/>
        </w:rPr>
      </w:pPr>
      <w:r>
        <w:rPr>
          <w:rFonts w:ascii="Arial" w:cs="Arial" w:eastAsia="Arial" w:hAnsi="Arial"/>
          <w:sz w:val="18"/>
          <w:szCs w:val="18"/>
          <w:color w:val="auto"/>
        </w:rPr>
        <w:t>For the three months ended September 30, 2023 and September 30, 2022, the Company incurred $38.8 million and $42.1 million, respectively, and for the nine months ended September 30, 2023 and September 30, 2022 incurred $118.5 million and $113.8 million, respectively, of reimbursable costs.</w:t>
      </w:r>
    </w:p>
    <w:p>
      <w:pPr>
        <w:spacing w:after="0" w:line="76" w:lineRule="exact"/>
        <w:rPr>
          <w:sz w:val="20"/>
          <w:szCs w:val="20"/>
          <w:color w:val="auto"/>
        </w:rPr>
      </w:pPr>
    </w:p>
    <w:p>
      <w:pPr>
        <w:ind w:right="100" w:firstLine="636"/>
        <w:spacing w:after="0" w:line="260" w:lineRule="auto"/>
        <w:rPr>
          <w:sz w:val="20"/>
          <w:szCs w:val="20"/>
          <w:color w:val="auto"/>
        </w:rPr>
      </w:pPr>
      <w:r>
        <w:rPr>
          <w:rFonts w:ascii="Arial" w:cs="Arial" w:eastAsia="Arial" w:hAnsi="Arial"/>
          <w:sz w:val="18"/>
          <w:szCs w:val="18"/>
          <w:color w:val="auto"/>
        </w:rPr>
        <w:t>Amounts included in the consolidated balance sheets related to services the Company provided to unconsolidated joint ventures are as follows (in thousands):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FF0FC"/>
          </w:tcPr>
          <w:p>
            <w:pPr>
              <w:jc w:val="right"/>
              <w:ind w:right="35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40,795</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Contract assets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40,032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30,578</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14,318</w:t>
            </w:r>
          </w:p>
        </w:tc>
        <w:tc>
          <w:tcPr>
            <w:tcW w:w="100" w:type="dxa"/>
            <w:vAlign w:val="bottom"/>
            <w:shd w:val="clear" w:color="auto" w:fill="CFF0FC"/>
          </w:tcPr>
          <w:p>
            <w:pPr>
              <w:spacing w:after="0"/>
              <w:rPr>
                <w:sz w:val="19"/>
                <w:szCs w:val="19"/>
                <w:color w:val="auto"/>
              </w:rPr>
            </w:pPr>
          </w:p>
        </w:tc>
      </w:tr>
    </w:tbl>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Amounts presented above for prior and comparable periods have been updated to reflect all unconsolidated joint ventures.</w:t>
      </w:r>
    </w:p>
    <w:p>
      <w:pPr>
        <w:spacing w:after="0" w:line="31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4" w:lineRule="exact"/>
        <w:rPr>
          <w:sz w:val="20"/>
          <w:szCs w:val="20"/>
          <w:color w:val="auto"/>
        </w:rPr>
      </w:pPr>
    </w:p>
    <w:p>
      <w:pPr>
        <w:ind w:firstLine="636"/>
        <w:spacing w:after="0" w:line="241"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September 30, 2023 and December 31, 2022, the Company’s financial instruments include cash, cash equivalents, accounts receivable, accounts payable, debt, and other liabilities. The fair values of these financial instruments approximate their carrying values due to their short-term maturities.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98" w:lineRule="exact"/>
        <w:rPr>
          <w:sz w:val="20"/>
          <w:szCs w:val="20"/>
          <w:color w:val="auto"/>
        </w:rPr>
      </w:pPr>
    </w:p>
    <w:p>
      <w:pPr>
        <w:ind w:left="900" w:right="480" w:hanging="248"/>
        <w:spacing w:after="0" w:line="26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25" w:name="page26"/>
    <w:bookmarkEnd w:id="25"/>
    <w:p>
      <w:pPr>
        <w:ind w:left="900" w:hanging="248"/>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7" w:lineRule="exact"/>
        <w:rPr>
          <w:rFonts w:ascii="Arial" w:cs="Arial" w:eastAsia="Arial" w:hAnsi="Arial"/>
          <w:sz w:val="18"/>
          <w:szCs w:val="18"/>
          <w:color w:val="auto"/>
        </w:rPr>
      </w:pPr>
    </w:p>
    <w:p>
      <w:pPr>
        <w:ind w:left="900" w:right="280" w:hanging="248"/>
        <w:spacing w:after="0" w:line="26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66"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that are accessible at the measurement date for identical assets and liabilities;</w:t>
      </w:r>
    </w:p>
    <w:p>
      <w:pPr>
        <w:spacing w:after="0" w:line="104" w:lineRule="exact"/>
        <w:rPr>
          <w:sz w:val="20"/>
          <w:szCs w:val="20"/>
          <w:color w:val="auto"/>
        </w:rPr>
      </w:pPr>
    </w:p>
    <w:p>
      <w:pPr>
        <w:ind w:left="900" w:right="20" w:hanging="253"/>
        <w:spacing w:after="0" w:line="260" w:lineRule="auto"/>
        <w:rPr>
          <w:sz w:val="20"/>
          <w:szCs w:val="20"/>
          <w:color w:val="auto"/>
        </w:rPr>
      </w:pPr>
      <w:r>
        <w:rPr>
          <w:rFonts w:ascii="Arial" w:cs="Arial" w:eastAsia="Arial" w:hAnsi="Arial"/>
          <w:sz w:val="18"/>
          <w:szCs w:val="18"/>
          <w:color w:val="auto"/>
        </w:rPr>
        <w:t>Level 2 - Pricing inputs that include quoted prices for similar assets and liabilities in active markets and inputs that are observable for the asset or liability, either directly or indirectly, for substantially the full term of the instrument; and</w:t>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measurements and unobservable.</w:t>
      </w:r>
    </w:p>
    <w:p>
      <w:pPr>
        <w:spacing w:after="0" w:line="212" w:lineRule="exact"/>
        <w:rPr>
          <w:sz w:val="20"/>
          <w:szCs w:val="20"/>
          <w:color w:val="auto"/>
        </w:rPr>
      </w:pPr>
    </w:p>
    <w:p>
      <w:pPr>
        <w:ind w:right="100" w:firstLine="636"/>
        <w:spacing w:after="0" w:line="239" w:lineRule="auto"/>
        <w:rPr>
          <w:sz w:val="20"/>
          <w:szCs w:val="20"/>
          <w:color w:val="auto"/>
        </w:rPr>
      </w:pPr>
      <w:r>
        <w:rPr>
          <w:rFonts w:ascii="Arial" w:cs="Arial" w:eastAsia="Arial" w:hAnsi="Arial"/>
          <w:sz w:val="18"/>
          <w:szCs w:val="18"/>
          <w:color w:val="auto"/>
        </w:rPr>
        <w:t>The Company's contingent consideration is categorized as Level 3 within the fair value hierarchy. Contingent consideration is recorded within other long-term liabilities in the Company's consolidated balance sheet as of September 30, 2023. Contingent consideration has been recorded at its fair values using the option pricing method prescribed in the earnout valuation guide published by The Appraisal Foundation. We considered three major risks associated with earnout, i.e. risk in the underlying metric, risk in the earnout structure, and counterparty credit risk. Our valuation model was based on the Black Scholes option pricing formula and major assumptions including SealingTech's fiscal year 2024 projected revenue, the revenue discount rate, the revenue volatility, and the Company's credit adjusted discount rate.</w:t>
      </w:r>
    </w:p>
    <w:p>
      <w:pPr>
        <w:spacing w:after="0" w:line="191" w:lineRule="exact"/>
        <w:rPr>
          <w:sz w:val="20"/>
          <w:szCs w:val="20"/>
          <w:color w:val="auto"/>
        </w:rPr>
      </w:pPr>
    </w:p>
    <w:p>
      <w:pPr>
        <w:ind w:right="140" w:firstLine="636"/>
        <w:spacing w:after="0" w:line="243"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8"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2022 for a more complete discussion of the various items within the consolidated financial statements measured at fair value and the methods used to determine fair value.</w:t>
      </w:r>
    </w:p>
    <w:p>
      <w:pPr>
        <w:spacing w:after="0" w:line="28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4" w:lineRule="exact"/>
        <w:rPr>
          <w:sz w:val="20"/>
          <w:szCs w:val="20"/>
          <w:color w:val="auto"/>
        </w:rPr>
      </w:pPr>
    </w:p>
    <w:p>
      <w:pPr>
        <w:jc w:val="both"/>
        <w:ind w:right="20" w:firstLine="644"/>
        <w:spacing w:after="0" w:line="239"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and nine months ended September 30, 2023 and September 30, 2022.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86" w:lineRule="exact"/>
        <w:rPr>
          <w:sz w:val="20"/>
          <w:szCs w:val="20"/>
          <w:color w:val="auto"/>
        </w:rPr>
      </w:pPr>
    </w:p>
    <w:p>
      <w:pPr>
        <w:ind w:right="20" w:firstLine="644"/>
        <w:spacing w:after="0" w:line="241" w:lineRule="auto"/>
        <w:rPr>
          <w:sz w:val="20"/>
          <w:szCs w:val="20"/>
          <w:color w:val="auto"/>
        </w:rPr>
      </w:pPr>
      <w:r>
        <w:rPr>
          <w:rFonts w:ascii="Arial" w:cs="Arial" w:eastAsia="Arial" w:hAnsi="Arial"/>
          <w:sz w:val="18"/>
          <w:szCs w:val="18"/>
          <w:color w:val="auto"/>
        </w:rPr>
        <w:t>Convertible Senior Note dilution impact is calculated using the if-converted method.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81" w:lineRule="exact"/>
        <w:rPr>
          <w:sz w:val="20"/>
          <w:szCs w:val="20"/>
          <w:color w:val="auto"/>
        </w:rPr>
      </w:pPr>
    </w:p>
    <w:p>
      <w:pPr>
        <w:ind w:right="40" w:firstLine="644"/>
        <w:spacing w:after="0" w:line="239" w:lineRule="auto"/>
        <w:rPr>
          <w:sz w:val="20"/>
          <w:szCs w:val="20"/>
          <w:color w:val="auto"/>
        </w:rPr>
      </w:pPr>
      <w:r>
        <w:rPr>
          <w:rFonts w:ascii="Arial" w:cs="Arial" w:eastAsia="Arial" w:hAnsi="Arial"/>
          <w:sz w:val="18"/>
          <w:szCs w:val="18"/>
          <w:color w:val="auto"/>
        </w:rPr>
        <w:t>Dilutive potential common shares include, when circumstances require,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September 30, 2023 and September 30, 2022 were 2,911 and 2,449, respectively and for the nine months ended September 30, 2023 and September 30, 2022 were 3,284 and 11,564,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6" w:name="page27"/>
    <w:bookmarkEnd w:id="26"/>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83"/>
        </w:trPr>
        <w:tc>
          <w:tcPr>
            <w:tcW w:w="472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5"/>
                <w:szCs w:val="15"/>
                <w:color w:val="auto"/>
              </w:rPr>
            </w:pPr>
          </w:p>
        </w:tc>
      </w:tr>
      <w:tr>
        <w:trPr>
          <w:trHeight w:val="22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104,970,645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103,608,135</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104,894,448</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103,684,048</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Stock-based awards</w:t>
            </w:r>
          </w:p>
        </w:tc>
        <w:tc>
          <w:tcPr>
            <w:tcW w:w="1440" w:type="dxa"/>
            <w:vAlign w:val="bottom"/>
          </w:tcPr>
          <w:p>
            <w:pPr>
              <w:jc w:val="right"/>
              <w:spacing w:after="0"/>
              <w:rPr>
                <w:sz w:val="20"/>
                <w:szCs w:val="20"/>
                <w:color w:val="auto"/>
              </w:rPr>
            </w:pPr>
            <w:r>
              <w:rPr>
                <w:rFonts w:ascii="Arial" w:cs="Arial" w:eastAsia="Arial" w:hAnsi="Arial"/>
                <w:sz w:val="18"/>
                <w:szCs w:val="18"/>
                <w:color w:val="auto"/>
              </w:rPr>
              <w:t>1,177,894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918,090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1,020,082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746,702</w:t>
            </w:r>
          </w:p>
        </w:tc>
        <w:tc>
          <w:tcPr>
            <w:tcW w:w="100" w:type="dxa"/>
            <w:vAlign w:val="bottom"/>
          </w:tcPr>
          <w:p>
            <w:pPr>
              <w:spacing w:after="0"/>
              <w:rPr>
                <w:sz w:val="19"/>
                <w:szCs w:val="19"/>
                <w:color w:val="auto"/>
              </w:rPr>
            </w:pPr>
          </w:p>
        </w:tc>
      </w:tr>
      <w:tr>
        <w:trPr>
          <w:trHeight w:val="230"/>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4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115,065,069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113,442,755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114,831,060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113,347,280</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-179070</wp:posOffset>
            </wp:positionV>
            <wp:extent cx="7747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-179070</wp:posOffset>
            </wp:positionV>
            <wp:extent cx="7747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wp:posOffset>
            </wp:positionV>
            <wp:extent cx="6858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5840" w:type="dxa"/>
            <w:vAlign w:val="bottom"/>
          </w:tcPr>
          <w:p>
            <w:pPr>
              <w:spacing w:after="0"/>
              <w:rPr>
                <w:sz w:val="13"/>
                <w:szCs w:val="13"/>
                <w:color w:val="auto"/>
              </w:rPr>
            </w:pPr>
          </w:p>
        </w:tc>
        <w:tc>
          <w:tcPr>
            <w:tcW w:w="1140" w:type="dxa"/>
            <w:vAlign w:val="bottom"/>
            <w:gridSpan w:val="2"/>
          </w:tcPr>
          <w:p>
            <w:pPr>
              <w:jc w:val="right"/>
              <w:ind w:right="17"/>
              <w:spacing w:after="0" w:line="156"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10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tcPr>
          <w:p>
            <w:pPr>
              <w:jc w:val="right"/>
              <w:ind w:right="21"/>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0" w:type="dxa"/>
            <w:vAlign w:val="bottom"/>
          </w:tcPr>
          <w:p>
            <w:pPr>
              <w:jc w:val="right"/>
              <w:ind w:right="59"/>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Parsons Corporation</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47,447</w:t>
            </w:r>
          </w:p>
        </w:tc>
        <w:tc>
          <w:tcPr>
            <w:tcW w:w="5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29,571</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116,241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68,533</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Convertible senior notes if-converted method interest adjustment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net income attributable to Parsons Corporation</w:t>
            </w: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48,006</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30,116</w:t>
            </w:r>
          </w:p>
        </w:tc>
        <w:tc>
          <w:tcPr>
            <w:tcW w:w="2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117,906</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70,160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2" w:lineRule="exact"/>
        <w:rPr>
          <w:sz w:val="20"/>
          <w:szCs w:val="20"/>
          <w:color w:val="auto"/>
        </w:rPr>
      </w:pPr>
    </w:p>
    <w:p>
      <w:pPr>
        <w:ind w:right="220" w:firstLine="749"/>
        <w:spacing w:after="0" w:line="239" w:lineRule="auto"/>
        <w:rPr>
          <w:sz w:val="20"/>
          <w:szCs w:val="20"/>
          <w:color w:val="auto"/>
        </w:rPr>
      </w:pPr>
      <w:r>
        <w:rPr>
          <w:rFonts w:ascii="Arial" w:cs="Arial" w:eastAsia="Arial" w:hAnsi="Arial"/>
          <w:sz w:val="18"/>
          <w:szCs w:val="18"/>
          <w:color w:val="auto"/>
        </w:rPr>
        <w:t>In August 2021, the Company’s Board of Directors authorized a stock repurchase program to repurchase up to $100.0 million of shares of Common stock. Repurchases under this stock repurchase program commenced on August 12, 2021. Any and all shares of Common Stock purchased by the Company pursuant to the program shall be retired upon their acquisition and shall not become treasury shares but instead shall resume the status of authorized but unissued shares of Common Stock.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share repurchases during the three months ended September 30, 2023</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 below presents information on this repurchase program:</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2520" w:type="dxa"/>
            <w:vAlign w:val="bottom"/>
            <w:tcBorders>
              <w:bottom w:val="single" w:sz="8" w:color="auto"/>
            </w:tcBorders>
            <w:gridSpan w:val="5"/>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484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15"/>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20" w:type="dxa"/>
            <w:vAlign w:val="bottom"/>
            <w:gridSpan w:val="2"/>
          </w:tcPr>
          <w:p>
            <w:pPr>
              <w:jc w:val="right"/>
              <w:ind w:right="17"/>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4840" w:type="dxa"/>
            <w:vAlign w:val="bottom"/>
          </w:tcPr>
          <w:p>
            <w:pPr>
              <w:spacing w:after="0"/>
              <w:rPr>
                <w:sz w:val="16"/>
                <w:szCs w:val="16"/>
                <w:color w:val="auto"/>
              </w:rPr>
            </w:pP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repurchased</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185,475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522,501</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Total shares retired</w:t>
            </w: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95,413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185,475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522,501</w:t>
            </w: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paid per share</w:t>
            </w:r>
          </w:p>
        </w:tc>
        <w:tc>
          <w:tcPr>
            <w:tcW w:w="1060" w:type="dxa"/>
            <w:vAlign w:val="bottom"/>
            <w:shd w:val="clear" w:color="auto" w:fill="CFF0FC"/>
          </w:tcPr>
          <w:p>
            <w:pPr>
              <w:jc w:val="right"/>
              <w:ind w:right="864"/>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September 30, 2023, the Company has $48.3 million remaining under the stock repurchase program.</w:t>
      </w:r>
    </w:p>
    <w:p>
      <w:pPr>
        <w:spacing w:after="0" w:line="31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1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6"/>
        <w:spacing w:after="0" w:line="243"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88"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7" w:name="page28"/>
    <w:bookmarkEnd w:id="27"/>
    <w:p>
      <w:pPr>
        <w:ind w:right="220"/>
        <w:spacing w:after="0" w:line="260" w:lineRule="auto"/>
        <w:rPr>
          <w:sz w:val="20"/>
          <w:szCs w:val="20"/>
          <w:color w:val="auto"/>
        </w:rPr>
      </w:pPr>
      <w:r>
        <w:rPr>
          <w:rFonts w:ascii="Arial" w:cs="Arial" w:eastAsia="Arial" w:hAnsi="Arial"/>
          <w:sz w:val="18"/>
          <w:szCs w:val="18"/>
          <w:color w:val="auto"/>
        </w:rPr>
        <w:t>management allow the Company to deliver significant value to customers by employing cutting-edge technologies, improving timelines and reducing costs.</w:t>
      </w:r>
    </w:p>
    <w:p>
      <w:pPr>
        <w:spacing w:after="0" w:line="173" w:lineRule="exact"/>
        <w:rPr>
          <w:sz w:val="20"/>
          <w:szCs w:val="20"/>
          <w:color w:val="auto"/>
        </w:rPr>
      </w:pPr>
    </w:p>
    <w:p>
      <w:pPr>
        <w:ind w:right="240" w:firstLine="636"/>
        <w:spacing w:after="0" w:line="243"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Chair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5780" w:type="dxa"/>
            <w:vAlign w:val="bottom"/>
          </w:tcPr>
          <w:p>
            <w:pPr>
              <w:spacing w:after="0"/>
              <w:rPr>
                <w:sz w:val="13"/>
                <w:szCs w:val="13"/>
                <w:color w:val="auto"/>
              </w:rPr>
            </w:pPr>
          </w:p>
        </w:tc>
        <w:tc>
          <w:tcPr>
            <w:tcW w:w="1140" w:type="dxa"/>
            <w:vAlign w:val="bottom"/>
            <w:gridSpan w:val="2"/>
          </w:tcPr>
          <w:p>
            <w:pPr>
              <w:jc w:val="right"/>
              <w:ind w:right="17"/>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1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3"/>
                <w:szCs w:val="13"/>
                <w:color w:val="auto"/>
              </w:rPr>
            </w:pP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1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 revenue</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780,114</w:t>
            </w:r>
          </w:p>
        </w:tc>
        <w:tc>
          <w:tcPr>
            <w:tcW w:w="4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620,416</w:t>
            </w:r>
          </w:p>
        </w:tc>
        <w:tc>
          <w:tcPr>
            <w:tcW w:w="5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2,177,457</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1,649,601</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Critical Infrastructure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638,457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513,954</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1,771,066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1,442,559</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1,134,370</w:t>
            </w:r>
          </w:p>
        </w:tc>
        <w:tc>
          <w:tcPr>
            <w:tcW w:w="3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3,948,523</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3,092,160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78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400" w:type="dxa"/>
            <w:vAlign w:val="bottom"/>
            <w:gridSpan w:val="3"/>
          </w:tcPr>
          <w:p>
            <w:pPr>
              <w:jc w:val="right"/>
              <w:ind w:right="360"/>
              <w:spacing w:after="0" w:line="156" w:lineRule="exact"/>
              <w:rPr>
                <w:sz w:val="20"/>
                <w:szCs w:val="20"/>
                <w:color w:val="auto"/>
              </w:rPr>
            </w:pPr>
            <w:r>
              <w:rPr>
                <w:rFonts w:ascii="Arial" w:cs="Arial" w:eastAsia="Arial" w:hAnsi="Arial"/>
                <w:sz w:val="14"/>
                <w:szCs w:val="14"/>
                <w:b w:val="1"/>
                <w:bCs w:val="1"/>
                <w:color w:val="auto"/>
              </w:rPr>
              <w:t>September 30,</w:t>
            </w:r>
          </w:p>
        </w:tc>
        <w:tc>
          <w:tcPr>
            <w:tcW w:w="1500" w:type="dxa"/>
            <w:vAlign w:val="bottom"/>
            <w:gridSpan w:val="3"/>
          </w:tcPr>
          <w:p>
            <w:pPr>
              <w:jc w:val="right"/>
              <w:ind w:right="460"/>
              <w:spacing w:after="0" w:line="156"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jc w:val="right"/>
              <w:ind w:right="18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578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Federal Solutions</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61,004</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Critical Infrastructure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50,188</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27,545</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95,481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88,549</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14,138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(30,154 )</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(29,578 )</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(87,202 )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(90,668 )</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(8,120 )</w:t>
            </w:r>
          </w:p>
        </w:tc>
        <w:tc>
          <w:tcPr>
            <w:tcW w:w="2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(5,941 )</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(20,778 )</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(14,168 )</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(15,218 )</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(13,792 )</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(41,944 )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(27,643 )</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Equity-based compensation expense</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(9,075 )</w:t>
            </w:r>
          </w:p>
        </w:tc>
        <w:tc>
          <w:tcPr>
            <w:tcW w:w="2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(7,125 )</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(25,092 )</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(15,814 )</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Transaction-related costs (a)</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(5,493 )</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(2,563 )</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(9,028 )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(14,486 )</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Restructuring expense (b)</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(546 )</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(c)</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(93 )</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(2,082 )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(1,139 )</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59,811</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43,595</w:t>
            </w:r>
          </w:p>
        </w:tc>
        <w:tc>
          <w:tcPr>
            <w:tcW w:w="3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149,858</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90,218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w:t>
            </w: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Parsons Corporation</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47,447</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29,571</w:t>
            </w:r>
          </w:p>
        </w:tc>
        <w:tc>
          <w:tcPr>
            <w:tcW w:w="38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-574040</wp:posOffset>
            </wp:positionV>
            <wp:extent cx="7683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-574040</wp:posOffset>
            </wp:positionV>
            <wp:extent cx="6858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-574040</wp:posOffset>
            </wp:positionV>
            <wp:extent cx="6858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-273685</wp:posOffset>
            </wp:positionV>
            <wp:extent cx="76835"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-273685</wp:posOffset>
            </wp:positionV>
            <wp:extent cx="6858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-273685</wp:posOffset>
            </wp:positionV>
            <wp:extent cx="6858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75" w:lineRule="exact"/>
        <w:rPr>
          <w:sz w:val="20"/>
          <w:szCs w:val="20"/>
          <w:color w:val="auto"/>
        </w:rPr>
      </w:pPr>
    </w:p>
    <w:p>
      <w:pPr>
        <w:ind w:left="660" w:right="120" w:hanging="652"/>
        <w:spacing w:after="0" w:line="24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60" w:right="100" w:hanging="652"/>
        <w:spacing w:after="0" w:line="24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8" w:name="page29"/>
    <w:bookmarkEnd w:id="28"/>
    <w:p>
      <w:pPr>
        <w:ind w:left="640"/>
        <w:spacing w:after="0"/>
        <w:rPr>
          <w:sz w:val="20"/>
          <w:szCs w:val="20"/>
          <w:color w:val="auto"/>
        </w:rPr>
      </w:pPr>
      <w:r>
        <w:rPr>
          <w:rFonts w:ascii="Arial" w:cs="Arial" w:eastAsia="Arial" w:hAnsi="Arial"/>
          <w:sz w:val="18"/>
          <w:szCs w:val="18"/>
          <w:color w:val="auto"/>
        </w:rPr>
        <w:t>The following tables present revenues and property and equipment, net by geographic area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5780" w:type="dxa"/>
            <w:vAlign w:val="bottom"/>
          </w:tcPr>
          <w:p>
            <w:pPr>
              <w:spacing w:after="0"/>
              <w:rPr>
                <w:sz w:val="13"/>
                <w:szCs w:val="13"/>
                <w:color w:val="auto"/>
              </w:rPr>
            </w:pPr>
          </w:p>
        </w:tc>
        <w:tc>
          <w:tcPr>
            <w:tcW w:w="1140" w:type="dxa"/>
            <w:vAlign w:val="bottom"/>
            <w:gridSpan w:val="2"/>
          </w:tcPr>
          <w:p>
            <w:pPr>
              <w:jc w:val="right"/>
              <w:ind w:right="16"/>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1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3"/>
                <w:szCs w:val="13"/>
                <w:color w:val="auto"/>
              </w:rPr>
            </w:pP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1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1,166,547</w:t>
            </w: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944,942</w:t>
            </w:r>
          </w:p>
        </w:tc>
        <w:tc>
          <w:tcPr>
            <w:tcW w:w="5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3,251,552</w:t>
            </w: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2,571,741</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247,689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184,680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684,340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504,078</w:t>
            </w:r>
          </w:p>
        </w:tc>
        <w:tc>
          <w:tcPr>
            <w:tcW w:w="100" w:type="dxa"/>
            <w:vAlign w:val="bottom"/>
          </w:tcPr>
          <w:p>
            <w:pPr>
              <w:spacing w:after="0"/>
              <w:rPr>
                <w:sz w:val="19"/>
                <w:szCs w:val="19"/>
                <w:color w:val="auto"/>
              </w:rPr>
            </w:pPr>
          </w:p>
        </w:tc>
      </w:tr>
      <w:tr>
        <w:trPr>
          <w:trHeight w:val="230"/>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1,418,571</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1,134,370</w:t>
            </w: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3,948,523</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3,092,160</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-179070</wp:posOffset>
            </wp:positionV>
            <wp:extent cx="76835"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-179070</wp:posOffset>
            </wp:positionV>
            <wp:extent cx="6858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-179070</wp:posOffset>
            </wp:positionV>
            <wp:extent cx="6858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146685</wp:posOffset>
            </wp:positionV>
            <wp:extent cx="2113280" cy="3041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13280" cy="304165"/>
                    </a:xfrm>
                    <a:prstGeom prst="rect">
                      <a:avLst/>
                    </a:prstGeom>
                    <a:noFill/>
                  </pic:spPr>
                </pic:pic>
              </a:graphicData>
            </a:graphic>
          </wp:anchor>
        </w:drawing>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92,279</w:t>
            </w:r>
          </w:p>
        </w:tc>
        <w:tc>
          <w:tcPr>
            <w:tcW w:w="72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91,217</w:t>
            </w:r>
          </w:p>
        </w:tc>
        <w:tc>
          <w:tcPr>
            <w:tcW w:w="100" w:type="dxa"/>
            <w:vAlign w:val="bottom"/>
            <w:shd w:val="clear" w:color="auto" w:fill="CFF0FC"/>
          </w:tcPr>
          <w:p>
            <w:pPr>
              <w:spacing w:after="0"/>
              <w:rPr>
                <w:sz w:val="19"/>
                <w:szCs w:val="19"/>
                <w:color w:val="auto"/>
              </w:rPr>
            </w:pPr>
          </w:p>
        </w:tc>
      </w:tr>
      <w:tr>
        <w:trPr>
          <w:trHeight w:val="229"/>
        </w:trPr>
        <w:tc>
          <w:tcPr>
            <w:tcW w:w="696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r>
      <w:tr>
        <w:trPr>
          <w:trHeight w:val="26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99,344</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96,050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3" w:lineRule="exact"/>
        <w:rPr>
          <w:sz w:val="20"/>
          <w:szCs w:val="20"/>
          <w:color w:val="auto"/>
        </w:rPr>
      </w:pPr>
    </w:p>
    <w:p>
      <w:pPr>
        <w:ind w:right="300" w:firstLine="636"/>
        <w:spacing w:after="0" w:line="265" w:lineRule="auto"/>
        <w:rPr>
          <w:sz w:val="20"/>
          <w:szCs w:val="20"/>
          <w:color w:val="auto"/>
        </w:rPr>
      </w:pPr>
      <w:r>
        <w:rPr>
          <w:rFonts w:ascii="Arial" w:cs="Arial" w:eastAsia="Arial" w:hAnsi="Arial"/>
          <w:sz w:val="17"/>
          <w:szCs w:val="17"/>
          <w:color w:val="auto"/>
        </w:rPr>
        <w:t>North America includes revenue in the United States for the three months ended September 30, 2023 and September 30, 2022 of $1.1 billion and $0.9 billion, respectively and for the nine months ended September 30, 2023 and September 30, 2022 of $3.0 billion and</w:t>
      </w:r>
    </w:p>
    <w:p>
      <w:pPr>
        <w:ind w:right="100"/>
        <w:spacing w:after="0" w:line="275" w:lineRule="auto"/>
        <w:rPr>
          <w:sz w:val="20"/>
          <w:szCs w:val="20"/>
          <w:color w:val="auto"/>
        </w:rPr>
      </w:pPr>
      <w:r>
        <w:rPr>
          <w:rFonts w:ascii="Arial" w:cs="Arial" w:eastAsia="Arial" w:hAnsi="Arial"/>
          <w:sz w:val="18"/>
          <w:szCs w:val="18"/>
          <w:color w:val="auto"/>
        </w:rPr>
        <w:t>$2.3 billion, respectively. North America property and equipment, net includes $85.2 million and $84.4 million of property and equipment, net in the United States at September 30, 2023 and December 31, 2022, respectively.</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5780" w:type="dxa"/>
            <w:vAlign w:val="bottom"/>
          </w:tcPr>
          <w:p>
            <w:pPr>
              <w:spacing w:after="0"/>
              <w:rPr>
                <w:sz w:val="13"/>
                <w:szCs w:val="13"/>
                <w:color w:val="auto"/>
              </w:rPr>
            </w:pPr>
          </w:p>
        </w:tc>
        <w:tc>
          <w:tcPr>
            <w:tcW w:w="1140" w:type="dxa"/>
            <w:vAlign w:val="bottom"/>
            <w:gridSpan w:val="2"/>
          </w:tcPr>
          <w:p>
            <w:pPr>
              <w:jc w:val="right"/>
              <w:ind w:right="14"/>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1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3"/>
                <w:szCs w:val="13"/>
                <w:color w:val="auto"/>
              </w:rPr>
            </w:pP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1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Defense and Intelligence</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398,632</w:t>
            </w:r>
          </w:p>
        </w:tc>
        <w:tc>
          <w:tcPr>
            <w:tcW w:w="4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351,419</w:t>
            </w:r>
          </w:p>
        </w:tc>
        <w:tc>
          <w:tcPr>
            <w:tcW w:w="5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1,144,320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1,037,244</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ind w:left="520"/>
              <w:spacing w:after="0"/>
              <w:rPr>
                <w:sz w:val="20"/>
                <w:szCs w:val="20"/>
                <w:color w:val="auto"/>
              </w:rPr>
            </w:pPr>
            <w:r>
              <w:rPr>
                <w:rFonts w:ascii="Arial" w:cs="Arial" w:eastAsia="Arial" w:hAnsi="Arial"/>
                <w:sz w:val="18"/>
                <w:szCs w:val="18"/>
                <w:color w:val="auto"/>
              </w:rPr>
              <w:t>Engineered Systems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381,482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268,997</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1,033,137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612,357</w:t>
            </w:r>
          </w:p>
        </w:tc>
        <w:tc>
          <w:tcPr>
            <w:tcW w:w="100" w:type="dxa"/>
            <w:vAlign w:val="bottom"/>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Federal Solutions revenues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780,114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620,416</w:t>
            </w:r>
          </w:p>
        </w:tc>
        <w:tc>
          <w:tcPr>
            <w:tcW w:w="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2,177,457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1,649,601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520"/>
              <w:spacing w:after="0"/>
              <w:rPr>
                <w:sz w:val="20"/>
                <w:szCs w:val="20"/>
                <w:color w:val="auto"/>
              </w:rPr>
            </w:pPr>
            <w:r>
              <w:rPr>
                <w:rFonts w:ascii="Arial" w:cs="Arial" w:eastAsia="Arial" w:hAnsi="Arial"/>
                <w:sz w:val="18"/>
                <w:szCs w:val="18"/>
                <w:color w:val="auto"/>
              </w:rPr>
              <w:t>Mobility Solutions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329,666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1,209,554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924,834</w:t>
            </w:r>
          </w:p>
        </w:tc>
        <w:tc>
          <w:tcPr>
            <w:tcW w:w="100" w:type="dxa"/>
            <w:vAlign w:val="bottom"/>
          </w:tcPr>
          <w:p>
            <w:pPr>
              <w:spacing w:after="0"/>
              <w:rPr>
                <w:sz w:val="19"/>
                <w:szCs w:val="19"/>
                <w:color w:val="auto"/>
              </w:rPr>
            </w:pPr>
          </w:p>
        </w:tc>
      </w:tr>
      <w:tr>
        <w:trPr>
          <w:trHeight w:val="230"/>
        </w:trPr>
        <w:tc>
          <w:tcPr>
            <w:tcW w:w="57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Connected Communities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208,446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184,288</w:t>
            </w:r>
          </w:p>
        </w:tc>
        <w:tc>
          <w:tcPr>
            <w:tcW w:w="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561,512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280"/>
              <w:spacing w:after="0"/>
              <w:rPr>
                <w:sz w:val="20"/>
                <w:szCs w:val="20"/>
                <w:color w:val="auto"/>
              </w:rPr>
            </w:pPr>
            <w:r>
              <w:rPr>
                <w:rFonts w:ascii="Arial" w:cs="Arial" w:eastAsia="Arial" w:hAnsi="Arial"/>
                <w:sz w:val="18"/>
                <w:szCs w:val="18"/>
                <w:color w:val="auto"/>
              </w:rPr>
              <w:t>Critical Infrastructure revenues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638,457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513,954</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1,771,066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1,442,559</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1,134,370</w:t>
            </w:r>
          </w:p>
        </w:tc>
        <w:tc>
          <w:tcPr>
            <w:tcW w:w="3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3,948,523</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3,092,160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-633730</wp:posOffset>
            </wp:positionV>
            <wp:extent cx="7683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-633730</wp:posOffset>
            </wp:positionV>
            <wp:extent cx="6858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-633730</wp:posOffset>
            </wp:positionV>
            <wp:extent cx="6858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-333375</wp:posOffset>
            </wp:positionV>
            <wp:extent cx="76835"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-333375</wp:posOffset>
            </wp:positionV>
            <wp:extent cx="6858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-333375</wp:posOffset>
            </wp:positionV>
            <wp:extent cx="68580" cy="162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2" w:lineRule="exact"/>
        <w:rPr>
          <w:sz w:val="20"/>
          <w:szCs w:val="20"/>
          <w:color w:val="auto"/>
        </w:rPr>
      </w:pPr>
    </w:p>
    <w:p>
      <w:pPr>
        <w:ind w:right="80" w:firstLine="636"/>
        <w:spacing w:after="0" w:line="252" w:lineRule="auto"/>
        <w:rPr>
          <w:sz w:val="20"/>
          <w:szCs w:val="20"/>
          <w:color w:val="auto"/>
        </w:rPr>
      </w:pPr>
      <w:r>
        <w:rPr>
          <w:rFonts w:ascii="Arial" w:cs="Arial" w:eastAsia="Arial" w:hAnsi="Arial"/>
          <w:sz w:val="17"/>
          <w:szCs w:val="17"/>
          <w:color w:val="auto"/>
        </w:rPr>
        <w:t>On October 31, 2023, the Company entered into a Membership Interest Purchase Agreement to acquire a 100% ownership interest in I.S. Engineers, LLC, a privately-owned company, for $11.5 million, subject to certain adjustments. Headquartered in Texas, I.S. Engineers,</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 xml:space="preserve">LLC provides </w:t>
      </w:r>
      <w:r>
        <w:rPr>
          <w:rFonts w:ascii="Arial" w:cs="Arial" w:eastAsia="Arial" w:hAnsi="Arial"/>
          <w:sz w:val="21"/>
          <w:szCs w:val="21"/>
          <w:color w:val="auto"/>
        </w:rPr>
        <w:t>f</w:t>
      </w:r>
      <w:r>
        <w:rPr>
          <w:rFonts w:ascii="Arial" w:cs="Arial" w:eastAsia="Arial" w:hAnsi="Arial"/>
          <w:sz w:val="18"/>
          <w:szCs w:val="18"/>
          <w:color w:val="auto"/>
        </w:rPr>
        <w:t>ull service consulting specializing in transportation engineering, including roads and highways, and program management. At the timing of the filing of this Form 10-Q, the Company has just started the process of obtaining the relevant data to make the required acquisition related disclosures. This acquisition is not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60" w:firstLine="636"/>
        <w:spacing w:after="0" w:line="245"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2022. Certain amounts may not foot due to rounding.</w:t>
      </w:r>
    </w:p>
    <w:p>
      <w:pPr>
        <w:spacing w:after="0" w:line="181" w:lineRule="exact"/>
        <w:rPr>
          <w:sz w:val="20"/>
          <w:szCs w:val="20"/>
          <w:color w:val="auto"/>
        </w:rPr>
      </w:pPr>
    </w:p>
    <w:p>
      <w:pPr>
        <w:ind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2022.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6172200" cy="3471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ind w:right="140" w:firstLine="636"/>
        <w:spacing w:after="0" w:line="241"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30" w:name="page31"/>
    <w:bookmarkEnd w:id="30"/>
    <w:p>
      <w:pPr>
        <w:ind w:right="80" w:firstLine="636"/>
        <w:spacing w:after="0" w:line="247"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84"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Metrics</w:t>
      </w:r>
    </w:p>
    <w:p>
      <w:pPr>
        <w:spacing w:after="0" w:line="222" w:lineRule="exact"/>
        <w:rPr>
          <w:sz w:val="20"/>
          <w:szCs w:val="20"/>
          <w:color w:val="auto"/>
        </w:rPr>
      </w:pPr>
    </w:p>
    <w:p>
      <w:pPr>
        <w:ind w:right="200" w:firstLine="636"/>
        <w:spacing w:after="0" w:line="260"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5384165</wp:posOffset>
            </wp:positionH>
            <wp:positionV relativeFrom="paragraph">
              <wp:posOffset>121920</wp:posOffset>
            </wp:positionV>
            <wp:extent cx="1054100" cy="265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54100" cy="265430"/>
                    </a:xfrm>
                    <a:prstGeom prst="rect">
                      <a:avLst/>
                    </a:prstGeom>
                    <a:noFill/>
                  </pic:spPr>
                </pic:pic>
              </a:graphicData>
            </a:graphic>
          </wp:anchor>
        </w:drawing>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r>
      <w:tr>
        <w:trPr>
          <w:trHeight w:val="189"/>
        </w:trPr>
        <w:tc>
          <w:tcPr>
            <w:tcW w:w="6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4,748,320</w:t>
            </w: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3,167,023</w:t>
            </w:r>
          </w:p>
        </w:tc>
        <w:tc>
          <w:tcPr>
            <w:tcW w:w="80" w:type="dxa"/>
            <w:vAlign w:val="bottom"/>
            <w:shd w:val="clear" w:color="auto" w:fill="CFF0FC"/>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Backlog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8,815,561</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8,228,989</w:t>
            </w:r>
          </w:p>
        </w:tc>
        <w:tc>
          <w:tcPr>
            <w:tcW w:w="80" w:type="dxa"/>
            <w:vAlign w:val="bottom"/>
          </w:tcPr>
          <w:p>
            <w:pPr>
              <w:spacing w:after="0"/>
              <w:rPr>
                <w:sz w:val="19"/>
                <w:szCs w:val="19"/>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6" w:lineRule="exact"/>
        <w:rPr>
          <w:sz w:val="20"/>
          <w:szCs w:val="20"/>
          <w:color w:val="auto"/>
        </w:rPr>
      </w:pPr>
    </w:p>
    <w:p>
      <w:pPr>
        <w:jc w:val="both"/>
        <w:ind w:left="660" w:hanging="652"/>
        <w:spacing w:after="0" w:line="24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 between our backlog of $8.8 billion and our remaining unsatisfied performance obligations, or RUPO, of $6.2 billion, each as of September 30, 2023, is due to (i) unissued task orders and unexercised option years, to the extent their issuance or exercise is probable, as well as (ii) contract awards, to the extent we believe contract execution and funding is probable.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14"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jc w:val="right"/>
              <w:ind w:right="123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5"/>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764,531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685,599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2,642,302</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1,535,041</w:t>
            </w:r>
          </w:p>
        </w:tc>
        <w:tc>
          <w:tcPr>
            <w:tcW w:w="100" w:type="dxa"/>
            <w:vAlign w:val="bottom"/>
            <w:shd w:val="clear" w:color="auto" w:fill="CFF0FC"/>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670,398</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572,657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1,631,982</w:t>
            </w:r>
          </w:p>
        </w:tc>
        <w:tc>
          <w:tcPr>
            <w:tcW w:w="100" w:type="dxa"/>
            <w:vAlign w:val="bottom"/>
          </w:tcPr>
          <w:p>
            <w:pPr>
              <w:spacing w:after="0"/>
              <w:rPr>
                <w:sz w:val="19"/>
                <w:szCs w:val="19"/>
                <w:color w:val="auto"/>
              </w:rPr>
            </w:pPr>
          </w:p>
        </w:tc>
      </w:tr>
      <w:tr>
        <w:trPr>
          <w:trHeight w:val="263"/>
        </w:trPr>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1,434,929</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1,258,256</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4,748,320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3,167,023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0"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The change in new awards from year to year is generally due to ordinary course fluctuations in our business. The volume of contract awards can fluctuate in any given period due to win rate and the timing and size of the awards issued by our customers. The increase in awards for the three months ended September 30, 2023 when compared to the corresponding period last year was primarily driven by significant awards in both our Federal Solutions and Critical Infrastructure segments.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2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64" w:lineRule="exact"/>
        <w:rPr>
          <w:rFonts w:ascii="Arial" w:cs="Arial" w:eastAsia="Arial" w:hAnsi="Arial"/>
          <w:sz w:val="18"/>
          <w:szCs w:val="18"/>
          <w:color w:val="auto"/>
        </w:rPr>
      </w:pPr>
    </w:p>
    <w:p>
      <w:pPr>
        <w:ind w:left="900" w:right="18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9" w:right="399" w:bottom="1440" w:gutter="0" w:footer="0" w:header="0"/>
        </w:sectPr>
      </w:pPr>
    </w:p>
    <w:bookmarkStart w:id="31" w:name="page32"/>
    <w:bookmarkEnd w:id="31"/>
    <w:p>
      <w:pPr>
        <w:ind w:right="160" w:firstLine="636"/>
        <w:spacing w:after="0" w:line="260"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146685</wp:posOffset>
            </wp:positionV>
            <wp:extent cx="2164715" cy="295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64715" cy="29591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Federal Solutions: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3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1,625,475</w:t>
            </w:r>
          </w:p>
        </w:tc>
        <w:tc>
          <w:tcPr>
            <w:tcW w:w="620" w:type="dxa"/>
            <w:vAlign w:val="bottom"/>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1,448,615</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88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3,565,223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3,656,421</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5,190,698</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5,105,036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Critical Infrastructure:</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3,554,754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3,066,325</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88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57,628</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3,624,863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3,123,953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Backlog (1)</w:t>
            </w: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8,815,561</w:t>
            </w:r>
          </w:p>
        </w:tc>
        <w:tc>
          <w:tcPr>
            <w:tcW w:w="62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8,228,989</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-873760</wp:posOffset>
            </wp:positionV>
            <wp:extent cx="5969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-273685</wp:posOffset>
            </wp:positionV>
            <wp:extent cx="5969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-273685</wp:posOffset>
            </wp:positionV>
            <wp:extent cx="60325"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8" w:lineRule="exact"/>
        <w:rPr>
          <w:sz w:val="20"/>
          <w:szCs w:val="20"/>
          <w:color w:val="auto"/>
        </w:rPr>
      </w:pPr>
    </w:p>
    <w:p>
      <w:pPr>
        <w:ind w:left="1020" w:right="220" w:hanging="638"/>
        <w:spacing w:after="0" w:line="24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$8.8 billion and our RUPO of $6.2 billion, each as of September 30, 2023, is due to (i) unissued task orders and unexercised option years, to the extent their issuance or exercise is probable, as well as (ii) contract awards, to the extent we believe contract execution and funding is probable.</w:t>
      </w:r>
    </w:p>
    <w:p>
      <w:pPr>
        <w:spacing w:after="0" w:line="184" w:lineRule="exact"/>
        <w:rPr>
          <w:sz w:val="20"/>
          <w:szCs w:val="20"/>
          <w:color w:val="auto"/>
        </w:rPr>
      </w:pPr>
    </w:p>
    <w:p>
      <w:pPr>
        <w:ind w:right="100" w:firstLine="636"/>
        <w:spacing w:after="0" w:line="241"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89"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We expect to recognize $3.5 billion of our funded backlog at September 30, 2023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2022.</w:t>
      </w:r>
    </w:p>
    <w:p>
      <w:pPr>
        <w:spacing w:after="0" w:line="194" w:lineRule="exact"/>
        <w:rPr>
          <w:sz w:val="20"/>
          <w:szCs w:val="20"/>
          <w:color w:val="auto"/>
        </w:rPr>
      </w:pPr>
    </w:p>
    <w:p>
      <w:pPr>
        <w:ind w:right="600" w:firstLine="636"/>
        <w:spacing w:after="0" w:line="260"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14"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6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56"/>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60" w:type="dxa"/>
            <w:vAlign w:val="bottom"/>
          </w:tcPr>
          <w:p>
            <w:pPr>
              <w:jc w:val="right"/>
              <w:ind w:right="78"/>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88"/>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right"/>
              <w:ind w:right="68"/>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88"/>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9"/>
        </w:trPr>
        <w:tc>
          <w:tcPr>
            <w:tcW w:w="5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60" w:type="dxa"/>
            <w:vAlign w:val="bottom"/>
          </w:tcPr>
          <w:p>
            <w:pPr>
              <w:jc w:val="right"/>
              <w:ind w:right="398"/>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22" w:lineRule="exact"/>
        <w:rPr>
          <w:sz w:val="20"/>
          <w:szCs w:val="20"/>
          <w:color w:val="auto"/>
        </w:rPr>
      </w:pPr>
    </w:p>
    <w:p>
      <w:pPr>
        <w:ind w:right="60" w:firstLine="636"/>
        <w:spacing w:after="0" w:line="243"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14"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14"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14" w:lineRule="exact"/>
        <w:rPr>
          <w:sz w:val="20"/>
          <w:szCs w:val="20"/>
          <w:color w:val="auto"/>
        </w:rPr>
      </w:pPr>
    </w:p>
    <w:p>
      <w:pPr>
        <w:ind w:firstLine="636"/>
        <w:spacing w:after="0" w:line="241"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14" w:lineRule="exact"/>
        <w:rPr>
          <w:sz w:val="20"/>
          <w:szCs w:val="20"/>
          <w:color w:val="auto"/>
        </w:rPr>
      </w:pPr>
    </w:p>
    <w:p>
      <w:pPr>
        <w:ind w:right="120" w:firstLine="636"/>
        <w:spacing w:after="0" w:line="239"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Sealing Technologies, Inc.</w:t>
      </w:r>
    </w:p>
    <w:p>
      <w:pPr>
        <w:spacing w:after="0" w:line="110" w:lineRule="exact"/>
        <w:rPr>
          <w:sz w:val="20"/>
          <w:szCs w:val="20"/>
          <w:color w:val="auto"/>
        </w:rPr>
      </w:pPr>
    </w:p>
    <w:p>
      <w:pPr>
        <w:ind w:right="20" w:firstLine="644"/>
        <w:spacing w:after="0" w:line="239"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$181.7 million and up to an additional $25 million in the event an earn out revenue target is exceeded.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The financial results of SealingTech have been included in our consolidated results of operations from August 23, 2023 onward.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IPKeys Power Partners</w:t>
      </w:r>
    </w:p>
    <w:p>
      <w:pPr>
        <w:spacing w:after="0" w:line="110" w:lineRule="exact"/>
        <w:rPr>
          <w:sz w:val="20"/>
          <w:szCs w:val="20"/>
          <w:color w:val="auto"/>
        </w:rPr>
      </w:pPr>
    </w:p>
    <w:p>
      <w:pPr>
        <w:ind w:right="20" w:firstLine="644"/>
        <w:spacing w:after="0" w:line="239"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financial results of IPKeys have been included in our consolidated results of operations from April 13, 2023 onward.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Xator Corporation</w:t>
      </w:r>
    </w:p>
    <w:p>
      <w:pPr>
        <w:spacing w:after="0" w:line="110"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On May 31, 2022, the Company acquired Xator Corporation for $387.5 million. This strategic acquisition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 The financial results of Xator have been included in our consolidated results of operations from May 31, 2022 onward.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80" w:hanging="374"/>
        <w:spacing w:after="0" w:line="243"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both"/>
        <w:ind w:left="1400" w:right="360" w:hanging="374"/>
        <w:spacing w:after="0" w:line="24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76"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5" w:lineRule="exact"/>
        <w:rPr>
          <w:sz w:val="20"/>
          <w:szCs w:val="20"/>
          <w:color w:val="auto"/>
        </w:rPr>
      </w:pPr>
    </w:p>
    <w:p>
      <w:pPr>
        <w:ind w:right="40" w:firstLine="636"/>
        <w:spacing w:after="0" w:line="247"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2022 for a description of our policies on revenue recognition.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8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7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4400" w:type="dxa"/>
            <w:vAlign w:val="bottom"/>
          </w:tcPr>
          <w:p>
            <w:pPr>
              <w:spacing w:after="0"/>
              <w:rPr>
                <w:sz w:val="13"/>
                <w:szCs w:val="13"/>
                <w:color w:val="auto"/>
              </w:rPr>
            </w:pPr>
          </w:p>
        </w:tc>
        <w:tc>
          <w:tcPr>
            <w:tcW w:w="134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00" w:type="dxa"/>
            <w:vAlign w:val="bottom"/>
          </w:tcPr>
          <w:p>
            <w:pPr>
              <w:ind w:left="14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ind w:left="14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44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31.9%</w:t>
            </w:r>
          </w:p>
        </w:tc>
        <w:tc>
          <w:tcPr>
            <w:tcW w:w="14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29.5%</w:t>
            </w:r>
          </w:p>
        </w:tc>
        <w:tc>
          <w:tcPr>
            <w:tcW w:w="14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7"/>
              </w:rPr>
              <w:t>31.2%</w:t>
            </w:r>
          </w:p>
        </w:tc>
        <w:tc>
          <w:tcPr>
            <w:tcW w:w="14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27.6%</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Time-and-materials</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25.1%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rPr>
              <w:t>26.6%</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25.3%</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rPr>
              <w:t>27.1%</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43.0%</w:t>
            </w:r>
          </w:p>
        </w:tc>
        <w:tc>
          <w:tcPr>
            <w:tcW w:w="14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43.8%</w:t>
            </w:r>
          </w:p>
        </w:tc>
        <w:tc>
          <w:tcPr>
            <w:tcW w:w="14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7"/>
              </w:rPr>
              <w:t>43.5%</w:t>
            </w:r>
          </w:p>
        </w:tc>
        <w:tc>
          <w:tcPr>
            <w:tcW w:w="14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45.3%</w:t>
            </w:r>
          </w:p>
        </w:tc>
      </w:tr>
    </w:tbl>
    <w:p>
      <w:pPr>
        <w:spacing w:after="0" w:line="230"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95"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14" w:lineRule="exact"/>
        <w:rPr>
          <w:sz w:val="20"/>
          <w:szCs w:val="20"/>
          <w:color w:val="auto"/>
        </w:rPr>
      </w:pPr>
    </w:p>
    <w:p>
      <w:pPr>
        <w:ind w:right="80" w:firstLine="636"/>
        <w:spacing w:after="0" w:line="239"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September 30, 2023 and September 30, 2022 of $57.3 million and $60.3 million, respectively, and $164.8 million and $160.5 million for the nine months ended September 30, 2023 and September 30, 2022,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4" w:lineRule="exact"/>
        <w:rPr>
          <w:sz w:val="20"/>
          <w:szCs w:val="20"/>
          <w:color w:val="auto"/>
        </w:rPr>
      </w:pPr>
    </w:p>
    <w:p>
      <w:pPr>
        <w:ind w:right="180" w:firstLine="636"/>
        <w:spacing w:after="0" w:line="239"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September 30, 2023 and September 30, 2022 was $14.9 million and $15.4 million, respectively, and for the nine months ended September 30, 2023 and September 30, 2022 was $44.1 million and $42.0 million, respectively and is recorded in “Direct cost of contracts” and “Selling, general and administrative expenses.”</w:t>
      </w:r>
    </w:p>
    <w:p>
      <w:pPr>
        <w:spacing w:after="0" w:line="194"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1" w:right="379" w:bottom="1440" w:gutter="0" w:footer="0" w:header="0"/>
        </w:sectPr>
      </w:pPr>
    </w:p>
    <w:bookmarkStart w:id="35" w:name="page36"/>
    <w:bookmarkEnd w:id="35"/>
    <w:p>
      <w:pPr>
        <w:ind w:right="640" w:firstLine="636"/>
        <w:spacing w:after="0" w:line="260"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540" w:firstLine="636"/>
        <w:spacing w:after="0" w:line="260"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2" w:lineRule="exact"/>
        <w:rPr>
          <w:sz w:val="20"/>
          <w:szCs w:val="20"/>
          <w:color w:val="auto"/>
        </w:rPr>
      </w:pPr>
    </w:p>
    <w:p>
      <w:pPr>
        <w:ind w:right="260" w:firstLine="636"/>
        <w:spacing w:after="0" w:line="260"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nine months ended September 30, 2023 and September 30, 2022.</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gridSpan w:val="2"/>
          </w:tcPr>
          <w:p>
            <w:pPr>
              <w:spacing w:after="0"/>
              <w:rPr>
                <w:sz w:val="16"/>
                <w:szCs w:val="16"/>
                <w:color w:val="auto"/>
              </w:rPr>
            </w:pPr>
          </w:p>
        </w:tc>
      </w:tr>
      <w:tr>
        <w:trPr>
          <w:trHeight w:val="156"/>
        </w:trPr>
        <w:tc>
          <w:tcPr>
            <w:tcW w:w="4480" w:type="dxa"/>
            <w:vAlign w:val="bottom"/>
          </w:tcPr>
          <w:p>
            <w:pPr>
              <w:spacing w:after="0"/>
              <w:rPr>
                <w:sz w:val="13"/>
                <w:szCs w:val="13"/>
                <w:color w:val="auto"/>
              </w:rPr>
            </w:pPr>
          </w:p>
        </w:tc>
        <w:tc>
          <w:tcPr>
            <w:tcW w:w="1400" w:type="dxa"/>
            <w:vAlign w:val="bottom"/>
            <w:gridSpan w:val="3"/>
          </w:tcPr>
          <w:p>
            <w:pPr>
              <w:jc w:val="right"/>
              <w:ind w:right="36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40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320" w:type="dxa"/>
            <w:vAlign w:val="bottom"/>
            <w:gridSpan w:val="3"/>
          </w:tcPr>
          <w:p>
            <w:pPr>
              <w:jc w:val="right"/>
              <w:ind w:right="34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44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127,833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254,349</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Net Income Margin (2)</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3.8 %</w:t>
            </w: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Adjusted EBITDA Margin (3)</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9.1 %</w:t>
            </w: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6" w:lineRule="exact"/>
        <w:rPr>
          <w:sz w:val="20"/>
          <w:szCs w:val="20"/>
          <w:color w:val="auto"/>
        </w:rPr>
      </w:pPr>
    </w:p>
    <w:p>
      <w:pPr>
        <w:ind w:left="1020" w:hanging="63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20" w:hanging="63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20" w:hanging="63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56"/>
        </w:trPr>
        <w:tc>
          <w:tcPr>
            <w:tcW w:w="4440" w:type="dxa"/>
            <w:vAlign w:val="bottom"/>
          </w:tcPr>
          <w:p>
            <w:pPr>
              <w:spacing w:after="0"/>
              <w:rPr>
                <w:sz w:val="13"/>
                <w:szCs w:val="13"/>
                <w:color w:val="auto"/>
              </w:rPr>
            </w:pPr>
          </w:p>
        </w:tc>
        <w:tc>
          <w:tcPr>
            <w:tcW w:w="1460" w:type="dxa"/>
            <w:vAlign w:val="bottom"/>
            <w:gridSpan w:val="3"/>
          </w:tcPr>
          <w:p>
            <w:pPr>
              <w:jc w:val="right"/>
              <w:ind w:right="380"/>
              <w:spacing w:after="0" w:line="156"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2"/>
          </w:tcPr>
          <w:p>
            <w:pPr>
              <w:jc w:val="right"/>
              <w:ind w:right="52"/>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200" w:type="dxa"/>
            <w:vAlign w:val="bottom"/>
            <w:gridSpan w:val="2"/>
          </w:tcPr>
          <w:p>
            <w:pPr>
              <w:jc w:val="right"/>
              <w:ind w:right="33"/>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180" w:type="dxa"/>
            <w:vAlign w:val="bottom"/>
            <w:gridSpan w:val="2"/>
          </w:tcPr>
          <w:p>
            <w:pPr>
              <w:jc w:val="right"/>
              <w:ind w:right="32"/>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89"/>
        </w:trPr>
        <w:tc>
          <w:tcPr>
            <w:tcW w:w="4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29,571</w:t>
            </w:r>
          </w:p>
        </w:tc>
        <w:tc>
          <w:tcPr>
            <w:tcW w:w="54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116,241</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68,533</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14,168</w:t>
            </w: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27,643</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30,154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29,578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90,668</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21,685</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15,814</w:t>
            </w: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Transaction-related costs (a)</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14,486</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Restructuring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(38 )</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FF0FC"/>
          </w:tcPr>
          <w:p>
            <w:pPr>
              <w:spacing w:after="0"/>
              <w:rPr>
                <w:sz w:val="19"/>
                <w:szCs w:val="19"/>
                <w:color w:val="auto"/>
              </w:rPr>
            </w:pPr>
          </w:p>
        </w:tc>
      </w:tr>
      <w:tr>
        <w:trPr>
          <w:trHeight w:val="223"/>
        </w:trPr>
        <w:tc>
          <w:tcPr>
            <w:tcW w:w="444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127,833</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102,687</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336,530</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254,349</w:t>
            </w:r>
          </w:p>
        </w:tc>
        <w:tc>
          <w:tcPr>
            <w:tcW w:w="100" w:type="dxa"/>
            <w:vAlign w:val="bottom"/>
            <w:tcBorders>
              <w:top w:val="single" w:sz="8" w:color="CFF0FC"/>
            </w:tcBorders>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-179070</wp:posOffset>
            </wp:positionV>
            <wp:extent cx="68580" cy="1797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-179070</wp:posOffset>
            </wp:positionV>
            <wp:extent cx="68580" cy="179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-179070</wp:posOffset>
            </wp:positionV>
            <wp:extent cx="59690" cy="179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9" w:lineRule="exact"/>
        <w:rPr>
          <w:sz w:val="20"/>
          <w:szCs w:val="20"/>
          <w:color w:val="auto"/>
        </w:rPr>
      </w:pPr>
    </w:p>
    <w:p>
      <w:pPr>
        <w:ind w:left="660" w:hanging="652"/>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9" w:right="459" w:bottom="1440" w:gutter="0" w:footer="0" w:header="0"/>
        </w:sectPr>
      </w:pPr>
    </w:p>
    <w:bookmarkStart w:id="36" w:name="page37"/>
    <w:bookmarkEnd w:id="36"/>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spacing w:after="0" w:line="7" w:lineRule="exact"/>
        <w:rPr>
          <w:rFonts w:ascii="Arial" w:cs="Arial" w:eastAsia="Arial" w:hAnsi="Arial"/>
          <w:sz w:val="18"/>
          <w:szCs w:val="18"/>
          <w:color w:val="auto"/>
        </w:rPr>
      </w:pPr>
    </w:p>
    <w:p>
      <w:pPr>
        <w:ind w:left="660" w:right="160" w:hanging="652"/>
        <w:spacing w:after="0" w:line="24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85" w:lineRule="exact"/>
        <w:rPr>
          <w:sz w:val="20"/>
          <w:szCs w:val="20"/>
          <w:color w:val="auto"/>
        </w:rPr>
      </w:pPr>
    </w:p>
    <w:p>
      <w:pPr>
        <w:ind w:right="220" w:firstLine="636"/>
        <w:spacing w:after="0" w:line="241"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89" w:lineRule="exact"/>
        <w:rPr>
          <w:sz w:val="20"/>
          <w:szCs w:val="20"/>
          <w:color w:val="auto"/>
        </w:rPr>
      </w:pPr>
    </w:p>
    <w:p>
      <w:pPr>
        <w:ind w:right="120" w:firstLine="644"/>
        <w:spacing w:after="0" w:line="236"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202" w:lineRule="exact"/>
        <w:rPr>
          <w:sz w:val="20"/>
          <w:szCs w:val="20"/>
          <w:color w:val="auto"/>
        </w:rPr>
      </w:pPr>
    </w:p>
    <w:p>
      <w:pPr>
        <w:ind w:right="300" w:firstLine="644"/>
        <w:spacing w:after="0" w:line="247"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Please see Segment Results below for a discussion of the factors impacting Adjusted EBITDA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Variance</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20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center"/>
              <w:ind w:right="19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1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Percent</w:t>
            </w:r>
          </w:p>
        </w:tc>
      </w:tr>
      <w:tr>
        <w:trPr>
          <w:trHeight w:val="197"/>
        </w:trPr>
        <w:tc>
          <w:tcPr>
            <w:tcW w:w="5260" w:type="dxa"/>
            <w:vAlign w:val="bottom"/>
          </w:tcPr>
          <w:p>
            <w:pPr>
              <w:ind w:left="20"/>
              <w:spacing w:after="0" w:line="197" w:lineRule="exact"/>
              <w:rPr>
                <w:sz w:val="20"/>
                <w:szCs w:val="20"/>
                <w:color w:val="auto"/>
              </w:rPr>
            </w:pPr>
            <w:r>
              <w:rPr>
                <w:rFonts w:ascii="Arial" w:cs="Arial" w:eastAsia="Arial" w:hAnsi="Arial"/>
                <w:sz w:val="18"/>
                <w:szCs w:val="18"/>
                <w:color w:val="auto"/>
              </w:rPr>
              <w:t>Federal Solutions Adjusted EBITDA attributable to Parsons</w:t>
            </w: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65,039</w:t>
            </w:r>
          </w:p>
        </w:tc>
        <w:tc>
          <w:tcPr>
            <w:tcW w:w="5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61,004</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6.6 %</w:t>
            </w:r>
          </w:p>
        </w:tc>
      </w:tr>
      <w:tr>
        <w:trPr>
          <w:trHeight w:val="203"/>
        </w:trPr>
        <w:tc>
          <w:tcPr>
            <w:tcW w:w="5260" w:type="dxa"/>
            <w:vAlign w:val="bottom"/>
          </w:tcPr>
          <w:p>
            <w:pPr>
              <w:ind w:left="20"/>
              <w:spacing w:after="0" w:line="203" w:lineRule="exact"/>
              <w:rPr>
                <w:sz w:val="20"/>
                <w:szCs w:val="20"/>
                <w:color w:val="auto"/>
              </w:rPr>
            </w:pPr>
            <w:r>
              <w:rPr>
                <w:rFonts w:ascii="Arial" w:cs="Arial" w:eastAsia="Arial" w:hAnsi="Arial"/>
                <w:sz w:val="18"/>
                <w:szCs w:val="18"/>
                <w:color w:val="auto"/>
              </w:rPr>
              <w:t>Critical Infrastructure Adjusted EBITDA attributable to Parsons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22,643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82.2 %</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(1,532 )</w:t>
            </w: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-10.8 %</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127,833</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102,687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24.5 %</w:t>
            </w: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Variance</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20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center"/>
              <w:ind w:right="19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1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Percent</w:t>
            </w:r>
          </w:p>
        </w:tc>
      </w:tr>
      <w:tr>
        <w:trPr>
          <w:trHeight w:val="197"/>
        </w:trPr>
        <w:tc>
          <w:tcPr>
            <w:tcW w:w="5260" w:type="dxa"/>
            <w:vAlign w:val="bottom"/>
          </w:tcPr>
          <w:p>
            <w:pPr>
              <w:ind w:left="20"/>
              <w:spacing w:after="0" w:line="197" w:lineRule="exact"/>
              <w:rPr>
                <w:sz w:val="20"/>
                <w:szCs w:val="20"/>
                <w:color w:val="auto"/>
              </w:rPr>
            </w:pPr>
            <w:r>
              <w:rPr>
                <w:rFonts w:ascii="Arial" w:cs="Arial" w:eastAsia="Arial" w:hAnsi="Arial"/>
                <w:sz w:val="18"/>
                <w:szCs w:val="18"/>
                <w:color w:val="auto"/>
              </w:rPr>
              <w:t>Federal Solutions Adjusted EBITDA attributable to Parsons</w:t>
            </w: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206,827</w:t>
            </w:r>
          </w:p>
        </w:tc>
        <w:tc>
          <w:tcPr>
            <w:tcW w:w="5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151,287</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55,540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36.7 %</w:t>
            </w:r>
          </w:p>
        </w:tc>
      </w:tr>
      <w:tr>
        <w:trPr>
          <w:trHeight w:val="203"/>
        </w:trPr>
        <w:tc>
          <w:tcPr>
            <w:tcW w:w="5260" w:type="dxa"/>
            <w:vAlign w:val="bottom"/>
          </w:tcPr>
          <w:p>
            <w:pPr>
              <w:ind w:left="20"/>
              <w:spacing w:after="0" w:line="203" w:lineRule="exact"/>
              <w:rPr>
                <w:sz w:val="20"/>
                <w:szCs w:val="20"/>
                <w:color w:val="auto"/>
              </w:rPr>
            </w:pPr>
            <w:r>
              <w:rPr>
                <w:rFonts w:ascii="Arial" w:cs="Arial" w:eastAsia="Arial" w:hAnsi="Arial"/>
                <w:sz w:val="18"/>
                <w:szCs w:val="18"/>
                <w:color w:val="auto"/>
              </w:rPr>
              <w:t>Critical Infrastructure Adjusted EBITDA attributable to Parsons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95,481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14,461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17.8 %</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55.3 %</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300" w:type="dxa"/>
            <w:vAlign w:val="bottom"/>
          </w:tcPr>
          <w:p>
            <w:pPr>
              <w:spacing w:after="0"/>
              <w:rPr>
                <w:sz w:val="19"/>
                <w:szCs w:val="19"/>
                <w:color w:val="auto"/>
              </w:rPr>
            </w:pPr>
          </w:p>
        </w:tc>
        <w:tc>
          <w:tcPr>
            <w:tcW w:w="300" w:type="dxa"/>
            <w:vAlign w:val="bottom"/>
            <w:tcBorders>
              <w:bottom w:val="single" w:sz="8" w:color="auto"/>
            </w:tcBorders>
          </w:tcPr>
          <w:p>
            <w:pPr>
              <w:jc w:val="center"/>
              <w:ind w:right="7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336,530</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32.3 %</w:t>
            </w: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5260" w:type="dxa"/>
            <w:vAlign w:val="bottom"/>
          </w:tcPr>
          <w:p>
            <w:pPr>
              <w:spacing w:after="0"/>
              <w:rPr>
                <w:sz w:val="24"/>
                <w:szCs w:val="24"/>
                <w:color w:val="auto"/>
              </w:rPr>
            </w:pPr>
          </w:p>
        </w:tc>
        <w:tc>
          <w:tcPr>
            <w:tcW w:w="6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35</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274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3257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274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3257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43" w:right="279" w:bottom="1440" w:gutter="0" w:footer="0" w:header="0"/>
        </w:sectPr>
      </w:pPr>
    </w:p>
    <w:bookmarkStart w:id="37" w:name="page38"/>
    <w:bookmarkEnd w:id="37"/>
    <w:p>
      <w:pPr>
        <w:ind w:right="180" w:firstLine="636"/>
        <w:spacing w:after="0" w:line="260"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30, 2023 and September 30, 2022 as a percentage of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40" w:type="dxa"/>
            <w:vAlign w:val="bottom"/>
            <w:gridSpan w:val="5"/>
          </w:tcPr>
          <w:p>
            <w:pPr>
              <w:jc w:val="right"/>
              <w:ind w:right="34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80" w:type="dxa"/>
            <w:vAlign w:val="bottom"/>
            <w:tcBorders>
              <w:top w:val="single" w:sz="8" w:color="auto"/>
            </w:tcBorders>
            <w:gridSpan w:val="4"/>
          </w:tcPr>
          <w:p>
            <w:pPr>
              <w:jc w:val="right"/>
              <w:ind w:right="440"/>
              <w:spacing w:after="0" w:line="156"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Borders>
              <w:top w:val="single" w:sz="8" w:color="auto"/>
            </w:tcBorders>
            <w:gridSpan w:val="4"/>
          </w:tcPr>
          <w:p>
            <w:pPr>
              <w:jc w:val="center"/>
              <w:ind w:right="260"/>
              <w:spacing w:after="0" w:line="156" w:lineRule="exact"/>
              <w:rPr>
                <w:sz w:val="20"/>
                <w:szCs w:val="20"/>
                <w:color w:val="auto"/>
              </w:rPr>
            </w:pPr>
            <w:r>
              <w:rPr>
                <w:rFonts w:ascii="Arial" w:cs="Arial" w:eastAsia="Arial" w:hAnsi="Arial"/>
                <w:sz w:val="14"/>
                <w:szCs w:val="14"/>
                <w:b w:val="1"/>
                <w:bCs w:val="1"/>
                <w:color w:val="auto"/>
              </w:rPr>
              <w:t>September 30,</w:t>
            </w:r>
          </w:p>
        </w:tc>
        <w:tc>
          <w:tcPr>
            <w:tcW w:w="1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Revenues</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100 %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100 %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100 %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79.3 %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76.9 %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78.8 %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77.2 %</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0.7 %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-0.1 %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0.1 %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15.6 %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17.4 %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16.0 %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280"/>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5.9 %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5.6 %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5.3 %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2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-0.6 %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-0.6 %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-0.6 %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0.0 %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-0.1 %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0.0 %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-0.6 %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-0.6 %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-0.5 %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280"/>
              <w:spacing w:after="0"/>
              <w:rPr>
                <w:sz w:val="20"/>
                <w:szCs w:val="20"/>
                <w:color w:val="auto"/>
              </w:rPr>
            </w:pPr>
            <w:r>
              <w:rPr>
                <w:rFonts w:ascii="Arial" w:cs="Arial" w:eastAsia="Arial" w:hAnsi="Arial"/>
                <w:sz w:val="18"/>
                <w:szCs w:val="18"/>
                <w:color w:val="auto"/>
              </w:rPr>
              <w:t>Income before income tax expense</w:t>
            </w: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color w:val="auto"/>
                <w:highlight w:val="white"/>
              </w:rPr>
              <w:t>%</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color w:val="auto"/>
                <w:highlight w:val="white"/>
              </w:rPr>
              <w:t>%</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color w:val="auto"/>
                <w:highlight w:val="white"/>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-1.2 %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-1.1 %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280"/>
              <w:spacing w:after="0"/>
              <w:rPr>
                <w:sz w:val="20"/>
                <w:szCs w:val="20"/>
                <w:color w:val="auto"/>
              </w:rPr>
            </w:pPr>
            <w:r>
              <w:rPr>
                <w:rFonts w:ascii="Arial" w:cs="Arial" w:eastAsia="Arial" w:hAnsi="Arial"/>
                <w:sz w:val="18"/>
                <w:szCs w:val="18"/>
                <w:color w:val="auto"/>
              </w:rPr>
              <w:t>Net income including noncontrolling interests</w:t>
            </w: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color w:val="auto"/>
                <w:highlight w:val="white"/>
              </w:rPr>
              <w:t>%</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color w:val="auto"/>
                <w:highlight w:val="white"/>
              </w:rPr>
              <w:t>%</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color w:val="auto"/>
                <w:highlight w:val="white"/>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-0.9 %</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-1.2 %</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-0.9 %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280"/>
              <w:spacing w:after="0"/>
              <w:rPr>
                <w:sz w:val="20"/>
                <w:szCs w:val="20"/>
                <w:color w:val="auto"/>
              </w:rPr>
            </w:pPr>
            <w:r>
              <w:rPr>
                <w:rFonts w:ascii="Arial" w:cs="Arial" w:eastAsia="Arial" w:hAnsi="Arial"/>
                <w:sz w:val="18"/>
                <w:szCs w:val="18"/>
                <w:color w:val="auto"/>
              </w:rPr>
              <w:t>Net income attributable to Parsons Corporation</w:t>
            </w: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color w:val="auto"/>
                <w:highlight w:val="white"/>
              </w:rPr>
              <w:t>%</w:t>
            </w:r>
          </w:p>
        </w:tc>
        <w:tc>
          <w:tcPr>
            <w:tcW w:w="10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color w:val="auto"/>
                <w:highlight w:val="white"/>
              </w:rPr>
              <w:t>%</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color w:val="auto"/>
                <w:highlight w:val="white"/>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i w:val="1"/>
                <w:iCs w:val="1"/>
                <w:color w:val="auto"/>
              </w:rPr>
              <w:t>Revenue</w:t>
            </w: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86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1273"/>
              <w:spacing w:after="0"/>
              <w:rPr>
                <w:sz w:val="20"/>
                <w:szCs w:val="20"/>
                <w:color w:val="auto"/>
              </w:rPr>
            </w:pPr>
            <w:r>
              <w:rPr>
                <w:rFonts w:ascii="Arial" w:cs="Arial" w:eastAsia="Arial" w:hAnsi="Arial"/>
                <w:sz w:val="14"/>
                <w:szCs w:val="14"/>
                <w:b w:val="1"/>
                <w:bCs w:val="1"/>
                <w:color w:val="auto"/>
              </w:rPr>
              <w:t>Variance</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5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Dollar</w:t>
            </w:r>
          </w:p>
        </w:tc>
        <w:tc>
          <w:tcPr>
            <w:tcW w:w="22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6"/>
                <w:szCs w:val="16"/>
                <w:color w:val="auto"/>
              </w:rPr>
              <w:t>Revenue</w:t>
            </w:r>
          </w:p>
        </w:tc>
        <w:tc>
          <w:tcPr>
            <w:tcW w:w="680" w:type="dxa"/>
            <w:vAlign w:val="bottom"/>
          </w:tcPr>
          <w:p>
            <w:pPr>
              <w:jc w:val="right"/>
              <w:ind w:right="504"/>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1,418,571</w:t>
            </w:r>
          </w:p>
        </w:tc>
        <w:tc>
          <w:tcPr>
            <w:tcW w:w="50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1,134,370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284,201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25.1 %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-2970530</wp:posOffset>
            </wp:positionV>
            <wp:extent cx="7132320"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-2679065</wp:posOffset>
            </wp:positionV>
            <wp:extent cx="713232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-2378710</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-2078990</wp:posOffset>
            </wp:positionV>
            <wp:extent cx="7132320"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-1778635</wp:posOffset>
            </wp:positionV>
            <wp:extent cx="713232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-1478915</wp:posOffset>
            </wp:positionV>
            <wp:extent cx="71323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-1178560</wp:posOffset>
            </wp:positionV>
            <wp:extent cx="713232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6" w:lineRule="exact"/>
        <w:rPr>
          <w:sz w:val="20"/>
          <w:szCs w:val="20"/>
          <w:color w:val="auto"/>
        </w:rPr>
      </w:pPr>
    </w:p>
    <w:p>
      <w:pPr>
        <w:ind w:right="120" w:firstLine="644"/>
        <w:spacing w:after="0" w:line="247" w:lineRule="auto"/>
        <w:rPr>
          <w:sz w:val="20"/>
          <w:szCs w:val="20"/>
          <w:color w:val="auto"/>
        </w:rPr>
      </w:pPr>
      <w:r>
        <w:rPr>
          <w:rFonts w:ascii="Arial" w:cs="Arial" w:eastAsia="Arial" w:hAnsi="Arial"/>
          <w:sz w:val="18"/>
          <w:szCs w:val="18"/>
          <w:color w:val="auto"/>
        </w:rPr>
        <w:t>The increase in revenue for the three months ended September 30, 2023 when compared to the corresponding period last year, was due to increases in revenue in both our Federal Solutions and Critical Infrastructure segments of $159.7 million and $124.5 million,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5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r>
      <w:tr>
        <w:trPr>
          <w:trHeight w:val="203"/>
        </w:trPr>
        <w:tc>
          <w:tcPr>
            <w:tcW w:w="4260" w:type="dxa"/>
            <w:vAlign w:val="bottom"/>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tcPr>
          <w:p>
            <w:pPr>
              <w:jc w:val="right"/>
              <w:ind w:right="264"/>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3,948,523</w:t>
            </w:r>
          </w:p>
        </w:tc>
        <w:tc>
          <w:tcPr>
            <w:tcW w:w="940" w:type="dxa"/>
            <w:vAlign w:val="bottom"/>
            <w:gridSpan w:val="2"/>
          </w:tcPr>
          <w:p>
            <w:pPr>
              <w:jc w:val="right"/>
              <w:ind w:right="46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3,092,160</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856,363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6"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The increase in revenue for the nine months ended September 30, 2023 when compared to the corresponding period last year, was due to increases in revenue in both our Federal Solutions and Critical Infrastructure segments of $527.9 million and $328.5 million,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“Segment Results” below for a further discussion of the changes in the Company's revenue.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Variance</w:t>
            </w:r>
          </w:p>
        </w:tc>
        <w:tc>
          <w:tcPr>
            <w:tcW w:w="1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Dollar</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1,124,305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872,423</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251,882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5" w:lineRule="exact"/>
        <w:rPr>
          <w:sz w:val="20"/>
          <w:szCs w:val="20"/>
          <w:color w:val="auto"/>
        </w:rPr>
      </w:pPr>
    </w:p>
    <w:p>
      <w:pPr>
        <w:ind w:right="100" w:firstLine="644"/>
        <w:spacing w:after="0" w:line="243" w:lineRule="auto"/>
        <w:rPr>
          <w:sz w:val="20"/>
          <w:szCs w:val="20"/>
          <w:color w:val="auto"/>
        </w:rPr>
      </w:pPr>
      <w:r>
        <w:rPr>
          <w:rFonts w:ascii="Arial" w:cs="Arial" w:eastAsia="Arial" w:hAnsi="Arial"/>
          <w:sz w:val="18"/>
          <w:szCs w:val="18"/>
          <w:color w:val="auto"/>
        </w:rPr>
        <w:t>The increase in direct cost of contracts for the three months ended September 30, 2023 when compared to the corresponding period last year, was primarily due to an increase of $146.7 million in our Federal Solutions segment and $105.2 million in our Critical Infrastructure segment. The increases were primarily due to an an increase in organic business volume in both segments and an increase from business acquisitions in the Federal Solutions segment of $16.2 million.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Variance</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16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Dollar</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3,109,713</w:t>
            </w:r>
          </w:p>
        </w:tc>
        <w:tc>
          <w:tcPr>
            <w:tcW w:w="98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2,388,095</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721,618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30.2 %</w:t>
            </w:r>
          </w:p>
        </w:tc>
      </w:tr>
      <w:tr>
        <w:trPr>
          <w:trHeight w:val="648"/>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gridSpan w:val="2"/>
          </w:tcPr>
          <w:p>
            <w:pPr>
              <w:jc w:val="right"/>
              <w:ind w:right="428"/>
              <w:spacing w:after="0"/>
              <w:rPr>
                <w:sz w:val="20"/>
                <w:szCs w:val="20"/>
                <w:color w:val="auto"/>
              </w:rPr>
            </w:pPr>
            <w:r>
              <w:rPr>
                <w:rFonts w:ascii="Arial" w:cs="Arial" w:eastAsia="Arial" w:hAnsi="Arial"/>
                <w:sz w:val="18"/>
                <w:szCs w:val="18"/>
                <w:color w:val="auto"/>
              </w:rPr>
              <w:t>36</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46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51" w:right="279" w:bottom="1440" w:gutter="0" w:footer="0" w:header="0"/>
        </w:sectPr>
      </w:pPr>
    </w:p>
    <w:bookmarkStart w:id="38" w:name="page39"/>
    <w:bookmarkEnd w:id="38"/>
    <w:p>
      <w:pPr>
        <w:ind w:right="180" w:firstLine="644"/>
        <w:spacing w:after="0" w:line="243" w:lineRule="auto"/>
        <w:rPr>
          <w:sz w:val="20"/>
          <w:szCs w:val="20"/>
          <w:color w:val="auto"/>
        </w:rPr>
      </w:pPr>
      <w:r>
        <w:rPr>
          <w:rFonts w:ascii="Arial" w:cs="Arial" w:eastAsia="Arial" w:hAnsi="Arial"/>
          <w:sz w:val="18"/>
          <w:szCs w:val="18"/>
          <w:color w:val="auto"/>
        </w:rPr>
        <w:t>The increase in direct cost of contracts for the nine months ended September 30, 2023 when compared to the corresponding period last year, was primarily due to an increase of $446.4 million in our Federal Solutions segment and $275.2 million in our Critical Infrastructure segment. The increases were primarily due to an increase in organic business volume in both segments and an increase from business acquisitions of $208.7 million in the Federal Solutions segment.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earnings of unconsolidated joint ventures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6"/>
        </w:trPr>
        <w:tc>
          <w:tcPr>
            <w:tcW w:w="5000" w:type="dxa"/>
            <w:vAlign w:val="bottom"/>
          </w:tcPr>
          <w:p>
            <w:pPr>
              <w:spacing w:after="0"/>
              <w:rPr>
                <w:sz w:val="13"/>
                <w:szCs w:val="13"/>
                <w:color w:val="auto"/>
              </w:rPr>
            </w:pPr>
          </w:p>
        </w:tc>
        <w:tc>
          <w:tcPr>
            <w:tcW w:w="12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3"/>
          </w:tcPr>
          <w:p>
            <w:pPr>
              <w:jc w:val="center"/>
              <w:ind w:right="760"/>
              <w:spacing w:after="0" w:line="156"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Equity in earnings (losses) of unconsolidated joint ventures</w:t>
            </w:r>
          </w:p>
        </w:tc>
        <w:tc>
          <w:tcPr>
            <w:tcW w:w="28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(974 )  $</w:t>
            </w:r>
          </w:p>
        </w:tc>
        <w:tc>
          <w:tcPr>
            <w:tcW w:w="1060" w:type="dxa"/>
            <w:vAlign w:val="bottom"/>
          </w:tcPr>
          <w:p>
            <w:pPr>
              <w:jc w:val="right"/>
              <w:spacing w:after="0"/>
              <w:rPr>
                <w:sz w:val="20"/>
                <w:szCs w:val="20"/>
                <w:color w:val="auto"/>
              </w:rPr>
            </w:pPr>
            <w:r>
              <w:rPr>
                <w:rFonts w:ascii="Arial" w:cs="Arial" w:eastAsia="Arial" w:hAnsi="Arial"/>
                <w:sz w:val="18"/>
                <w:szCs w:val="18"/>
                <w:color w:val="auto"/>
              </w:rPr>
              <w:t>11,236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-1153.6 %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5" w:lineRule="exact"/>
        <w:rPr>
          <w:sz w:val="20"/>
          <w:szCs w:val="20"/>
          <w:color w:val="auto"/>
        </w:rPr>
      </w:pPr>
    </w:p>
    <w:p>
      <w:pPr>
        <w:jc w:val="both"/>
        <w:ind w:right="140" w:firstLine="644"/>
        <w:spacing w:after="0" w:line="260" w:lineRule="auto"/>
        <w:rPr>
          <w:sz w:val="20"/>
          <w:szCs w:val="20"/>
          <w:color w:val="auto"/>
        </w:rPr>
      </w:pPr>
      <w:r>
        <w:rPr>
          <w:rFonts w:ascii="Arial" w:cs="Arial" w:eastAsia="Arial" w:hAnsi="Arial"/>
          <w:sz w:val="18"/>
          <w:szCs w:val="18"/>
          <w:color w:val="auto"/>
        </w:rPr>
        <w:t>The increase in equity in earnings of unconsolidated joint ventures for the three months ended September 30, 2023 compared to the corresponding period last year, was primarily due to earnings on higher margin change orders.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6"/>
        </w:trPr>
        <w:tc>
          <w:tcPr>
            <w:tcW w:w="5000" w:type="dxa"/>
            <w:vAlign w:val="bottom"/>
          </w:tcPr>
          <w:p>
            <w:pPr>
              <w:spacing w:after="0"/>
              <w:rPr>
                <w:sz w:val="13"/>
                <w:szCs w:val="13"/>
                <w:color w:val="auto"/>
              </w:rPr>
            </w:pPr>
          </w:p>
        </w:tc>
        <w:tc>
          <w:tcPr>
            <w:tcW w:w="12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122"/>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Equity in earnings of unconsolidated joint ventures</w:t>
            </w:r>
          </w:p>
        </w:tc>
        <w:tc>
          <w:tcPr>
            <w:tcW w:w="28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80"/>
              <w:spacing w:after="0"/>
              <w:rPr>
                <w:sz w:val="20"/>
                <w:szCs w:val="20"/>
                <w:color w:val="auto"/>
              </w:rPr>
            </w:pPr>
            <w:r>
              <w:rPr>
                <w:rFonts w:ascii="Arial" w:cs="Arial" w:eastAsia="Arial" w:hAnsi="Arial"/>
                <w:sz w:val="18"/>
                <w:szCs w:val="18"/>
                <w:color w:val="auto"/>
                <w:w w:val="97"/>
              </w:rPr>
              <w:t>4,497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10,237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(5,740 )</w:t>
            </w:r>
          </w:p>
        </w:tc>
        <w:tc>
          <w:tcPr>
            <w:tcW w:w="3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5" w:lineRule="exact"/>
        <w:rPr>
          <w:sz w:val="20"/>
          <w:szCs w:val="20"/>
          <w:color w:val="auto"/>
        </w:rPr>
      </w:pPr>
    </w:p>
    <w:p>
      <w:pPr>
        <w:jc w:val="both"/>
        <w:ind w:right="140" w:firstLine="644"/>
        <w:spacing w:after="0" w:line="247" w:lineRule="auto"/>
        <w:rPr>
          <w:sz w:val="20"/>
          <w:szCs w:val="20"/>
          <w:color w:val="auto"/>
        </w:rPr>
      </w:pPr>
      <w:r>
        <w:rPr>
          <w:rFonts w:ascii="Arial" w:cs="Arial" w:eastAsia="Arial" w:hAnsi="Arial"/>
          <w:sz w:val="18"/>
          <w:szCs w:val="18"/>
          <w:color w:val="auto"/>
        </w:rPr>
        <w:t>The decrease in equity in earnings of unconsolidated joint ventures for the nine months ended September 30, 2023 compared to the corresponding period last year, was primarily due to $15.8 million in write-downs on a joint venture during the nine months ended September 30, 2023 offset in part by the higher margin change orders discussed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221,188</w:t>
            </w:r>
          </w:p>
        </w:tc>
        <w:tc>
          <w:tcPr>
            <w:tcW w:w="10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196,960</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24,228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3" w:lineRule="exact"/>
        <w:rPr>
          <w:sz w:val="20"/>
          <w:szCs w:val="20"/>
          <w:color w:val="auto"/>
        </w:rPr>
      </w:pPr>
    </w:p>
    <w:p>
      <w:pPr>
        <w:ind w:right="160" w:firstLine="636"/>
        <w:spacing w:after="0" w:line="243" w:lineRule="auto"/>
        <w:rPr>
          <w:sz w:val="20"/>
          <w:szCs w:val="20"/>
          <w:color w:val="auto"/>
        </w:rPr>
      </w:pPr>
      <w:r>
        <w:rPr>
          <w:rFonts w:ascii="Arial" w:cs="Arial" w:eastAsia="Arial" w:hAnsi="Arial"/>
          <w:sz w:val="18"/>
          <w:szCs w:val="18"/>
          <w:color w:val="auto"/>
        </w:rPr>
        <w:t>The increase in SG&amp;A of $24.2 million for the three months ended September 30, 2023 when compared to the corresponding period last year was primarily due to an increase of $9.2 million related to employee incentive programs, a $4.6 million increase from business acquisitions, a $2.9 million increase in transaction related costs, and a $2.1 million increase related to business development and sales activities.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632,393</w:t>
            </w:r>
          </w:p>
        </w:tc>
        <w:tc>
          <w:tcPr>
            <w:tcW w:w="98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581,969</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increase in SG&amp;A of $50.4 million for the nine months ended September 30, 2023 when compared to the corresponding period last year was primarily due to an increase of $19.9 million related to employee incentive programs, a</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3"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$17.4 million increase from business acquisitions, and $13.2 million primarily related to business development and sales activities.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110" w:lineRule="exact"/>
        <w:rPr>
          <w:sz w:val="20"/>
          <w:szCs w:val="20"/>
          <w:color w:val="auto"/>
        </w:rPr>
      </w:pPr>
    </w:p>
    <w:p>
      <w:pPr>
        <w:jc w:val="both"/>
        <w:ind w:right="240" w:firstLine="644"/>
        <w:spacing w:after="0" w:line="247" w:lineRule="auto"/>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Delayed Draw Term Loan and Convertible Senior Notes. Other income (expense), net is primarily related to transaction gains and losses on foreign currency transactions and sublease income.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492</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(8,612 )</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(6,323 )</w:t>
            </w:r>
          </w:p>
        </w:tc>
        <w:tc>
          <w:tcPr>
            <w:tcW w:w="10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(2,289 )</w:t>
            </w: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(191 )</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(685 )</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-72.1 %</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(8,311 )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(6,626 )</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(1,685 )</w:t>
            </w: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75" w:lineRule="exact"/>
        <w:rPr>
          <w:sz w:val="20"/>
          <w:szCs w:val="20"/>
          <w:color w:val="auto"/>
        </w:rPr>
      </w:pPr>
    </w:p>
    <w:p>
      <w:pPr>
        <w:ind w:right="100" w:firstLine="644"/>
        <w:spacing w:after="0" w:line="243" w:lineRule="auto"/>
        <w:rPr>
          <w:sz w:val="20"/>
          <w:szCs w:val="20"/>
          <w:color w:val="auto"/>
        </w:rPr>
      </w:pPr>
      <w:r>
        <w:rPr>
          <w:rFonts w:ascii="Arial" w:cs="Arial" w:eastAsia="Arial" w:hAnsi="Arial"/>
          <w:sz w:val="18"/>
          <w:szCs w:val="18"/>
          <w:color w:val="auto"/>
        </w:rPr>
        <w:t>The increase in interest expense is primarily related to higher interest rates on borrowings under the Company's various credit facilities during the three months ended September 30, 2023 compared to interest rates on borrowings under the revolving Credit Agreement during the three months ended September 30, 2022. Also impacting interest expense during the three months ended September 30, 2023 were borrowings made under the revolving Credit Agreement during the three months ended September 30, 2023.</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1,591</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618</w:t>
            </w:r>
          </w:p>
        </w:tc>
        <w:tc>
          <w:tcPr>
            <w:tcW w:w="32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157.4 %</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(22,369 )</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(14,786 )</w:t>
            </w:r>
          </w:p>
        </w:tc>
        <w:tc>
          <w:tcPr>
            <w:tcW w:w="10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(7,583 )</w:t>
            </w: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(304 )</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-648.0 %</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(19,112 )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(14,472 )</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(4,640 )</w:t>
            </w: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75" w:lineRule="exact"/>
        <w:rPr>
          <w:sz w:val="20"/>
          <w:szCs w:val="20"/>
          <w:color w:val="auto"/>
        </w:rPr>
      </w:pPr>
    </w:p>
    <w:p>
      <w:pPr>
        <w:ind w:right="320" w:firstLine="644"/>
        <w:spacing w:after="0" w:line="260" w:lineRule="auto"/>
        <w:rPr>
          <w:sz w:val="20"/>
          <w:szCs w:val="20"/>
          <w:color w:val="auto"/>
        </w:rPr>
      </w:pPr>
      <w:r>
        <w:rPr>
          <w:rFonts w:ascii="Arial" w:cs="Arial" w:eastAsia="Arial" w:hAnsi="Arial"/>
          <w:sz w:val="18"/>
          <w:szCs w:val="18"/>
          <w:color w:val="auto"/>
        </w:rPr>
        <w:t>The increase in interest expense for the nine months ended September 30, 2023 is primarily related to the same factors impacting interest expense described above for the three months ended September 30, 2023.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4"/>
          </w:tcPr>
          <w:p>
            <w:pPr>
              <w:ind w:left="10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Dollar</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ind w:left="1060"/>
              <w:spacing w:after="0"/>
              <w:rPr>
                <w:sz w:val="20"/>
                <w:szCs w:val="20"/>
                <w:color w:val="auto"/>
              </w:rPr>
            </w:pPr>
            <w:r>
              <w:rPr>
                <w:rFonts w:ascii="Arial" w:cs="Arial" w:eastAsia="Arial" w:hAnsi="Arial"/>
                <w:sz w:val="18"/>
                <w:szCs w:val="18"/>
                <w:color w:val="auto"/>
                <w:w w:val="98"/>
              </w:rPr>
              <w:t>15,218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13,792</w:t>
            </w:r>
          </w:p>
        </w:tc>
        <w:tc>
          <w:tcPr>
            <w:tcW w:w="152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0" w:lineRule="exact"/>
        <w:rPr>
          <w:sz w:val="20"/>
          <w:szCs w:val="20"/>
          <w:color w:val="auto"/>
        </w:rPr>
      </w:pPr>
    </w:p>
    <w:p>
      <w:pPr>
        <w:ind w:right="120" w:firstLine="644"/>
        <w:spacing w:after="0" w:line="241" w:lineRule="auto"/>
        <w:rPr>
          <w:sz w:val="20"/>
          <w:szCs w:val="20"/>
          <w:color w:val="auto"/>
        </w:rPr>
      </w:pPr>
      <w:r>
        <w:rPr>
          <w:rFonts w:ascii="Arial" w:cs="Arial" w:eastAsia="Arial" w:hAnsi="Arial"/>
          <w:sz w:val="18"/>
          <w:szCs w:val="18"/>
          <w:color w:val="auto"/>
        </w:rPr>
        <w:t>The Company’s effective tax rate was 20.3% and 24.0% and income tax expense was $ 15.2 million and $13.8 million for the three months ended September 30, 2023 and September 30, 2022, respectively. The most significant items contributing to the change in the effective tax rate are tax benefits related to increases in the foreign-derived intangible income (FDII) deduction and a change in jurisdictional mix of earnings, partially offset by an increase in foreign withholding taxes. The difference between the statutory U.S. federal income tax rate of 21.0% and the effective tax rate for the quarter ended September 30, 2023 is primarily due to benefits related to untaxed income attributable to noncontrolling interests, earnings in lower tax jurisdictions, the FDII deduction, and the federal research tax credit, partially offset by state income taxes and foreign withholding taxes.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41,944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27,643</w:t>
            </w:r>
          </w:p>
        </w:tc>
        <w:tc>
          <w:tcPr>
            <w:tcW w:w="146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14,301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8"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The Company’s effective tax rate was 21.9% and 23.5% and income tax expense was $ 41.9 million and $27.6 million for the nine months ended September 30, 2023 and September 30, 2022, respectively. The most significant items contributing to the change in the effective tax rate are tax benefits related to increases in the FDII deduction and a change in jurisdictional mix of earnings, partially offset by an increase in foreign withholding taxes. The difference between the statutory U.S. federal income tax rate of 21.0% and the effective tax rate for the nine months ended September 30, 2023 primarily relates to state income taxes and foreign withholding taxes, partially offset by benefits related to untaxed income</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9"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attributable to noncontrolling interests, earnings in lower tax jurisdictions, the FDII deduction, and the federal research tax credit.</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Segment Results</w:t>
      </w:r>
    </w:p>
    <w:p>
      <w:pPr>
        <w:spacing w:after="0" w:line="222" w:lineRule="exact"/>
        <w:rPr>
          <w:sz w:val="20"/>
          <w:szCs w:val="20"/>
          <w:color w:val="auto"/>
        </w:rPr>
      </w:pPr>
    </w:p>
    <w:p>
      <w:pPr>
        <w:ind w:right="740" w:firstLine="636"/>
        <w:spacing w:after="0" w:line="250"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1"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84" w:lineRule="exact"/>
        <w:rPr>
          <w:sz w:val="20"/>
          <w:szCs w:val="20"/>
          <w:color w:val="auto"/>
        </w:rPr>
      </w:pPr>
    </w:p>
    <w:p>
      <w:pPr>
        <w:jc w:val="both"/>
        <w:ind w:right="300" w:firstLine="636"/>
        <w:spacing w:after="0" w:line="260"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gridSpan w:val="4"/>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4"/>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gridSpan w:val="5"/>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jc w:val="right"/>
              <w:ind w:right="26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Federal Solutions Adjusted EBITDA attributable to Parsons</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65,039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61,004</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206,827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Critical Infrastructure Adjusted EBITDA attributable to Parsons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50,188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27,545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95,481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12,606</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14,138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34,222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22,042</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80"/>
              <w:spacing w:after="0"/>
              <w:rPr>
                <w:sz w:val="20"/>
                <w:szCs w:val="20"/>
                <w:color w:val="auto"/>
              </w:rPr>
            </w:pPr>
            <w:r>
              <w:rPr>
                <w:rFonts w:ascii="Arial" w:cs="Arial" w:eastAsia="Arial" w:hAnsi="Arial"/>
                <w:sz w:val="18"/>
                <w:szCs w:val="18"/>
                <w:color w:val="auto"/>
              </w:rPr>
              <w:t>Total Adjusted EBITDA</w:t>
            </w:r>
          </w:p>
        </w:tc>
        <w:tc>
          <w:tcPr>
            <w:tcW w:w="120" w:type="dxa"/>
            <w:vAlign w:val="bottom"/>
          </w:tcPr>
          <w:p>
            <w:pPr>
              <w:spacing w:after="0"/>
              <w:rPr>
                <w:sz w:val="19"/>
                <w:szCs w:val="19"/>
                <w:color w:val="auto"/>
              </w:rPr>
            </w:pP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127,833</w:t>
            </w:r>
          </w:p>
        </w:tc>
        <w:tc>
          <w:tcPr>
            <w:tcW w:w="26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102,687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336,530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254,349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88"/>
              <w:spacing w:after="0" w:line="156"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34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780,114</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620,416</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159,698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65,039</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61,004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 attributable to Parsons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1440" w:type="dxa"/>
            <w:vAlign w:val="bottom"/>
            <w:gridSpan w:val="3"/>
          </w:tcPr>
          <w:p>
            <w:pPr>
              <w:jc w:val="right"/>
              <w:ind w:right="35"/>
              <w:spacing w:after="0"/>
              <w:rPr>
                <w:sz w:val="20"/>
                <w:szCs w:val="20"/>
                <w:color w:val="auto"/>
              </w:rPr>
            </w:pPr>
            <w:r>
              <w:rPr>
                <w:rFonts w:ascii="Arial" w:cs="Arial" w:eastAsia="Arial" w:hAnsi="Arial"/>
                <w:sz w:val="18"/>
                <w:szCs w:val="18"/>
                <w:color w:val="auto"/>
              </w:rPr>
              <w:t>8.3 %</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-1636395</wp:posOffset>
            </wp:positionV>
            <wp:extent cx="77470" cy="179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-1636395</wp:posOffset>
            </wp:positionV>
            <wp:extent cx="68580" cy="1797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-1636395</wp:posOffset>
            </wp:positionV>
            <wp:extent cx="68580"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46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3" w:lineRule="exact"/>
        <w:rPr>
          <w:sz w:val="20"/>
          <w:szCs w:val="20"/>
          <w:color w:val="auto"/>
        </w:rPr>
      </w:pPr>
    </w:p>
    <w:p>
      <w:pPr>
        <w:jc w:val="both"/>
        <w:ind w:right="300" w:firstLine="636"/>
        <w:spacing w:after="0" w:line="247" w:lineRule="auto"/>
        <w:rPr>
          <w:sz w:val="20"/>
          <w:szCs w:val="20"/>
          <w:color w:val="auto"/>
        </w:rPr>
      </w:pPr>
      <w:r>
        <w:rPr>
          <w:rFonts w:ascii="Arial" w:cs="Arial" w:eastAsia="Arial" w:hAnsi="Arial"/>
          <w:sz w:val="18"/>
          <w:szCs w:val="18"/>
          <w:color w:val="auto"/>
        </w:rPr>
        <w:t>The increase in Federal Solutions revenue for the three months ended September 30, 2023 compared to the corresponding period last year was primarily due to organic growth of 23% driven by growth on new and existing contracts offset by the winding down of a large contract.</w:t>
      </w:r>
    </w:p>
    <w:p>
      <w:pPr>
        <w:spacing w:after="0" w:line="76" w:lineRule="exact"/>
        <w:rPr>
          <w:sz w:val="20"/>
          <w:szCs w:val="20"/>
          <w:color w:val="auto"/>
        </w:rPr>
      </w:pPr>
    </w:p>
    <w:p>
      <w:pPr>
        <w:ind w:right="240" w:firstLine="644"/>
        <w:spacing w:after="0" w:line="243" w:lineRule="auto"/>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September 30, 2023 compared to the corresponding period last year was primarily due to the factors impacting revenue discussed above offset in part by the timing of program milestones and completions, as well as higher projected incentive compensation costs as a result of the company's strong operating performance and growing employee base.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1"/>
              <w:spacing w:after="0" w:line="156"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2,177,457</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1,649,601</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527,856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206,827</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151,287</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55,540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 attributable to Parsons</w:t>
            </w:r>
          </w:p>
        </w:tc>
        <w:tc>
          <w:tcPr>
            <w:tcW w:w="2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2380" w:type="dxa"/>
            <w:vAlign w:val="bottom"/>
          </w:tcPr>
          <w:p>
            <w:pPr>
              <w:jc w:val="right"/>
              <w:ind w:right="530"/>
              <w:spacing w:after="0"/>
              <w:rPr>
                <w:sz w:val="20"/>
                <w:szCs w:val="20"/>
                <w:color w:val="auto"/>
              </w:rPr>
            </w:pPr>
            <w:r>
              <w:rPr>
                <w:rFonts w:ascii="Arial" w:cs="Arial" w:eastAsia="Arial" w:hAnsi="Arial"/>
                <w:sz w:val="18"/>
                <w:szCs w:val="18"/>
                <w:color w:val="auto"/>
              </w:rPr>
              <w:t>9.5 %</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9.2 %</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0.3 %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648"/>
        </w:trPr>
        <w:tc>
          <w:tcPr>
            <w:tcW w:w="4700" w:type="dxa"/>
            <w:vAlign w:val="bottom"/>
          </w:tcPr>
          <w:p>
            <w:pPr>
              <w:spacing w:after="0"/>
              <w:rPr>
                <w:sz w:val="24"/>
                <w:szCs w:val="24"/>
                <w:color w:val="auto"/>
              </w:rPr>
            </w:pPr>
          </w:p>
        </w:tc>
        <w:tc>
          <w:tcPr>
            <w:tcW w:w="2380" w:type="dxa"/>
            <w:vAlign w:val="bottom"/>
          </w:tcPr>
          <w:p>
            <w:pPr>
              <w:jc w:val="right"/>
              <w:ind w:right="1270"/>
              <w:spacing w:after="0"/>
              <w:rPr>
                <w:sz w:val="20"/>
                <w:szCs w:val="20"/>
                <w:color w:val="auto"/>
              </w:rPr>
            </w:pPr>
            <w:r>
              <w:rPr>
                <w:rFonts w:ascii="Arial" w:cs="Arial" w:eastAsia="Arial" w:hAnsi="Arial"/>
                <w:sz w:val="18"/>
                <w:szCs w:val="18"/>
                <w:color w:val="auto"/>
              </w:rPr>
              <w:t>39</w:t>
            </w: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70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43" w:right="279" w:bottom="1440" w:gutter="0" w:footer="0" w:header="0"/>
        </w:sectPr>
      </w:pPr>
    </w:p>
    <w:bookmarkStart w:id="41" w:name="page42"/>
    <w:bookmarkEnd w:id="41"/>
    <w:p>
      <w:pPr>
        <w:ind w:right="360" w:firstLine="636"/>
        <w:spacing w:after="0" w:line="260" w:lineRule="auto"/>
        <w:rPr>
          <w:sz w:val="20"/>
          <w:szCs w:val="20"/>
          <w:color w:val="auto"/>
        </w:rPr>
      </w:pPr>
      <w:r>
        <w:rPr>
          <w:rFonts w:ascii="Arial" w:cs="Arial" w:eastAsia="Arial" w:hAnsi="Arial"/>
          <w:sz w:val="18"/>
          <w:szCs w:val="18"/>
          <w:color w:val="auto"/>
        </w:rPr>
        <w:t>The increase in Federal Solutions revenue for the nine months ended September 30, 2023 compared to the corresponding period last year was primarily due to organic growth of 17%, and increases from business acquisitions of $248.5 million.</w:t>
      </w:r>
    </w:p>
    <w:p>
      <w:pPr>
        <w:spacing w:after="0" w:line="65" w:lineRule="exact"/>
        <w:rPr>
          <w:sz w:val="20"/>
          <w:szCs w:val="20"/>
          <w:color w:val="auto"/>
        </w:rPr>
      </w:pPr>
    </w:p>
    <w:p>
      <w:pPr>
        <w:jc w:val="both"/>
        <w:ind w:right="300" w:firstLine="644"/>
        <w:spacing w:after="0" w:line="247" w:lineRule="auto"/>
        <w:rPr>
          <w:sz w:val="20"/>
          <w:szCs w:val="20"/>
          <w:color w:val="auto"/>
        </w:rPr>
      </w:pPr>
      <w:r>
        <w:rPr>
          <w:rFonts w:ascii="Arial" w:cs="Arial" w:eastAsia="Arial" w:hAnsi="Arial"/>
          <w:sz w:val="18"/>
          <w:szCs w:val="18"/>
          <w:color w:val="auto"/>
        </w:rPr>
        <w:t>The increase in Federal Solutions Adjusted EBITDA attributable to Parsons Corporation for the nine months ended September 30, 2023 compared to the corresponding period last year was primarily due to the factors impacting Adjusted EBITDA discussed above for the three months ended September 30, 2023 and the $20 million of incentive fees on two contracts recognized in the second quarter of 2023.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638,457</w:t>
            </w:r>
          </w:p>
        </w:tc>
        <w:tc>
          <w:tcPr>
            <w:tcW w:w="3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513,954</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124,503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24.2 %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50,188</w:t>
            </w:r>
          </w:p>
        </w:tc>
        <w:tc>
          <w:tcPr>
            <w:tcW w:w="3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27,545</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22,643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82.2 %</w:t>
            </w:r>
          </w:p>
        </w:tc>
      </w:tr>
      <w:tr>
        <w:trPr>
          <w:trHeight w:val="203"/>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 attributable to Parsons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7.9 %</w:t>
            </w:r>
          </w:p>
        </w:tc>
        <w:tc>
          <w:tcPr>
            <w:tcW w:w="6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5.4 %</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454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0" w:lineRule="exact"/>
        <w:rPr>
          <w:sz w:val="20"/>
          <w:szCs w:val="20"/>
          <w:color w:val="auto"/>
        </w:rPr>
      </w:pPr>
    </w:p>
    <w:p>
      <w:pPr>
        <w:ind w:right="580" w:firstLine="644"/>
        <w:spacing w:after="0" w:line="260" w:lineRule="auto"/>
        <w:rPr>
          <w:sz w:val="20"/>
          <w:szCs w:val="20"/>
          <w:color w:val="auto"/>
        </w:rPr>
      </w:pPr>
      <w:r>
        <w:rPr>
          <w:rFonts w:ascii="Arial" w:cs="Arial" w:eastAsia="Arial" w:hAnsi="Arial"/>
          <w:sz w:val="18"/>
          <w:szCs w:val="18"/>
          <w:color w:val="auto"/>
        </w:rPr>
        <w:t>The increase in Critical Infrastructure revenue for the three months ended September 30, 2023 compared to the corresponding period last year was primarily due to organic revenue growth of 24% driven by volume in both the Middle East and North America.</w:t>
      </w:r>
    </w:p>
    <w:p>
      <w:pPr>
        <w:spacing w:after="0" w:line="65" w:lineRule="exact"/>
        <w:rPr>
          <w:sz w:val="20"/>
          <w:szCs w:val="20"/>
          <w:color w:val="auto"/>
        </w:rPr>
      </w:pPr>
    </w:p>
    <w:p>
      <w:pPr>
        <w:ind w:right="280" w:firstLine="644"/>
        <w:spacing w:after="0" w:line="243"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three months ended September 30, 2023 compared to the corresponding period last year was primarily due to the increase from organic revenue growth and high margin change orders on an unconsolidated joint venture offset in part by higher projected incentive compensation costs as a result of the company's strong operating performance and growing employee base.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6"/>
                <w:szCs w:val="16"/>
                <w:color w:val="auto"/>
              </w:rPr>
            </w:pPr>
          </w:p>
        </w:tc>
        <w:tc>
          <w:tcPr>
            <w:tcW w:w="1560" w:type="dxa"/>
            <w:vAlign w:val="bottom"/>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56"/>
        </w:trPr>
        <w:tc>
          <w:tcPr>
            <w:tcW w:w="50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September 30,</w:t>
            </w: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1,771,066</w:t>
            </w:r>
          </w:p>
        </w:tc>
        <w:tc>
          <w:tcPr>
            <w:tcW w:w="3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1,442,559</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328,507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22.8 %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95,481</w:t>
            </w:r>
          </w:p>
        </w:tc>
        <w:tc>
          <w:tcPr>
            <w:tcW w:w="3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81,020</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14,461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17.8 %</w:t>
            </w:r>
          </w:p>
        </w:tc>
      </w:tr>
      <w:tr>
        <w:trPr>
          <w:trHeight w:val="203"/>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 attributable to Parsons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5.4 %</w:t>
            </w: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5.6 %</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-0.2 %</w:t>
            </w: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46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0" w:lineRule="exact"/>
        <w:rPr>
          <w:sz w:val="20"/>
          <w:szCs w:val="20"/>
          <w:color w:val="auto"/>
        </w:rPr>
      </w:pPr>
    </w:p>
    <w:p>
      <w:pPr>
        <w:ind w:right="100" w:firstLine="644"/>
        <w:spacing w:after="0" w:line="260" w:lineRule="auto"/>
        <w:rPr>
          <w:sz w:val="20"/>
          <w:szCs w:val="20"/>
          <w:color w:val="auto"/>
        </w:rPr>
      </w:pPr>
      <w:r>
        <w:rPr>
          <w:rFonts w:ascii="Arial" w:cs="Arial" w:eastAsia="Arial" w:hAnsi="Arial"/>
          <w:sz w:val="18"/>
          <w:szCs w:val="18"/>
          <w:color w:val="auto"/>
        </w:rPr>
        <w:t>The increase in Critical Infrastructure revenue for the nine months ended September 30, 2023 compared to the corresponding period last year was primarily due to organic revenue growth of 22% driven by volume in both the Middle East and North America.</w:t>
      </w:r>
    </w:p>
    <w:p>
      <w:pPr>
        <w:spacing w:after="0" w:line="65" w:lineRule="exact"/>
        <w:rPr>
          <w:sz w:val="20"/>
          <w:szCs w:val="20"/>
          <w:color w:val="auto"/>
        </w:rPr>
      </w:pPr>
    </w:p>
    <w:p>
      <w:pPr>
        <w:jc w:val="both"/>
        <w:ind w:right="280" w:firstLine="644"/>
        <w:spacing w:after="0" w:line="243"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nine months ended September 30, 2023 compared to the corresponding period last year was primarily due to the increase from organic revenue growth offset in part by a project write-down of $20.7 million, $15.8 million in write-downs on an unconsolidated joint venture, and an increase in selling, general and administrative expenses.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p>
      <w:pPr>
        <w:ind w:right="240" w:firstLine="636"/>
        <w:spacing w:after="0" w:line="260" w:lineRule="auto"/>
        <w:rPr>
          <w:sz w:val="20"/>
          <w:szCs w:val="20"/>
          <w:color w:val="auto"/>
        </w:rPr>
      </w:pPr>
      <w:r>
        <w:rPr>
          <w:rFonts w:ascii="Arial" w:cs="Arial" w:eastAsia="Arial" w:hAnsi="Arial"/>
          <w:sz w:val="18"/>
          <w:szCs w:val="18"/>
          <w:color w:val="auto"/>
        </w:rPr>
        <w:t>We finance our operations and capital expenditures through a combination of internally generated cash from operations, our Senior Notes, Convertible Senior Notes, and periodic borrowings under our Revolving Credit Facility.</w:t>
      </w:r>
    </w:p>
    <w:p>
      <w:pPr>
        <w:spacing w:after="0" w:line="173" w:lineRule="exact"/>
        <w:rPr>
          <w:sz w:val="20"/>
          <w:szCs w:val="20"/>
          <w:color w:val="auto"/>
        </w:rPr>
      </w:pPr>
    </w:p>
    <w:p>
      <w:pPr>
        <w:ind w:right="160" w:firstLine="636"/>
        <w:spacing w:after="0" w:line="243"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9" w:right="279" w:bottom="1440" w:gutter="0" w:footer="0" w:header="0"/>
        </w:sectPr>
      </w:pPr>
    </w:p>
    <w:bookmarkStart w:id="42" w:name="page43"/>
    <w:bookmarkEnd w:id="42"/>
    <w:p>
      <w:pPr>
        <w:jc w:val="both"/>
        <w:ind w:right="420" w:firstLine="636"/>
        <w:spacing w:after="0" w:line="247" w:lineRule="auto"/>
        <w:rPr>
          <w:sz w:val="20"/>
          <w:szCs w:val="20"/>
          <w:color w:val="auto"/>
        </w:rPr>
      </w:pPr>
      <w:r>
        <w:rPr>
          <w:rFonts w:ascii="Arial" w:cs="Arial" w:eastAsia="Arial" w:hAnsi="Arial"/>
          <w:sz w:val="18"/>
          <w:szCs w:val="18"/>
          <w:color w:val="auto"/>
        </w:rPr>
        <w:t>As of September 30, 2023,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4"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91"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65 days at September 30, 2023 and 68 days at September 30, 2022. The decrease in Net DSO was primarily related to improved collections in both the Federal Solutions and Critical Infrastructure segments during the third quarter of fiscal 2023. Our working capital (current assets less current liabilities) was $621.4 million at September 30, 2023 and $611.7 million at December 31, 2022.</w:t>
      </w:r>
    </w:p>
    <w:p>
      <w:pPr>
        <w:spacing w:after="0" w:line="191" w:lineRule="exact"/>
        <w:rPr>
          <w:sz w:val="20"/>
          <w:szCs w:val="20"/>
          <w:color w:val="auto"/>
        </w:rPr>
      </w:pPr>
    </w:p>
    <w:p>
      <w:pPr>
        <w:ind w:right="420" w:firstLine="636"/>
        <w:spacing w:after="0" w:line="260" w:lineRule="auto"/>
        <w:rPr>
          <w:sz w:val="20"/>
          <w:szCs w:val="20"/>
          <w:color w:val="auto"/>
        </w:rPr>
      </w:pPr>
      <w:r>
        <w:rPr>
          <w:rFonts w:ascii="Arial" w:cs="Arial" w:eastAsia="Arial" w:hAnsi="Arial"/>
          <w:sz w:val="18"/>
          <w:szCs w:val="18"/>
          <w:color w:val="auto"/>
        </w:rPr>
        <w:t>Our cash, cash equivalents and restricted cash decreased by $57.1 million to $205.4 million at September 30, 2023 from $262.5 million at December 31, 2022.</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760" w:type="dxa"/>
            <w:vAlign w:val="bottom"/>
          </w:tcPr>
          <w:p>
            <w:pPr>
              <w:spacing w:after="0"/>
              <w:rPr>
                <w:sz w:val="15"/>
                <w:szCs w:val="15"/>
                <w:color w:val="auto"/>
              </w:rPr>
            </w:pPr>
          </w:p>
        </w:tc>
        <w:tc>
          <w:tcPr>
            <w:tcW w:w="1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 2023</w:t>
            </w:r>
          </w:p>
        </w:tc>
        <w:tc>
          <w:tcPr>
            <w:tcW w:w="1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2022</w:t>
            </w: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tcBorders>
            <w:shd w:val="clear" w:color="auto" w:fill="CFF0FC"/>
          </w:tcPr>
          <w:p>
            <w:pPr>
              <w:jc w:val="right"/>
              <w:ind w:right="2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217,566</w:t>
            </w:r>
          </w:p>
        </w:tc>
        <w:tc>
          <w:tcPr>
            <w:tcW w:w="260" w:type="dxa"/>
            <w:vAlign w:val="bottom"/>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148,368</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(327,245 )</w:t>
            </w:r>
          </w:p>
        </w:tc>
        <w:tc>
          <w:tcPr>
            <w:tcW w:w="6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(402,677 )</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52,380</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60,185</w:t>
            </w: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(2,220 )</w:t>
            </w:r>
          </w:p>
        </w:tc>
      </w:tr>
      <w:tr>
        <w:trPr>
          <w:trHeight w:val="20"/>
        </w:trPr>
        <w:tc>
          <w:tcPr>
            <w:tcW w:w="6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(57,133 )</w:t>
            </w:r>
          </w:p>
        </w:tc>
        <w:tc>
          <w:tcPr>
            <w:tcW w:w="64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(196,344 )</w:t>
            </w: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0" w:lineRule="exact"/>
        <w:rPr>
          <w:sz w:val="20"/>
          <w:szCs w:val="20"/>
          <w:color w:val="auto"/>
        </w:rPr>
      </w:pPr>
    </w:p>
    <w:p>
      <w:pPr>
        <w:ind w:right="140" w:firstLine="636"/>
        <w:spacing w:after="0" w:line="239"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86" w:lineRule="exact"/>
        <w:rPr>
          <w:sz w:val="20"/>
          <w:szCs w:val="20"/>
          <w:color w:val="auto"/>
        </w:rPr>
      </w:pPr>
    </w:p>
    <w:p>
      <w:pPr>
        <w:ind w:right="60" w:firstLine="636"/>
        <w:spacing w:after="0" w:line="241" w:lineRule="auto"/>
        <w:rPr>
          <w:sz w:val="20"/>
          <w:szCs w:val="20"/>
          <w:color w:val="auto"/>
        </w:rPr>
      </w:pPr>
      <w:r>
        <w:rPr>
          <w:rFonts w:ascii="Arial" w:cs="Arial" w:eastAsia="Arial" w:hAnsi="Arial"/>
          <w:sz w:val="18"/>
          <w:szCs w:val="18"/>
          <w:color w:val="auto"/>
        </w:rPr>
        <w:t>Net cash provided by operating activities increased $69.2 million for the nine months ended September 30, 2023 compared to the nine months ended September 30, 2022. The primary driver of the increase in cash flows provided by operating activities was a $74.2 million change in net income including noncontrolling interests after adjusting for non-cash items offset in part by a $11.5 million decrease in cash outflows from our working capital accounts. As discussed above, Net DSO decreased 3 days compared to last year. The net decrease in cash outflows from our working capital accounts were primarily the result of timing differences and the increase in business volume.</w:t>
      </w:r>
    </w:p>
    <w:p>
      <w:pPr>
        <w:spacing w:after="0" w:line="81" w:lineRule="exact"/>
        <w:rPr>
          <w:sz w:val="20"/>
          <w:szCs w:val="20"/>
          <w:color w:val="auto"/>
        </w:rPr>
      </w:pPr>
    </w:p>
    <w:p>
      <w:pPr>
        <w:ind w:right="340" w:firstLine="644"/>
        <w:spacing w:after="0" w:line="260" w:lineRule="auto"/>
        <w:rPr>
          <w:sz w:val="20"/>
          <w:szCs w:val="20"/>
          <w:color w:val="auto"/>
        </w:rPr>
      </w:pPr>
      <w:r>
        <w:rPr>
          <w:rFonts w:ascii="Arial" w:cs="Arial" w:eastAsia="Arial" w:hAnsi="Arial"/>
          <w:sz w:val="18"/>
          <w:szCs w:val="18"/>
          <w:color w:val="auto"/>
        </w:rPr>
        <w:t>Pursuant to Internal Revenue Service IR 2023-33, the Company qualifies for disaster area taxpayer relief. As such, the Company has deferred $33.0 million of its federal April, June and September 2023 quarterly income tax payments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3" w:name="page44"/>
    <w:bookmarkEnd w:id="43"/>
    <w:p>
      <w:pPr>
        <w:ind w:right="320"/>
        <w:spacing w:after="0" w:line="260" w:lineRule="auto"/>
        <w:rPr>
          <w:sz w:val="20"/>
          <w:szCs w:val="20"/>
          <w:color w:val="auto"/>
        </w:rPr>
      </w:pPr>
      <w:r>
        <w:rPr>
          <w:rFonts w:ascii="Arial" w:cs="Arial" w:eastAsia="Arial" w:hAnsi="Arial"/>
          <w:sz w:val="18"/>
          <w:szCs w:val="18"/>
          <w:color w:val="auto"/>
        </w:rPr>
        <w:t>which were otherwise due prior to or during the quarter ended September 30, 2023. Deferred income tax payments were due and paid by October 16, 2023.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0" w:lineRule="exact"/>
        <w:rPr>
          <w:sz w:val="20"/>
          <w:szCs w:val="20"/>
          <w:color w:val="auto"/>
        </w:rPr>
      </w:pPr>
    </w:p>
    <w:p>
      <w:pPr>
        <w:ind w:right="20" w:firstLine="636"/>
        <w:spacing w:after="0" w:line="260"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73"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Net cash used in investing activities decreased $75.4 million for the nine months ended September 30, 2023, when compared to the nine months ended September 30, 2022. This change was primarily driven by a $163.8 million reduction in payments for acquisitions offset in part by a $68.0 million increase from investments in unconsolidated joint ventures, a $11.1 million increase in capital expenditures (primarily from computer systems and equipment) and a change from return of investments in unconsolidated joint ventures of $9.4 million.</w:t>
      </w:r>
    </w:p>
    <w:p>
      <w:pPr>
        <w:spacing w:after="0" w:line="188"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Subsequent to the quarter ended September 30, 2023, the Company entered into a Membership Interest Purchase Agreement to acquire a 100% ownership interest in I.S. Engineers, LLC, a privately-owned company, for $11.5 million, subject to certain adjustments. See "Note 19—Subsequent Events" in the notes to our consolidated financial statements included elsewhere in this Quarterly Report on Form 10-Q for a further discussion of this acquisition.</w:t>
      </w:r>
    </w:p>
    <w:p>
      <w:pPr>
        <w:spacing w:after="0" w:line="188" w:lineRule="exact"/>
        <w:rPr>
          <w:sz w:val="20"/>
          <w:szCs w:val="20"/>
          <w:color w:val="auto"/>
        </w:rPr>
      </w:pPr>
    </w:p>
    <w:p>
      <w:pPr>
        <w:ind w:right="620" w:firstLine="636"/>
        <w:spacing w:after="0" w:line="260" w:lineRule="auto"/>
        <w:rPr>
          <w:sz w:val="20"/>
          <w:szCs w:val="20"/>
          <w:color w:val="auto"/>
        </w:rPr>
      </w:pPr>
      <w:r>
        <w:rPr>
          <w:rFonts w:ascii="Arial" w:cs="Arial" w:eastAsia="Arial" w:hAnsi="Arial"/>
          <w:sz w:val="18"/>
          <w:szCs w:val="18"/>
          <w:color w:val="auto"/>
        </w:rPr>
        <w:t>The Company continually evaluates potential business acquisition opportunities. In the event the Company makes a business acquisition, a significant amount of cash may be used to fund the purchase price.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Financing Activities</w:t>
      </w:r>
    </w:p>
    <w:p>
      <w:pPr>
        <w:spacing w:after="0" w:line="110" w:lineRule="exact"/>
        <w:rPr>
          <w:sz w:val="20"/>
          <w:szCs w:val="20"/>
          <w:color w:val="auto"/>
        </w:rPr>
      </w:pPr>
    </w:p>
    <w:p>
      <w:pPr>
        <w:ind w:right="120" w:firstLine="644"/>
        <w:spacing w:after="0" w:line="260"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and distributions to noncontrolling interests.</w:t>
      </w:r>
    </w:p>
    <w:p>
      <w:pPr>
        <w:spacing w:after="0" w:line="173" w:lineRule="exact"/>
        <w:rPr>
          <w:sz w:val="20"/>
          <w:szCs w:val="20"/>
          <w:color w:val="auto"/>
        </w:rPr>
      </w:pPr>
    </w:p>
    <w:p>
      <w:pPr>
        <w:ind w:firstLine="636"/>
        <w:spacing w:after="0" w:line="241" w:lineRule="auto"/>
        <w:rPr>
          <w:sz w:val="20"/>
          <w:szCs w:val="20"/>
          <w:color w:val="auto"/>
        </w:rPr>
      </w:pPr>
      <w:r>
        <w:rPr>
          <w:rFonts w:ascii="Arial" w:cs="Arial" w:eastAsia="Arial" w:hAnsi="Arial"/>
          <w:sz w:val="18"/>
          <w:szCs w:val="18"/>
          <w:color w:val="auto"/>
        </w:rPr>
        <w:t>Net cash provided by financing activities decreased $7.8 million for the nine months ended September 30, 2023 compared to the nine months ended September 30, 2022. The change in cash flows from financing activities is primarily due to a decrease of $26.2 million from net, borrowing related activities and a $6.8 million change in contributions by noncontrolling interests offset in part by a decrease in cash used to repurchase common stock of $11.5 million and from $11.2 million from payments in warrants for the nine months ended September 30, 2022 that did not reoccur in 2023.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4"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$311.8 million as of September 30, 2023. Letters of credit outstanding under the Credit Agreement total $43.9 million as of September 30,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4" w:lineRule="exact"/>
        <w:rPr>
          <w:sz w:val="20"/>
          <w:szCs w:val="20"/>
          <w:color w:val="auto"/>
        </w:rPr>
      </w:pPr>
    </w:p>
    <w:p>
      <w:pPr>
        <w:ind w:right="360" w:firstLine="636"/>
        <w:spacing w:after="0" w:line="260"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4"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As of September 30, 2023,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4" w:lineRule="exact"/>
        <w:rPr>
          <w:sz w:val="20"/>
          <w:szCs w:val="20"/>
          <w:color w:val="auto"/>
        </w:rPr>
      </w:pPr>
    </w:p>
    <w:p>
      <w:pPr>
        <w:ind w:right="2100" w:firstLine="644"/>
        <w:spacing w:after="0" w:line="260" w:lineRule="auto"/>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65" w:lineRule="exact"/>
        <w:rPr>
          <w:sz w:val="20"/>
          <w:szCs w:val="20"/>
          <w:color w:val="auto"/>
        </w:rPr>
      </w:pPr>
    </w:p>
    <w:p>
      <w:pPr>
        <w:jc w:val="both"/>
        <w:ind w:right="180" w:firstLine="644"/>
        <w:spacing w:after="0" w:line="247" w:lineRule="auto"/>
        <w:rPr>
          <w:sz w:val="20"/>
          <w:szCs w:val="20"/>
          <w:color w:val="auto"/>
        </w:rPr>
      </w:pPr>
      <w:r>
        <w:rPr>
          <w:rFonts w:ascii="Arial" w:cs="Arial" w:eastAsia="Arial" w:hAnsi="Arial"/>
          <w:sz w:val="18"/>
          <w:szCs w:val="18"/>
          <w:color w:val="auto"/>
        </w:rPr>
        <w:t>As of September 30, 2023, there was $75 million outstanding under the Revolving Credit Facility. Borrowings under the new Credit Facility effective June 2021 bear interest at either the Term SOFR rate plus a margin between 1.0% and 1.625%, or a base rate (as defined in the Credit Agreement) plus a margin of between 0% and 0.625%, both based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44" w:name="page45"/>
    <w:bookmarkEnd w:id="44"/>
    <w:p>
      <w:pPr>
        <w:ind w:right="140"/>
        <w:spacing w:after="0" w:line="275" w:lineRule="auto"/>
        <w:rPr>
          <w:sz w:val="20"/>
          <w:szCs w:val="20"/>
          <w:color w:val="auto"/>
        </w:rPr>
      </w:pPr>
      <w:r>
        <w:rPr>
          <w:rFonts w:ascii="Arial" w:cs="Arial" w:eastAsia="Arial" w:hAnsi="Arial"/>
          <w:sz w:val="18"/>
          <w:szCs w:val="18"/>
          <w:color w:val="auto"/>
        </w:rPr>
        <w:t>on the leverage ratio of the Company at the end of each quarter. The rates on September 30, 2023 and December 31, 2022 were 6.7% and 5.7%, respectively.</w:t>
      </w:r>
    </w:p>
    <w:p>
      <w:pPr>
        <w:spacing w:after="0" w:line="52" w:lineRule="exact"/>
        <w:rPr>
          <w:sz w:val="20"/>
          <w:szCs w:val="20"/>
          <w:color w:val="auto"/>
        </w:rPr>
      </w:pPr>
    </w:p>
    <w:p>
      <w:pPr>
        <w:ind w:right="280" w:firstLine="694"/>
        <w:spacing w:after="0" w:line="241" w:lineRule="auto"/>
        <w:rPr>
          <w:sz w:val="20"/>
          <w:szCs w:val="20"/>
          <w:color w:val="auto"/>
        </w:rPr>
      </w:pPr>
      <w:r>
        <w:rPr>
          <w:rFonts w:ascii="Arial" w:cs="Arial" w:eastAsia="Arial" w:hAnsi="Arial"/>
          <w:sz w:val="18"/>
          <w:szCs w:val="18"/>
          <w:color w:val="auto"/>
        </w:rPr>
        <w:t>As of September 30, 2023, there was $350.0 million outstanding under the 2022 Delayed Draw Term Loan. Borrowings under the 2022 Delayed Draw Term Loan Agreement will bear interest at either an adjusted Term SOFR benchmark rate plus a margin between</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September 30, 2023 and December 31, 2022 were 6.6% and 5.6%,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4" w:lineRule="exact"/>
        <w:rPr>
          <w:sz w:val="20"/>
          <w:szCs w:val="20"/>
          <w:color w:val="auto"/>
        </w:rPr>
      </w:pPr>
    </w:p>
    <w:p>
      <w:pPr>
        <w:ind w:right="80" w:firstLine="636"/>
        <w:spacing w:after="0" w:line="243"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14"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Our management carried out, as of September 30, 2023,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September 30, 2023,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4" w:lineRule="exact"/>
        <w:rPr>
          <w:sz w:val="20"/>
          <w:szCs w:val="20"/>
          <w:color w:val="auto"/>
        </w:rPr>
      </w:pPr>
    </w:p>
    <w:p>
      <w:pPr>
        <w:ind w:right="200" w:firstLine="636"/>
        <w:spacing w:after="0" w:line="260" w:lineRule="auto"/>
        <w:rPr>
          <w:sz w:val="20"/>
          <w:szCs w:val="20"/>
          <w:color w:val="auto"/>
        </w:rPr>
      </w:pPr>
      <w:r>
        <w:rPr>
          <w:rFonts w:ascii="Arial" w:cs="Arial" w:eastAsia="Arial" w:hAnsi="Arial"/>
          <w:sz w:val="18"/>
          <w:szCs w:val="18"/>
          <w:color w:val="auto"/>
        </w:rPr>
        <w:t>During the third quarter of 2023, there were no changes to our internal control over financial reporting that have materially affected, or are reasonably likely to materially affect, our internal control over financial reporting.</w:t>
      </w:r>
    </w:p>
    <w:p>
      <w:pPr>
        <w:spacing w:after="0" w:line="65"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Consistent with the guidance issued by the Securities and Exchange Commission Staff, management plans to exclude IPKeys, which we acquired on April 13, 2023, and SealingTech. which we acquired on August 23, 2023, from its assessment of internal controls over financial reporting as of December 31, 2023. The total assets and revenue related to SealingTech, a wholly owned subsidiary, are both less than 1% of the related consolidated financial statement amounts as of and for the nine months ended September 30, 2023. The total assets and revenue related to IPKeys, a wholly owned subsidiary, are approximately 1% and 0.2%, respectively of the related consolidated financial statement amounts as of and for the nine months ended September 30, 2023.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4" w:lineRule="exact"/>
        <w:rPr>
          <w:sz w:val="20"/>
          <w:szCs w:val="20"/>
          <w:color w:val="auto"/>
        </w:rPr>
      </w:pPr>
    </w:p>
    <w:p>
      <w:pPr>
        <w:ind w:right="460" w:firstLine="636"/>
        <w:spacing w:after="0" w:line="260"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4" w:lineRule="exact"/>
        <w:rPr>
          <w:sz w:val="20"/>
          <w:szCs w:val="20"/>
          <w:color w:val="auto"/>
        </w:rPr>
      </w:pPr>
    </w:p>
    <w:p>
      <w:pPr>
        <w:ind w:right="120" w:firstLine="636"/>
        <w:spacing w:after="0" w:line="260" w:lineRule="auto"/>
        <w:rPr>
          <w:sz w:val="20"/>
          <w:szCs w:val="20"/>
          <w:color w:val="auto"/>
        </w:rPr>
      </w:pPr>
      <w:r>
        <w:rPr>
          <w:rFonts w:ascii="Arial" w:cs="Arial" w:eastAsia="Arial" w:hAnsi="Arial"/>
          <w:sz w:val="18"/>
          <w:szCs w:val="18"/>
          <w:color w:val="auto"/>
        </w:rPr>
        <w:t>There has been one change to our Risk Factors disclosed in the Company’s Form 10-K for the year ended December 31, 2022 with the changes underlined and in italics below:</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 Related to International Operations</w:t>
      </w:r>
    </w:p>
    <w:p>
      <w:pPr>
        <w:spacing w:after="0" w:line="104" w:lineRule="exact"/>
        <w:rPr>
          <w:sz w:val="20"/>
          <w:szCs w:val="20"/>
          <w:color w:val="auto"/>
        </w:rPr>
      </w:pPr>
    </w:p>
    <w:p>
      <w:pPr>
        <w:ind w:right="220" w:firstLine="644"/>
        <w:spacing w:after="0" w:line="285" w:lineRule="auto"/>
        <w:rPr>
          <w:sz w:val="20"/>
          <w:szCs w:val="20"/>
          <w:color w:val="auto"/>
        </w:rPr>
      </w:pPr>
      <w:r>
        <w:rPr>
          <w:rFonts w:ascii="Arial" w:cs="Arial" w:eastAsia="Arial" w:hAnsi="Arial"/>
          <w:sz w:val="18"/>
          <w:szCs w:val="18"/>
          <w:b w:val="1"/>
          <w:bCs w:val="1"/>
          <w:i w:val="1"/>
          <w:iCs w:val="1"/>
          <w:color w:val="auto"/>
        </w:rPr>
        <w:t xml:space="preserve">Our operations outside the United States expose us to legal, political and economic risks in different </w:t>
      </w:r>
      <w:r>
        <w:rPr>
          <w:rFonts w:ascii="Arial" w:cs="Arial" w:eastAsia="Arial" w:hAnsi="Arial"/>
          <w:sz w:val="18"/>
          <w:szCs w:val="18"/>
          <w:b w:val="1"/>
          <w:bCs w:val="1"/>
          <w:color w:val="auto"/>
        </w:rPr>
        <w:t>countries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currency exchange rate fluctuations that could harm our business and financial results.</w:t>
      </w:r>
    </w:p>
    <w:p>
      <w:pPr>
        <w:spacing w:after="0" w:line="25" w:lineRule="exact"/>
        <w:rPr>
          <w:sz w:val="20"/>
          <w:szCs w:val="20"/>
          <w:color w:val="auto"/>
        </w:rPr>
      </w:pPr>
    </w:p>
    <w:p>
      <w:pPr>
        <w:ind w:right="80" w:firstLine="644"/>
        <w:spacing w:after="0" w:line="267" w:lineRule="auto"/>
        <w:rPr>
          <w:sz w:val="20"/>
          <w:szCs w:val="20"/>
          <w:color w:val="auto"/>
        </w:rPr>
      </w:pPr>
      <w:r>
        <w:rPr>
          <w:rFonts w:ascii="Arial" w:cs="Arial" w:eastAsia="Arial" w:hAnsi="Arial"/>
          <w:sz w:val="18"/>
          <w:szCs w:val="18"/>
          <w:color w:val="auto"/>
        </w:rPr>
        <w:t xml:space="preserve">Revenue attributable to our services provided outside of the United States as a percentage of our total revenue for </w:t>
      </w:r>
      <w:r>
        <w:rPr>
          <w:rFonts w:ascii="Arial" w:cs="Arial" w:eastAsia="Arial" w:hAnsi="Arial"/>
          <w:sz w:val="18"/>
          <w:szCs w:val="18"/>
          <w:i w:val="1"/>
          <w:iCs w:val="1"/>
          <w:u w:val="single" w:color="auto"/>
          <w:color w:val="auto"/>
        </w:rPr>
        <w:t>the three months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ended September 30, 2023 was 24.6%</w:t>
      </w:r>
      <w:r>
        <w:rPr>
          <w:rFonts w:ascii="Arial" w:cs="Arial" w:eastAsia="Arial" w:hAnsi="Arial"/>
          <w:sz w:val="18"/>
          <w:szCs w:val="18"/>
          <w:color w:val="auto"/>
        </w:rPr>
        <w:t>. There are risks inherent in doing business internationally, including:</w:t>
      </w:r>
    </w:p>
    <w:p>
      <w:pPr>
        <w:spacing w:after="0" w:line="5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imposition of governmental controls and changes in laws, regulations or policies;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political and economic instability and turmoil internationally, including countries in the Middle East;</w:t>
      </w:r>
    </w:p>
    <w:p>
      <w:pPr>
        <w:spacing w:after="0" w:line="111" w:lineRule="exact"/>
        <w:rPr>
          <w:rFonts w:ascii="Arial" w:cs="Arial" w:eastAsia="Arial" w:hAnsi="Arial"/>
          <w:sz w:val="18"/>
          <w:szCs w:val="18"/>
          <w:color w:val="auto"/>
        </w:rPr>
      </w:pPr>
    </w:p>
    <w:p>
      <w:pPr>
        <w:ind w:left="1020" w:right="200" w:hanging="503"/>
        <w:spacing w:after="0" w:line="26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civil unrest, acts of terrorism, force majeure, war, or other armed conflict, </w:t>
      </w:r>
      <w:r>
        <w:rPr>
          <w:rFonts w:ascii="Arial" w:cs="Arial" w:eastAsia="Arial" w:hAnsi="Arial"/>
          <w:sz w:val="18"/>
          <w:szCs w:val="18"/>
          <w:i w:val="1"/>
          <w:iCs w:val="1"/>
          <w:u w:val="single" w:color="auto"/>
          <w:color w:val="auto"/>
        </w:rPr>
        <w:t>including the ongoing war and unrest in Israel, which</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has the potential to impact other countries in the Middle East;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p>
      <w:pPr>
        <w:ind w:firstLine="644"/>
        <w:spacing w:after="0" w:line="241"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$100,000,000 from time to time, commencing on August 12, 2021. Repurchased shares of common stock are retired and included in “Repurchases of common stock” in cash flows from financing activities in the Consolidated Statements of Cash Flows. As of September 30, 2023, the Company has spent $51.7 million (which includes commissions paid of $27.6 thousand) repurchasing 1,378,941 shares of Common Stock at an average price of $37.49 per share.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share repurchases during the three months ended September 30,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14" w:lineRule="exact"/>
        <w:rPr>
          <w:sz w:val="20"/>
          <w:szCs w:val="20"/>
          <w:color w:val="auto"/>
        </w:rPr>
      </w:pPr>
    </w:p>
    <w:p>
      <w:pPr>
        <w:ind w:right="280" w:firstLine="644"/>
        <w:spacing w:after="0" w:line="243"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Resignation of Employee Stock Ownership Plan Auditor</w:t>
      </w:r>
    </w:p>
    <w:p>
      <w:pPr>
        <w:spacing w:after="0" w:line="114" w:lineRule="exact"/>
        <w:rPr>
          <w:sz w:val="20"/>
          <w:szCs w:val="20"/>
          <w:color w:val="auto"/>
        </w:rPr>
      </w:pPr>
    </w:p>
    <w:p>
      <w:pPr>
        <w:ind w:right="160" w:firstLine="644"/>
        <w:spacing w:after="0" w:line="247" w:lineRule="auto"/>
        <w:rPr>
          <w:sz w:val="20"/>
          <w:szCs w:val="20"/>
          <w:color w:val="auto"/>
        </w:rPr>
      </w:pPr>
      <w:r>
        <w:rPr>
          <w:rFonts w:ascii="Arial" w:cs="Arial" w:eastAsia="Arial" w:hAnsi="Arial"/>
          <w:sz w:val="18"/>
          <w:szCs w:val="18"/>
          <w:color w:val="auto"/>
        </w:rPr>
        <w:t>Baker Tilly US, LLP ("Baker Tilly"), has decided that it will no longer perform audits or reviews of SEC Form 11-K fillings. As a result of their discontinuance of this service line, they have elected to not stand for reappointment as auditor of Parsons Employee Stock Ownership Plan Form 11-K. The Company is in the process of selecting an accounting firm to replace Baker Tilly.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75"/>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960" w:type="dxa"/>
            <w:vAlign w:val="bottom"/>
            <w:tcBorders>
              <w:bottom w:val="single" w:sz="8" w:color="auto"/>
            </w:tcBorders>
            <w:gridSpan w:val="10"/>
          </w:tcPr>
          <w:p>
            <w:pPr>
              <w:ind w:left="24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19.1*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2"/>
          </w:tcPr>
          <w:p>
            <w:pPr>
              <w:spacing w:after="0"/>
              <w:rPr>
                <w:sz w:val="20"/>
                <w:szCs w:val="20"/>
                <w:color w:val="auto"/>
              </w:rPr>
            </w:pPr>
            <w:r>
              <w:rPr>
                <w:rFonts w:ascii="Arial" w:cs="Arial" w:eastAsia="Arial" w:hAnsi="Arial"/>
                <w:sz w:val="18"/>
                <w:szCs w:val="18"/>
                <w:color w:val="0000FF"/>
              </w:rPr>
              <w:t>Parsons Corporation Executive Compensation Clawback Policy</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19.2*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Parsons Corporation Dodd-Frank Compliant Compensation Clawback Policy</w:t>
            </w:r>
          </w:p>
        </w:tc>
        <w:tc>
          <w:tcPr>
            <w:tcW w:w="20" w:type="dxa"/>
            <w:vAlign w:val="bottom"/>
            <w:tcBorders>
              <w:bottom w:val="single" w:sz="8" w:color="0000EE"/>
            </w:tcBorders>
          </w:tcPr>
          <w:p>
            <w:pPr>
              <w:spacing w:after="0"/>
              <w:rPr>
                <w:sz w:val="24"/>
                <w:szCs w:val="24"/>
                <w:color w:val="auto"/>
              </w:rPr>
            </w:pPr>
          </w:p>
        </w:tc>
        <w:tc>
          <w:tcPr>
            <w:tcW w:w="4180" w:type="dxa"/>
            <w:vAlign w:val="bottom"/>
            <w:gridSpan w:val="6"/>
          </w:tcPr>
          <w:p>
            <w:pPr>
              <w:spacing w:after="0"/>
              <w:rPr>
                <w:sz w:val="24"/>
                <w:szCs w:val="24"/>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440" w:type="dxa"/>
            <w:vAlign w:val="bottom"/>
            <w:gridSpan w:val="2"/>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12"/>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Certification of Principal Financial Officer Pursuant to Rules 13a-14(a) and 15d-14(a) under the Securities Exchange Act of 1934,</w:t>
            </w:r>
          </w:p>
        </w:tc>
        <w:tc>
          <w:tcPr>
            <w:tcW w:w="20" w:type="dxa"/>
            <w:vAlign w:val="bottom"/>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12"/>
          </w:tcPr>
          <w:p>
            <w:pPr>
              <w:spacing w:after="0" w:line="182" w:lineRule="exact"/>
              <w:rPr>
                <w:sz w:val="20"/>
                <w:szCs w:val="20"/>
                <w:color w:val="auto"/>
              </w:rPr>
            </w:pPr>
            <w:r>
              <w:rPr>
                <w:rFonts w:ascii="Arial" w:cs="Arial" w:eastAsia="Arial" w:hAnsi="Arial"/>
                <w:sz w:val="18"/>
                <w:szCs w:val="18"/>
                <w:color w:val="0000FF"/>
              </w:rPr>
              <w:t>as Adopted Pursuant to Section 302 of the Sarbanes-Oxley Act of 2002.</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EE"/>
            </w:tcBorders>
            <w:gridSpan w:val="2"/>
            <w:shd w:val="clear" w:color="auto" w:fill="0000FF"/>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560" w:type="dxa"/>
            <w:vAlign w:val="bottom"/>
            <w:gridSpan w:val="3"/>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bottom w:val="single" w:sz="8" w:color="0000EE"/>
            </w:tcBorders>
          </w:tcPr>
          <w:p>
            <w:pPr>
              <w:spacing w:after="0"/>
              <w:rPr>
                <w:sz w:val="15"/>
                <w:szCs w:val="15"/>
                <w:color w:val="auto"/>
              </w:rPr>
            </w:pPr>
          </w:p>
        </w:tc>
        <w:tc>
          <w:tcPr>
            <w:tcW w:w="7960" w:type="dxa"/>
            <w:vAlign w:val="bottom"/>
            <w:gridSpan w:val="10"/>
          </w:tcPr>
          <w:p>
            <w:pPr>
              <w:spacing w:after="0"/>
              <w:rPr>
                <w:sz w:val="15"/>
                <w:szCs w:val="15"/>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620" w:type="dxa"/>
            <w:vAlign w:val="bottom"/>
            <w:gridSpan w:val="4"/>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bottom w:val="single" w:sz="8" w:color="0000EE"/>
            </w:tcBorders>
          </w:tcPr>
          <w:p>
            <w:pPr>
              <w:spacing w:after="0"/>
              <w:rPr>
                <w:sz w:val="15"/>
                <w:szCs w:val="15"/>
                <w:color w:val="auto"/>
              </w:rPr>
            </w:pPr>
          </w:p>
        </w:tc>
        <w:tc>
          <w:tcPr>
            <w:tcW w:w="7960" w:type="dxa"/>
            <w:vAlign w:val="bottom"/>
            <w:gridSpan w:val="10"/>
          </w:tcPr>
          <w:p>
            <w:pPr>
              <w:spacing w:after="0"/>
              <w:rPr>
                <w:sz w:val="15"/>
                <w:szCs w:val="15"/>
                <w:color w:val="auto"/>
              </w:rPr>
            </w:pPr>
          </w:p>
        </w:tc>
      </w:tr>
    </w:tbl>
    <w:p>
      <w:pPr>
        <w:spacing w:after="0" w:line="176" w:lineRule="exact"/>
        <w:rPr>
          <w:sz w:val="20"/>
          <w:szCs w:val="20"/>
          <w:color w:val="auto"/>
        </w:rPr>
      </w:pPr>
    </w:p>
    <w:p>
      <w:pPr>
        <w:ind w:left="960" w:right="20" w:hanging="939"/>
        <w:spacing w:after="0" w:line="262" w:lineRule="auto"/>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September 30, 2023,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132" w:lineRule="exact"/>
        <w:rPr>
          <w:sz w:val="20"/>
          <w:szCs w:val="20"/>
          <w:color w:val="auto"/>
        </w:rPr>
      </w:pPr>
    </w:p>
    <w:p>
      <w:pPr>
        <w:ind w:left="960" w:right="60" w:hanging="939"/>
        <w:spacing w:after="0" w:line="260"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9512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Parsons Corporation</w:t>
      </w:r>
    </w:p>
    <w:p>
      <w:pPr>
        <w:spacing w:after="0" w:line="252" w:lineRule="exact"/>
        <w:rPr>
          <w:sz w:val="20"/>
          <w:szCs w:val="20"/>
          <w:color w:val="auto"/>
        </w:rPr>
      </w:pPr>
    </w:p>
    <w:p>
      <w:pPr>
        <w:ind w:left="20"/>
        <w:spacing w:after="0"/>
        <w:tabs>
          <w:tab w:leader="none" w:pos="5880" w:val="left"/>
          <w:tab w:leader="none" w:pos="788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13970</wp:posOffset>
            </wp:positionV>
            <wp:extent cx="31629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23"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19.1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PARSONS CORPORATION</w:t>
      </w:r>
    </w:p>
    <w:p>
      <w:pPr>
        <w:jc w:val="center"/>
        <w:spacing w:after="0"/>
        <w:rPr>
          <w:sz w:val="20"/>
          <w:szCs w:val="20"/>
          <w:color w:val="auto"/>
        </w:rPr>
      </w:pPr>
      <w:r>
        <w:rPr>
          <w:rFonts w:ascii="Arial" w:cs="Arial" w:eastAsia="Arial" w:hAnsi="Arial"/>
          <w:sz w:val="22"/>
          <w:szCs w:val="22"/>
          <w:b w:val="1"/>
          <w:bCs w:val="1"/>
          <w:color w:val="auto"/>
        </w:rPr>
        <w:t>EXECUTIVE COMPENSATION CLAWBACK POLICY</w:t>
      </w:r>
    </w:p>
    <w:p>
      <w:pPr>
        <w:spacing w:after="0" w:line="190"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This Executive Compensation Clawback Policy (this “</w:t>
      </w:r>
      <w:r>
        <w:rPr>
          <w:rFonts w:ascii="Arial" w:cs="Arial" w:eastAsia="Arial" w:hAnsi="Arial"/>
          <w:sz w:val="22"/>
          <w:szCs w:val="22"/>
          <w:u w:val="single" w:color="auto"/>
          <w:color w:val="auto"/>
        </w:rPr>
        <w:t>Policy</w:t>
      </w:r>
      <w:r>
        <w:rPr>
          <w:rFonts w:ascii="Arial" w:cs="Arial" w:eastAsia="Arial" w:hAnsi="Arial"/>
          <w:sz w:val="22"/>
          <w:szCs w:val="22"/>
          <w:color w:val="auto"/>
        </w:rPr>
        <w:t>”) is intended to discourage conduct detrimental to the growth of Parsons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by enabling the Company to recover or “clawback” incentive compensation paid or payable to the Chief Executive Officer, Chief Financial Officer and any other employee of the Company that is designated by the Administrator (as defined below) through a resolution as being subject to this Policy (each a “</w:t>
      </w:r>
      <w:r>
        <w:rPr>
          <w:rFonts w:ascii="Arial" w:cs="Arial" w:eastAsia="Arial" w:hAnsi="Arial"/>
          <w:sz w:val="22"/>
          <w:szCs w:val="22"/>
          <w:u w:val="single" w:color="auto"/>
          <w:color w:val="auto"/>
        </w:rPr>
        <w:t>Covered Employee</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Covered Employees</w:t>
      </w:r>
      <w:r>
        <w:rPr>
          <w:rFonts w:ascii="Arial" w:cs="Arial" w:eastAsia="Arial" w:hAnsi="Arial"/>
          <w:sz w:val="22"/>
          <w:szCs w:val="22"/>
          <w:color w:val="auto"/>
        </w:rPr>
        <w:t>”) in the following circumstances:</w:t>
      </w:r>
    </w:p>
    <w:p>
      <w:pPr>
        <w:spacing w:after="0" w:line="187" w:lineRule="exact"/>
        <w:rPr>
          <w:sz w:val="20"/>
          <w:szCs w:val="20"/>
          <w:color w:val="auto"/>
        </w:rPr>
      </w:pPr>
    </w:p>
    <w:p>
      <w:pPr>
        <w:jc w:val="both"/>
        <w:ind w:left="1220" w:hanging="463"/>
        <w:spacing w:after="0" w:line="238" w:lineRule="auto"/>
        <w:tabs>
          <w:tab w:leader="none" w:pos="12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the Company suffers, or could reasonably be expected to suffer material financial damage as a result of any conduct by the Covered Employee constituting fraud, material theft of Company assets, bribery, corruption, or other illegal acts, gross negligence, or willful misconduct involving the Company or its subsidiaries (“</w:t>
      </w:r>
      <w:r>
        <w:rPr>
          <w:rFonts w:ascii="Arial" w:cs="Arial" w:eastAsia="Arial" w:hAnsi="Arial"/>
          <w:sz w:val="22"/>
          <w:szCs w:val="22"/>
          <w:u w:val="single" w:color="auto"/>
          <w:color w:val="auto"/>
        </w:rPr>
        <w:t>Detrimental Conduct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1220" w:hanging="463"/>
        <w:spacing w:after="0" w:line="238" w:lineRule="auto"/>
        <w:tabs>
          <w:tab w:leader="none" w:pos="12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A material restatement of the Company’s financial or operational results, as a result of the Covered Executive’s Detrimental Conduct, but not including restatements caused by changes in accounting rules, reclassifications or similar retrospective changes that are not the result of Detrimental Conduct (a “</w:t>
      </w:r>
      <w:r>
        <w:rPr>
          <w:rFonts w:ascii="Arial" w:cs="Arial" w:eastAsia="Arial" w:hAnsi="Arial"/>
          <w:sz w:val="22"/>
          <w:szCs w:val="22"/>
          <w:u w:val="single" w:color="auto"/>
          <w:color w:val="auto"/>
        </w:rPr>
        <w:t>Restatement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480" w:hanging="472"/>
        <w:spacing w:after="0"/>
        <w:tabs>
          <w:tab w:leader="none" w:pos="4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Subject to Clawback</w:t>
      </w:r>
    </w:p>
    <w:p>
      <w:pPr>
        <w:spacing w:after="0" w:line="21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Compensation subject to clawback under this Policy includes compensation paid, payable or awarded under the Company’s short- and long-term incentive compensation programs, including any discretionary bonuses, equity based incentive awards (whether or not vested), shares or phantom units acquired upon vesting or lapse of restriction of any awards; shares or phantom units acquired upon exercise of options or appreciation rights, dividend equivalents paid on equity incentive awards, and cash incentives.</w:t>
      </w:r>
    </w:p>
    <w:p>
      <w:pPr>
        <w:spacing w:after="0" w:line="18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Administrator may recover under this Policy the incentive compensation paid, awarded or acquired by the Covered Employee within the three years preceding the date on which the Administrator determines circumstances triggering the right to clawback such compensation has occurred. Additionally, in the event of a Restatement, the amount that may be recovered under this Policy will be limited to the excess of the amount of any incentive compensation actually paid, vested or awarded, and the amount of any such incentive compensation that would have been paid, vested or awarded had the financial or operational results been properly reported.</w:t>
      </w:r>
    </w:p>
    <w:p>
      <w:pPr>
        <w:spacing w:after="0" w:line="178"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left="10360"/>
        <w:spacing w:after="0"/>
        <w:rPr>
          <w:sz w:val="20"/>
          <w:szCs w:val="20"/>
          <w:color w:val="auto"/>
        </w:rPr>
      </w:pPr>
      <w:r>
        <w:rPr>
          <w:rFonts w:ascii="Arial" w:cs="Arial" w:eastAsia="Arial" w:hAnsi="Arial"/>
          <w:sz w:val="16"/>
          <w:szCs w:val="16"/>
          <w:color w:val="auto"/>
        </w:rPr>
        <w:t>Exhibit 19.1</w:t>
      </w:r>
    </w:p>
    <w:p>
      <w:pPr>
        <w:spacing w:after="0" w:line="40"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Any clawback under this Policy may, in the discretion of the Administrator, be accomplished through (i) the reduction, forfeiture or cancellation of awards whether or not vested or deferred, (ii) requiring the repayment to the Company of any gain realized or payment received upon the exercise or payment of the award valued as of the date of exercise or payment, (iii) adjusting future incentive compensation opportunities, or (iv) such other manner as the Administrator, in its discretion, determines to be appropriate.</w:t>
      </w:r>
    </w:p>
    <w:p>
      <w:pPr>
        <w:spacing w:after="0" w:line="18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2"/>
          <w:szCs w:val="22"/>
          <w:color w:val="auto"/>
        </w:rPr>
        <w:t>Any clawback under this Policy shall not limit or prohibit any disciplinary actions the Company may take against the Covered Employee, up to and including termination of employment.</w:t>
      </w:r>
    </w:p>
    <w:p>
      <w:pPr>
        <w:spacing w:after="0" w:line="163" w:lineRule="exact"/>
        <w:rPr>
          <w:sz w:val="20"/>
          <w:szCs w:val="20"/>
          <w:color w:val="auto"/>
        </w:rPr>
      </w:pPr>
    </w:p>
    <w:p>
      <w:pPr>
        <w:ind w:left="480" w:hanging="472"/>
        <w:spacing w:after="0"/>
        <w:tabs>
          <w:tab w:leader="none" w:pos="4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21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or a committee thereof (the “</w:t>
      </w:r>
      <w:r>
        <w:rPr>
          <w:rFonts w:ascii="Arial" w:cs="Arial" w:eastAsia="Arial" w:hAnsi="Arial"/>
          <w:sz w:val="21"/>
          <w:szCs w:val="21"/>
          <w:u w:val="single" w:color="auto"/>
          <w:color w:val="auto"/>
        </w:rPr>
        <w:t>Administrator</w:t>
      </w:r>
      <w:r>
        <w:rPr>
          <w:rFonts w:ascii="Arial" w:cs="Arial" w:eastAsia="Arial" w:hAnsi="Arial"/>
          <w:sz w:val="21"/>
          <w:szCs w:val="21"/>
          <w:color w:val="auto"/>
        </w:rPr>
        <w:t>”) has the discretion to administer and enforce all aspects of this Policy in its sole discretion, including, without limitation, whether this Policy applies and if so, the amount of compensation that may be subject to clawback and the manner of recovery. Determinations of the Administrator relating to this Policy shall be final, binding and conclusive on all affected individuals. The Administrator, in its discretion, may apply this Policy differently to each Covered Employee.</w:t>
      </w:r>
    </w:p>
    <w:p>
      <w:pPr>
        <w:spacing w:after="0" w:line="168" w:lineRule="exact"/>
        <w:rPr>
          <w:sz w:val="20"/>
          <w:szCs w:val="20"/>
          <w:color w:val="auto"/>
        </w:rPr>
      </w:pPr>
    </w:p>
    <w:p>
      <w:pPr>
        <w:ind w:left="480" w:hanging="472"/>
        <w:spacing w:after="0"/>
        <w:tabs>
          <w:tab w:leader="none" w:pos="4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or Termination</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2"/>
          <w:szCs w:val="22"/>
          <w:color w:val="auto"/>
        </w:rPr>
        <w:t>The Board may amend, modify or terminate this Policy in whole or in part at any time and from time to time in its sole discretion. Any amendments will, unless otherwise specified, be applicable to any incentive compensation paid, granted, or awarded on or after the date of such amendment.</w:t>
      </w:r>
    </w:p>
    <w:p>
      <w:pPr>
        <w:spacing w:after="0" w:line="18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Policy is effective as of January 14, 2019. This Policy automatically applies to awards made under the Company’s equity incentive plans on or after such date and is an express condition of the vesting, payment, or receipt of any such incentives. Acceptance of any incentive compensation award will constitute consent to all the terms and conditions of this Policy.</w:t>
      </w:r>
    </w:p>
    <w:p>
      <w:pPr>
        <w:spacing w:after="0" w:line="175" w:lineRule="exact"/>
        <w:rPr>
          <w:sz w:val="20"/>
          <w:szCs w:val="20"/>
          <w:color w:val="auto"/>
        </w:rPr>
      </w:pPr>
    </w:p>
    <w:p>
      <w:pPr>
        <w:ind w:left="480" w:hanging="472"/>
        <w:spacing w:after="0"/>
        <w:tabs>
          <w:tab w:leader="none" w:pos="4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2"/>
          <w:szCs w:val="22"/>
          <w:color w:val="auto"/>
        </w:rPr>
        <w:t>If any provision of this Policy is declared illegal, invalid or otherwise unenforceable by a court of competent jurisdiction, then such provision will be revised and applied, if possible, in a manner so as to make it legal, valid and enforceable, or it will otherwise be deleted, and the remaining terms of this Policy will not be affected.</w:t>
      </w:r>
    </w:p>
    <w:p>
      <w:pPr>
        <w:spacing w:after="0" w:line="183"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22"/>
          <w:szCs w:val="22"/>
          <w:color w:val="auto"/>
        </w:rPr>
        <w:t>The Company’s right of clawback under this Policy is in addition to any other remedy available to it, including, but not limited to, termination of employment,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left="10360"/>
        <w:spacing w:after="0"/>
        <w:rPr>
          <w:sz w:val="20"/>
          <w:szCs w:val="20"/>
          <w:color w:val="auto"/>
        </w:rPr>
      </w:pPr>
      <w:r>
        <w:rPr>
          <w:rFonts w:ascii="Arial" w:cs="Arial" w:eastAsia="Arial" w:hAnsi="Arial"/>
          <w:sz w:val="16"/>
          <w:szCs w:val="16"/>
          <w:color w:val="auto"/>
        </w:rPr>
        <w:t>Exhibit 19.1</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initiation of civil or criminal proceedings, and any right to repayment under the Sarbanes-Oxley Act of 2002, any clawback under the Dodd-Frank Compliant Compensation Clawback Policy (the “DF Policy”) and any other applicable law. For the avoidance of doubt, any enforcement action made under this Policy shall be net of enforcement actions, if any, made under any other such clawback rights, including enforcement actions pursuant to the DF Policy. As a result, if an enforcement action under this policy results in clawback of an amount greater than the amount determined under the DF Policy for a Covered Employee, then the Company may in its discretion recover the difference between the amount of compensation determined to be subject to recovery under this Policy and the amount recouped under the DF Policy.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left="9800"/>
        <w:spacing w:after="0"/>
        <w:rPr>
          <w:sz w:val="20"/>
          <w:szCs w:val="20"/>
          <w:color w:val="auto"/>
        </w:rPr>
      </w:pPr>
      <w:r>
        <w:rPr>
          <w:rFonts w:ascii="Arial" w:cs="Arial" w:eastAsia="Arial" w:hAnsi="Arial"/>
          <w:sz w:val="22"/>
          <w:szCs w:val="22"/>
          <w:color w:val="auto"/>
        </w:rPr>
        <w:t>Exhibit 19.2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PARSONS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DODD-FRANK COMPLIANT COMPENSATION CLAWBACK POLICY</w:t>
      </w:r>
    </w:p>
    <w:p>
      <w:pPr>
        <w:spacing w:after="0" w:line="19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Board of Directors (the “Board”) of Parsons Corporation (the “Company”) believes that it is in the best interests of the Company and its shareholders to adopt this Dodd-Frank Clawback Policy (the “Policy”), which provides for the recovery of certain incentive compensation in the event of an Accounting Restatement (as defined below). This Policy is designed to comply with, and shall be interpreted to be consistent with, Section 10D of the Securities Exchange Act of 1934, as amended (the “Exchange Act”), Rule 10D-1 promulgated under the Exchange Act (“Rule 10D-1”) and Section 303A.14 of the New York Stock Exchange Listed Company Manual (the “Listing Standards”):</w:t>
      </w:r>
    </w:p>
    <w:p>
      <w:pPr>
        <w:spacing w:after="0" w:line="181"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21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Except as specifically set forth herein, this Policy shall be administered by the Compensation and Management Development Committee of the Board (the “Administrator”).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such as the Audit and Risk Committee, as may be necessary or appropriate as to matters within the scope of such other committee’s responsibility and authority. 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78"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used in this Policy, the following definitions shall apply:</w:t>
      </w:r>
    </w:p>
    <w:p>
      <w:pPr>
        <w:spacing w:after="0" w:line="196" w:lineRule="exact"/>
        <w:rPr>
          <w:sz w:val="20"/>
          <w:szCs w:val="20"/>
          <w:color w:val="auto"/>
        </w:rPr>
      </w:pPr>
    </w:p>
    <w:p>
      <w:pPr>
        <w:jc w:val="both"/>
        <w:ind w:left="1500" w:hanging="369"/>
        <w:spacing w:after="0" w:line="237" w:lineRule="auto"/>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“Accounting Restatement”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 accounting restatement of the Company’s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67" w:lineRule="exact"/>
        <w:rPr>
          <w:rFonts w:ascii="Arial" w:cs="Arial" w:eastAsia="Arial" w:hAnsi="Arial"/>
          <w:sz w:val="22"/>
          <w:szCs w:val="22"/>
          <w:color w:val="auto"/>
        </w:rPr>
      </w:pPr>
    </w:p>
    <w:p>
      <w:pPr>
        <w:ind w:left="1500" w:hanging="369"/>
        <w:spacing w:after="0"/>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“Administrator”</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set forth in Section 1 hereof.</w:t>
      </w:r>
    </w:p>
    <w:p>
      <w:pPr>
        <w:spacing w:after="0" w:line="98" w:lineRule="exact"/>
        <w:rPr>
          <w:rFonts w:ascii="Arial" w:cs="Arial" w:eastAsia="Arial" w:hAnsi="Arial"/>
          <w:sz w:val="22"/>
          <w:szCs w:val="22"/>
          <w:color w:val="auto"/>
        </w:rPr>
      </w:pPr>
    </w:p>
    <w:p>
      <w:pPr>
        <w:jc w:val="both"/>
        <w:ind w:left="1500" w:hanging="369"/>
        <w:spacing w:after="0" w:line="236" w:lineRule="auto"/>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“Applicable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three completed fiscal years immediately preceding the date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“date on which the Company is required to prepare an Accounting Restatement” is the earlier to occur of (a) the date the Board concludes, or reasonably should have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ind w:left="9800"/>
        <w:spacing w:after="0"/>
        <w:rPr>
          <w:sz w:val="20"/>
          <w:szCs w:val="20"/>
          <w:color w:val="auto"/>
        </w:rPr>
      </w:pPr>
      <w:r>
        <w:rPr>
          <w:rFonts w:ascii="Arial" w:cs="Arial" w:eastAsia="Arial" w:hAnsi="Arial"/>
          <w:sz w:val="22"/>
          <w:szCs w:val="22"/>
          <w:color w:val="auto"/>
        </w:rPr>
        <w:t>Exhibit 19.2</w:t>
      </w:r>
    </w:p>
    <w:p>
      <w:pPr>
        <w:spacing w:after="0" w:line="206" w:lineRule="exact"/>
        <w:rPr>
          <w:sz w:val="20"/>
          <w:szCs w:val="20"/>
          <w:color w:val="auto"/>
        </w:rPr>
      </w:pPr>
    </w:p>
    <w:p>
      <w:pPr>
        <w:jc w:val="both"/>
        <w:ind w:left="1500" w:right="20"/>
        <w:spacing w:after="0" w:line="241" w:lineRule="auto"/>
        <w:rPr>
          <w:sz w:val="20"/>
          <w:szCs w:val="20"/>
          <w:color w:val="auto"/>
        </w:rPr>
      </w:pPr>
      <w:r>
        <w:rPr>
          <w:rFonts w:ascii="Arial" w:cs="Arial" w:eastAsia="Arial" w:hAnsi="Arial"/>
          <w:sz w:val="22"/>
          <w:szCs w:val="22"/>
          <w:color w:val="auto"/>
        </w:rPr>
        <w:t>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spacing w:after="0" w:line="65" w:lineRule="exact"/>
        <w:rPr>
          <w:sz w:val="20"/>
          <w:szCs w:val="20"/>
          <w:color w:val="auto"/>
        </w:rPr>
      </w:pPr>
    </w:p>
    <w:p>
      <w:pPr>
        <w:jc w:val="both"/>
        <w:ind w:left="1500" w:hanging="369"/>
        <w:spacing w:after="0" w:line="245" w:lineRule="auto"/>
        <w:tabs>
          <w:tab w:leader="none" w:pos="1500" w:val="left"/>
        </w:tabs>
        <w:numPr>
          <w:ilvl w:val="1"/>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“Covered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Company’s current and former executive officers, as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Administrator in accordance with the definition of executive officer set forth in Rule 10D-1 and the Listing Standards.</w:t>
      </w:r>
    </w:p>
    <w:p>
      <w:pPr>
        <w:spacing w:after="0" w:line="62" w:lineRule="exact"/>
        <w:rPr>
          <w:rFonts w:ascii="Arial" w:cs="Arial" w:eastAsia="Arial" w:hAnsi="Arial"/>
          <w:sz w:val="22"/>
          <w:szCs w:val="22"/>
          <w:color w:val="auto"/>
        </w:rPr>
      </w:pPr>
    </w:p>
    <w:p>
      <w:pPr>
        <w:ind w:left="1500" w:hanging="369"/>
        <w:spacing w:after="0"/>
        <w:tabs>
          <w:tab w:leader="none" w:pos="1500" w:val="left"/>
        </w:tabs>
        <w:numPr>
          <w:ilvl w:val="1"/>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“Erroneously Awarded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set forth in Section 5 of this Policy.</w:t>
      </w:r>
    </w:p>
    <w:p>
      <w:pPr>
        <w:spacing w:after="0" w:line="98" w:lineRule="exact"/>
        <w:rPr>
          <w:rFonts w:ascii="Arial" w:cs="Arial" w:eastAsia="Arial" w:hAnsi="Arial"/>
          <w:sz w:val="22"/>
          <w:szCs w:val="22"/>
          <w:color w:val="auto"/>
        </w:rPr>
      </w:pPr>
    </w:p>
    <w:p>
      <w:pPr>
        <w:jc w:val="both"/>
        <w:ind w:left="1500" w:hanging="369"/>
        <w:spacing w:after="0" w:line="233" w:lineRule="auto"/>
        <w:tabs>
          <w:tab w:leader="none" w:pos="15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u w:val="single" w:color="auto"/>
          <w:color w:val="auto"/>
        </w:rPr>
        <w:t>“Financial Reporting Measure”</w:t>
      </w:r>
      <w:r>
        <w:rPr>
          <w:rFonts w:ascii="Arial" w:cs="Arial" w:eastAsia="Arial" w:hAnsi="Arial"/>
          <w:sz w:val="22"/>
          <w:szCs w:val="22"/>
          <w:color w:val="auto"/>
        </w:rPr>
        <w:t xml:space="preserve"> 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(“TSR”); revenues; net income; operating income; profitability of one or more reportable segments; financial ratios (e.g., accounts receivable turnover and inventory turnover rates); earnings before interest, taxes, depreciation and amortization (“EBITDA”);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Exchange Commission.</w:t>
      </w:r>
    </w:p>
    <w:p>
      <w:pPr>
        <w:spacing w:after="0" w:line="66" w:lineRule="exact"/>
        <w:rPr>
          <w:rFonts w:ascii="Arial" w:cs="Arial" w:eastAsia="Arial" w:hAnsi="Arial"/>
          <w:sz w:val="22"/>
          <w:szCs w:val="22"/>
          <w:color w:val="auto"/>
        </w:rPr>
      </w:pPr>
    </w:p>
    <w:p>
      <w:pPr>
        <w:jc w:val="both"/>
        <w:ind w:left="1500" w:hanging="369"/>
        <w:spacing w:after="0" w:line="252" w:lineRule="auto"/>
        <w:tabs>
          <w:tab w:leader="none" w:pos="1500" w:val="left"/>
        </w:tabs>
        <w:numPr>
          <w:ilvl w:val="1"/>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“Incentive-Based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compensation that is granted, earned or vested</w:t>
      </w:r>
      <w:r>
        <w:rPr>
          <w:rFonts w:ascii="Arial" w:cs="Arial" w:eastAsia="Arial" w:hAnsi="Arial"/>
          <w:sz w:val="21"/>
          <w:szCs w:val="21"/>
          <w:b w:val="1"/>
          <w:bCs w:val="1"/>
          <w:color w:val="auto"/>
        </w:rPr>
        <w:t xml:space="preserve"> </w:t>
      </w:r>
      <w:r>
        <w:rPr>
          <w:rFonts w:ascii="Arial" w:cs="Arial" w:eastAsia="Arial" w:hAnsi="Arial"/>
          <w:sz w:val="21"/>
          <w:szCs w:val="21"/>
          <w:color w:val="auto"/>
        </w:rPr>
        <w:t>based wholly or in 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55" w:lineRule="exact"/>
        <w:rPr>
          <w:rFonts w:ascii="Arial" w:cs="Arial" w:eastAsia="Arial" w:hAnsi="Arial"/>
          <w:sz w:val="21"/>
          <w:szCs w:val="21"/>
          <w:color w:val="auto"/>
        </w:rPr>
      </w:pPr>
    </w:p>
    <w:p>
      <w:pPr>
        <w:ind w:left="480" w:hanging="472"/>
        <w:spacing w:after="0"/>
        <w:tabs>
          <w:tab w:leader="none" w:pos="48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Covered Executives; Incentive-Based Compensation</w:t>
      </w:r>
    </w:p>
    <w:p>
      <w:pPr>
        <w:spacing w:after="0" w:line="21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Policy applies to Incentive-Based Compensation received by a Covered Executive (a) after beginning services as a Covered Executive; (b) if that person served as a Covered Executive at any time during the performance period for such Incentive-Based Compensation; and (c) while the Company had a listed class of securities on a national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ind w:left="9800"/>
        <w:spacing w:after="0"/>
        <w:rPr>
          <w:sz w:val="20"/>
          <w:szCs w:val="20"/>
          <w:color w:val="auto"/>
        </w:rPr>
      </w:pPr>
      <w:r>
        <w:rPr>
          <w:rFonts w:ascii="Arial" w:cs="Arial" w:eastAsia="Arial" w:hAnsi="Arial"/>
          <w:sz w:val="22"/>
          <w:szCs w:val="22"/>
          <w:color w:val="auto"/>
        </w:rPr>
        <w:t>Exhibit 19.2</w:t>
      </w:r>
    </w:p>
    <w:p>
      <w:pPr>
        <w:spacing w:after="0" w:line="196" w:lineRule="exact"/>
        <w:rPr>
          <w:sz w:val="20"/>
          <w:szCs w:val="20"/>
          <w:color w:val="auto"/>
        </w:rPr>
      </w:pPr>
    </w:p>
    <w:p>
      <w:pPr>
        <w:ind w:right="20" w:firstLine="8"/>
        <w:spacing w:after="0" w:line="276" w:lineRule="auto"/>
        <w:tabs>
          <w:tab w:leader="none" w:pos="575"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Required Recoupment of Erroneously Awarded Compensation in the Event of an Accounting Restatement</w:t>
      </w:r>
    </w:p>
    <w:p>
      <w:pPr>
        <w:spacing w:after="0" w:line="13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2"/>
          <w:szCs w:val="22"/>
          <w:color w:val="auto"/>
        </w:rPr>
        <w:t>In the event the Company is required to prepare an Accounting Restatement, the Company shall promptly recoup the amount of any Erroneously Awarded Compensation received by any Covered Executive, as calculated pursuant to Section 5 hereof, during the Applicable Period.</w:t>
      </w:r>
    </w:p>
    <w:p>
      <w:pPr>
        <w:spacing w:after="0" w:line="173"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Erroneously Awarded Compensation: Amount Subject to Recovery</w:t>
      </w:r>
    </w:p>
    <w:p>
      <w:pPr>
        <w:spacing w:after="0" w:line="21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amount of “Erroneously Awarded Compensation” subject to recovery under the Policy, as determined by the Administrator, is the amount of Incentive-Based Compensation received by the Covered Executive that exceeds the amount of Incentive-Based Compensation that would have been received by the Covered Executive had it been determined based on the restated amounts.</w:t>
      </w:r>
    </w:p>
    <w:p>
      <w:pPr>
        <w:spacing w:after="0" w:line="185"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22"/>
          <w:szCs w:val="22"/>
          <w:color w:val="auto"/>
        </w:rPr>
        <w:t>Erroneously Awarded Compensation shall be computed by the Administrator without regard to any taxes paid by the Covered Executive in respect of the Erroneously Awarded Compensation.</w:t>
      </w:r>
    </w:p>
    <w:p>
      <w:pPr>
        <w:spacing w:after="0" w:line="17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8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If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 The Company shall maintain documentation of the determination of that reasonable estimate and provide such documentation to the New York Stock Exchange (“NYSE”).</w:t>
      </w:r>
    </w:p>
    <w:p>
      <w:pPr>
        <w:spacing w:after="0" w:line="177"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Method of Recoupment</w:t>
      </w:r>
    </w:p>
    <w:p>
      <w:pPr>
        <w:spacing w:after="0" w:line="21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Administrator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w:t>
      </w:r>
    </w:p>
    <w:p>
      <w:pPr>
        <w:spacing w:after="0" w:line="188"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22"/>
          <w:szCs w:val="22"/>
          <w:color w:val="auto"/>
        </w:rPr>
        <w:t>Subject to compliance with any applicable law, the Administrator may affect recovery under this Policy from any amount otherwise payable to the Covered Executive,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ind w:left="9800"/>
        <w:spacing w:after="0"/>
        <w:rPr>
          <w:sz w:val="20"/>
          <w:szCs w:val="20"/>
          <w:color w:val="auto"/>
        </w:rPr>
      </w:pPr>
      <w:r>
        <w:rPr>
          <w:rFonts w:ascii="Arial" w:cs="Arial" w:eastAsia="Arial" w:hAnsi="Arial"/>
          <w:sz w:val="22"/>
          <w:szCs w:val="22"/>
          <w:color w:val="auto"/>
        </w:rPr>
        <w:t>Exhibit 19.2</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amounts payable to such individual under any otherwise applicable Company plan or program, including base salary, bonuses or commissions and compensation previously deferred by the Covered Executive.</w:t>
      </w:r>
    </w:p>
    <w:p>
      <w:pPr>
        <w:spacing w:after="0" w:line="17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Company is authorized and directed pursuant to this Policy to recoup Erroneously Awarded Compensation in compliance with this Policy unless the Compensation Committee of the Board has determined that recovery would be impracticable solely for the following limited reasons, and subject to the following procedural and disclosure requirements:</w:t>
      </w:r>
    </w:p>
    <w:p>
      <w:pPr>
        <w:spacing w:after="0" w:line="185" w:lineRule="exact"/>
        <w:rPr>
          <w:sz w:val="20"/>
          <w:szCs w:val="20"/>
          <w:color w:val="auto"/>
        </w:rPr>
      </w:pPr>
    </w:p>
    <w:p>
      <w:pPr>
        <w:jc w:val="both"/>
        <w:ind w:left="1140" w:hanging="383"/>
        <w:spacing w:after="0" w:line="236" w:lineRule="auto"/>
        <w:tabs>
          <w:tab w:leader="none" w:pos="11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NYSE;</w:t>
      </w:r>
    </w:p>
    <w:p>
      <w:pPr>
        <w:spacing w:after="0" w:line="79" w:lineRule="exact"/>
        <w:rPr>
          <w:rFonts w:ascii="Arial" w:cs="Arial" w:eastAsia="Arial" w:hAnsi="Arial"/>
          <w:sz w:val="22"/>
          <w:szCs w:val="22"/>
          <w:color w:val="auto"/>
        </w:rPr>
      </w:pPr>
    </w:p>
    <w:p>
      <w:pPr>
        <w:jc w:val="both"/>
        <w:ind w:left="1140" w:hanging="383"/>
        <w:spacing w:after="0" w:line="238" w:lineRule="auto"/>
        <w:tabs>
          <w:tab w:leader="none" w:pos="11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Recovery would violate home country law of the issuer where that law was adopted prior to November 28, 2022. Before concluding that it would be impracticable to recover any amount of Erroneously Awarded Compensation based on violation of home country law of the issuer, the Administrator must satisfy the applicable opinion and disclosure requirements of Rule 10D-1 and the Listing Standards; or</w:t>
      </w:r>
    </w:p>
    <w:p>
      <w:pPr>
        <w:spacing w:after="0" w:line="76" w:lineRule="exact"/>
        <w:rPr>
          <w:rFonts w:ascii="Arial" w:cs="Arial" w:eastAsia="Arial" w:hAnsi="Arial"/>
          <w:sz w:val="22"/>
          <w:szCs w:val="22"/>
          <w:color w:val="auto"/>
        </w:rPr>
      </w:pPr>
    </w:p>
    <w:p>
      <w:pPr>
        <w:jc w:val="both"/>
        <w:ind w:left="1140" w:hanging="383"/>
        <w:spacing w:after="0" w:line="241" w:lineRule="auto"/>
        <w:tabs>
          <w:tab w:leader="none" w:pos="11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64" w:lineRule="exact"/>
        <w:rPr>
          <w:rFonts w:ascii="Arial" w:cs="Arial" w:eastAsia="Arial" w:hAnsi="Arial"/>
          <w:sz w:val="22"/>
          <w:szCs w:val="22"/>
          <w:color w:val="auto"/>
        </w:rPr>
      </w:pPr>
    </w:p>
    <w:p>
      <w:pPr>
        <w:ind w:left="480" w:hanging="472"/>
        <w:spacing w:after="0"/>
        <w:tabs>
          <w:tab w:leader="none" w:pos="4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Indemnification of Covered Executives</w:t>
      </w:r>
    </w:p>
    <w:p>
      <w:pPr>
        <w:spacing w:after="0" w:line="21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Notwithstanding the terms of any indemnification or insurance policy or any contractual arrangement with any Covered Executive that may be interpreted to the contrary, the Company shall not indemnify any Covered Executives against the loss of any Erroneously Awarded Compensation, including any payment or reimbursement for the cost of third-party insurance purchased by any Covered Executives to fund potential clawback obligations under this Policy.</w:t>
      </w:r>
    </w:p>
    <w:p>
      <w:pPr>
        <w:spacing w:after="0" w:line="164"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Administrator Indemnification</w:t>
      </w:r>
    </w:p>
    <w:p>
      <w:pPr>
        <w:spacing w:after="0" w:line="21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7"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2"/>
          <w:szCs w:val="22"/>
          <w:color w:val="auto"/>
        </w:rPr>
        <w:t>This Policy shall be effective as of the effective date of the Listing Standards (the “Effective Date”). The terms of this Policy shall apply to any Incentive-Based Compensation that is received by Covered Executives on or after the Effective Date, even if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ind w:left="9800"/>
        <w:spacing w:after="0"/>
        <w:rPr>
          <w:sz w:val="20"/>
          <w:szCs w:val="20"/>
          <w:color w:val="auto"/>
        </w:rPr>
      </w:pPr>
      <w:r>
        <w:rPr>
          <w:rFonts w:ascii="Arial" w:cs="Arial" w:eastAsia="Arial" w:hAnsi="Arial"/>
          <w:sz w:val="22"/>
          <w:szCs w:val="22"/>
          <w:color w:val="auto"/>
        </w:rPr>
        <w:t>Exhibit 19.2</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Incentive-Based Compensation was approved, awarded, granted or paid to Covered Executives prior to the Effective Date.</w:t>
      </w:r>
    </w:p>
    <w:p>
      <w:pPr>
        <w:spacing w:after="0" w:line="163" w:lineRule="exact"/>
        <w:rPr>
          <w:sz w:val="20"/>
          <w:szCs w:val="20"/>
          <w:color w:val="auto"/>
        </w:rPr>
      </w:pPr>
    </w:p>
    <w:p>
      <w:pPr>
        <w:ind w:left="480" w:hanging="472"/>
        <w:spacing w:after="0"/>
        <w:tabs>
          <w:tab w:leader="none" w:pos="4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Termination</w:t>
      </w:r>
    </w:p>
    <w:p>
      <w:pPr>
        <w:spacing w:after="0" w:line="21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1"/>
          <w:szCs w:val="21"/>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56"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Recoupment Rights; Company Claims</w:t>
      </w:r>
    </w:p>
    <w:p>
      <w:pPr>
        <w:spacing w:after="0" w:line="21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including any rights under the Company’s Executive Compensation Clawback Policy.</w:t>
      </w:r>
    </w:p>
    <w:p>
      <w:pPr>
        <w:spacing w:after="0" w:line="187"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2"/>
          <w:szCs w:val="22"/>
          <w:color w:val="auto"/>
        </w:rPr>
        <w:t>Nothing contained in this Policy, and no recoupment or recovery as contemplated by this Policy, shall limit any claims, damages or other legal remedies the Company or any of its affiliates may have against a Covered Executive arising out of or resulting from any actions or omissions by the Covered Executive.</w:t>
      </w:r>
    </w:p>
    <w:p>
      <w:pPr>
        <w:spacing w:after="0" w:line="173"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w:t>
      </w:r>
    </w:p>
    <w:p>
      <w:pPr>
        <w:spacing w:after="0" w:line="216" w:lineRule="exact"/>
        <w:rPr>
          <w:sz w:val="20"/>
          <w:szCs w:val="20"/>
          <w:color w:val="auto"/>
        </w:rPr>
      </w:pPr>
    </w:p>
    <w:p>
      <w:pPr>
        <w:ind w:firstLine="749"/>
        <w:spacing w:after="0" w:line="251" w:lineRule="auto"/>
        <w:rPr>
          <w:sz w:val="20"/>
          <w:szCs w:val="20"/>
          <w:color w:val="auto"/>
        </w:rPr>
      </w:pPr>
      <w:r>
        <w:rPr>
          <w:rFonts w:ascii="Arial" w:cs="Arial" w:eastAsia="Arial" w:hAnsi="Arial"/>
          <w:sz w:val="22"/>
          <w:szCs w:val="22"/>
          <w:color w:val="auto"/>
        </w:rPr>
        <w:t>This Policy shall be binding and enforceable against all Covered Executives and their beneficiaries, heirs, executors, administrators or other legal representatives.</w:t>
      </w:r>
    </w:p>
    <w:p>
      <w:pPr>
        <w:spacing w:after="0" w:line="163" w:lineRule="exact"/>
        <w:rPr>
          <w:sz w:val="20"/>
          <w:szCs w:val="20"/>
          <w:color w:val="auto"/>
        </w:rPr>
      </w:pPr>
    </w:p>
    <w:p>
      <w:pPr>
        <w:ind w:left="480" w:hanging="472"/>
        <w:spacing w:after="0"/>
        <w:tabs>
          <w:tab w:leader="none" w:pos="48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Exhibit Filing Requirement</w:t>
      </w:r>
    </w:p>
    <w:p>
      <w:pPr>
        <w:spacing w:after="0" w:line="216" w:lineRule="exact"/>
        <w:rPr>
          <w:sz w:val="20"/>
          <w:szCs w:val="20"/>
          <w:color w:val="auto"/>
        </w:rPr>
      </w:pPr>
    </w:p>
    <w:p>
      <w:pPr>
        <w:ind w:firstLine="749"/>
        <w:spacing w:after="0" w:line="251" w:lineRule="auto"/>
        <w:rPr>
          <w:sz w:val="20"/>
          <w:szCs w:val="20"/>
          <w:color w:val="auto"/>
        </w:rPr>
      </w:pPr>
      <w:r>
        <w:rPr>
          <w:rFonts w:ascii="Arial" w:cs="Arial" w:eastAsia="Arial" w:hAnsi="Arial"/>
          <w:sz w:val="22"/>
          <w:szCs w:val="22"/>
          <w:color w:val="auto"/>
        </w:rPr>
        <w:t>A copy of this Policy and any amendments thereto shall be posted on the Company’s website and filed as an exhibit to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1637030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ind w:left="9800"/>
        <w:spacing w:after="0"/>
        <w:rPr>
          <w:sz w:val="20"/>
          <w:szCs w:val="20"/>
          <w:color w:val="auto"/>
        </w:rPr>
      </w:pPr>
      <w:r>
        <w:rPr>
          <w:rFonts w:ascii="Arial" w:cs="Arial" w:eastAsia="Arial" w:hAnsi="Arial"/>
          <w:sz w:val="22"/>
          <w:szCs w:val="22"/>
          <w:color w:val="auto"/>
        </w:rPr>
        <w:t>Exhibit 19.2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Clawback Policy Acknowledgement</w:t>
      </w:r>
    </w:p>
    <w:p>
      <w:pPr>
        <w:spacing w:after="0" w:line="21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I, the undersigned, agree and acknowledge that I am fully bound by, and subject to, all of the terms and conditions of Parsons’ Dodd-Frank Compliant Compensation Clawback Policy (as may be amended, restated, supplemented or otherwise modified from time to time,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Administrator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spacing w:after="0"/>
        <w:tabs>
          <w:tab w:leader="none" w:pos="5540" w:val="left"/>
        </w:tabs>
        <w:rPr>
          <w:sz w:val="20"/>
          <w:szCs w:val="20"/>
          <w:color w:val="auto"/>
        </w:rPr>
      </w:pPr>
      <w:r>
        <w:rPr>
          <w:rFonts w:ascii="Arial" w:cs="Arial" w:eastAsia="Arial" w:hAnsi="Arial"/>
          <w:sz w:val="22"/>
          <w:szCs w:val="22"/>
          <w:color w:val="auto"/>
        </w:rPr>
        <w:t>By:__________________________________</w:t>
      </w:r>
      <w:r>
        <w:rPr>
          <w:sz w:val="20"/>
          <w:szCs w:val="20"/>
          <w:color w:val="auto"/>
        </w:rPr>
        <w:tab/>
      </w:r>
      <w:r>
        <w:rPr>
          <w:rFonts w:ascii="Arial" w:cs="Arial" w:eastAsia="Arial" w:hAnsi="Arial"/>
          <w:sz w:val="21"/>
          <w:szCs w:val="21"/>
          <w:color w:val="auto"/>
        </w:rPr>
        <w:t>Date:_____________________</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4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8"/>
          <w:szCs w:val="18"/>
          <w:color w:val="auto"/>
        </w:rPr>
      </w:pPr>
    </w:p>
    <w:p>
      <w:pPr>
        <w:ind w:left="520" w:right="60" w:hanging="512"/>
        <w:spacing w:after="0" w:line="24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jc w:val="both"/>
        <w:ind w:left="1020" w:right="220" w:hanging="503"/>
        <w:spacing w:after="0" w:line="247"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1020" w:right="20" w:hanging="503"/>
        <w:spacing w:after="0" w:line="247"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20" w:right="280" w:hanging="512"/>
        <w:spacing w:after="0" w:line="24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8"/>
          <w:szCs w:val="18"/>
          <w:color w:val="auto"/>
        </w:rPr>
      </w:pPr>
    </w:p>
    <w:p>
      <w:pPr>
        <w:ind w:left="1020" w:right="200" w:hanging="503"/>
        <w:spacing w:after="0" w:line="247"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8"/>
          <w:szCs w:val="18"/>
          <w:color w:val="auto"/>
        </w:rPr>
      </w:pPr>
    </w:p>
    <w:p>
      <w:pPr>
        <w:ind w:left="1020" w:right="120" w:hanging="503"/>
        <w:spacing w:after="0" w:line="260"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tabs>
          <w:tab w:leader="none" w:pos="6640" w:val="left"/>
          <w:tab w:leader="none" w:pos="842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13970</wp:posOffset>
            </wp:positionV>
            <wp:extent cx="263144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4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8"/>
          <w:szCs w:val="18"/>
          <w:color w:val="auto"/>
        </w:rPr>
      </w:pPr>
    </w:p>
    <w:p>
      <w:pPr>
        <w:ind w:left="520" w:right="60" w:hanging="512"/>
        <w:spacing w:after="0" w:line="24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jc w:val="both"/>
        <w:ind w:left="1020" w:right="220" w:hanging="503"/>
        <w:spacing w:after="0" w:line="247"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1020" w:right="20" w:hanging="503"/>
        <w:spacing w:after="0" w:line="247"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20" w:right="280" w:hanging="512"/>
        <w:spacing w:after="0" w:line="24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8"/>
          <w:szCs w:val="18"/>
          <w:color w:val="auto"/>
        </w:rPr>
      </w:pPr>
    </w:p>
    <w:p>
      <w:pPr>
        <w:ind w:left="1020" w:right="200" w:hanging="503"/>
        <w:spacing w:after="0" w:line="247"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8"/>
          <w:szCs w:val="18"/>
          <w:color w:val="auto"/>
        </w:rPr>
      </w:pPr>
    </w:p>
    <w:p>
      <w:pPr>
        <w:ind w:left="1020" w:right="120" w:hanging="503"/>
        <w:spacing w:after="0" w:line="260"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tabs>
          <w:tab w:leader="none" w:pos="6760" w:val="left"/>
          <w:tab w:leader="none" w:pos="830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13970</wp:posOffset>
            </wp:positionV>
            <wp:extent cx="26314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jc w:val="both"/>
        <w:ind w:right="240" w:firstLine="509"/>
        <w:spacing w:after="0" w:line="247"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2023 as filed with the Securities and Exchange Commission on the date hereof (the “Report”), I, Carey A. Smith, Chief Executive Officer of the Company,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60"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3" w:lineRule="exact"/>
        <w:rPr>
          <w:sz w:val="20"/>
          <w:szCs w:val="20"/>
          <w:color w:val="auto"/>
        </w:rPr>
      </w:pPr>
    </w:p>
    <w:p>
      <w:pPr>
        <w:ind w:left="20"/>
        <w:spacing w:after="0"/>
        <w:tabs>
          <w:tab w:leader="none" w:pos="6080" w:val="left"/>
          <w:tab w:leader="none" w:pos="814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13970</wp:posOffset>
            </wp:positionV>
            <wp:extent cx="29914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firstLine="509"/>
        <w:spacing w:after="0" w:line="260"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2023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60"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3" w:lineRule="exact"/>
        <w:rPr>
          <w:sz w:val="20"/>
          <w:szCs w:val="20"/>
          <w:color w:val="auto"/>
        </w:rPr>
      </w:pPr>
    </w:p>
    <w:p>
      <w:pPr>
        <w:ind w:left="20"/>
        <w:spacing w:after="0"/>
        <w:tabs>
          <w:tab w:leader="none" w:pos="6080" w:val="left"/>
          <w:tab w:leader="none" w:pos="802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13970</wp:posOffset>
            </wp:positionV>
            <wp:extent cx="30003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firstLine="509"/>
        <w:spacing w:after="0" w:line="260"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2"/>
    </w:lvl>
  </w:abstractNum>
  <w:abstractNum w:abstractNumId="4">
    <w:nsid w:val="3006C83E"/>
    <w:multiLevelType w:val="hybridMultilevel"/>
    <w:lvl w:ilvl="0">
      <w:lvlJc w:val="left"/>
      <w:lvlText w:val="%1."/>
      <w:numFmt w:val="decimal"/>
      <w:start w:val="3"/>
    </w:lvl>
  </w:abstractNum>
  <w:abstractNum w:abstractNumId="5">
    <w:nsid w:val="614FD4A1"/>
    <w:multiLevelType w:val="hybridMultilevel"/>
    <w:lvl w:ilvl="0">
      <w:lvlJc w:val="left"/>
      <w:lvlText w:val="%1."/>
      <w:numFmt w:val="decimal"/>
      <w:start w:val="4"/>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5"/>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6"/>
    </w:lvl>
  </w:abstractNum>
  <w:abstractNum w:abstractNumId="10">
    <w:nsid w:val="3804823E"/>
    <w:multiLevelType w:val="hybridMultilevel"/>
    <w:lvl w:ilvl="0">
      <w:lvlJc w:val="left"/>
      <w:lvlText w:val="%1."/>
      <w:numFmt w:val="decimal"/>
      <w:start w:val="7"/>
    </w:lvl>
  </w:abstractNum>
  <w:abstractNum w:abstractNumId="11">
    <w:nsid w:val="77465F01"/>
    <w:multiLevelType w:val="hybridMultilevel"/>
    <w:lvl w:ilvl="0">
      <w:lvlJc w:val="left"/>
      <w:lvlText w:val="%1."/>
      <w:numFmt w:val="decimal"/>
      <w:start w:val="8"/>
    </w:lvl>
  </w:abstractNum>
  <w:abstractNum w:abstractNumId="12">
    <w:nsid w:val="7724C67E"/>
    <w:multiLevelType w:val="hybridMultilevel"/>
    <w:lvl w:ilvl="0">
      <w:lvlJc w:val="left"/>
      <w:lvlText w:val="%1."/>
      <w:numFmt w:val="decimal"/>
      <w:start w:val="9"/>
    </w:lvl>
  </w:abstractNum>
  <w:abstractNum w:abstractNumId="13">
    <w:nsid w:val="5C482A97"/>
    <w:multiLevelType w:val="hybridMultilevel"/>
    <w:lvl w:ilvl="0">
      <w:lvlJc w:val="left"/>
      <w:lvlText w:val="%1."/>
      <w:numFmt w:val="decimal"/>
      <w:start w:val="10"/>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decimal"/>
      <w:start w:val="11"/>
    </w:lvl>
  </w:abstractNum>
  <w:abstractNum w:abstractNumId="16">
    <w:nsid w:val="51EAD36B"/>
    <w:multiLevelType w:val="hybridMultilevel"/>
    <w:lvl w:ilvl="0">
      <w:lvlJc w:val="left"/>
      <w:lvlText w:val="%1."/>
      <w:numFmt w:val="decimal"/>
      <w:start w:val="12"/>
    </w:lvl>
  </w:abstractNum>
  <w:abstractNum w:abstractNumId="17">
    <w:nsid w:val="2D517796"/>
    <w:multiLevelType w:val="hybridMultilevel"/>
    <w:lvl w:ilvl="0">
      <w:lvlJc w:val="left"/>
      <w:lvlText w:val="%1."/>
      <w:numFmt w:val="decimal"/>
      <w:start w:val="13"/>
    </w:lvl>
  </w:abstractNum>
  <w:abstractNum w:abstractNumId="18">
    <w:nsid w:val="580BD78F"/>
    <w:multiLevelType w:val="hybridMultilevel"/>
    <w:lvl w:ilvl="0">
      <w:lvlJc w:val="left"/>
      <w:lvlText w:val="%1."/>
      <w:numFmt w:val="decimal"/>
      <w:start w:val="14"/>
    </w:lvl>
  </w:abstractNum>
  <w:abstractNum w:abstractNumId="19">
    <w:nsid w:val="153EA438"/>
    <w:multiLevelType w:val="hybridMultilevel"/>
    <w:lvl w:ilvl="0">
      <w:lvlJc w:val="left"/>
      <w:lvlText w:val="%1."/>
      <w:numFmt w:val="decimal"/>
      <w:start w:val="15"/>
    </w:lvl>
  </w:abstractNum>
  <w:abstractNum w:abstractNumId="20">
    <w:nsid w:val="3855585C"/>
    <w:multiLevelType w:val="hybridMultilevel"/>
    <w:lvl w:ilvl="0">
      <w:lvlJc w:val="left"/>
      <w:lvlText w:val="%1."/>
      <w:numFmt w:val="decimal"/>
      <w:start w:val="16"/>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7"/>
    </w:lvl>
  </w:abstractNum>
  <w:abstractNum w:abstractNumId="24">
    <w:nsid w:val="1D4ED43B"/>
    <w:multiLevelType w:val="hybridMultilevel"/>
    <w:lvl w:ilvl="0">
      <w:lvlJc w:val="left"/>
      <w:lvlText w:val="%1."/>
      <w:numFmt w:val="decimal"/>
      <w:start w:val="18"/>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decimal"/>
      <w:start w:val="19"/>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2"/>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101"/>
    </w:lvl>
  </w:abstractNum>
  <w:abstractNum w:abstractNumId="37">
    <w:nsid w:val="749ABB43"/>
    <w:multiLevelType w:val="hybridMultilevel"/>
    <w:lvl w:ilvl="0">
      <w:lvlJc w:val="left"/>
      <w:lvlText w:val="*"/>
      <w:numFmt w:val="bullet"/>
      <w:start w:val="1"/>
    </w:lvl>
    <w:lvl w:ilvl="1">
      <w:lvlJc w:val="left"/>
      <w:lvlText w:val="%2"/>
      <w:numFmt w:val="decimal"/>
      <w:start w:val="104"/>
    </w:lvl>
  </w:abstractNum>
  <w:abstractNum w:abstractNumId="38">
    <w:nsid w:val="3DC240FB"/>
    <w:multiLevelType w:val="hybridMultilevel"/>
    <w:lvl w:ilvl="0">
      <w:lvlJc w:val="left"/>
      <w:lvlText w:val="%1"/>
      <w:numFmt w:val="decimal"/>
      <w:start w:val="1"/>
    </w:lvl>
    <w:lvl w:ilvl="1">
      <w:lvlJc w:val="left"/>
      <w:lvlText w:val="%2."/>
      <w:numFmt w:val="upperLetter"/>
      <w:start w:val="1"/>
    </w:lvl>
  </w:abstractNum>
  <w:abstractNum w:abstractNumId="39">
    <w:nsid w:val="1BA026FA"/>
    <w:multiLevelType w:val="hybridMultilevel"/>
    <w:lvl w:ilvl="0">
      <w:lvlJc w:val="left"/>
      <w:lvlText w:val="%1."/>
      <w:numFmt w:val="decimal"/>
      <w:start w:val="1"/>
    </w:lvl>
    <w:lvl w:ilvl="1">
      <w:lvlJc w:val="left"/>
      <w:lvlText w:val="%2"/>
      <w:numFmt w:val="upperLetter"/>
      <w:start w:val="1"/>
    </w:lvl>
  </w:abstractNum>
  <w:abstractNum w:abstractNumId="40">
    <w:nsid w:val="79A1DEAA"/>
    <w:multiLevelType w:val="hybridMultilevel"/>
    <w:lvl w:ilvl="0">
      <w:lvlJc w:val="left"/>
      <w:lvlText w:val="%1."/>
      <w:numFmt w:val="decimal"/>
      <w:start w:val="2"/>
    </w:lvl>
  </w:abstractNum>
  <w:abstractNum w:abstractNumId="41">
    <w:nsid w:val="75C6C33A"/>
    <w:multiLevelType w:val="hybridMultilevel"/>
    <w:lvl w:ilvl="0">
      <w:lvlJc w:val="left"/>
      <w:lvlText w:val="%1."/>
      <w:numFmt w:val="decimal"/>
      <w:start w:val="3"/>
    </w:lvl>
  </w:abstractNum>
  <w:abstractNum w:abstractNumId="42">
    <w:nsid w:val="12E685FB"/>
    <w:multiLevelType w:val="hybridMultilevel"/>
    <w:lvl w:ilvl="0">
      <w:lvlJc w:val="left"/>
      <w:lvlText w:val="%1."/>
      <w:numFmt w:val="decimal"/>
      <w:start w:val="4"/>
    </w:lvl>
  </w:abstractNum>
  <w:abstractNum w:abstractNumId="43">
    <w:nsid w:val="70C6A529"/>
    <w:multiLevelType w:val="hybridMultilevel"/>
    <w:lvl w:ilvl="0">
      <w:lvlJc w:val="left"/>
      <w:lvlText w:val="%1."/>
      <w:numFmt w:val="decimal"/>
      <w:start w:val="5"/>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2"/>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2"/>
    </w:lvl>
    <w:lvl w:ilvl="1">
      <w:lvlJc w:val="left"/>
      <w:lvlText w:val="•"/>
      <w:numFmt w:val="bullet"/>
      <w:start w:val="1"/>
    </w:lvl>
  </w:abstractNum>
  <w:abstractNum w:abstractNumId="48">
    <w:nsid w:val="649BB77C"/>
    <w:multiLevelType w:val="hybridMultilevel"/>
    <w:lvl w:ilvl="0">
      <w:lvlJc w:val="left"/>
      <w:lvlText w:val="%1."/>
      <w:numFmt w:val="decimal"/>
      <w:start w:val="4"/>
    </w:lvl>
  </w:abstractNum>
  <w:abstractNum w:abstractNumId="49">
    <w:nsid w:val="275AC794"/>
    <w:multiLevelType w:val="hybridMultilevel"/>
    <w:lvl w:ilvl="0">
      <w:lvlJc w:val="left"/>
      <w:lvlText w:val="%1."/>
      <w:numFmt w:val="decimal"/>
      <w:start w:val="5"/>
    </w:lvl>
  </w:abstractNum>
  <w:abstractNum w:abstractNumId="50">
    <w:nsid w:val="39386575"/>
    <w:multiLevelType w:val="hybridMultilevel"/>
    <w:lvl w:ilvl="0">
      <w:lvlJc w:val="left"/>
      <w:lvlText w:val="%1."/>
      <w:numFmt w:val="decimal"/>
      <w:start w:val="6"/>
    </w:lvl>
  </w:abstractNum>
  <w:abstractNum w:abstractNumId="51">
    <w:nsid w:val="1CF10FD8"/>
    <w:multiLevelType w:val="hybridMultilevel"/>
    <w:lvl w:ilvl="0">
      <w:lvlJc w:val="left"/>
      <w:lvlText w:val="%1."/>
      <w:numFmt w:val="decimal"/>
      <w:start w:val="6"/>
    </w:lvl>
    <w:lvl w:ilvl="1">
      <w:lvlJc w:val="left"/>
      <w:lvlText w:val="•"/>
      <w:numFmt w:val="bullet"/>
      <w:start w:val="1"/>
    </w:lvl>
  </w:abstractNum>
  <w:abstractNum w:abstractNumId="52">
    <w:nsid w:val="180115BE"/>
    <w:multiLevelType w:val="hybridMultilevel"/>
    <w:lvl w:ilvl="0">
      <w:lvlJc w:val="left"/>
      <w:lvlText w:val="%1."/>
      <w:numFmt w:val="decimal"/>
      <w:start w:val="8"/>
    </w:lvl>
  </w:abstractNum>
  <w:abstractNum w:abstractNumId="53">
    <w:nsid w:val="235BA861"/>
    <w:multiLevelType w:val="hybridMultilevel"/>
    <w:lvl w:ilvl="0">
      <w:lvlJc w:val="left"/>
      <w:lvlText w:val="%1."/>
      <w:numFmt w:val="decimal"/>
      <w:start w:val="9"/>
    </w:lvl>
  </w:abstractNum>
  <w:abstractNum w:abstractNumId="54">
    <w:nsid w:val="47398C89"/>
    <w:multiLevelType w:val="hybridMultilevel"/>
    <w:lvl w:ilvl="0">
      <w:lvlJc w:val="left"/>
      <w:lvlText w:val="%1."/>
      <w:numFmt w:val="decimal"/>
      <w:start w:val="10"/>
    </w:lvl>
  </w:abstractNum>
  <w:abstractNum w:abstractNumId="55">
    <w:nsid w:val="354FE9F9"/>
    <w:multiLevelType w:val="hybridMultilevel"/>
    <w:lvl w:ilvl="0">
      <w:lvlJc w:val="left"/>
      <w:lvlText w:val="%1."/>
      <w:numFmt w:val="decimal"/>
      <w:start w:val="11"/>
    </w:lvl>
  </w:abstractNum>
  <w:abstractNum w:abstractNumId="56">
    <w:nsid w:val="15B5AF5C"/>
    <w:multiLevelType w:val="hybridMultilevel"/>
    <w:lvl w:ilvl="0">
      <w:lvlJc w:val="left"/>
      <w:lvlText w:val="%1."/>
      <w:numFmt w:val="decimal"/>
      <w:start w:val="12"/>
    </w:lvl>
  </w:abstractNum>
  <w:abstractNum w:abstractNumId="57">
    <w:nsid w:val="741226BB"/>
    <w:multiLevelType w:val="hybridMultilevel"/>
    <w:lvl w:ilvl="0">
      <w:lvlJc w:val="left"/>
      <w:lvlText w:val="%1."/>
      <w:numFmt w:val="decimal"/>
      <w:start w:val="13"/>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2023-11-01T05:42:26Z</dcterms:created>
  <dcterms:modified xsi:type="dcterms:W3CDTF">2023-11-01T05:42:26Z</dcterms:modified>
</cp:coreProperties>
</file>