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3900" w:right="1260" w:hanging="2630"/>
        <w:spacing w:after="0" w:line="326" w:lineRule="auto"/>
        <w:tabs>
          <w:tab w:leader="none" w:pos="167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660" w:hanging="369"/>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8" w:lineRule="exact"/>
        <w:rPr>
          <w:sz w:val="24"/>
          <w:szCs w:val="24"/>
          <w:color w:val="auto"/>
        </w:rPr>
      </w:pPr>
    </w:p>
    <w:p>
      <w:pPr>
        <w:ind w:left="41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77470</wp:posOffset>
            </wp:positionV>
            <wp:extent cx="2339975" cy="539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tbl>
      <w:tblPr>
        <w:tblLayout w:type="fixed"/>
        <w:tblInd w:w="1280" w:type="dxa"/>
        <w:tblCellMar>
          <w:top w:w="0" w:type="dxa"/>
          <w:left w:w="0" w:type="dxa"/>
          <w:bottom w:w="0" w:type="dxa"/>
          <w:right w:w="0" w:type="dxa"/>
        </w:tblCellMar>
      </w:tblPr>
      <w:tr>
        <w:trPr>
          <w:trHeight w:val="239"/>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rPr>
              <w:t>Delaware</w:t>
            </w:r>
          </w:p>
        </w:tc>
        <w:tc>
          <w:tcPr>
            <w:tcW w:w="29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(State or other jurisdiction of</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incorporation or organization)</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Identification No.)</w:t>
            </w:r>
          </w:p>
        </w:tc>
      </w:tr>
      <w:tr>
        <w:trPr>
          <w:trHeight w:val="334"/>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14291 Park Meadow Drive, Suite 100</w:t>
            </w:r>
          </w:p>
        </w:tc>
        <w:tc>
          <w:tcPr>
            <w:tcW w:w="2940" w:type="dxa"/>
            <w:vAlign w:val="bottom"/>
          </w:tcPr>
          <w:p>
            <w:pPr>
              <w:spacing w:after="0"/>
              <w:rPr>
                <w:sz w:val="24"/>
                <w:szCs w:val="24"/>
                <w:color w:val="auto"/>
              </w:rPr>
            </w:pPr>
          </w:p>
        </w:tc>
      </w:tr>
      <w:tr>
        <w:trPr>
          <w:trHeight w:val="239"/>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Chantilly, Virginia</w:t>
            </w:r>
          </w:p>
        </w:tc>
        <w:tc>
          <w:tcPr>
            <w:tcW w:w="29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20151</w:t>
            </w:r>
          </w:p>
        </w:tc>
      </w:tr>
      <w:tr>
        <w:trPr>
          <w:trHeight w:val="196"/>
        </w:trPr>
        <w:tc>
          <w:tcPr>
            <w:tcW w:w="4820" w:type="dxa"/>
            <w:vAlign w:val="bottom"/>
          </w:tcPr>
          <w:p>
            <w:pPr>
              <w:jc w:val="center"/>
              <w:ind w:right="1659"/>
              <w:spacing w:after="0"/>
              <w:rPr>
                <w:sz w:val="20"/>
                <w:szCs w:val="20"/>
                <w:color w:val="auto"/>
              </w:rPr>
            </w:pPr>
            <w:r>
              <w:rPr>
                <w:rFonts w:ascii="Arial" w:cs="Arial" w:eastAsia="Arial" w:hAnsi="Arial"/>
                <w:sz w:val="14"/>
                <w:szCs w:val="14"/>
                <w:b w:val="1"/>
                <w:bCs w:val="1"/>
                <w:color w:val="auto"/>
              </w:rPr>
              <w:t>(Address of principal executive offices)</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37"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68"/>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PSN</w:t>
            </w:r>
          </w:p>
        </w:tc>
        <w:tc>
          <w:tcPr>
            <w:tcW w:w="120" w:type="dxa"/>
            <w:vAlign w:val="bottom"/>
          </w:tcPr>
          <w:p>
            <w:pPr>
              <w:spacing w:after="0"/>
              <w:rPr>
                <w:sz w:val="23"/>
                <w:szCs w:val="23"/>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55" w:lineRule="exact"/>
        <w:rPr>
          <w:sz w:val="24"/>
          <w:szCs w:val="24"/>
          <w:color w:val="auto"/>
        </w:rPr>
      </w:pPr>
    </w:p>
    <w:p>
      <w:pPr>
        <w:jc w:val="both"/>
        <w:ind w:right="300"/>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80"/>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jc w:val="both"/>
        <w:ind w:right="520" w:firstLine="599"/>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31" w:lineRule="exact"/>
        <w:rPr>
          <w:sz w:val="24"/>
          <w:szCs w:val="24"/>
          <w:color w:val="auto"/>
        </w:rPr>
      </w:pPr>
    </w:p>
    <w:p>
      <w:pPr>
        <w:ind w:right="160" w:firstLine="599"/>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left="600" w:right="1320" w:hanging="598"/>
        <w:spacing w:after="0" w:line="251" w:lineRule="exact"/>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22, 2024, the registrant had 106,185,132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00" w:type="dxa"/>
            <w:vAlign w:val="bottom"/>
            <w:gridSpan w:val="7"/>
          </w:tcPr>
          <w:p>
            <w:pPr>
              <w:ind w:left="220"/>
              <w:spacing w:after="0"/>
              <w:rPr>
                <w:sz w:val="20"/>
                <w:szCs w:val="20"/>
                <w:color w:val="auto"/>
              </w:rPr>
            </w:pPr>
            <w:r>
              <w:rPr>
                <w:rFonts w:ascii="Arial" w:cs="Arial" w:eastAsia="Arial" w:hAnsi="Arial"/>
                <w:sz w:val="25"/>
                <w:szCs w:val="25"/>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1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Balance Sheets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Statements of Income (Loss)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Statements of Comprehensive Income (Loss)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Statements of Cash Flows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Statements of Shareholders’ Equity</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Notes to Unaudited Consolidated Financial Statements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840" w:type="dxa"/>
            <w:vAlign w:val="bottom"/>
            <w:tcBorders>
              <w:right w:val="single" w:sz="8" w:color="0000EE"/>
            </w:tcBorders>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Controls and Procedures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Legal Proceedings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Defaults Upon Senior Securities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Mine Safety Disclosures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380" w:type="dxa"/>
            <w:vAlign w:val="bottom"/>
            <w:gridSpan w:val="1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Exhibits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20" w:type="dxa"/>
            <w:vAlign w:val="bottom"/>
            <w:gridSpan w:val="16"/>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Arial" w:cs="Arial" w:eastAsia="Arial" w:hAnsi="Arial"/>
                <w:sz w:val="18"/>
                <w:szCs w:val="18"/>
                <w:color w:val="0000FF"/>
              </w:rPr>
              <w:t>Signatures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7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 information)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5"/>
                <w:szCs w:val="15"/>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15"/>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580"/>
              <w:spacing w:after="0" w:line="215" w:lineRule="exact"/>
              <w:rPr>
                <w:sz w:val="20"/>
                <w:szCs w:val="20"/>
                <w:color w:val="auto"/>
              </w:rPr>
            </w:pPr>
            <w:r>
              <w:rPr>
                <w:rFonts w:ascii="Calibri" w:cs="Calibri" w:eastAsia="Calibri" w:hAnsi="Calibri"/>
                <w:sz w:val="18"/>
                <w:szCs w:val="18"/>
                <w:b w:val="1"/>
                <w:bCs w:val="1"/>
                <w:color w:val="auto"/>
              </w:rPr>
              <w:t>(Unaudited)</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7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$128,259 and $128,761 Cash of consolidated joint ventures)</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528,462</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Accounts receivable, net (including $278,869 and $274,846 Accounts receivable of consolidated joint ventures, net)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1,042,936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915,638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assets (including $41,963 and $11,096 Contract assets of consolidated joint ventures)</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803,685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757,515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 (including $15,220 and $11,929 Prepaid expenses and other current</w:t>
            </w: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198,619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191,430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260"/>
              <w:spacing w:after="0"/>
              <w:rPr>
                <w:sz w:val="20"/>
                <w:szCs w:val="20"/>
                <w:color w:val="auto"/>
              </w:rPr>
            </w:pPr>
            <w:r>
              <w:rPr>
                <w:rFonts w:ascii="Arial" w:cs="Arial" w:eastAsia="Arial" w:hAnsi="Arial"/>
                <w:sz w:val="14"/>
                <w:szCs w:val="14"/>
                <w:color w:val="auto"/>
              </w:rPr>
              <w:t>assets of consolidated joint ventures)</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2,573,702</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2,137,526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Property and equipment, net (including $3,207 and $3,274 Property and equipment of consolidated joint ventures,</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98,217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98,957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60"/>
              <w:spacing w:after="0"/>
              <w:rPr>
                <w:sz w:val="20"/>
                <w:szCs w:val="20"/>
                <w:color w:val="auto"/>
              </w:rPr>
            </w:pPr>
            <w:r>
              <w:rPr>
                <w:rFonts w:ascii="Arial" w:cs="Arial" w:eastAsia="Arial" w:hAnsi="Arial"/>
                <w:sz w:val="14"/>
                <w:szCs w:val="14"/>
                <w:color w:val="auto"/>
              </w:rPr>
              <w:t>Right of use assets, operating leases (including $7,423 and $9,885 Right of use assets, operating leases of</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tcPr>
          <w:p>
            <w:pPr>
              <w:ind w:left="260"/>
              <w:spacing w:after="0"/>
              <w:rPr>
                <w:sz w:val="20"/>
                <w:szCs w:val="20"/>
                <w:color w:val="auto"/>
              </w:rPr>
            </w:pPr>
            <w:r>
              <w:rPr>
                <w:rFonts w:ascii="Arial" w:cs="Arial" w:eastAsia="Arial" w:hAnsi="Arial"/>
                <w:sz w:val="14"/>
                <w:szCs w:val="14"/>
                <w:color w:val="auto"/>
              </w:rPr>
              <w:t>consolidated joint ventures)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136,169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159,211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1,790,903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1,792,665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157,243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128,204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248,079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275,566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Deferred tax assets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162,669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140,162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Other noncurrent assets</w:t>
            </w:r>
          </w:p>
        </w:tc>
        <w:tc>
          <w:tcPr>
            <w:tcW w:w="2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71,748</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71,770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5,238,730</w:t>
            </w:r>
          </w:p>
        </w:tc>
        <w:tc>
          <w:tcPr>
            <w:tcW w:w="2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4,804,061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Accounts payable (including $55,621 and $49,234 Accounts payable of consolidated joint ventures)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252,838</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242,821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 and other current liabilities (including $150,734 and $145,040 Accrued expenses and other</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liabilities of consolidated joint ventures)</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822,124</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801,423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Contract liabilities (including $66,042 and $61,234 Contract liabilities of consolidated joint ventures)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298,104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301,107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Short-term lease liabilities, operating leases (including $4,123 and $4,753 Short-term lease liabilities, operating</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leases of consolidated joint ventures)</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52,840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58,556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Income taxes payable</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1,426,948</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1,410,884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employee incentives</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25,491</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Long-term debt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1,247,306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745,963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lease liabilities, operating leases (including $3,299 and $5,132 Long-term lease liabilities, operating</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leases of consolidated joint ventures)</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98,152</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117,505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Deferred tax liabilities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9,789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111,400</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120,295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44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2,919,086</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2,427,346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Contingencies (Note 12)</w:t>
            </w: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$1 par value; authorized 1,000,000,000 shares; 146,698,035 and 146,341,363 shares issued;</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50,022,445 and 45,960,122 public shares outstanding; 56,161,683 and 59,879,857 ESOP shares outstanding</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146,697</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146,341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Treasury stock, 40,501,385 shares at cost</w:t>
            </w:r>
          </w:p>
        </w:tc>
        <w:tc>
          <w:tcPr>
            <w:tcW w:w="20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tcPr>
          <w:p>
            <w:pPr>
              <w:spacing w:after="0"/>
              <w:rPr>
                <w:sz w:val="16"/>
                <w:szCs w:val="16"/>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4"/>
                <w:szCs w:val="14"/>
                <w:color w:val="auto"/>
              </w:rPr>
              <w:t>(827,311 )</w:t>
            </w: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2,762,728</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2,779,365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6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155,535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203,724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(19,139 )</w:t>
            </w:r>
          </w:p>
        </w:tc>
        <w:tc>
          <w:tcPr>
            <w:tcW w:w="10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(14,908 )</w:t>
            </w:r>
          </w:p>
        </w:tc>
        <w:tc>
          <w:tcPr>
            <w:tcW w:w="0" w:type="dxa"/>
            <w:vAlign w:val="bottom"/>
          </w:tcPr>
          <w:p>
            <w:pPr>
              <w:spacing w:after="0"/>
              <w:rPr>
                <w:sz w:val="1"/>
                <w:szCs w:val="1"/>
                <w:color w:val="auto"/>
              </w:rPr>
            </w:pPr>
          </w:p>
        </w:tc>
      </w:tr>
      <w:tr>
        <w:trPr>
          <w:trHeight w:val="183"/>
        </w:trPr>
        <w:tc>
          <w:tcPr>
            <w:tcW w:w="7800" w:type="dxa"/>
            <w:vAlign w:val="bottom"/>
            <w:tcBorders>
              <w:top w:val="single" w:sz="8" w:color="CFF0FC"/>
            </w:tcBorders>
          </w:tcPr>
          <w:p>
            <w:pPr>
              <w:ind w:left="260"/>
              <w:spacing w:after="0"/>
              <w:rPr>
                <w:sz w:val="20"/>
                <w:szCs w:val="20"/>
                <w:color w:val="auto"/>
              </w:rPr>
            </w:pPr>
            <w:r>
              <w:rPr>
                <w:rFonts w:ascii="Arial" w:cs="Arial" w:eastAsia="Arial" w:hAnsi="Arial"/>
                <w:sz w:val="14"/>
                <w:szCs w:val="14"/>
                <w:color w:val="auto"/>
              </w:rPr>
              <w:t>Total Parsons Corporation shareholders' equity</w:t>
            </w: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2,218,510</w:t>
            </w:r>
          </w:p>
        </w:tc>
        <w:tc>
          <w:tcPr>
            <w:tcW w:w="2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2,287,211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101,134</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89,504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00" w:type="dxa"/>
            <w:vAlign w:val="bottom"/>
          </w:tcPr>
          <w:p>
            <w:pPr>
              <w:ind w:left="260"/>
              <w:spacing w:after="0"/>
              <w:rPr>
                <w:sz w:val="20"/>
                <w:szCs w:val="20"/>
                <w:color w:val="auto"/>
              </w:rPr>
            </w:pPr>
            <w:r>
              <w:rPr>
                <w:rFonts w:ascii="Arial" w:cs="Arial" w:eastAsia="Arial" w:hAnsi="Arial"/>
                <w:sz w:val="14"/>
                <w:szCs w:val="14"/>
                <w:color w:val="auto"/>
              </w:rPr>
              <w:t>Total shareholders' equity</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2,319,644</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2,376,715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8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4"/>
                <w:szCs w:val="14"/>
                <w:color w:val="auto"/>
              </w:rPr>
              <w:t>Total liabilities and shareholders' equity</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5,238,730</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4,804,061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-5065395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-5065395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-3891280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-2442210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-1610995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-530860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-282575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210"/>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 2023</w:t>
            </w:r>
          </w:p>
        </w:tc>
      </w:tr>
      <w:tr>
        <w:trPr>
          <w:trHeight w:val="22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1,670,467</w:t>
            </w: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1,356,486</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3,206,143</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2,529,952</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Direct cost of contracts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1,318,931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1,068,220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2,529,758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1,985,408</w:t>
            </w: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(16,837 )</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(18,897 )</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(5,765 )</w:t>
            </w:r>
          </w:p>
        </w:tc>
      </w:tr>
      <w:tr>
        <w:trPr>
          <w:trHeight w:val="229"/>
        </w:trPr>
        <w:tc>
          <w:tcPr>
            <w:tcW w:w="51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223,277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211,897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444,222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411,205</w:t>
            </w:r>
          </w:p>
        </w:tc>
        <w:tc>
          <w:tcPr>
            <w:tcW w:w="10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111,422</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76,444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213,266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(13,008 )</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(7,299 )</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(26,006 )</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(13,757 )</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(211,018 )</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(2,431 )</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FF0FC"/>
          </w:tcPr>
          <w:p>
            <w:pPr>
              <w:spacing w:after="0"/>
              <w:rPr>
                <w:sz w:val="19"/>
                <w:szCs w:val="19"/>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(8,288 )</w:t>
            </w:r>
          </w:p>
        </w:tc>
        <w:tc>
          <w:tcPr>
            <w:tcW w:w="1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(6,450 )</w:t>
            </w:r>
          </w:p>
        </w:tc>
        <w:tc>
          <w:tcPr>
            <w:tcW w:w="1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(234,478 )</w:t>
            </w: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(10,801 )</w:t>
            </w:r>
          </w:p>
        </w:tc>
      </w:tr>
      <w:tr>
        <w:trPr>
          <w:trHeight w:val="20"/>
        </w:trPr>
        <w:tc>
          <w:tcPr>
            <w:tcW w:w="5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103,134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69,994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(21,212 )</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116,773</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(22,415 )</w:t>
            </w:r>
          </w:p>
        </w:tc>
        <w:tc>
          <w:tcPr>
            <w:tcW w:w="1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(15,223 )</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(26,726 )</w:t>
            </w:r>
          </w:p>
        </w:tc>
      </w:tr>
      <w:tr>
        <w:trPr>
          <w:trHeight w:val="20"/>
        </w:trPr>
        <w:tc>
          <w:tcPr>
            <w:tcW w:w="5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including noncontrolling interests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80,719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54,771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(11,393 )</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90,047</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(11,547 )</w:t>
            </w:r>
          </w:p>
        </w:tc>
        <w:tc>
          <w:tcPr>
            <w:tcW w:w="1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(11,530 )</w:t>
            </w:r>
          </w:p>
        </w:tc>
        <w:tc>
          <w:tcPr>
            <w:tcW w:w="16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(26,790 )</w:t>
            </w: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(21,253 )</w:t>
            </w:r>
          </w:p>
        </w:tc>
      </w:tr>
      <w:tr>
        <w:trPr>
          <w:trHeight w:val="20"/>
        </w:trPr>
        <w:tc>
          <w:tcPr>
            <w:tcW w:w="5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Parsons Corporation</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69,172</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43,241</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(38,183 )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68,794</w:t>
            </w:r>
          </w:p>
        </w:tc>
        <w:tc>
          <w:tcPr>
            <w:tcW w:w="100" w:type="dxa"/>
            <w:vAlign w:val="bottom"/>
            <w:shd w:val="clear" w:color="auto" w:fill="CFF0FC"/>
          </w:tcPr>
          <w:p>
            <w:pPr>
              <w:spacing w:after="0"/>
              <w:rPr>
                <w:sz w:val="22"/>
                <w:szCs w:val="22"/>
                <w:color w:val="auto"/>
              </w:rPr>
            </w:pPr>
          </w:p>
        </w:tc>
      </w:tr>
      <w:tr>
        <w:trPr>
          <w:trHeight w:val="210"/>
        </w:trPr>
        <w:tc>
          <w:tcPr>
            <w:tcW w:w="51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Earnings (loss) per share:</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51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(0.36 )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FF0FC"/>
          </w:tcPr>
          <w:p>
            <w:pPr>
              <w:spacing w:after="0"/>
              <w:rPr>
                <w:sz w:val="19"/>
                <w:szCs w:val="19"/>
                <w:color w:val="auto"/>
              </w:rPr>
            </w:pPr>
          </w:p>
        </w:tc>
      </w:tr>
      <w:tr>
        <w:trPr>
          <w:trHeight w:val="239"/>
        </w:trPr>
        <w:tc>
          <w:tcPr>
            <w:tcW w:w="5100" w:type="dxa"/>
            <w:vAlign w:val="bottom"/>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(0.36 )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-2135505</wp:posOffset>
            </wp:positionV>
            <wp:extent cx="10223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235" cy="188595"/>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-2135505</wp:posOffset>
            </wp:positionV>
            <wp:extent cx="9398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-2135505</wp:posOffset>
            </wp:positionV>
            <wp:extent cx="9398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-2135505</wp:posOffset>
            </wp:positionV>
            <wp:extent cx="939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-1376680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-1376680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-1376680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-1376680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-467995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-450850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-467995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-450850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-467995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-450850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-450850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including noncontrolling interests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80,719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54,771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(11,393 )</w:t>
            </w: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 adjustment, net of tax</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(2,245 )</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(4,172 )</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80"/>
              <w:spacing w:after="0"/>
              <w:rPr>
                <w:sz w:val="20"/>
                <w:szCs w:val="20"/>
                <w:color w:val="auto"/>
              </w:rPr>
            </w:pPr>
            <w:r>
              <w:rPr>
                <w:rFonts w:ascii="Arial" w:cs="Arial" w:eastAsia="Arial" w:hAnsi="Arial"/>
                <w:sz w:val="18"/>
                <w:szCs w:val="18"/>
                <w:color w:val="auto"/>
              </w:rPr>
              <w:t>Pension adjustments, net of tax</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(47 )</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000" w:type="dxa"/>
            <w:vAlign w:val="bottom"/>
            <w:shd w:val="clear" w:color="auto" w:fill="CFF0FC"/>
          </w:tcPr>
          <w:p>
            <w:pPr>
              <w:ind w:left="520"/>
              <w:spacing w:after="0" w:line="191" w:lineRule="exact"/>
              <w:rPr>
                <w:sz w:val="20"/>
                <w:szCs w:val="20"/>
                <w:color w:val="auto"/>
              </w:rPr>
            </w:pPr>
            <w:r>
              <w:rPr>
                <w:rFonts w:ascii="Arial" w:cs="Arial" w:eastAsia="Arial" w:hAnsi="Arial"/>
                <w:sz w:val="18"/>
                <w:szCs w:val="18"/>
                <w:color w:val="auto"/>
              </w:rPr>
              <w:t>Comprehensive income (loss) including noncontrolling interests,</w:t>
            </w:r>
          </w:p>
        </w:tc>
        <w:tc>
          <w:tcPr>
            <w:tcW w:w="12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0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of tax</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78,458</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57,939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(15,612 )</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(11,559 )</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(11,533 )</w:t>
            </w: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(26,802 )</w:t>
            </w:r>
          </w:p>
        </w:tc>
        <w:tc>
          <w:tcPr>
            <w:tcW w:w="2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(21,256 )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0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Comprehensive income (loss) attributable to Parsons Corporation, net of</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66,899</w:t>
            </w:r>
          </w:p>
        </w:tc>
        <w:tc>
          <w:tcPr>
            <w:tcW w:w="28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46,406</w:t>
            </w:r>
          </w:p>
        </w:tc>
        <w:tc>
          <w:tcPr>
            <w:tcW w:w="260" w:type="dxa"/>
            <w:vAlign w:val="bottom"/>
            <w:shd w:val="clear" w:color="auto" w:fill="CFF0FC"/>
          </w:tcPr>
          <w:p>
            <w:pPr>
              <w:spacing w:after="0"/>
              <w:rPr>
                <w:sz w:val="16"/>
                <w:szCs w:val="16"/>
                <w:color w:val="auto"/>
              </w:rPr>
            </w:pPr>
          </w:p>
        </w:tc>
        <w:tc>
          <w:tcPr>
            <w:tcW w:w="240" w:type="dxa"/>
            <w:vAlign w:val="bottom"/>
            <w:vMerge w:val="restart"/>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(42,414 )</w:t>
            </w:r>
          </w:p>
        </w:tc>
        <w:tc>
          <w:tcPr>
            <w:tcW w:w="260" w:type="dxa"/>
            <w:vAlign w:val="bottom"/>
            <w:vMerge w:val="restart"/>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71,783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tax</w:t>
            </w:r>
          </w:p>
        </w:tc>
        <w:tc>
          <w:tcPr>
            <w:tcW w:w="120" w:type="dxa"/>
            <w:vAlign w:val="bottom"/>
            <w:vMerge w:val="continue"/>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-25400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For the Six Months Ended</w:t>
            </w:r>
          </w:p>
        </w:tc>
        <w:tc>
          <w:tcPr>
            <w:tcW w:w="100" w:type="dxa"/>
            <w:vAlign w:val="bottom"/>
          </w:tcPr>
          <w:p>
            <w:pPr>
              <w:spacing w:after="0"/>
              <w:rPr>
                <w:sz w:val="16"/>
                <w:szCs w:val="16"/>
                <w:color w:val="auto"/>
              </w:rPr>
            </w:pPr>
          </w:p>
        </w:tc>
      </w:tr>
      <w:tr>
        <w:trPr>
          <w:trHeight w:val="196"/>
        </w:trPr>
        <w:tc>
          <w:tcPr>
            <w:tcW w:w="7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 2024</w:t>
            </w:r>
          </w:p>
        </w:tc>
        <w:tc>
          <w:tcPr>
            <w:tcW w:w="200" w:type="dxa"/>
            <w:vAlign w:val="bottom"/>
          </w:tcPr>
          <w:p>
            <w:pPr>
              <w:spacing w:after="0"/>
              <w:rPr>
                <w:sz w:val="17"/>
                <w:szCs w:val="17"/>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 2023</w:t>
            </w:r>
          </w:p>
        </w:tc>
      </w:tr>
      <w:tr>
        <w:trPr>
          <w:trHeight w:val="209"/>
        </w:trPr>
        <w:tc>
          <w:tcPr>
            <w:tcW w:w="7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Net (loss) income including noncontrolling interests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(11,393 )</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90,047</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48,971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57,048</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Amortization of debt issue costs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Loss (gain) on disposal of property and equipment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Loss on extinguishment of debt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211,018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Provision for doubtful accounts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Deferred taxes</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(222 )</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(5,220 )</w:t>
            </w: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Foreign currency transaction gains and losses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2,039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Equity in losses of unconsolidated joint ventures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18,897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5,765</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Return on investments in unconsolidated joint ventures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20,788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9,313</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20,675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15,978</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Contributions of treasury stock</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30,140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29,167</w:t>
            </w:r>
          </w:p>
        </w:tc>
        <w:tc>
          <w:tcPr>
            <w:tcW w:w="100" w:type="dxa"/>
            <w:vAlign w:val="bottom"/>
          </w:tcPr>
          <w:p>
            <w:pPr>
              <w:spacing w:after="0"/>
              <w:rPr>
                <w:sz w:val="18"/>
                <w:szCs w:val="18"/>
                <w:color w:val="auto"/>
              </w:rPr>
            </w:pPr>
          </w:p>
        </w:tc>
      </w:tr>
      <w:tr>
        <w:trPr>
          <w:trHeight w:val="189"/>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Changes in assets and liabilities, net of acquisitions and consolidated</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7"/>
        </w:trPr>
        <w:tc>
          <w:tcPr>
            <w:tcW w:w="7760" w:type="dxa"/>
            <w:vAlign w:val="bottom"/>
            <w:shd w:val="clear" w:color="auto" w:fill="CFF0FC"/>
          </w:tcPr>
          <w:p>
            <w:pPr>
              <w:ind w:left="460"/>
              <w:spacing w:after="0"/>
              <w:rPr>
                <w:sz w:val="20"/>
                <w:szCs w:val="20"/>
                <w:color w:val="auto"/>
              </w:rPr>
            </w:pPr>
            <w:r>
              <w:rPr>
                <w:rFonts w:ascii="Arial" w:cs="Arial" w:eastAsia="Arial" w:hAnsi="Arial"/>
                <w:sz w:val="16"/>
                <w:szCs w:val="16"/>
                <w:color w:val="auto"/>
              </w:rPr>
              <w:t>joint ventures: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(131,414 )</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(227,756 )</w:t>
            </w: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Contract assets</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(47,905 )</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(78,254 )</w:t>
            </w: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(9,396 )</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(40,899 )</w:t>
            </w: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35,043</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(10,533 )</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33,336</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Contract liabilities</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(1,360 )</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76,522</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400"/>
              <w:spacing w:after="0"/>
              <w:rPr>
                <w:sz w:val="20"/>
                <w:szCs w:val="20"/>
                <w:color w:val="auto"/>
              </w:rPr>
            </w:pPr>
            <w:r>
              <w:rPr>
                <w:rFonts w:ascii="Arial" w:cs="Arial" w:eastAsia="Arial" w:hAnsi="Arial"/>
                <w:sz w:val="16"/>
                <w:szCs w:val="16"/>
                <w:color w:val="auto"/>
              </w:rPr>
              <w:t>Income taxes</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(52,509 )</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10,309</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400"/>
              <w:spacing w:after="0"/>
              <w:rPr>
                <w:sz w:val="20"/>
                <w:szCs w:val="20"/>
                <w:color w:val="auto"/>
              </w:rPr>
            </w:pPr>
            <w:r>
              <w:rPr>
                <w:rFonts w:ascii="Arial" w:cs="Arial" w:eastAsia="Arial" w:hAnsi="Arial"/>
                <w:sz w:val="16"/>
                <w:szCs w:val="16"/>
                <w:color w:val="auto"/>
              </w:rPr>
              <w:t>Other long-term liabilities</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(6,308 )</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FF0FC"/>
          </w:tcPr>
          <w:p>
            <w:pPr>
              <w:spacing w:after="0"/>
              <w:rPr>
                <w:sz w:val="18"/>
                <w:szCs w:val="18"/>
                <w:color w:val="auto"/>
              </w:rPr>
            </w:pPr>
          </w:p>
        </w:tc>
      </w:tr>
      <w:tr>
        <w:trPr>
          <w:trHeight w:val="209"/>
        </w:trPr>
        <w:tc>
          <w:tcPr>
            <w:tcW w:w="7760" w:type="dxa"/>
            <w:vAlign w:val="bottom"/>
            <w:tcBorders>
              <w:top w:val="single" w:sz="8" w:color="CFF0FC"/>
            </w:tcBorders>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97,807</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13,986</w:t>
            </w:r>
          </w:p>
        </w:tc>
        <w:tc>
          <w:tcPr>
            <w:tcW w:w="100" w:type="dxa"/>
            <w:vAlign w:val="bottom"/>
            <w:tcBorders>
              <w:top w:val="single" w:sz="8" w:color="CFF0FC"/>
            </w:tcBorders>
          </w:tcPr>
          <w:p>
            <w:pPr>
              <w:spacing w:after="0"/>
              <w:rPr>
                <w:sz w:val="18"/>
                <w:szCs w:val="18"/>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(18,698 )</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(17,956 )</w:t>
            </w: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Proceeds from sale of property and equipment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Payments for acquisitions, net of cash acquired</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(63 )</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(42,273 )</w:t>
            </w: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Investments in unconsolidated joint ventures</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(70,032 )</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(24,507 )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Return of investments in unconsolidated joint ventures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Proceeds from sales of investments in unconsolidated joint ventures</w:t>
            </w: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3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(88,715 )</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(84,218 )</w:t>
            </w: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Proceeds from borrowings under credit agreement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153,200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187,400</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Repayments of borrowings under credit agreement</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(153,200 )</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(187,400 )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Proceeds from issuance of convertible notes due 2029</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800,000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Repurchases of convertible notes due 2025</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(495,575 )</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Payments for debt issuance costs</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(19,185 )</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Contributions by noncontrolling interests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Distributions to noncontrolling interests</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(15,249 )</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(2,487 )</w:t>
            </w: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Repurchases of common stock</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(10,000 )</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(8,000 )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Taxes paid on vested stock</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(18,940 )</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(6,838 )</w:t>
            </w: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Capped call transactions</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(88,400 )</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Bond hedge termination</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195,549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7"/>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Redemption of warrants</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(104,952 )</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Proceeds from issuance of common stock</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3,740</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2,940</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247,065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(14,185 )</w:t>
            </w:r>
          </w:p>
        </w:tc>
      </w:tr>
      <w:tr>
        <w:trPr>
          <w:trHeight w:val="20"/>
        </w:trPr>
        <w:tc>
          <w:tcPr>
            <w:tcW w:w="77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ind w:left="320"/>
              <w:spacing w:after="0"/>
              <w:rPr>
                <w:sz w:val="20"/>
                <w:szCs w:val="20"/>
                <w:color w:val="auto"/>
              </w:rPr>
            </w:pPr>
            <w:r>
              <w:rPr>
                <w:rFonts w:ascii="Arial" w:cs="Arial" w:eastAsia="Arial" w:hAnsi="Arial"/>
                <w:sz w:val="16"/>
                <w:szCs w:val="16"/>
                <w:color w:val="auto"/>
              </w:rPr>
              <w:t>Effect of exchange rate changes</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(638 )</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255,519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(83,950 )</w:t>
            </w:r>
          </w:p>
        </w:tc>
      </w:tr>
      <w:tr>
        <w:trPr>
          <w:trHeight w:val="215"/>
        </w:trPr>
        <w:tc>
          <w:tcPr>
            <w:tcW w:w="7760" w:type="dxa"/>
            <w:vAlign w:val="bottom"/>
          </w:tcPr>
          <w:p>
            <w:pPr>
              <w:ind w:left="320"/>
              <w:spacing w:after="0"/>
              <w:rPr>
                <w:sz w:val="20"/>
                <w:szCs w:val="20"/>
                <w:color w:val="auto"/>
              </w:rPr>
            </w:pPr>
            <w:r>
              <w:rPr>
                <w:rFonts w:ascii="Arial" w:cs="Arial" w:eastAsia="Arial" w:hAnsi="Arial"/>
                <w:sz w:val="16"/>
                <w:szCs w:val="16"/>
                <w:color w:val="auto"/>
              </w:rPr>
              <w:t>Cash, cash equivalents and restricted cash:</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Beginning of year</w:t>
            </w: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272,943</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262,539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320"/>
              <w:spacing w:after="0"/>
              <w:rPr>
                <w:sz w:val="20"/>
                <w:szCs w:val="20"/>
                <w:color w:val="auto"/>
              </w:rPr>
            </w:pPr>
            <w:r>
              <w:rPr>
                <w:rFonts w:ascii="Arial" w:cs="Arial" w:eastAsia="Arial" w:hAnsi="Arial"/>
                <w:sz w:val="16"/>
                <w:szCs w:val="16"/>
                <w:color w:val="auto"/>
              </w:rPr>
              <w:t>End of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528,462</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178,589</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-4070985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-2956560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-736600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June 30, 2024 and June 30, 2023</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Parsons</w:t>
            </w:r>
          </w:p>
        </w:tc>
        <w:tc>
          <w:tcPr>
            <w:tcW w:w="14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146,717</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2,759,867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87,261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(16,866 )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2,149,668</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93,489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2,243,157</w:t>
            </w:r>
          </w:p>
        </w:tc>
        <w:tc>
          <w:tcPr>
            <w:tcW w:w="100" w:type="dxa"/>
            <w:vAlign w:val="bottom"/>
            <w:shd w:val="clear" w:color="auto" w:fill="CFF0FC"/>
          </w:tcPr>
          <w:p>
            <w:pPr>
              <w:spacing w:after="0"/>
              <w:rPr>
                <w:sz w:val="17"/>
                <w:szCs w:val="17"/>
                <w:color w:val="auto"/>
              </w:rPr>
            </w:pPr>
          </w:p>
        </w:tc>
      </w:tr>
      <w:tr>
        <w:trPr>
          <w:trHeight w:val="189"/>
        </w:trPr>
        <w:tc>
          <w:tcPr>
            <w:tcW w:w="21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69,172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69,172</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11,547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80,719</w:t>
            </w:r>
          </w:p>
        </w:tc>
        <w:tc>
          <w:tcPr>
            <w:tcW w:w="100" w:type="dxa"/>
            <w:vAlign w:val="bottom"/>
            <w:shd w:val="clear" w:color="auto" w:fill="CFF0FC"/>
          </w:tcPr>
          <w:p>
            <w:pPr>
              <w:spacing w:after="0"/>
              <w:rPr>
                <w:sz w:val="16"/>
                <w:szCs w:val="16"/>
                <w:color w:val="auto"/>
              </w:rPr>
            </w:pPr>
          </w:p>
        </w:tc>
      </w:tr>
      <w:tr>
        <w:trPr>
          <w:trHeight w:val="166"/>
        </w:trPr>
        <w:tc>
          <w:tcPr>
            <w:tcW w:w="210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100" w:type="dxa"/>
            <w:vAlign w:val="bottom"/>
          </w:tcPr>
          <w:p>
            <w:pPr>
              <w:ind w:left="200"/>
              <w:spacing w:after="0"/>
              <w:rPr>
                <w:sz w:val="20"/>
                <w:szCs w:val="20"/>
                <w:color w:val="auto"/>
              </w:rPr>
            </w:pPr>
            <w:r>
              <w:rPr>
                <w:rFonts w:ascii="Arial" w:cs="Arial" w:eastAsia="Arial" w:hAnsi="Arial"/>
                <w:sz w:val="14"/>
                <w:szCs w:val="14"/>
                <w:color w:val="auto"/>
              </w:rPr>
              <w:t>translation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100" w:type="dxa"/>
            <w:vAlign w:val="bottom"/>
          </w:tcPr>
          <w:p>
            <w:pPr>
              <w:ind w:left="320"/>
              <w:spacing w:after="0"/>
              <w:rPr>
                <w:sz w:val="20"/>
                <w:szCs w:val="20"/>
                <w:color w:val="auto"/>
              </w:rPr>
            </w:pPr>
            <w:r>
              <w:rPr>
                <w:rFonts w:ascii="Arial" w:cs="Arial" w:eastAsia="Arial" w:hAnsi="Arial"/>
                <w:sz w:val="14"/>
                <w:szCs w:val="14"/>
                <w:color w:val="auto"/>
              </w:rPr>
              <w:t>gain, net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(2,257 )</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(2,257 )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(2,245 )</w:t>
            </w: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adjustments, net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(16 )</w:t>
            </w: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(16 )</w:t>
            </w: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Contributions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(3,991 )</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(3,991 )</w:t>
            </w:r>
          </w:p>
        </w:tc>
      </w:tr>
      <w:tr>
        <w:trPr>
          <w:trHeight w:val="166"/>
        </w:trPr>
        <w:tc>
          <w:tcPr>
            <w:tcW w:w="2100" w:type="dxa"/>
            <w:vAlign w:val="bottom"/>
          </w:tcPr>
          <w:p>
            <w:pPr>
              <w:ind w:left="20"/>
              <w:spacing w:after="0"/>
              <w:rPr>
                <w:sz w:val="20"/>
                <w:szCs w:val="20"/>
                <w:color w:val="auto"/>
              </w:rPr>
            </w:pPr>
            <w:r>
              <w:rPr>
                <w:rFonts w:ascii="Arial" w:cs="Arial" w:eastAsia="Arial" w:hAnsi="Arial"/>
                <w:sz w:val="14"/>
                <w:szCs w:val="14"/>
                <w:color w:val="auto"/>
              </w:rPr>
              <w:t>Issuance of equity securities,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100" w:type="dxa"/>
            <w:vAlign w:val="bottom"/>
          </w:tcPr>
          <w:p>
            <w:pPr>
              <w:ind w:left="140"/>
              <w:spacing w:after="0"/>
              <w:rPr>
                <w:sz w:val="20"/>
                <w:szCs w:val="20"/>
                <w:color w:val="auto"/>
              </w:rPr>
            </w:pPr>
            <w:r>
              <w:rPr>
                <w:rFonts w:ascii="Arial" w:cs="Arial" w:eastAsia="Arial" w:hAnsi="Arial"/>
                <w:sz w:val="14"/>
                <w:szCs w:val="14"/>
                <w:color w:val="auto"/>
              </w:rPr>
              <w:t>net of retirements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2,578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(898 )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1,791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1,791</w:t>
            </w:r>
          </w:p>
        </w:tc>
        <w:tc>
          <w:tcPr>
            <w:tcW w:w="100" w:type="dxa"/>
            <w:vAlign w:val="bottom"/>
          </w:tcPr>
          <w:p>
            <w:pPr>
              <w:spacing w:after="0"/>
              <w:rPr>
                <w:sz w:val="16"/>
                <w:szCs w:val="16"/>
                <w:color w:val="auto"/>
              </w:rPr>
            </w:pPr>
          </w:p>
        </w:tc>
      </w:tr>
      <w:tr>
        <w:trPr>
          <w:trHeight w:val="166"/>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Repurchases of common</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5"/>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w:t>
            </w:r>
          </w:p>
        </w:tc>
        <w:tc>
          <w:tcPr>
            <w:tcW w:w="1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(131 )</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(9,869 )</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(10,000 )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(10,000 )</w:t>
            </w: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10,152</w:t>
            </w:r>
          </w:p>
        </w:tc>
        <w:tc>
          <w:tcPr>
            <w:tcW w:w="100" w:type="dxa"/>
            <w:vAlign w:val="bottom"/>
          </w:tcPr>
          <w:p>
            <w:pPr>
              <w:spacing w:after="0"/>
              <w:rPr>
                <w:sz w:val="16"/>
                <w:szCs w:val="16"/>
                <w:color w:val="auto"/>
              </w:rPr>
            </w:pPr>
          </w:p>
        </w:tc>
      </w:tr>
      <w:tr>
        <w:trPr>
          <w:trHeight w:val="223"/>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146,697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2,762,728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155,535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(19,139 )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2,218,510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101,134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2,319,644</w:t>
            </w:r>
          </w:p>
        </w:tc>
        <w:tc>
          <w:tcPr>
            <w:tcW w:w="100" w:type="dxa"/>
            <w:vAlign w:val="bottom"/>
            <w:shd w:val="clear" w:color="auto" w:fill="CFF0FC"/>
          </w:tcPr>
          <w:p>
            <w:pPr>
              <w:spacing w:after="0"/>
              <w:rPr>
                <w:sz w:val="19"/>
                <w:szCs w:val="19"/>
                <w:color w:val="auto"/>
              </w:rPr>
            </w:pPr>
          </w:p>
        </w:tc>
      </w:tr>
      <w:tr>
        <w:trPr>
          <w:trHeight w:val="358"/>
        </w:trPr>
        <w:tc>
          <w:tcPr>
            <w:tcW w:w="2100" w:type="dxa"/>
            <w:vAlign w:val="bottom"/>
            <w:tcBorders>
              <w:top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146,244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(844,936 )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2,712,167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68,429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(18,025 )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2,063,879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61,651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2,125,530</w:t>
            </w:r>
          </w:p>
        </w:tc>
        <w:tc>
          <w:tcPr>
            <w:tcW w:w="100" w:type="dxa"/>
            <w:vAlign w:val="bottom"/>
            <w:shd w:val="clear" w:color="auto" w:fill="CFF0FC"/>
          </w:tcPr>
          <w:p>
            <w:pPr>
              <w:spacing w:after="0"/>
              <w:rPr>
                <w:sz w:val="17"/>
                <w:szCs w:val="17"/>
                <w:color w:val="auto"/>
              </w:rPr>
            </w:pPr>
          </w:p>
        </w:tc>
      </w:tr>
      <w:tr>
        <w:trPr>
          <w:trHeight w:val="189"/>
        </w:trPr>
        <w:tc>
          <w:tcPr>
            <w:tcW w:w="21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43,241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43,241</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11,530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54,771</w:t>
            </w:r>
          </w:p>
        </w:tc>
        <w:tc>
          <w:tcPr>
            <w:tcW w:w="100" w:type="dxa"/>
            <w:vAlign w:val="bottom"/>
            <w:shd w:val="clear" w:color="auto" w:fill="CFF0FC"/>
          </w:tcPr>
          <w:p>
            <w:pPr>
              <w:spacing w:after="0"/>
              <w:rPr>
                <w:sz w:val="16"/>
                <w:szCs w:val="16"/>
                <w:color w:val="auto"/>
              </w:rPr>
            </w:pPr>
          </w:p>
        </w:tc>
      </w:tr>
      <w:tr>
        <w:trPr>
          <w:trHeight w:val="166"/>
        </w:trPr>
        <w:tc>
          <w:tcPr>
            <w:tcW w:w="210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100" w:type="dxa"/>
            <w:vAlign w:val="bottom"/>
          </w:tcPr>
          <w:p>
            <w:pPr>
              <w:ind w:left="200"/>
              <w:spacing w:after="0"/>
              <w:rPr>
                <w:sz w:val="20"/>
                <w:szCs w:val="20"/>
                <w:color w:val="auto"/>
              </w:rPr>
            </w:pPr>
            <w:r>
              <w:rPr>
                <w:rFonts w:ascii="Arial" w:cs="Arial" w:eastAsia="Arial" w:hAnsi="Arial"/>
                <w:sz w:val="14"/>
                <w:szCs w:val="14"/>
                <w:color w:val="auto"/>
              </w:rPr>
              <w:t>translation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100" w:type="dxa"/>
            <w:vAlign w:val="bottom"/>
          </w:tcPr>
          <w:p>
            <w:pPr>
              <w:ind w:left="320"/>
              <w:spacing w:after="0"/>
              <w:rPr>
                <w:sz w:val="20"/>
                <w:szCs w:val="20"/>
                <w:color w:val="auto"/>
              </w:rPr>
            </w:pPr>
            <w:r>
              <w:rPr>
                <w:rFonts w:ascii="Arial" w:cs="Arial" w:eastAsia="Arial" w:hAnsi="Arial"/>
                <w:sz w:val="14"/>
                <w:szCs w:val="14"/>
                <w:color w:val="auto"/>
              </w:rPr>
              <w:t>loss, net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3,149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3,149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3,152</w:t>
            </w:r>
          </w:p>
        </w:tc>
        <w:tc>
          <w:tcPr>
            <w:tcW w:w="100" w:type="dxa"/>
            <w:vAlign w:val="bottom"/>
          </w:tcPr>
          <w:p>
            <w:pPr>
              <w:spacing w:after="0"/>
              <w:rPr>
                <w:sz w:val="16"/>
                <w:szCs w:val="16"/>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adjustments, net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6"/>
                <w:szCs w:val="16"/>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(1,849 )</w:t>
            </w: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(1,849 )</w:t>
            </w:r>
          </w:p>
        </w:tc>
      </w:tr>
      <w:tr>
        <w:trPr>
          <w:trHeight w:val="166"/>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equity securities,</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5"/>
        </w:trPr>
        <w:tc>
          <w:tcPr>
            <w:tcW w:w="21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of retirements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(157 )</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2,160</w:t>
            </w:r>
          </w:p>
        </w:tc>
        <w:tc>
          <w:tcPr>
            <w:tcW w:w="100" w:type="dxa"/>
            <w:vAlign w:val="bottom"/>
            <w:shd w:val="clear" w:color="auto" w:fill="CFF0FC"/>
          </w:tcPr>
          <w:p>
            <w:pPr>
              <w:spacing w:after="0"/>
              <w:rPr>
                <w:sz w:val="16"/>
                <w:szCs w:val="16"/>
                <w:color w:val="auto"/>
              </w:rPr>
            </w:pPr>
          </w:p>
        </w:tc>
      </w:tr>
      <w:tr>
        <w:trPr>
          <w:trHeight w:val="166"/>
        </w:trPr>
        <w:tc>
          <w:tcPr>
            <w:tcW w:w="2100" w:type="dxa"/>
            <w:vAlign w:val="bottom"/>
          </w:tcPr>
          <w:p>
            <w:pPr>
              <w:ind w:left="20"/>
              <w:spacing w:after="0"/>
              <w:rPr>
                <w:sz w:val="20"/>
                <w:szCs w:val="20"/>
                <w:color w:val="auto"/>
              </w:rPr>
            </w:pPr>
            <w:r>
              <w:rPr>
                <w:rFonts w:ascii="Arial" w:cs="Arial" w:eastAsia="Arial" w:hAnsi="Arial"/>
                <w:sz w:val="14"/>
                <w:szCs w:val="14"/>
                <w:color w:val="auto"/>
              </w:rPr>
              <w:t>Repurchases of common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100" w:type="dxa"/>
            <w:vAlign w:val="bottom"/>
          </w:tcPr>
          <w:p>
            <w:pPr>
              <w:ind w:left="20"/>
              <w:spacing w:after="0"/>
              <w:rPr>
                <w:sz w:val="20"/>
                <w:szCs w:val="20"/>
                <w:color w:val="auto"/>
              </w:rPr>
            </w:pPr>
            <w:r>
              <w:rPr>
                <w:rFonts w:ascii="Arial" w:cs="Arial" w:eastAsia="Arial" w:hAnsi="Arial"/>
                <w:sz w:val="14"/>
                <w:szCs w:val="14"/>
                <w:color w:val="auto"/>
              </w:rPr>
              <w:t>stock</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(46 )</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(1,954 )</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(2,000 )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(2,000 )</w:t>
            </w:r>
          </w:p>
        </w:tc>
      </w:tr>
      <w:tr>
        <w:trPr>
          <w:trHeight w:val="189"/>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8,986</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8,986</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8,986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146,312</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(844,936 )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2,721,402</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111,513</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(14,860 )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2,119,431</w:t>
            </w:r>
          </w:p>
        </w:tc>
        <w:tc>
          <w:tcPr>
            <w:tcW w:w="2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71,335</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2,190,766</w:t>
            </w:r>
          </w:p>
        </w:tc>
        <w:tc>
          <w:tcPr>
            <w:tcW w:w="100" w:type="dxa"/>
            <w:vAlign w:val="bottom"/>
          </w:tcPr>
          <w:p>
            <w:pPr>
              <w:spacing w:after="0"/>
              <w:rPr>
                <w:sz w:val="15"/>
                <w:szCs w:val="15"/>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-3590925</wp:posOffset>
            </wp:positionV>
            <wp:extent cx="774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-3590925</wp:posOffset>
            </wp:positionV>
            <wp:extent cx="768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-3590925</wp:posOffset>
            </wp:positionV>
            <wp:extent cx="774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-3590925</wp:posOffset>
            </wp:positionV>
            <wp:extent cx="6858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-3590925</wp:posOffset>
            </wp:positionV>
            <wp:extent cx="6858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-3590925</wp:posOffset>
            </wp:positionV>
            <wp:extent cx="6858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-3590925</wp:posOffset>
            </wp:positionV>
            <wp:extent cx="6858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-1945640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-1927860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-1945640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-1927860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-1945640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-1927860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-1945640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-1927860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-1945640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-1927860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-1945640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-1927860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-1945640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-1927860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-1551305</wp:posOffset>
            </wp:positionV>
            <wp:extent cx="774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-1551305</wp:posOffset>
            </wp:positionV>
            <wp:extent cx="768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-1551305</wp:posOffset>
            </wp:positionV>
            <wp:extent cx="774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-1551305</wp:posOffset>
            </wp:positionV>
            <wp:extent cx="6858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-1551305</wp:posOffset>
            </wp:positionV>
            <wp:extent cx="6858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-1551305</wp:posOffset>
            </wp:positionV>
            <wp:extent cx="6858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-1551305</wp:posOffset>
            </wp:positionV>
            <wp:extent cx="6858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-1551305</wp:posOffset>
            </wp:positionV>
            <wp:extent cx="6858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-153670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-153670</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-153670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-153670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-153670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-153670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-153670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Six Months Ended June 30, 2024 and June 30, 2023</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Parsons</w:t>
            </w:r>
          </w:p>
        </w:tc>
        <w:tc>
          <w:tcPr>
            <w:tcW w:w="14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0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December 31,</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146,341</w:t>
            </w:r>
          </w:p>
        </w:tc>
        <w:tc>
          <w:tcPr>
            <w:tcW w:w="26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2,779,365</w:t>
            </w:r>
          </w:p>
        </w:tc>
        <w:tc>
          <w:tcPr>
            <w:tcW w:w="24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203,724</w:t>
            </w:r>
          </w:p>
        </w:tc>
        <w:tc>
          <w:tcPr>
            <w:tcW w:w="22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(14,908 )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2,287,211</w:t>
            </w:r>
          </w:p>
        </w:tc>
        <w:tc>
          <w:tcPr>
            <w:tcW w:w="22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89,504</w:t>
            </w:r>
          </w:p>
        </w:tc>
        <w:tc>
          <w:tcPr>
            <w:tcW w:w="22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2,376,715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00" w:type="dxa"/>
            <w:vAlign w:val="bottom"/>
            <w:shd w:val="clear" w:color="auto" w:fill="CFF0FC"/>
          </w:tcPr>
          <w:p>
            <w:pPr>
              <w:ind w:left="20"/>
              <w:spacing w:after="0" w:line="125" w:lineRule="exact"/>
              <w:rPr>
                <w:sz w:val="20"/>
                <w:szCs w:val="20"/>
                <w:color w:val="auto"/>
              </w:rPr>
            </w:pPr>
            <w:r>
              <w:rPr>
                <w:rFonts w:ascii="Arial" w:cs="Arial" w:eastAsia="Arial" w:hAnsi="Arial"/>
                <w:sz w:val="14"/>
                <w:szCs w:val="14"/>
                <w:b w:val="1"/>
                <w:bCs w:val="1"/>
                <w:color w:val="auto"/>
              </w:rPr>
              <w:t>2023</w:t>
            </w:r>
          </w:p>
        </w:tc>
        <w:tc>
          <w:tcPr>
            <w:tcW w:w="14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(38,183 )</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(38,183 )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26,790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(11,393 )</w:t>
            </w:r>
          </w:p>
        </w:tc>
        <w:tc>
          <w:tcPr>
            <w:tcW w:w="0" w:type="dxa"/>
            <w:vAlign w:val="bottom"/>
          </w:tcPr>
          <w:p>
            <w:pPr>
              <w:spacing w:after="0"/>
              <w:rPr>
                <w:sz w:val="1"/>
                <w:szCs w:val="1"/>
                <w:color w:val="auto"/>
              </w:rPr>
            </w:pPr>
          </w:p>
        </w:tc>
      </w:tr>
      <w:tr>
        <w:trPr>
          <w:trHeight w:val="166"/>
        </w:trPr>
        <w:tc>
          <w:tcPr>
            <w:tcW w:w="210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200"/>
              <w:spacing w:after="0"/>
              <w:rPr>
                <w:sz w:val="20"/>
                <w:szCs w:val="20"/>
                <w:color w:val="auto"/>
              </w:rPr>
            </w:pPr>
            <w:r>
              <w:rPr>
                <w:rFonts w:ascii="Arial" w:cs="Arial" w:eastAsia="Arial" w:hAnsi="Arial"/>
                <w:sz w:val="14"/>
                <w:szCs w:val="14"/>
                <w:color w:val="auto"/>
              </w:rPr>
              <w:t>translation gain, net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(4,184 )</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(4,184 )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(4,172 )</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adjustments, net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(47 )</w:t>
            </w: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(47 )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Contributions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(15,249 )</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(15,249 )</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Capped call transactions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(66,121 )</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(66,121 )</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(66,121 )</w:t>
            </w: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 of warrants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(104,952 )</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(104,952 )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(104,952 )</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Bond hedge termination</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149,308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149,308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149,308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equity securities,</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of retirement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(5,678 )</w:t>
            </w: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(10,006 )</w:t>
            </w: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(15,197 )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(15,197 )</w:t>
            </w:r>
          </w:p>
        </w:tc>
        <w:tc>
          <w:tcPr>
            <w:tcW w:w="0" w:type="dxa"/>
            <w:vAlign w:val="bottom"/>
          </w:tcPr>
          <w:p>
            <w:pPr>
              <w:spacing w:after="0"/>
              <w:rPr>
                <w:sz w:val="1"/>
                <w:szCs w:val="1"/>
                <w:color w:val="auto"/>
              </w:rPr>
            </w:pPr>
          </w:p>
        </w:tc>
      </w:tr>
      <w:tr>
        <w:trPr>
          <w:trHeight w:val="166"/>
        </w:trPr>
        <w:tc>
          <w:tcPr>
            <w:tcW w:w="2100" w:type="dxa"/>
            <w:vAlign w:val="bottom"/>
          </w:tcPr>
          <w:p>
            <w:pPr>
              <w:ind w:left="20"/>
              <w:spacing w:after="0"/>
              <w:rPr>
                <w:sz w:val="20"/>
                <w:szCs w:val="20"/>
                <w:color w:val="auto"/>
              </w:rPr>
            </w:pPr>
            <w:r>
              <w:rPr>
                <w:rFonts w:ascii="Arial" w:cs="Arial" w:eastAsia="Arial" w:hAnsi="Arial"/>
                <w:sz w:val="14"/>
                <w:szCs w:val="14"/>
                <w:color w:val="auto"/>
              </w:rPr>
              <w:t>Repurchases of common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20"/>
              <w:spacing w:after="0"/>
              <w:rPr>
                <w:sz w:val="20"/>
                <w:szCs w:val="20"/>
                <w:color w:val="auto"/>
              </w:rPr>
            </w:pPr>
            <w:r>
              <w:rPr>
                <w:rFonts w:ascii="Arial" w:cs="Arial" w:eastAsia="Arial" w:hAnsi="Arial"/>
                <w:sz w:val="14"/>
                <w:szCs w:val="14"/>
                <w:color w:val="auto"/>
              </w:rPr>
              <w:t>stock</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(131 )</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(9,869 )</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(10,000 )</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20,675</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20,675</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20,675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146,697</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(827,311 )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2,762,728</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155,535</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(19,139 )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2,218,510</w:t>
            </w:r>
          </w:p>
        </w:tc>
        <w:tc>
          <w:tcPr>
            <w:tcW w:w="2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101,134</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2,319,644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146,132</w:t>
            </w:r>
          </w:p>
        </w:tc>
        <w:tc>
          <w:tcPr>
            <w:tcW w:w="26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(844,936 )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2,717,134</w:t>
            </w:r>
          </w:p>
        </w:tc>
        <w:tc>
          <w:tcPr>
            <w:tcW w:w="24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43,089</w:t>
            </w:r>
          </w:p>
        </w:tc>
        <w:tc>
          <w:tcPr>
            <w:tcW w:w="22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(17,849 )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2,043,570</w:t>
            </w:r>
          </w:p>
        </w:tc>
        <w:tc>
          <w:tcPr>
            <w:tcW w:w="22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52,365</w:t>
            </w:r>
          </w:p>
        </w:tc>
        <w:tc>
          <w:tcPr>
            <w:tcW w:w="22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2,095,935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2022</w:t>
            </w:r>
          </w:p>
        </w:tc>
        <w:tc>
          <w:tcPr>
            <w:tcW w:w="14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68,794</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68,794</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100" w:type="dxa"/>
            <w:vAlign w:val="bottom"/>
          </w:tcPr>
          <w:p>
            <w:pPr>
              <w:ind w:left="200"/>
              <w:spacing w:after="0"/>
              <w:rPr>
                <w:sz w:val="20"/>
                <w:szCs w:val="20"/>
                <w:color w:val="auto"/>
              </w:rPr>
            </w:pPr>
            <w:r>
              <w:rPr>
                <w:rFonts w:ascii="Arial" w:cs="Arial" w:eastAsia="Arial" w:hAnsi="Arial"/>
                <w:sz w:val="14"/>
                <w:szCs w:val="14"/>
                <w:color w:val="auto"/>
              </w:rPr>
              <w:t>Foreign currency</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200"/>
              <w:spacing w:after="0"/>
              <w:rPr>
                <w:sz w:val="20"/>
                <w:szCs w:val="20"/>
                <w:color w:val="auto"/>
              </w:rPr>
            </w:pPr>
            <w:r>
              <w:rPr>
                <w:rFonts w:ascii="Arial" w:cs="Arial" w:eastAsia="Arial" w:hAnsi="Arial"/>
                <w:sz w:val="14"/>
                <w:szCs w:val="14"/>
                <w:color w:val="auto"/>
              </w:rPr>
              <w:t>translation loss, net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2,972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adjustments, net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Contributions</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(2,487 )</w:t>
            </w: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(2,487 )</w:t>
            </w:r>
          </w:p>
        </w:tc>
        <w:tc>
          <w:tcPr>
            <w:tcW w:w="0" w:type="dxa"/>
            <w:vAlign w:val="bottom"/>
          </w:tcPr>
          <w:p>
            <w:pPr>
              <w:spacing w:after="0"/>
              <w:rPr>
                <w:sz w:val="1"/>
                <w:szCs w:val="1"/>
                <w:color w:val="auto"/>
              </w:rPr>
            </w:pPr>
          </w:p>
        </w:tc>
      </w:tr>
      <w:tr>
        <w:trPr>
          <w:trHeight w:val="166"/>
        </w:trPr>
        <w:tc>
          <w:tcPr>
            <w:tcW w:w="2100" w:type="dxa"/>
            <w:vAlign w:val="bottom"/>
          </w:tcPr>
          <w:p>
            <w:pPr>
              <w:ind w:left="20"/>
              <w:spacing w:after="0"/>
              <w:rPr>
                <w:sz w:val="20"/>
                <w:szCs w:val="20"/>
                <w:color w:val="auto"/>
              </w:rPr>
            </w:pPr>
            <w:r>
              <w:rPr>
                <w:rFonts w:ascii="Arial" w:cs="Arial" w:eastAsia="Arial" w:hAnsi="Arial"/>
                <w:sz w:val="14"/>
                <w:szCs w:val="14"/>
                <w:color w:val="auto"/>
              </w:rPr>
              <w:t>Issuance of equity securities,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tcPr>
          <w:p>
            <w:pPr>
              <w:ind w:left="20"/>
              <w:spacing w:after="0"/>
              <w:rPr>
                <w:sz w:val="20"/>
                <w:szCs w:val="20"/>
                <w:color w:val="auto"/>
              </w:rPr>
            </w:pPr>
            <w:r>
              <w:rPr>
                <w:rFonts w:ascii="Arial" w:cs="Arial" w:eastAsia="Arial" w:hAnsi="Arial"/>
                <w:sz w:val="14"/>
                <w:szCs w:val="14"/>
                <w:color w:val="auto"/>
              </w:rPr>
              <w:t>net of retirement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(3,895 )</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(370 )</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(3,900 )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(3,900 )</w:t>
            </w:r>
          </w:p>
        </w:tc>
        <w:tc>
          <w:tcPr>
            <w:tcW w:w="0" w:type="dxa"/>
            <w:vAlign w:val="bottom"/>
          </w:tcPr>
          <w:p>
            <w:pPr>
              <w:spacing w:after="0"/>
              <w:rPr>
                <w:sz w:val="1"/>
                <w:szCs w:val="1"/>
                <w:color w:val="auto"/>
              </w:rPr>
            </w:pPr>
          </w:p>
        </w:tc>
      </w:tr>
      <w:tr>
        <w:trPr>
          <w:trHeight w:val="166"/>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Repurchases of common</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w:t>
            </w:r>
          </w:p>
        </w:tc>
        <w:tc>
          <w:tcPr>
            <w:tcW w:w="1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(185 )</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(7,815 )</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(8,000 )</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(8,000 )</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15,978</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15,978</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146,312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(844,936 )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2,721,402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111,513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(14,860 )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2,119,431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71,335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2,190,766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-3933825</wp:posOffset>
            </wp:positionV>
            <wp:extent cx="7747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-3933825</wp:posOffset>
            </wp:positionV>
            <wp:extent cx="768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-3933825</wp:posOffset>
            </wp:positionV>
            <wp:extent cx="7747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-3933825</wp:posOffset>
            </wp:positionV>
            <wp:extent cx="6858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-3933825</wp:posOffset>
            </wp:positionV>
            <wp:extent cx="6858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-3933825</wp:posOffset>
            </wp:positionV>
            <wp:extent cx="6858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-3933825</wp:posOffset>
            </wp:positionV>
            <wp:extent cx="6858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-2159635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-2159635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-2159635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-2159635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-2159635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-2159635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-2159635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-1550670</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-1550670</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-1550670</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-1550670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-1550670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-1550670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-1550670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-24765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-7620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-24765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96" w:lineRule="exact"/>
        <w:rPr>
          <w:sz w:val="20"/>
          <w:szCs w:val="20"/>
          <w:color w:val="auto"/>
        </w:rPr>
      </w:pPr>
    </w:p>
    <w:p>
      <w:pPr>
        <w:ind w:left="660" w:right="8380" w:hanging="652"/>
        <w:spacing w:after="0" w:line="48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60" w:firstLine="636"/>
        <w:spacing w:after="0" w:line="248"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maintained to carry out specific projects.</w:t>
      </w:r>
    </w:p>
    <w:p>
      <w:pPr>
        <w:spacing w:after="0" w:line="21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2" w:lineRule="exact"/>
        <w:rPr>
          <w:sz w:val="20"/>
          <w:szCs w:val="20"/>
          <w:color w:val="auto"/>
        </w:rPr>
      </w:pPr>
    </w:p>
    <w:p>
      <w:pPr>
        <w:ind w:right="400" w:firstLine="636"/>
        <w:spacing w:after="0" w:line="244"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2023.</w:t>
      </w:r>
    </w:p>
    <w:p>
      <w:pPr>
        <w:spacing w:after="0" w:line="176"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9"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 Certain amounts may not foot due to rounding.</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 See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2023,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w:t>
      </w:r>
    </w:p>
    <w:p>
      <w:pPr>
        <w:spacing w:after="0" w:line="29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202124"/>
        </w:rPr>
        <w:t>In the fourth quarter of 2023, The Financial Accounting Standards Board ("FASB") Issued Accounting Standards Update (“ASU”) 2023-09, "Income Taxes (Topic 740)" ("ASU 2023-09"). ASU 2023-09 enhances the transparency and decision usefulness of income tax disclosures. The amendments in ASU 2023-09 addresses investor requests for more transparency about income tax information through improvements to income tax disclosures primarily related to the rate reconciliation and income taxes paid information. ASU 2023-09 also includes certain other amendments to improve the effectiveness of income tax disclosures. ASU 2023-09 is effective for fiscal years beginning after December 15, 2024.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202124"/>
        </w:rPr>
        <w:t>Early adoption is permitted. The adoption of this ASU will not have a material impact on the Company's consolidated financial statements.</w:t>
      </w:r>
    </w:p>
    <w:p>
      <w:pPr>
        <w:spacing w:after="0" w:line="212"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202124"/>
        </w:rPr>
        <w:t>In the fourth quarter of 2023, the FASB Issued ASU 2023-07, "Segment Reporting (Topic 280)". ASU 2023-07 introduces enhanced disclosures about significant segment expenses along with other enhanced segment disclosures. ASU 2023-07 is effective for fiscal years beginning after December 15, 2023, and interim periods within fiscal years beginning after December 15, 2024. Early adoption is permitted. The adoption of this ASU will not have a material impact on the Company's consolidated financial statements.</w:t>
      </w:r>
    </w:p>
    <w:p>
      <w:pPr>
        <w:spacing w:after="0" w:line="17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202124"/>
        </w:rPr>
        <w:t>During July 2023, the FASB Issued ASU 2023-03. ASU 2023-03 incorporates, into certain accounting standards, amendments to SEC paragraphs pursuant to SEC Staff Accounting Bulletin No. 120, SEC Staff Announcement at the March 24, 2022 EITF meeting, and Staff Accounting Bulletin Topic 6.B, Accounting Series Release 280—General Revisions of Regulation S-X: Income or Loss Applicable to Common Stock. These rules are effective immediately. The adoption of this ASU did not have a material impact on the Company's consolidated financial statements.</w:t>
      </w:r>
    </w:p>
    <w:p>
      <w:pPr>
        <w:spacing w:after="0" w:line="200" w:lineRule="exact"/>
        <w:rPr>
          <w:sz w:val="20"/>
          <w:szCs w:val="20"/>
          <w:color w:val="auto"/>
        </w:rPr>
      </w:pPr>
    </w:p>
    <w:p>
      <w:pPr>
        <w:spacing w:after="0" w:line="39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I.S. Engineers, LLC</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202124"/>
        </w:rPr>
        <w:t>On October 31, 2023, the Company entered into a Membership Interest Purchase Agreement to acquire a 100% ownership interest in I.S. Engineers, LLC (“I.S. Engineers”), a privately-owned company, for $12.2 million in cash. Headquartered in Texas, I.S. Engineers provides full service consulting specializing in transportation engineering, including roads and highways, and program management. The acquisition was entirely funded by cash on-hand. In connection with this acquisition, the Company recognized $0.3 million of acquisition related “Selling, general and administrative expense” in the consolidated statements of income for the year ended December 31, 2023, including legal fees, consulting fees, and other miscellaneous direct expenses associated with the acquisition. The Company allocated the purchase price to the appropriate classes of tangible assets and liabilities and assigned the excess of $11.9 million entirely to goodwill. The entire value of goodwill was assigned to the Critical Infrastructure reporting unit and represents synergies expected to be realized from this business combination. No goodwill is deductible for income tax purposes.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Sealing Technologies, Inc.</w:t>
      </w:r>
    </w:p>
    <w:p>
      <w:pPr>
        <w:spacing w:after="0" w:line="10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202124"/>
        </w:rPr>
        <w:t>On August 23, 2023, the Company acquired a 100% ownership interest in Sealing Technologies, Inc (“SealingTech”), a privately-owned company, for $179.3 million in cash and up to an additional $25 million in the event an earn out revenue target is exceeded. The Company borrowed $175 million under the Credit Agreement to fund the acquisition. Headquartered in Maryland, SealingTech expands Parsons’ customer base across the Department of Defense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In connection with this acquisition, the Company recognized $3.3 million of acquisition-related expenses in “Selling, general and administrative expense” in the consolidated statements of income for the year ended December 31, 2023, including legal fees, consulting fees, and other miscellaneous direct expenses associated with the acquisition.</w:t>
      </w:r>
    </w:p>
    <w:p>
      <w:pPr>
        <w:spacing w:after="0" w:line="7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202124"/>
        </w:rPr>
        <w:t xml:space="preserve">The Company has agreed to pay the selling shareholders up to an additional $25 million in the event an earn out revenue target of $110 million is exceeded during the fiscal year ended December 31, 2024. The earn out payment due and payable by the Company to the selling shareholders shall be equal to (i) five-tenths (0.5), multiplied by (ii) the difference of (A) the actual earn out revenue minus (B) the earn out revenue target; provided, however, that in no event shall the earn out payment exceed $25 million. In the event that the earn out revenue is less than or equal to the earn out revenue target, the earn out payment shall be zero. The earn out payment, if any, shall be paid by the Company to the selling shareholders within 15 days following the date the earn out statement becomes final and binding on both parties. The fair value of the earn out (contingent consideration in the table below) was calculated using a Black-Scholes model. See </w:t>
      </w:r>
      <w:r>
        <w:rPr>
          <w:rFonts w:ascii="Arial" w:cs="Arial" w:eastAsia="Arial" w:hAnsi="Arial"/>
          <w:sz w:val="18"/>
          <w:szCs w:val="18"/>
          <w:color w:val="000000"/>
        </w:rPr>
        <w:t>“Note 2—Summary</w:t>
      </w:r>
      <w:r>
        <w:rPr>
          <w:rFonts w:ascii="Arial" w:cs="Arial" w:eastAsia="Arial" w:hAnsi="Arial"/>
          <w:sz w:val="18"/>
          <w:szCs w:val="18"/>
          <w:color w:val="202124"/>
        </w:rPr>
        <w:t xml:space="preserve"> </w:t>
      </w:r>
      <w:r>
        <w:rPr>
          <w:rFonts w:ascii="Arial" w:cs="Arial" w:eastAsia="Arial" w:hAnsi="Arial"/>
          <w:sz w:val="18"/>
          <w:szCs w:val="18"/>
          <w:color w:val="000000"/>
        </w:rPr>
        <w:t xml:space="preserve">of Significant Accounting Policies” in the notes to our consolidated financial statements included in the Company’s Form 10-K for the year ended December 31, 2023 </w:t>
      </w:r>
      <w:r>
        <w:rPr>
          <w:rFonts w:ascii="Arial" w:cs="Arial" w:eastAsia="Arial" w:hAnsi="Arial"/>
          <w:sz w:val="18"/>
          <w:szCs w:val="18"/>
          <w:color w:val="202124"/>
        </w:rPr>
        <w:t>for further information on how the fair value of contingent consideration is determined.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at closing</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179,259</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Fair value of contingent consideration to be achieved</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9"/>
                <w:szCs w:val="19"/>
                <w:color w:val="auto"/>
              </w:rPr>
            </w:pPr>
          </w:p>
        </w:tc>
      </w:tr>
      <w:tr>
        <w:trPr>
          <w:trHeight w:val="263"/>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purchase price</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182,490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202124"/>
        </w:rPr>
        <w:t>The estimated fair value of the SealingTech contingent consideration as of June 30, 2024 was $4.1 million, a $1.8 million increase from the estimated fair value as of December 31, 2023. Changes in the estimated fair value are recorded to "other income (expense), net" in the consolidated financial statements.</w:t>
      </w:r>
    </w:p>
    <w:p>
      <w:pPr>
        <w:spacing w:after="0" w:line="61"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202124"/>
        </w:rPr>
        <w:t>The following table summarizes the estimated fair values of the assets acquired and liabilities assumed based on the purchase price allocation as of the date of acquisition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90,593</w:t>
            </w:r>
          </w:p>
        </w:tc>
        <w:tc>
          <w:tcPr>
            <w:tcW w:w="100" w:type="dxa"/>
            <w:vAlign w:val="bottom"/>
          </w:tcPr>
          <w:p>
            <w:pPr>
              <w:spacing w:after="0"/>
              <w:rPr>
                <w:sz w:val="19"/>
                <w:szCs w:val="19"/>
                <w:color w:val="auto"/>
              </w:rPr>
            </w:pP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(15,987 )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(2,408 )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(668 )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(418 )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(1,418 )</w:t>
            </w:r>
          </w:p>
        </w:tc>
      </w:tr>
      <w:tr>
        <w:trPr>
          <w:trHeight w:val="263"/>
        </w:trPr>
        <w:tc>
          <w:tcPr>
            <w:tcW w:w="9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179,259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Of the total purchase price, the following values were assigned to intangible assets (in thousands, except for years):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7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3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technologies</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80" w:lineRule="exact"/>
        <w:rPr>
          <w:sz w:val="20"/>
          <w:szCs w:val="20"/>
          <w:color w:val="auto"/>
        </w:rPr>
      </w:pPr>
    </w:p>
    <w:p>
      <w:pPr>
        <w:ind w:right="440" w:firstLine="509"/>
        <w:spacing w:after="0" w:line="275" w:lineRule="auto"/>
        <w:rPr>
          <w:sz w:val="20"/>
          <w:szCs w:val="20"/>
          <w:color w:val="auto"/>
        </w:rPr>
      </w:pPr>
      <w:r>
        <w:rPr>
          <w:rFonts w:ascii="Arial" w:cs="Arial" w:eastAsia="Arial" w:hAnsi="Arial"/>
          <w:sz w:val="17"/>
          <w:szCs w:val="17"/>
          <w:color w:val="202124"/>
        </w:rPr>
        <w:t>Amortization expense of $3.3 million and $6.6 million related to these intangible assets was recorded for the three and six months ended June 30, 2024, respectively. The entire value of goodwill was assigned to the Federal Solutions reporting unit and represents synergies expected to be realized from this business combination. The entire value of goodwill is deductible for tax purposes.</w:t>
      </w:r>
    </w:p>
    <w:p>
      <w:pPr>
        <w:spacing w:after="0" w:line="44"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202124"/>
        </w:rPr>
        <w:t>The amount of revenue generated by SealingTech and included within consolidated revenue is $16.9 million and $33.8 million for the three and six months ended June 30, 2024, respectively. The Company has determined that the presentation of net income from the date of acquisition is impracticable due to the integration of general corporate functions upon acquisition.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202124"/>
        </w:rPr>
        <w:t>Supplemental Pro Forma Information (Unaudited)</w:t>
      </w:r>
    </w:p>
    <w:p>
      <w:pPr>
        <w:spacing w:after="0" w:line="104"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202124"/>
        </w:rPr>
        <w:t>Supplemental information of unaudited pro forma operating results assuming the SealingTech acquisition had been consummated as of the beginning of fiscal year 2022 (in thousands) is as follows: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4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r>
      <w:tr>
        <w:trPr>
          <w:trHeight w:val="22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1,670,467</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1,390,016</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3,206,143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2,580,497</w:t>
            </w:r>
          </w:p>
        </w:tc>
        <w:tc>
          <w:tcPr>
            <w:tcW w:w="100" w:type="dxa"/>
            <w:vAlign w:val="bottom"/>
            <w:shd w:val="clear" w:color="auto" w:fill="CFF0FC"/>
          </w:tcPr>
          <w:p>
            <w:pPr>
              <w:spacing w:after="0"/>
              <w:rPr>
                <w:sz w:val="19"/>
                <w:szCs w:val="19"/>
                <w:color w:val="auto"/>
              </w:rPr>
            </w:pPr>
          </w:p>
        </w:tc>
      </w:tr>
      <w:tr>
        <w:trPr>
          <w:trHeight w:val="239"/>
        </w:trPr>
        <w:tc>
          <w:tcPr>
            <w:tcW w:w="486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81,910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59,230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(8,869 )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93,425</w:t>
            </w:r>
          </w:p>
        </w:tc>
        <w:tc>
          <w:tcPr>
            <w:tcW w:w="100" w:type="dxa"/>
            <w:vAlign w:val="bottom"/>
          </w:tcPr>
          <w:p>
            <w:pPr>
              <w:spacing w:after="0"/>
              <w:rPr>
                <w:sz w:val="20"/>
                <w:szCs w:val="20"/>
                <w:color w:val="auto"/>
              </w:rPr>
            </w:pP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IPKeys Power Partners</w:t>
      </w:r>
    </w:p>
    <w:p>
      <w:pPr>
        <w:spacing w:after="0" w:line="2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in cash.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acquisition was entirely funded by cash on-hand. In connection with this acquisition, the Company recognized $0.6 million of acquisition-related expenses in “Selling, general and administrative expense” in the consolidated statements of income for the year ended December 31, 2023, respectively, including legal fees, consulting fees, and other miscellaneous direct expenses associated with the acquisition.</w:t>
      </w:r>
    </w:p>
    <w:p>
      <w:pPr>
        <w:spacing w:after="0" w:line="180"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Right of use assets, operating leases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9"/>
                <w:szCs w:val="19"/>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22,407</w:t>
            </w:r>
          </w:p>
        </w:tc>
        <w:tc>
          <w:tcPr>
            <w:tcW w:w="100" w:type="dxa"/>
            <w:vAlign w:val="bottom"/>
          </w:tcPr>
          <w:p>
            <w:pPr>
              <w:spacing w:after="0"/>
              <w:rPr>
                <w:sz w:val="19"/>
                <w:szCs w:val="19"/>
                <w:color w:val="auto"/>
              </w:rPr>
            </w:pP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FF0FC"/>
          </w:tcPr>
          <w:p>
            <w:pPr>
              <w:spacing w:after="0"/>
              <w:rPr>
                <w:sz w:val="19"/>
                <w:szCs w:val="19"/>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(541 )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(1,768 )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(1,936 )</w:t>
            </w:r>
          </w:p>
        </w:tc>
      </w:tr>
      <w:tr>
        <w:trPr>
          <w:trHeight w:val="22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(343 )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(3,713 )</w:t>
            </w:r>
          </w:p>
        </w:tc>
      </w:tr>
      <w:tr>
        <w:trPr>
          <w:trHeight w:val="230"/>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 operating leases</w:t>
            </w:r>
          </w:p>
        </w:tc>
        <w:tc>
          <w:tcPr>
            <w:tcW w:w="4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(762 )</w:t>
            </w:r>
          </w:p>
        </w:tc>
      </w:tr>
      <w:tr>
        <w:trPr>
          <w:trHeight w:val="223"/>
        </w:trPr>
        <w:tc>
          <w:tcPr>
            <w:tcW w:w="918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43,039</w:t>
            </w:r>
          </w:p>
        </w:tc>
        <w:tc>
          <w:tcPr>
            <w:tcW w:w="100" w:type="dxa"/>
            <w:vAlign w:val="bottom"/>
            <w:tcBorders>
              <w:top w:val="single" w:sz="8" w:color="CFF0FC"/>
            </w:tcBorders>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9"/>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239"/>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23"/>
        </w:trPr>
        <w:tc>
          <w:tcPr>
            <w:tcW w:w="7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3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0"/>
                <w:szCs w:val="10"/>
                <w:color w:val="auto"/>
              </w:rPr>
              <w:t>(1)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Developed technologies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(1) The acquired business is a SaaS commercial business. Backlog for this type of business is included as customer relationships.</w:t>
      </w:r>
    </w:p>
    <w:p>
      <w:pPr>
        <w:spacing w:after="0" w:line="104"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 xml:space="preserve">Amortization expense of $0.4 million and $0.8 million related to these intangible assets was recorded for the </w:t>
      </w:r>
      <w:r>
        <w:rPr>
          <w:rFonts w:ascii="Arial" w:cs="Arial" w:eastAsia="Arial" w:hAnsi="Arial"/>
          <w:sz w:val="18"/>
          <w:szCs w:val="18"/>
          <w:color w:val="202124"/>
        </w:rPr>
        <w:t>three and six months</w:t>
      </w:r>
      <w:r>
        <w:rPr>
          <w:rFonts w:ascii="Arial" w:cs="Arial" w:eastAsia="Arial" w:hAnsi="Arial"/>
          <w:sz w:val="18"/>
          <w:szCs w:val="18"/>
          <w:color w:val="auto"/>
        </w:rPr>
        <w:t xml:space="preserve"> </w:t>
      </w:r>
      <w:r>
        <w:rPr>
          <w:rFonts w:ascii="Arial" w:cs="Arial" w:eastAsia="Arial" w:hAnsi="Arial"/>
          <w:sz w:val="18"/>
          <w:szCs w:val="18"/>
          <w:color w:val="202124"/>
        </w:rPr>
        <w:t xml:space="preserve">ended June 30, 2024, respectively and </w:t>
      </w:r>
      <w:r>
        <w:rPr>
          <w:rFonts w:ascii="Arial" w:cs="Arial" w:eastAsia="Arial" w:hAnsi="Arial"/>
          <w:sz w:val="18"/>
          <w:szCs w:val="18"/>
          <w:color w:val="000000"/>
        </w:rPr>
        <w:t>$0.4 million for both the three and six months ended June 30, 2023. The entire value of goodwill was</w:t>
      </w:r>
      <w:r>
        <w:rPr>
          <w:rFonts w:ascii="Arial" w:cs="Arial" w:eastAsia="Arial" w:hAnsi="Arial"/>
          <w:sz w:val="18"/>
          <w:szCs w:val="18"/>
          <w:color w:val="202124"/>
        </w:rPr>
        <w:t xml:space="preserve"> </w:t>
      </w:r>
      <w:r>
        <w:rPr>
          <w:rFonts w:ascii="Arial" w:cs="Arial" w:eastAsia="Arial" w:hAnsi="Arial"/>
          <w:sz w:val="18"/>
          <w:szCs w:val="18"/>
          <w:color w:val="000000"/>
        </w:rPr>
        <w:t>assigned to the Critical Infrastructure reporting unit and represents synergies expected to be realized from this business combination. $0.9 million of goodwill is deductible for tax purposes.</w:t>
      </w:r>
    </w:p>
    <w:p>
      <w:pPr>
        <w:spacing w:after="0" w:line="66"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amount of revenue generated by IPKeys and included within consolidated revenue is $2.6 million for both the three and six months ended June 30, 2023.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IPKeys acquisition had been consummated as of the beginning of fiscal year 2022 (in thousands)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4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r>
      <w:tr>
        <w:trPr>
          <w:trHeight w:val="22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1,670,467</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1,356,486</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3,206,143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2,532,807</w:t>
            </w:r>
          </w:p>
        </w:tc>
        <w:tc>
          <w:tcPr>
            <w:tcW w:w="100" w:type="dxa"/>
            <w:vAlign w:val="bottom"/>
            <w:shd w:val="clear" w:color="auto" w:fill="CFF0FC"/>
          </w:tcPr>
          <w:p>
            <w:pPr>
              <w:spacing w:after="0"/>
              <w:rPr>
                <w:sz w:val="19"/>
                <w:szCs w:val="19"/>
                <w:color w:val="auto"/>
              </w:rPr>
            </w:pPr>
          </w:p>
        </w:tc>
      </w:tr>
      <w:tr>
        <w:trPr>
          <w:trHeight w:val="239"/>
        </w:trPr>
        <w:tc>
          <w:tcPr>
            <w:tcW w:w="486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80,812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56,441</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(11,141 )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91,803</w:t>
            </w:r>
          </w:p>
        </w:tc>
        <w:tc>
          <w:tcPr>
            <w:tcW w:w="100" w:type="dxa"/>
            <w:vAlign w:val="bottom"/>
          </w:tcPr>
          <w:p>
            <w:pPr>
              <w:spacing w:after="0"/>
              <w:rPr>
                <w:sz w:val="20"/>
                <w:szCs w:val="20"/>
                <w:color w:val="auto"/>
              </w:rPr>
            </w:pPr>
          </w:p>
        </w:tc>
      </w:tr>
    </w:tbl>
    <w:p>
      <w:pPr>
        <w:spacing w:after="0" w:line="323" w:lineRule="exact"/>
        <w:rPr>
          <w:sz w:val="20"/>
          <w:szCs w:val="20"/>
          <w:color w:val="auto"/>
        </w:rPr>
      </w:pPr>
    </w:p>
    <w:p>
      <w:pPr>
        <w:ind w:left="640" w:right="8320" w:hanging="632"/>
        <w:spacing w:after="0" w:line="360" w:lineRule="auto"/>
        <w:tabs>
          <w:tab w:leader="none" w:pos="64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60" w:firstLine="636"/>
        <w:spacing w:after="0" w:line="301"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4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Fixed-price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707,235</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440,094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1,338,454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781,106</w:t>
            </w:r>
          </w:p>
        </w:tc>
        <w:tc>
          <w:tcPr>
            <w:tcW w:w="100" w:type="dxa"/>
            <w:vAlign w:val="bottom"/>
            <w:shd w:val="clear" w:color="auto" w:fill="CFF0FC"/>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347,275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324,033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697,926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642,348</w:t>
            </w:r>
          </w:p>
        </w:tc>
        <w:tc>
          <w:tcPr>
            <w:tcW w:w="100" w:type="dxa"/>
            <w:vAlign w:val="bottom"/>
          </w:tcPr>
          <w:p>
            <w:pPr>
              <w:spacing w:after="0"/>
              <w:rPr>
                <w:sz w:val="19"/>
                <w:szCs w:val="19"/>
                <w:color w:val="auto"/>
              </w:rPr>
            </w:pPr>
          </w:p>
        </w:tc>
      </w:tr>
      <w:tr>
        <w:trPr>
          <w:trHeight w:val="229"/>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Cost-plus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615,957</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592,359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1,169,763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1,106,498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34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1,670,467</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1,356,486</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3,206,143</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2,529,952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-162560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-162560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-162560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June 30, 2024 and December 31, 2023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Contract assets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2023</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5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803,685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757,515</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46,170</w:t>
            </w:r>
          </w:p>
        </w:tc>
        <w:tc>
          <w:tcPr>
            <w:tcW w:w="22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298,104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301,107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(3,003 )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Net contract assets (liabilities) (1)</w:t>
            </w: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505,581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456,408</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49,173</w:t>
            </w:r>
          </w:p>
        </w:tc>
        <w:tc>
          <w:tcPr>
            <w:tcW w:w="22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2" w:lineRule="exact"/>
        <w:rPr>
          <w:sz w:val="20"/>
          <w:szCs w:val="20"/>
          <w:color w:val="auto"/>
        </w:rPr>
      </w:pPr>
    </w:p>
    <w:p>
      <w:pPr>
        <w:ind w:left="660" w:right="160" w:hanging="652"/>
        <w:spacing w:after="0" w:line="26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contract retentions included in net contract assets (liabilities) were $77.0 million as of June 30, 2024, of which $33.3 million are not expected to be paid in the next 12 months. Total contract retentions included in net contract assets (liabilities) were $73.8 million as of December 31, 2023. Contract assets at June 30, 2024 and December 31, 2023 include $102.0 million and $109.5 million, respectively, related to net claim recoveries. For the three and six months ended June 30, 2024 and June 30, 2023, there were no material losses recognized related to the collectability of claims, unapproved change orders, and requests for equitable adjustment.</w:t>
      </w:r>
    </w:p>
    <w:p>
      <w:pPr>
        <w:spacing w:after="0" w:line="166" w:lineRule="exact"/>
        <w:rPr>
          <w:sz w:val="20"/>
          <w:szCs w:val="20"/>
          <w:color w:val="auto"/>
        </w:rPr>
      </w:pPr>
    </w:p>
    <w:p>
      <w:pPr>
        <w:ind w:right="240" w:firstLine="636"/>
        <w:spacing w:after="0" w:line="253" w:lineRule="auto"/>
        <w:rPr>
          <w:sz w:val="20"/>
          <w:szCs w:val="20"/>
          <w:color w:val="auto"/>
        </w:rPr>
      </w:pPr>
      <w:r>
        <w:rPr>
          <w:rFonts w:ascii="Arial" w:cs="Arial" w:eastAsia="Arial" w:hAnsi="Arial"/>
          <w:sz w:val="18"/>
          <w:szCs w:val="18"/>
          <w:color w:val="auto"/>
        </w:rPr>
        <w:t>During the three months ended June 30, 2024 and June 30, 2023, the Company recognized revenue of $30.9 million and $29.6 million, respectively, and $169.2 million and $107.7 million during the six months ended June 30, 2024 and June 30, 2023, respectively that was included in the corresponding contract liability balances at December 31, 2023 and December 31, 2022, respectively.</w:t>
      </w:r>
    </w:p>
    <w:p>
      <w:pPr>
        <w:spacing w:after="0" w:line="196" w:lineRule="exact"/>
        <w:rPr>
          <w:sz w:val="20"/>
          <w:szCs w:val="20"/>
          <w:color w:val="auto"/>
        </w:rPr>
      </w:pPr>
    </w:p>
    <w:p>
      <w:pPr>
        <w:ind w:right="220" w:firstLine="698"/>
        <w:spacing w:after="0" w:line="287" w:lineRule="auto"/>
        <w:rPr>
          <w:sz w:val="20"/>
          <w:szCs w:val="20"/>
          <w:color w:val="auto"/>
        </w:rPr>
      </w:pPr>
      <w:r>
        <w:rPr>
          <w:rFonts w:ascii="Arial" w:cs="Arial" w:eastAsia="Arial" w:hAnsi="Arial"/>
          <w:sz w:val="18"/>
          <w:szCs w:val="18"/>
          <w:color w:val="auto"/>
        </w:rPr>
        <w:t>There was no significant impairment of contract assets recognized during the three and six months ended June 30, 2024 and June 30, 2023.</w:t>
      </w: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13" w:name="page14"/>
    <w:bookmarkEnd w:id="13"/>
    <w:p>
      <w:pPr>
        <w:ind w:right="40" w:firstLine="636"/>
        <w:spacing w:after="0" w:line="247" w:lineRule="auto"/>
        <w:rPr>
          <w:sz w:val="20"/>
          <w:szCs w:val="20"/>
          <w:color w:val="auto"/>
        </w:rPr>
      </w:pPr>
      <w:r>
        <w:rPr>
          <w:rFonts w:ascii="Arial" w:cs="Arial" w:eastAsia="Arial" w:hAnsi="Arial"/>
          <w:sz w:val="18"/>
          <w:szCs w:val="18"/>
          <w:color w:val="auto"/>
        </w:rPr>
        <w:t>The following table presents revisions in estimates, such as changes in estimated claims or incentives, related to performance obligations partially satisfied in previous periods that individually had an impact of $5 million or more on revenue. In certain instances, revisions in estimates on a contract do not exceed the threshold in any particular quarter but exceed the threshold on a year-to-date basis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3360" w:type="dxa"/>
            <w:vAlign w:val="bottom"/>
            <w:tcBorders>
              <w:bottom w:val="single" w:sz="8" w:color="auto"/>
            </w:tcBorders>
            <w:gridSpan w:val="5"/>
          </w:tcPr>
          <w:p>
            <w:pPr>
              <w:jc w:val="right"/>
              <w:ind w:right="87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4340" w:type="dxa"/>
            <w:vAlign w:val="bottom"/>
          </w:tcPr>
          <w:p>
            <w:pPr>
              <w:spacing w:after="0"/>
              <w:rPr>
                <w:sz w:val="15"/>
                <w:szCs w:val="15"/>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impact, net</w:t>
            </w:r>
          </w:p>
        </w:tc>
        <w:tc>
          <w:tcPr>
            <w:tcW w:w="1320" w:type="dxa"/>
            <w:vAlign w:val="bottom"/>
            <w:shd w:val="clear" w:color="auto" w:fill="CFF0FC"/>
          </w:tcPr>
          <w:p>
            <w:pPr>
              <w:jc w:val="right"/>
              <w:ind w:right="1122"/>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20,168</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FF0FC"/>
          </w:tcPr>
          <w:p>
            <w:pPr>
              <w:ind w:left="760"/>
              <w:spacing w:after="0"/>
              <w:rPr>
                <w:sz w:val="20"/>
                <w:szCs w:val="20"/>
                <w:color w:val="auto"/>
              </w:rPr>
            </w:pPr>
            <w:r>
              <w:rPr>
                <w:rFonts w:ascii="Arial" w:cs="Arial" w:eastAsia="Arial" w:hAnsi="Arial"/>
                <w:sz w:val="18"/>
                <w:szCs w:val="18"/>
                <w:color w:val="auto"/>
              </w:rPr>
              <w:t>(8,939 )  $</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20,339</w:t>
            </w:r>
          </w:p>
        </w:tc>
        <w:tc>
          <w:tcPr>
            <w:tcW w:w="100" w:type="dxa"/>
            <w:vAlign w:val="bottom"/>
            <w:shd w:val="clear" w:color="auto" w:fill="CFF0FC"/>
          </w:tcPr>
          <w:p>
            <w:pPr>
              <w:spacing w:after="0"/>
              <w:rPr>
                <w:sz w:val="19"/>
                <w:szCs w:val="19"/>
                <w:color w:val="auto"/>
              </w:rPr>
            </w:pP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financial statement impacts from revisions in estimates were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3360" w:type="dxa"/>
            <w:vAlign w:val="bottom"/>
            <w:tcBorders>
              <w:bottom w:val="single" w:sz="8" w:color="auto"/>
            </w:tcBorders>
            <w:gridSpan w:val="5"/>
          </w:tcPr>
          <w:p>
            <w:pPr>
              <w:jc w:val="right"/>
              <w:ind w:right="87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4340" w:type="dxa"/>
            <w:vAlign w:val="bottom"/>
          </w:tcPr>
          <w:p>
            <w:pPr>
              <w:spacing w:after="0"/>
              <w:rPr>
                <w:sz w:val="15"/>
                <w:szCs w:val="15"/>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1320" w:type="dxa"/>
            <w:vAlign w:val="bottom"/>
            <w:shd w:val="clear" w:color="auto" w:fill="CFF0FC"/>
          </w:tcPr>
          <w:p>
            <w:pPr>
              <w:jc w:val="right"/>
              <w:ind w:right="1119"/>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(551 )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(8,939 )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(1,080 )</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(410 )</w:t>
            </w: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(6,677 )</w:t>
            </w:r>
          </w:p>
        </w:tc>
        <w:tc>
          <w:tcPr>
            <w:tcW w:w="2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(803 )</w:t>
            </w:r>
          </w:p>
        </w:tc>
      </w:tr>
      <w:tr>
        <w:trPr>
          <w:trHeight w:val="22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income (loss) per share</w:t>
            </w:r>
          </w:p>
        </w:tc>
        <w:tc>
          <w:tcPr>
            <w:tcW w:w="1320" w:type="dxa"/>
            <w:vAlign w:val="bottom"/>
            <w:shd w:val="clear" w:color="auto" w:fill="CFF0FC"/>
          </w:tcPr>
          <w:p>
            <w:pPr>
              <w:jc w:val="right"/>
              <w:ind w:right="1119"/>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(0.06 )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(0.01 )</w:t>
            </w:r>
          </w:p>
        </w:tc>
      </w:tr>
    </w:tbl>
    <w:p>
      <w:pPr>
        <w:spacing w:after="0" w:line="197"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The amounts for the three and six months ended June 30, 2023, in the table above, include changes in estimates related to direct costs of contracts of $24.7 million for both periods, related to a write-down on a contract in the Critical Infrastructure segment.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June 30, 2024 and December 31, 2023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692,946</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646,375</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Unbilled</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353,876</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273,215</w:t>
            </w:r>
          </w:p>
        </w:tc>
        <w:tc>
          <w:tcPr>
            <w:tcW w:w="100" w:type="dxa"/>
            <w:vAlign w:val="bottom"/>
          </w:tcPr>
          <w:p>
            <w:pPr>
              <w:spacing w:after="0"/>
              <w:rPr>
                <w:sz w:val="19"/>
                <w:szCs w:val="19"/>
                <w:color w:val="auto"/>
              </w:rPr>
            </w:pPr>
          </w:p>
        </w:tc>
      </w:tr>
      <w:tr>
        <w:trPr>
          <w:trHeight w:val="223"/>
        </w:trPr>
        <w:tc>
          <w:tcPr>
            <w:tcW w:w="7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1,046,822</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919,590</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4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(3,886 )</w:t>
            </w:r>
          </w:p>
        </w:tc>
        <w:tc>
          <w:tcPr>
            <w:tcW w:w="4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(3,952 )</w:t>
            </w:r>
          </w:p>
        </w:tc>
      </w:tr>
      <w:tr>
        <w:trPr>
          <w:trHeight w:val="263"/>
        </w:trPr>
        <w:tc>
          <w:tcPr>
            <w:tcW w:w="73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1,042,936</w:t>
            </w:r>
          </w:p>
        </w:tc>
        <w:tc>
          <w:tcPr>
            <w:tcW w:w="3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915,638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 Receivables from contracts with the U.S. federal government and its agencies were 25% and 18% as of June 30, 2024 and December 31, 2023, respectively.</w:t>
      </w:r>
    </w:p>
    <w:p>
      <w:pPr>
        <w:spacing w:after="0" w:line="174" w:lineRule="exact"/>
        <w:rPr>
          <w:sz w:val="20"/>
          <w:szCs w:val="20"/>
          <w:color w:val="auto"/>
        </w:rPr>
      </w:pPr>
    </w:p>
    <w:p>
      <w:pPr>
        <w:ind w:right="400" w:firstLine="636"/>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80" w:firstLine="636"/>
        <w:spacing w:after="0" w:line="271" w:lineRule="auto"/>
        <w:rPr>
          <w:sz w:val="20"/>
          <w:szCs w:val="20"/>
          <w:color w:val="auto"/>
        </w:rPr>
      </w:pPr>
      <w:r>
        <w:rPr>
          <w:rFonts w:ascii="Arial" w:cs="Arial" w:eastAsia="Arial" w:hAnsi="Arial"/>
          <w:sz w:val="18"/>
          <w:szCs w:val="18"/>
          <w:color w:val="auto"/>
        </w:rPr>
        <w:t>The Company’s remaining unsatisfied performance obligations (“RUPO”) as of June 30, 2024 represent a measure of the total dollar value of work to be performed on contracts awarded and in-progress. The Company had $6.2 billion in RUPO as of June 30, 2024.</w:t>
      </w:r>
    </w:p>
    <w:p>
      <w:pPr>
        <w:spacing w:after="0" w:line="154" w:lineRule="exact"/>
        <w:rPr>
          <w:sz w:val="20"/>
          <w:szCs w:val="20"/>
          <w:color w:val="auto"/>
        </w:rPr>
      </w:pPr>
    </w:p>
    <w:p>
      <w:pPr>
        <w:ind w:right="120" w:firstLine="636"/>
        <w:spacing w:after="0" w:line="247"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174" w:lineRule="exact"/>
        <w:rPr>
          <w:sz w:val="20"/>
          <w:szCs w:val="20"/>
          <w:color w:val="auto"/>
        </w:rPr>
      </w:pPr>
    </w:p>
    <w:p>
      <w:pPr>
        <w:ind w:right="20" w:firstLine="636"/>
        <w:spacing w:after="0" w:line="253"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600"/>
        <w:spacing w:after="0" w:line="271" w:lineRule="auto"/>
        <w:rPr>
          <w:sz w:val="20"/>
          <w:szCs w:val="20"/>
          <w:color w:val="auto"/>
        </w:rPr>
      </w:pPr>
      <w:r>
        <w:rPr>
          <w:rFonts w:ascii="Arial" w:cs="Arial" w:eastAsia="Arial" w:hAnsi="Arial"/>
          <w:sz w:val="18"/>
          <w:szCs w:val="18"/>
          <w:color w:val="auto"/>
        </w:rPr>
        <w:t>determined that it has a legal basis under existing contractual arrangements and a significant reversal of revenue is not probable, less revenue recognized to-date.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June 30, 2024 over the following periods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23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780" w:type="dxa"/>
            <w:vAlign w:val="bottom"/>
          </w:tcPr>
          <w:p>
            <w:pPr>
              <w:ind w:left="60"/>
              <w:spacing w:after="0"/>
              <w:rPr>
                <w:sz w:val="20"/>
                <w:szCs w:val="20"/>
                <w:color w:val="auto"/>
              </w:rPr>
            </w:pPr>
            <w:r>
              <w:rPr>
                <w:rFonts w:ascii="Arial" w:cs="Arial" w:eastAsia="Arial" w:hAnsi="Arial"/>
                <w:sz w:val="14"/>
                <w:szCs w:val="14"/>
                <w:b w:val="1"/>
                <w:bCs w:val="1"/>
                <w:color w:val="auto"/>
              </w:rPr>
              <w:t>Period RUPO Will Be Satisfied</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r>
      <w:tr>
        <w:trPr>
          <w:trHeight w:val="223"/>
        </w:trPr>
        <w:tc>
          <w:tcPr>
            <w:tcW w:w="5780" w:type="dxa"/>
            <w:vAlign w:val="bottom"/>
            <w:shd w:val="clear" w:color="auto" w:fill="CFF0FC"/>
          </w:tcPr>
          <w:p>
            <w:pPr>
              <w:ind w:left="80"/>
              <w:spacing w:after="0"/>
              <w:rPr>
                <w:sz w:val="20"/>
                <w:szCs w:val="20"/>
                <w:color w:val="auto"/>
              </w:rPr>
            </w:pPr>
            <w:r>
              <w:rPr>
                <w:rFonts w:ascii="Arial" w:cs="Arial" w:eastAsia="Arial" w:hAnsi="Arial"/>
                <w:sz w:val="18"/>
                <w:szCs w:val="18"/>
                <w:color w:val="auto"/>
              </w:rPr>
              <w:t>Federal Solutions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1,724,068</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261,075</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175,603</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80"/>
              <w:spacing w:after="0"/>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2,031,090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980,936</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993,590</w:t>
            </w:r>
          </w:p>
        </w:tc>
        <w:tc>
          <w:tcPr>
            <w:tcW w:w="100" w:type="dxa"/>
            <w:vAlign w:val="bottom"/>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3,755,158</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1,242,011</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1,169,193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1" w:lineRule="exact"/>
        <w:rPr>
          <w:sz w:val="20"/>
          <w:szCs w:val="20"/>
          <w:color w:val="auto"/>
        </w:rPr>
      </w:pPr>
    </w:p>
    <w:p>
      <w:pPr>
        <w:ind w:right="20" w:firstLine="690"/>
        <w:spacing w:after="0" w:line="261"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eight years, some of which may include options to extend the leases for up to five years, and some of which may include options to terminate the leases after the third year.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costs for the three and six months ended June 30, 2024 and June 30, 2023 are as follows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5"/>
                <w:szCs w:val="15"/>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June 30, 2024</w:t>
            </w: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 2023</w:t>
            </w:r>
          </w:p>
        </w:tc>
      </w:tr>
      <w:tr>
        <w:trPr>
          <w:trHeight w:val="223"/>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16,885</w:t>
            </w: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17,129</w:t>
            </w: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33,562</w:t>
            </w:r>
          </w:p>
        </w:tc>
        <w:tc>
          <w:tcPr>
            <w:tcW w:w="220" w:type="dxa"/>
            <w:vAlign w:val="bottom"/>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33,754</w:t>
            </w:r>
          </w:p>
        </w:tc>
        <w:tc>
          <w:tcPr>
            <w:tcW w:w="100" w:type="dxa"/>
            <w:vAlign w:val="bottom"/>
            <w:shd w:val="clear" w:color="auto" w:fill="CFF0FC"/>
          </w:tcPr>
          <w:p>
            <w:pPr>
              <w:spacing w:after="0"/>
              <w:rPr>
                <w:sz w:val="19"/>
                <w:szCs w:val="19"/>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Short-term lease cost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7,432</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7,059</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FF0FC"/>
          </w:tcPr>
          <w:p>
            <w:pPr>
              <w:spacing w:after="0"/>
              <w:rPr>
                <w:sz w:val="19"/>
                <w:szCs w:val="19"/>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Sublease income</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(1,119 )</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(1,239 )</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(2,238 )</w:t>
            </w:r>
          </w:p>
        </w:tc>
        <w:tc>
          <w:tcPr>
            <w:tcW w:w="5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(2,363 )</w:t>
            </w:r>
          </w:p>
        </w:tc>
      </w:tr>
      <w:tr>
        <w:trPr>
          <w:trHeight w:val="223"/>
        </w:trPr>
        <w:tc>
          <w:tcPr>
            <w:tcW w:w="46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lease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20,485</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20,021</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40,566</w:t>
            </w:r>
          </w:p>
        </w:tc>
        <w:tc>
          <w:tcPr>
            <w:tcW w:w="220" w:type="dxa"/>
            <w:vAlign w:val="bottom"/>
            <w:tcBorders>
              <w:top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39,734</w:t>
            </w:r>
          </w:p>
        </w:tc>
        <w:tc>
          <w:tcPr>
            <w:tcW w:w="100" w:type="dxa"/>
            <w:vAlign w:val="bottom"/>
            <w:tcBorders>
              <w:top w:val="single" w:sz="8" w:color="CFF0FC"/>
            </w:tcBorders>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-179070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-179070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-179070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4" w:lineRule="exact"/>
        <w:rPr>
          <w:sz w:val="20"/>
          <w:szCs w:val="20"/>
          <w:color w:val="auto"/>
        </w:rPr>
      </w:pPr>
    </w:p>
    <w:p>
      <w:pPr>
        <w:ind w:right="180" w:firstLine="636"/>
        <w:spacing w:after="0" w:line="271" w:lineRule="auto"/>
        <w:rPr>
          <w:sz w:val="20"/>
          <w:szCs w:val="20"/>
          <w:color w:val="auto"/>
        </w:rPr>
      </w:pPr>
      <w:r>
        <w:rPr>
          <w:rFonts w:ascii="Arial" w:cs="Arial" w:eastAsia="Arial" w:hAnsi="Arial"/>
          <w:sz w:val="18"/>
          <w:szCs w:val="18"/>
          <w:color w:val="auto"/>
        </w:rPr>
        <w:t>Supplemental cash flow information related to leases for the three months ended June 30, 2024 and June 30, 2023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58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23"/>
        </w:trPr>
        <w:tc>
          <w:tcPr>
            <w:tcW w:w="58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34,189</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Operating cash flows for finance leases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43,398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652"/>
        </w:trPr>
        <w:tc>
          <w:tcPr>
            <w:tcW w:w="580" w:type="dxa"/>
            <w:vAlign w:val="bottom"/>
          </w:tcPr>
          <w:p>
            <w:pPr>
              <w:spacing w:after="0"/>
              <w:rPr>
                <w:sz w:val="24"/>
                <w:szCs w:val="24"/>
                <w:color w:val="auto"/>
              </w:rPr>
            </w:pPr>
          </w:p>
        </w:tc>
        <w:tc>
          <w:tcPr>
            <w:tcW w:w="6440" w:type="dxa"/>
            <w:vAlign w:val="bottom"/>
          </w:tcPr>
          <w:p>
            <w:pPr>
              <w:ind w:left="49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200" w:firstLine="636"/>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June 30, 2024 and December 31, 2023 are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2024</w:t>
            </w:r>
          </w:p>
        </w:tc>
        <w:tc>
          <w:tcPr>
            <w:tcW w:w="14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2023</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Right-of-use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136,169</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159,211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52,840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58,556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Long-term</w:t>
            </w: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98,152</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117,505</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150,992</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8,704</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5,649</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3.7 Years</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3.9 years</w:t>
            </w:r>
          </w:p>
        </w:tc>
        <w:tc>
          <w:tcPr>
            <w:tcW w:w="8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19"/>
                <w:szCs w:val="19"/>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3 Years</w:t>
            </w:r>
          </w:p>
        </w:tc>
        <w:tc>
          <w:tcPr>
            <w:tcW w:w="140" w:type="dxa"/>
            <w:vAlign w:val="bottom"/>
          </w:tcPr>
          <w:p>
            <w:pPr>
              <w:spacing w:after="0"/>
              <w:rPr>
                <w:sz w:val="19"/>
                <w:szCs w:val="19"/>
                <w:color w:val="auto"/>
              </w:rPr>
            </w:pPr>
          </w:p>
        </w:tc>
        <w:tc>
          <w:tcPr>
            <w:tcW w:w="1600" w:type="dxa"/>
            <w:vAlign w:val="bottom"/>
            <w:gridSpan w:val="2"/>
          </w:tcPr>
          <w:p>
            <w:pPr>
              <w:ind w:left="740"/>
              <w:spacing w:after="0"/>
              <w:rPr>
                <w:sz w:val="20"/>
                <w:szCs w:val="20"/>
                <w:color w:val="auto"/>
              </w:rPr>
            </w:pPr>
            <w:r>
              <w:rPr>
                <w:rFonts w:ascii="Arial" w:cs="Arial" w:eastAsia="Arial" w:hAnsi="Arial"/>
                <w:sz w:val="18"/>
                <w:szCs w:val="18"/>
                <w:color w:val="auto"/>
              </w:rPr>
              <w:t>3.1 years</w:t>
            </w:r>
          </w:p>
        </w:tc>
        <w:tc>
          <w:tcPr>
            <w:tcW w:w="8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4.3 %</w:t>
            </w:r>
          </w:p>
        </w:tc>
        <w:tc>
          <w:tcPr>
            <w:tcW w:w="1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19"/>
                <w:szCs w:val="19"/>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4.8 %</w:t>
            </w:r>
          </w:p>
        </w:tc>
        <w:tc>
          <w:tcPr>
            <w:tcW w:w="1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-1782445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-1782445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2024, the Company has no operating leases that have not yet commenced.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30, 2024 is as follows (in thousands):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6"/>
                <w:szCs w:val="16"/>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2024 (remaining)</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31,387</w:t>
            </w: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49,993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163,482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9,506</w:t>
            </w: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(12,490 )</w:t>
            </w:r>
          </w:p>
        </w:tc>
        <w:tc>
          <w:tcPr>
            <w:tcW w:w="20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(651 )</w:t>
            </w:r>
          </w:p>
        </w:tc>
      </w:tr>
      <w:tr>
        <w:trPr>
          <w:trHeight w:val="26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150,992</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right="60" w:firstLine="636"/>
        <w:spacing w:after="0" w:line="271" w:lineRule="auto"/>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2023 to June 30, 2024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620" w:type="dxa"/>
            <w:vAlign w:val="bottom"/>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Acquisitions</w:t>
            </w:r>
          </w:p>
        </w:tc>
        <w:tc>
          <w:tcPr>
            <w:tcW w:w="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Exchange</w:t>
            </w:r>
          </w:p>
        </w:tc>
        <w:tc>
          <w:tcPr>
            <w:tcW w:w="22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6"/>
                <w:szCs w:val="16"/>
                <w:color w:val="auto"/>
              </w:rPr>
            </w:pPr>
          </w:p>
        </w:tc>
      </w:tr>
      <w:tr>
        <w:trPr>
          <w:trHeight w:val="22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Solutions</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1,686,901</w:t>
            </w:r>
          </w:p>
        </w:tc>
        <w:tc>
          <w:tcPr>
            <w:tcW w:w="1340" w:type="dxa"/>
            <w:vAlign w:val="bottom"/>
            <w:gridSpan w:val="2"/>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1,686,901</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Critical Infrastructure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105,764</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(1,762 )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104,002</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1,792,665</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(1,762 )</w:t>
            </w: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1,790,903</w:t>
            </w:r>
          </w:p>
        </w:tc>
        <w:tc>
          <w:tcPr>
            <w:tcW w:w="100" w:type="dxa"/>
            <w:vAlign w:val="bottom"/>
            <w:shd w:val="clear" w:color="auto" w:fill="CFF0FC"/>
          </w:tcPr>
          <w:p>
            <w:pPr>
              <w:spacing w:after="0"/>
              <w:rPr>
                <w:sz w:val="21"/>
                <w:szCs w:val="21"/>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2"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The Company performed a qualitative triggering analysis and determined there was no triggering event indicating a potential impairment to the carrying value of its goodwill at June 30, 2024 and concluded there has not been an impairment.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June 30, 2024</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gridSpan w:val="4"/>
            <w:vMerge w:val="restart"/>
          </w:tcPr>
          <w:p>
            <w:pPr>
              <w:jc w:val="right"/>
              <w:ind w:right="100"/>
              <w:spacing w:after="0"/>
              <w:rPr>
                <w:sz w:val="20"/>
                <w:szCs w:val="20"/>
                <w:color w:val="auto"/>
              </w:rPr>
            </w:pPr>
            <w:r>
              <w:rPr>
                <w:rFonts w:ascii="Arial" w:cs="Arial" w:eastAsia="Arial" w:hAnsi="Arial"/>
                <w:sz w:val="13"/>
                <w:szCs w:val="13"/>
                <w:b w:val="1"/>
                <w:bCs w:val="1"/>
                <w:color w:val="auto"/>
                <w:w w:val="99"/>
              </w:rPr>
              <w:t>December 31, 2023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53"/>
        </w:trPr>
        <w:tc>
          <w:tcPr>
            <w:tcW w:w="3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70"/>
              <w:spacing w:after="0" w:line="124"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720" w:type="dxa"/>
            <w:vAlign w:val="bottom"/>
          </w:tcPr>
          <w:p>
            <w:pPr>
              <w:jc w:val="center"/>
              <w:ind w:right="90"/>
              <w:spacing w:after="0" w:line="124" w:lineRule="exact"/>
              <w:rPr>
                <w:sz w:val="20"/>
                <w:szCs w:val="20"/>
                <w:color w:val="auto"/>
              </w:rPr>
            </w:pPr>
            <w:r>
              <w:rPr>
                <w:rFonts w:ascii="Arial" w:cs="Arial" w:eastAsia="Arial" w:hAnsi="Arial"/>
                <w:sz w:val="13"/>
                <w:szCs w:val="13"/>
                <w:b w:val="1"/>
                <w:bCs w:val="1"/>
                <w:color w:val="auto"/>
                <w:w w:val="95"/>
              </w:rPr>
              <w:t>Net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70"/>
              <w:spacing w:after="0" w:line="124"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80" w:type="dxa"/>
            <w:vAlign w:val="bottom"/>
          </w:tcPr>
          <w:p>
            <w:pPr>
              <w:jc w:val="center"/>
              <w:ind w:right="50"/>
              <w:spacing w:after="0" w:line="124"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0"/>
                <w:szCs w:val="10"/>
                <w:color w:val="auto"/>
              </w:rPr>
            </w:pPr>
          </w:p>
        </w:tc>
        <w:tc>
          <w:tcPr>
            <w:tcW w:w="102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8"/>
              </w:rPr>
              <w:t>Amortization</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Period</w:t>
            </w:r>
          </w:p>
        </w:tc>
        <w:tc>
          <w:tcPr>
            <w:tcW w:w="0" w:type="dxa"/>
            <w:vAlign w:val="bottom"/>
          </w:tcPr>
          <w:p>
            <w:pPr>
              <w:spacing w:after="0"/>
              <w:rPr>
                <w:sz w:val="1"/>
                <w:szCs w:val="1"/>
                <w:color w:val="auto"/>
              </w:rPr>
            </w:pPr>
          </w:p>
        </w:tc>
      </w:tr>
      <w:tr>
        <w:trPr>
          <w:trHeight w:val="166"/>
        </w:trPr>
        <w:tc>
          <w:tcPr>
            <w:tcW w:w="3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4"/>
                <w:szCs w:val="14"/>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Amortization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6"/>
              </w:rPr>
              <w:t>(in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Backlog</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107,000</w:t>
            </w: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(37,922 )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69,078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130,000</w:t>
            </w:r>
          </w:p>
        </w:tc>
        <w:tc>
          <w:tcPr>
            <w:tcW w:w="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(45,964 )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84,036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292,530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(128,572 )</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163,958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297,120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(124,194 )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172,926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Leases</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(118 )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(106 )</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Developed technology</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30,600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(17,620 )</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12,980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31,600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(15,823 )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15,777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Trade name</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(917 )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(417 )</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Non-compete agreements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(347 )</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(1,097 )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 process research and development</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color w:val="auto"/>
              </w:rPr>
              <w:t>Other intangibles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(348 )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intangible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433,575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(185,496 )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248,079</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463,515</w:t>
            </w:r>
          </w:p>
        </w:tc>
        <w:tc>
          <w:tcPr>
            <w:tcW w:w="40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(187,949 )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275,566</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-8255</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ind w:right="260" w:firstLine="636"/>
        <w:spacing w:after="0" w:line="255" w:lineRule="auto"/>
        <w:rPr>
          <w:sz w:val="20"/>
          <w:szCs w:val="20"/>
          <w:color w:val="auto"/>
        </w:rPr>
      </w:pPr>
      <w:r>
        <w:rPr>
          <w:rFonts w:ascii="Arial" w:cs="Arial" w:eastAsia="Arial" w:hAnsi="Arial"/>
          <w:sz w:val="18"/>
          <w:szCs w:val="18"/>
          <w:color w:val="auto"/>
        </w:rPr>
        <w:t>The aggregate amortization expense of intangible assets for the three months ended June 30, 2024 and June 30, 2023 was $13.8 million and $18.1 million, respectively and $27.5 million and $36.1 million for the six months ended June 30, 2024 and June 30,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6" w:lineRule="exact"/>
        <w:rPr>
          <w:sz w:val="20"/>
          <w:szCs w:val="20"/>
          <w:color w:val="auto"/>
        </w:rPr>
      </w:pPr>
    </w:p>
    <w:p>
      <w:pPr>
        <w:ind w:right="520" w:firstLine="636"/>
        <w:spacing w:after="0" w:line="271"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2024</w:t>
            </w:r>
          </w:p>
        </w:tc>
      </w:tr>
      <w:tr>
        <w:trPr>
          <w:trHeight w:val="223"/>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22,352</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43,443</w:t>
            </w: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37,019</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2027</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32,538</w:t>
            </w:r>
          </w:p>
        </w:tc>
        <w:tc>
          <w:tcPr>
            <w:tcW w:w="100" w:type="dxa"/>
            <w:vAlign w:val="bottom"/>
          </w:tcPr>
          <w:p>
            <w:pPr>
              <w:spacing w:after="0"/>
              <w:rPr>
                <w:sz w:val="19"/>
                <w:szCs w:val="19"/>
                <w:color w:val="auto"/>
              </w:rPr>
            </w:pPr>
          </w:p>
        </w:tc>
      </w:tr>
      <w:tr>
        <w:trPr>
          <w:trHeight w:val="229"/>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2028</w:t>
            </w: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24,323</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86,604</w:t>
            </w:r>
          </w:p>
        </w:tc>
        <w:tc>
          <w:tcPr>
            <w:tcW w:w="100" w:type="dxa"/>
            <w:vAlign w:val="bottom"/>
          </w:tcPr>
          <w:p>
            <w:pPr>
              <w:spacing w:after="0"/>
              <w:rPr>
                <w:sz w:val="19"/>
                <w:szCs w:val="19"/>
                <w:color w:val="auto"/>
              </w:rPr>
            </w:pPr>
          </w:p>
        </w:tc>
      </w:tr>
      <w:tr>
        <w:trPr>
          <w:trHeight w:val="263"/>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246,279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June 30, 2024 and December 31, 2023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right"/>
              <w:ind w:right="396"/>
              <w:spacing w:after="0"/>
              <w:rPr>
                <w:sz w:val="20"/>
                <w:szCs w:val="20"/>
                <w:color w:val="auto"/>
              </w:rPr>
            </w:pPr>
            <w:r>
              <w:rPr>
                <w:rFonts w:ascii="Arial" w:cs="Arial" w:eastAsia="Arial" w:hAnsi="Arial"/>
                <w:sz w:val="14"/>
                <w:szCs w:val="14"/>
                <w:b w:val="1"/>
                <w:bCs w:val="1"/>
                <w:color w:val="auto"/>
              </w:rPr>
              <w:t>Useful life</w:t>
            </w:r>
          </w:p>
        </w:tc>
      </w:tr>
      <w:tr>
        <w:trPr>
          <w:trHeight w:val="185"/>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2024</w:t>
            </w:r>
          </w:p>
        </w:tc>
        <w:tc>
          <w:tcPr>
            <w:tcW w:w="1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December 31, 2023</w:t>
            </w:r>
          </w:p>
        </w:tc>
        <w:tc>
          <w:tcPr>
            <w:tcW w:w="1640" w:type="dxa"/>
            <w:vAlign w:val="bottom"/>
          </w:tcPr>
          <w:p>
            <w:pPr>
              <w:jc w:val="right"/>
              <w:ind w:right="496"/>
              <w:spacing w:after="0"/>
              <w:rPr>
                <w:sz w:val="20"/>
                <w:szCs w:val="20"/>
                <w:color w:val="auto"/>
              </w:rPr>
            </w:pPr>
            <w:r>
              <w:rPr>
                <w:rFonts w:ascii="Arial" w:cs="Arial" w:eastAsia="Arial" w:hAnsi="Arial"/>
                <w:sz w:val="14"/>
                <w:szCs w:val="14"/>
                <w:b w:val="1"/>
                <w:bCs w:val="1"/>
                <w:color w:val="auto"/>
              </w:rPr>
              <w:t>(years)</w:t>
            </w:r>
          </w:p>
        </w:tc>
      </w:tr>
      <w:tr>
        <w:trPr>
          <w:trHeight w:val="22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 and leasehold improvements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102,309</w:t>
            </w:r>
          </w:p>
        </w:tc>
        <w:tc>
          <w:tcPr>
            <w:tcW w:w="280" w:type="dxa"/>
            <w:vAlign w:val="bottom"/>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102,372</w:t>
            </w:r>
          </w:p>
        </w:tc>
        <w:tc>
          <w:tcPr>
            <w:tcW w:w="240" w:type="dxa"/>
            <w:vAlign w:val="bottom"/>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84,574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84,244</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systems and equipment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172,846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168,926</w:t>
            </w: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Construction equipment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6,181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6,173</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25,019</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21,030</w:t>
            </w:r>
          </w:p>
        </w:tc>
        <w:tc>
          <w:tcPr>
            <w:tcW w:w="24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r>
      <w:tr>
        <w:trPr>
          <w:trHeight w:val="223"/>
        </w:trPr>
        <w:tc>
          <w:tcPr>
            <w:tcW w:w="6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390,929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382,745</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(292,712 )</w:t>
            </w:r>
          </w:p>
        </w:tc>
        <w:tc>
          <w:tcPr>
            <w:tcW w:w="4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(283,788 )</w:t>
            </w:r>
          </w:p>
        </w:tc>
        <w:tc>
          <w:tcPr>
            <w:tcW w:w="1640" w:type="dxa"/>
            <w:vAlign w:val="bottom"/>
            <w:shd w:val="clear" w:color="auto" w:fill="CFF0FC"/>
          </w:tcPr>
          <w:p>
            <w:pPr>
              <w:spacing w:after="0"/>
              <w:rPr>
                <w:sz w:val="19"/>
                <w:szCs w:val="19"/>
                <w:color w:val="auto"/>
              </w:rPr>
            </w:pPr>
          </w:p>
        </w:tc>
      </w:tr>
      <w:tr>
        <w:trPr>
          <w:trHeight w:val="223"/>
        </w:trPr>
        <w:tc>
          <w:tcPr>
            <w:tcW w:w="604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98,217</w:t>
            </w:r>
          </w:p>
        </w:tc>
        <w:tc>
          <w:tcPr>
            <w:tcW w:w="28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98,957</w:t>
            </w:r>
          </w:p>
        </w:tc>
        <w:tc>
          <w:tcPr>
            <w:tcW w:w="240" w:type="dxa"/>
            <w:vAlign w:val="bottom"/>
            <w:tcBorders>
              <w:top w:val="single" w:sz="8" w:color="CFF0FC"/>
            </w:tcBorders>
          </w:tcPr>
          <w:p>
            <w:pPr>
              <w:spacing w:after="0"/>
              <w:rPr>
                <w:sz w:val="19"/>
                <w:szCs w:val="19"/>
                <w:color w:val="auto"/>
              </w:rPr>
            </w:pPr>
          </w:p>
        </w:tc>
        <w:tc>
          <w:tcPr>
            <w:tcW w:w="1640" w:type="dxa"/>
            <w:vAlign w:val="bottom"/>
            <w:tcBorders>
              <w:top w:val="single" w:sz="8" w:color="CFF0FC"/>
            </w:tcBorders>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-479425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-479425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-179070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-179070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220" w:firstLine="636"/>
        <w:spacing w:after="0" w:line="271" w:lineRule="auto"/>
        <w:rPr>
          <w:sz w:val="20"/>
          <w:szCs w:val="20"/>
          <w:color w:val="auto"/>
        </w:rPr>
      </w:pPr>
      <w:r>
        <w:rPr>
          <w:rFonts w:ascii="Arial" w:cs="Arial" w:eastAsia="Arial" w:hAnsi="Arial"/>
          <w:sz w:val="18"/>
          <w:szCs w:val="18"/>
          <w:color w:val="auto"/>
        </w:rPr>
        <w:t>Depreciation expense for the three months ended June 30, 2024 and June 30, 2023 was $9.2 million and $9.5 million, respectively and $18.7 million and $18.9 million for the six months ended June 30, 2024 and June 30, 2023,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6"/>
                <w:szCs w:val="16"/>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2023</w:t>
            </w:r>
          </w:p>
        </w:tc>
      </w:tr>
      <w:tr>
        <w:trPr>
          <w:trHeight w:val="24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bottom w:val="single" w:sz="8" w:color="CFF0FC"/>
            </w:tcBorders>
            <w:shd w:val="clear" w:color="auto" w:fill="CFF0FC"/>
          </w:tcPr>
          <w:p>
            <w:pPr>
              <w:spacing w:after="0"/>
              <w:rPr>
                <w:sz w:val="21"/>
                <w:szCs w:val="21"/>
                <w:color w:val="auto"/>
              </w:rPr>
            </w:pPr>
          </w:p>
        </w:tc>
        <w:tc>
          <w:tcPr>
            <w:tcW w:w="158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spacing w:after="0"/>
              <w:rPr>
                <w:sz w:val="21"/>
                <w:szCs w:val="21"/>
                <w:color w:val="auto"/>
              </w:rPr>
            </w:pPr>
          </w:p>
        </w:tc>
        <w:tc>
          <w:tcPr>
            <w:tcW w:w="156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70"/>
        </w:trPr>
        <w:tc>
          <w:tcPr>
            <w:tcW w:w="6160" w:type="dxa"/>
            <w:vAlign w:val="bottom"/>
          </w:tcPr>
          <w:p>
            <w:pPr>
              <w:ind w:left="140"/>
              <w:spacing w:after="0"/>
              <w:rPr>
                <w:sz w:val="20"/>
                <w:szCs w:val="20"/>
                <w:color w:val="auto"/>
              </w:rPr>
            </w:pPr>
            <w:r>
              <w:rPr>
                <w:rFonts w:ascii="Arial" w:cs="Arial" w:eastAsia="Arial" w:hAnsi="Arial"/>
                <w:sz w:val="18"/>
                <w:szCs w:val="18"/>
                <w:color w:val="auto"/>
              </w:rPr>
              <w:t>Delayed draw term loan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3"/>
                <w:szCs w:val="23"/>
                <w:color w:val="auto"/>
              </w:rPr>
            </w:pPr>
          </w:p>
        </w:tc>
      </w:tr>
      <w:tr>
        <w:trPr>
          <w:trHeight w:val="230"/>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Convertible senior notes due 2025</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Convertible senior notes due 2029</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Revolving credit facility</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(18,137 )</w:t>
            </w:r>
          </w:p>
        </w:tc>
        <w:tc>
          <w:tcPr>
            <w:tcW w:w="16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(4,037 )</w:t>
            </w:r>
          </w:p>
        </w:tc>
      </w:tr>
      <w:tr>
        <w:trPr>
          <w:trHeight w:val="26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1,247,306</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745,963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Delayed Draw Term Loan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$150 million (the “2022 Delayed Draw Term Loan”). Proceeds of the 2022 Delayed Draw Term Loan Agreement may be used (a) to pay off 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full, or partially payoff, the Company’s existing Senior Notes, (b) to prepay revolving loans outstanding under the Revolving Credit Agreement</w:t>
      </w:r>
    </w:p>
    <w:p>
      <w:pPr>
        <w:spacing w:after="0" w:line="234" w:lineRule="auto"/>
        <w:rPr>
          <w:sz w:val="20"/>
          <w:szCs w:val="20"/>
          <w:color w:val="auto"/>
        </w:rPr>
      </w:pPr>
      <w:r>
        <w:rPr>
          <w:rFonts w:ascii="Arial" w:cs="Arial" w:eastAsia="Arial" w:hAnsi="Arial"/>
          <w:sz w:val="18"/>
          <w:szCs w:val="18"/>
          <w:color w:val="auto"/>
        </w:rPr>
        <w:t>(as defined below), or (c) for working capital, capital expenditures and other lawful corporate purposes. The Company drew $350.0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from the 2022 Delayed Draw Term Loan in November 2022. The Company incurred $0.9 million of debt issuance costs in connection with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delayed draw term loan. These costs are presented as a direct deduction from long-term debt on the face of the balance sheet. Interest</w:t>
      </w:r>
    </w:p>
    <w:p>
      <w:pPr>
        <w:spacing w:after="0" w:line="234" w:lineRule="auto"/>
        <w:rPr>
          <w:sz w:val="20"/>
          <w:szCs w:val="20"/>
          <w:color w:val="auto"/>
        </w:rPr>
      </w:pPr>
      <w:r>
        <w:rPr>
          <w:rFonts w:ascii="Arial" w:cs="Arial" w:eastAsia="Arial" w:hAnsi="Arial"/>
          <w:sz w:val="18"/>
          <w:szCs w:val="18"/>
          <w:color w:val="auto"/>
        </w:rPr>
        <w:t>expense related to the Delayed Draw Term Loan for the three months ended June 30, 2024 and June 30, 2023 were $5.8 million and $5.6</w:t>
      </w:r>
    </w:p>
    <w:p>
      <w:pPr>
        <w:spacing w:after="0" w:line="235" w:lineRule="auto"/>
        <w:rPr>
          <w:sz w:val="20"/>
          <w:szCs w:val="20"/>
          <w:color w:val="auto"/>
        </w:rPr>
      </w:pPr>
      <w:r>
        <w:rPr>
          <w:rFonts w:ascii="Arial" w:cs="Arial" w:eastAsia="Arial" w:hAnsi="Arial"/>
          <w:sz w:val="18"/>
          <w:szCs w:val="18"/>
          <w:color w:val="auto"/>
        </w:rPr>
        <w:t>million, respectively and $11.8 million and $10.7 million for the six months ended June 30, 2024 and June 30, 2023, respectively. The</w:t>
      </w:r>
    </w:p>
    <w:p>
      <w:pPr>
        <w:spacing w:after="0" w:line="235" w:lineRule="auto"/>
        <w:rPr>
          <w:sz w:val="20"/>
          <w:szCs w:val="20"/>
          <w:color w:val="auto"/>
        </w:rPr>
      </w:pPr>
      <w:r>
        <w:rPr>
          <w:rFonts w:ascii="Arial" w:cs="Arial" w:eastAsia="Arial" w:hAnsi="Arial"/>
          <w:sz w:val="18"/>
          <w:szCs w:val="18"/>
          <w:color w:val="auto"/>
        </w:rPr>
        <w:t>amortization of debt issuance costs and interest expense is recorded in “Interest expense” on the consolidated statements of income. As of</w:t>
      </w:r>
    </w:p>
    <w:p>
      <w:pPr>
        <w:spacing w:after="0"/>
        <w:rPr>
          <w:sz w:val="20"/>
          <w:szCs w:val="20"/>
          <w:color w:val="auto"/>
        </w:rPr>
      </w:pPr>
      <w:r>
        <w:rPr>
          <w:rFonts w:ascii="Arial" w:cs="Arial" w:eastAsia="Arial" w:hAnsi="Arial"/>
          <w:sz w:val="18"/>
          <w:szCs w:val="18"/>
          <w:color w:val="auto"/>
        </w:rPr>
        <w:t>June 30, 2024 and December 31, 2023, there was $350.0 million outstanding under the Delayed Draw Term Loan.</w:t>
      </w:r>
    </w:p>
    <w:p>
      <w:pPr>
        <w:spacing w:after="0" w:line="19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 The interest rates on June 30, 2024 and December 31, 2023 were both 6.6%.</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2025</w:t>
      </w:r>
    </w:p>
    <w:p>
      <w:pPr>
        <w:spacing w:after="0" w:line="102" w:lineRule="exact"/>
        <w:rPr>
          <w:sz w:val="20"/>
          <w:szCs w:val="20"/>
          <w:color w:val="auto"/>
        </w:rPr>
      </w:pPr>
    </w:p>
    <w:p>
      <w:pPr>
        <w:ind w:right="60" w:firstLine="644"/>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76" w:lineRule="exact"/>
        <w:rPr>
          <w:sz w:val="20"/>
          <w:szCs w:val="20"/>
          <w:color w:val="auto"/>
        </w:rPr>
      </w:pPr>
    </w:p>
    <w:p>
      <w:pPr>
        <w:ind w:right="120" w:firstLine="644"/>
        <w:spacing w:after="0" w:line="244"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6" w:lineRule="exact"/>
        <w:rPr>
          <w:sz w:val="20"/>
          <w:szCs w:val="20"/>
          <w:color w:val="auto"/>
        </w:rPr>
      </w:pPr>
    </w:p>
    <w:p>
      <w:pPr>
        <w:jc w:val="both"/>
        <w:ind w:right="140" w:firstLine="644"/>
        <w:spacing w:after="0" w:line="253"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spacing w:after="0" w:line="271" w:lineRule="auto"/>
        <w:rPr>
          <w:sz w:val="20"/>
          <w:szCs w:val="20"/>
          <w:color w:val="auto"/>
        </w:rPr>
      </w:pPr>
      <w:r>
        <w:rPr>
          <w:rFonts w:ascii="Arial" w:cs="Arial" w:eastAsia="Arial" w:hAnsi="Arial"/>
          <w:sz w:val="18"/>
          <w:szCs w:val="18"/>
          <w:color w:val="auto"/>
        </w:rPr>
        <w:t>preceding the maturity date of the Convertible Senior Notes, holders may convert all or a portion of their Convertible Senior Notes, regardless of the conditions below.</w:t>
      </w:r>
    </w:p>
    <w:p>
      <w:pPr>
        <w:spacing w:after="0" w:line="154" w:lineRule="exact"/>
        <w:rPr>
          <w:sz w:val="20"/>
          <w:szCs w:val="20"/>
          <w:color w:val="auto"/>
        </w:rPr>
      </w:pPr>
    </w:p>
    <w:p>
      <w:pPr>
        <w:ind w:right="10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54" w:lineRule="exact"/>
        <w:rPr>
          <w:sz w:val="20"/>
          <w:szCs w:val="20"/>
          <w:color w:val="auto"/>
        </w:rPr>
      </w:pPr>
    </w:p>
    <w:p>
      <w:pPr>
        <w:ind w:left="1400" w:right="10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right="4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right="60" w:firstLine="644"/>
        <w:spacing w:after="0" w:line="231"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83" w:lineRule="exact"/>
        <w:rPr>
          <w:sz w:val="20"/>
          <w:szCs w:val="20"/>
          <w:color w:val="auto"/>
        </w:rPr>
      </w:pPr>
    </w:p>
    <w:p>
      <w:pPr>
        <w:ind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74"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76" w:lineRule="exact"/>
        <w:rPr>
          <w:sz w:val="20"/>
          <w:szCs w:val="20"/>
          <w:color w:val="auto"/>
        </w:rPr>
      </w:pPr>
    </w:p>
    <w:p>
      <w:pPr>
        <w:ind w:right="200" w:firstLine="644"/>
        <w:spacing w:after="0" w:line="247" w:lineRule="auto"/>
        <w:rPr>
          <w:sz w:val="20"/>
          <w:szCs w:val="20"/>
          <w:color w:val="auto"/>
        </w:rPr>
      </w:pPr>
      <w:r>
        <w:rPr>
          <w:rFonts w:ascii="Arial" w:cs="Arial" w:eastAsia="Arial" w:hAnsi="Arial"/>
          <w:sz w:val="18"/>
          <w:szCs w:val="18"/>
          <w:color w:val="auto"/>
        </w:rPr>
        <w:t>The Company recognized interest expense of $0.1 million and $0.7 million for the three months ended June 30, 2024 and June 30, 2023, respectively and $3.7 million and $1.5 million for the six months ended June 30, 2024 and June 30, 2023, respectively. The net, carrying value of the Convertible Senior Notes were $115.4 million and $396.5 million as of June 30, 2024 and December 31, 2023, respectively.</w:t>
      </w:r>
    </w:p>
    <w:p>
      <w:pPr>
        <w:spacing w:after="0" w:line="174" w:lineRule="exact"/>
        <w:rPr>
          <w:sz w:val="20"/>
          <w:szCs w:val="20"/>
          <w:color w:val="auto"/>
        </w:rPr>
      </w:pPr>
    </w:p>
    <w:p>
      <w:pPr>
        <w:ind w:right="360" w:firstLine="644"/>
        <w:spacing w:after="0" w:line="271" w:lineRule="auto"/>
        <w:rPr>
          <w:sz w:val="20"/>
          <w:szCs w:val="20"/>
          <w:color w:val="auto"/>
        </w:rPr>
      </w:pPr>
      <w:r>
        <w:rPr>
          <w:rFonts w:ascii="Arial" w:cs="Arial" w:eastAsia="Arial" w:hAnsi="Arial"/>
          <w:sz w:val="18"/>
          <w:szCs w:val="18"/>
          <w:color w:val="auto"/>
        </w:rPr>
        <w:t>See the discussion of the partial repurchase of Convertible Senior Notes due 2025 and the unwind of the related note hedge and warrants below.</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 Hedge and Warrant - Convertible Senior Notes due 2025</w:t>
      </w:r>
    </w:p>
    <w:p>
      <w:pPr>
        <w:spacing w:after="0" w:line="210"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jc w:val="both"/>
        <w:ind w:right="320" w:firstLine="644"/>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jc w:val="both"/>
        <w:ind w:right="280" w:firstLine="644"/>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9"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 million that the Company had recorded at issuance related to the Convertible Senior Note debt discount and recorded an additional deferred tax liability of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2029</w:t>
      </w:r>
    </w:p>
    <w:p>
      <w:pPr>
        <w:spacing w:after="0" w:line="210" w:lineRule="exact"/>
        <w:rPr>
          <w:sz w:val="20"/>
          <w:szCs w:val="20"/>
          <w:color w:val="auto"/>
        </w:rPr>
      </w:pPr>
    </w:p>
    <w:p>
      <w:pPr>
        <w:ind w:right="140" w:firstLine="644"/>
        <w:spacing w:after="0" w:line="245" w:lineRule="auto"/>
        <w:rPr>
          <w:sz w:val="20"/>
          <w:szCs w:val="20"/>
          <w:color w:val="auto"/>
        </w:rPr>
      </w:pPr>
      <w:r>
        <w:rPr>
          <w:rFonts w:ascii="Arial" w:cs="Arial" w:eastAsia="Arial" w:hAnsi="Arial"/>
          <w:sz w:val="18"/>
          <w:szCs w:val="18"/>
          <w:color w:val="auto"/>
        </w:rPr>
        <w:t>In February 2024, the Company issued an aggregate $800.0 million of 2.625% Convertible Senior Notes due 2029 (the “2029 Convertible Notes”), including the exercise of a $100.0 million initial purchasers’ option in full. The Company received proceeds from the issuance and sale of the 2029 Convertible Notes of $781.1 million, net of $18.9 million of transaction fees and other third-party offering expenses. The 2029 Convertible Notes accrue interest at a rate of 2.625% per annum, payable semi-annually on March 1 and September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each year beginning on September 1, 2024, and will mature on March 1, 2029, unless earlier repurchased, redeemed or converted.</w:t>
      </w:r>
    </w:p>
    <w:p>
      <w:pPr>
        <w:spacing w:after="0" w:line="216"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The 2029 Convertible Notes are the Company’s senior unsecured obligations and will rank senior in right of payment to any of the Company’s indebtedness that is expressly subordinated in right of payment to the 2029 Convertible Notes; equal in right of payment to any of the Company’s unsecured indebtedness that is not so subordinated; effectively junior in right of payment to any of the Company’s secured indebtedness, including borrowings under the Company’s revolving credit facility and delayed draw term loan credit facility, to the extent of the value of the assets securing such indebtedness; and structurally junior to all indebtedness and other liabilities (including trade payables) of the Company’s subsidiaries.</w:t>
      </w:r>
    </w:p>
    <w:p>
      <w:pPr>
        <w:spacing w:after="0" w:line="179"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Each $1,000 of principal of the 2029 Convertible Notes will initially be convertible into 10.6256 shares of our common stock, which is equivalent to an initial conversion price of approximately $94.11 per share, subject to adjustment upon the occurrence of specified events. On or after October 1, 2028 until the close of business on the second scheduled trading day immediately preceding the maturity date of the 2029 Convertible Notes, holders may convert all or a portion of their 2029 Convertible Notes, regardless of the conditions below.</w:t>
      </w:r>
    </w:p>
    <w:p>
      <w:pPr>
        <w:spacing w:after="0" w:line="174" w:lineRule="exact"/>
        <w:rPr>
          <w:sz w:val="20"/>
          <w:szCs w:val="20"/>
          <w:color w:val="auto"/>
        </w:rPr>
      </w:pPr>
    </w:p>
    <w:p>
      <w:pPr>
        <w:ind w:right="60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October 1, 2028, the 2029 Convertible Notes will be convertible at the option of the holders thereof only under the following circumstances:</w:t>
      </w:r>
    </w:p>
    <w:p>
      <w:pPr>
        <w:spacing w:after="0" w:line="154" w:lineRule="exact"/>
        <w:rPr>
          <w:sz w:val="20"/>
          <w:szCs w:val="20"/>
          <w:color w:val="auto"/>
        </w:rPr>
      </w:pPr>
    </w:p>
    <w:p>
      <w:pPr>
        <w:ind w:left="1400" w:right="60" w:hanging="374"/>
        <w:spacing w:after="0" w:line="246" w:lineRule="auto"/>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June 30, 2024,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right="160" w:hanging="374"/>
        <w:spacing w:after="0" w:line="246" w:lineRule="auto"/>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ten consecutive trading day period in which, for each trading day of that period, the trading price per $1,000 principal amount of 2029 Convertible Notes for such trading day was less than 98% of the product of the last reported sale price of the Company’s common stock and the conversion rate on each such trading day;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1400" w:hanging="374"/>
        <w:spacing w:after="0"/>
        <w:tabs>
          <w:tab w:leader="none" w:pos="14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2029 Convertible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right="20" w:firstLine="644"/>
        <w:spacing w:after="0"/>
        <w:rPr>
          <w:sz w:val="20"/>
          <w:szCs w:val="20"/>
          <w:color w:val="auto"/>
        </w:rPr>
      </w:pPr>
      <w:r>
        <w:rPr>
          <w:rFonts w:ascii="Arial" w:cs="Arial" w:eastAsia="Arial" w:hAnsi="Arial"/>
          <w:sz w:val="18"/>
          <w:szCs w:val="18"/>
          <w:color w:val="auto"/>
        </w:rPr>
        <w:t>The Company may redeem all or any portion of the 2029 Convertible Notes for cash, at its option, on or after March 8, 2027 and before the 51st scheduled trading day immediately before the maturity date at a redemption price equal to 100% of the principal amount of the 2029 Convertible Notes to be redeemed, plus accrued and unpaid interest, but only if the last reported sale price per share of the Company’s common stock exceeds 130% of the conversion price for a specified period of time. In addition, calling any 2029 Convertible Notes for redemption will constitute a Make-Whole Fundamental Change with respect to that 2029 Convertible Note, in which case the conversion rate applicable to the conversion of that 2029 Convertible Notes will be increased in certain circumstances if it is converted after it is called for redemption.</w:t>
      </w:r>
    </w:p>
    <w:p>
      <w:pPr>
        <w:spacing w:after="0" w:line="185" w:lineRule="exact"/>
        <w:rPr>
          <w:sz w:val="20"/>
          <w:szCs w:val="20"/>
          <w:color w:val="auto"/>
        </w:rPr>
      </w:pPr>
    </w:p>
    <w:p>
      <w:pPr>
        <w:ind w:right="20"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2029 Convertible Notes, holders of the 2029 Convertible Notes may require the Company to repurchase all or a portion of the 2029 Convertible Notes for cash at a price equal to 100% of the principal amount of the 2029 Convertible Notes to be repurchased, plus any accrued and unpaid interest to, but excluding, the fundamental change repurchase date.</w:t>
      </w:r>
    </w:p>
    <w:p>
      <w:pPr>
        <w:spacing w:after="0" w:line="174" w:lineRule="exact"/>
        <w:rPr>
          <w:sz w:val="20"/>
          <w:szCs w:val="20"/>
          <w:color w:val="auto"/>
        </w:rPr>
      </w:pPr>
    </w:p>
    <w:p>
      <w:pPr>
        <w:ind w:right="200" w:firstLine="644"/>
        <w:spacing w:after="0" w:line="247" w:lineRule="auto"/>
        <w:rPr>
          <w:sz w:val="20"/>
          <w:szCs w:val="20"/>
          <w:color w:val="auto"/>
        </w:rPr>
      </w:pPr>
      <w:r>
        <w:rPr>
          <w:rFonts w:ascii="Arial" w:cs="Arial" w:eastAsia="Arial" w:hAnsi="Arial"/>
          <w:sz w:val="18"/>
          <w:szCs w:val="18"/>
          <w:color w:val="auto"/>
        </w:rPr>
        <w:t>Upon conversion, the Company will settle the principal amount of the 2029 Convertible Notes converted in cash and will settle the remainder of the consideration owed upon conversion in cash, shares of the Company’s common stock, or a combination thereof, at the Company’s option, with such amount of cash and, if applicable, shares of common stock due upon conversion based on a daily conversion value calculated on a proportionate basis for each trading day in a 50-trading day observation period.</w:t>
      </w:r>
    </w:p>
    <w:p>
      <w:pPr>
        <w:spacing w:after="0" w:line="174" w:lineRule="exact"/>
        <w:rPr>
          <w:sz w:val="20"/>
          <w:szCs w:val="20"/>
          <w:color w:val="auto"/>
        </w:rPr>
      </w:pPr>
    </w:p>
    <w:p>
      <w:pPr>
        <w:jc w:val="both"/>
        <w:ind w:right="200" w:firstLine="644"/>
        <w:spacing w:after="0" w:line="253" w:lineRule="auto"/>
        <w:rPr>
          <w:sz w:val="20"/>
          <w:szCs w:val="20"/>
          <w:color w:val="auto"/>
        </w:rPr>
      </w:pPr>
      <w:r>
        <w:rPr>
          <w:rFonts w:ascii="Arial" w:cs="Arial" w:eastAsia="Arial" w:hAnsi="Arial"/>
          <w:sz w:val="18"/>
          <w:szCs w:val="18"/>
          <w:color w:val="auto"/>
        </w:rPr>
        <w:t>The Company recognized interest expense with respect to the 2029 Convertible Notes of $6.3 million and $8.7 million for the three and six months ended June 30, 2024, respectively. As of June 30, 2024, the net, carrying value of the 2029 Convertible Notes was $782.2 million.</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Capped Call Transactions - Convertible Senior Notes due 2029</w:t>
      </w:r>
    </w:p>
    <w:p>
      <w:pPr>
        <w:spacing w:after="0" w:line="210" w:lineRule="exact"/>
        <w:rPr>
          <w:sz w:val="20"/>
          <w:szCs w:val="20"/>
          <w:color w:val="auto"/>
        </w:rPr>
      </w:pPr>
    </w:p>
    <w:p>
      <w:pPr>
        <w:ind w:right="140" w:firstLine="644"/>
        <w:spacing w:after="0"/>
        <w:rPr>
          <w:sz w:val="20"/>
          <w:szCs w:val="20"/>
          <w:color w:val="auto"/>
        </w:rPr>
      </w:pPr>
      <w:r>
        <w:rPr>
          <w:rFonts w:ascii="Arial" w:cs="Arial" w:eastAsia="Arial" w:hAnsi="Arial"/>
          <w:sz w:val="18"/>
          <w:szCs w:val="18"/>
          <w:color w:val="auto"/>
        </w:rPr>
        <w:t>In February 2024, in connection with the offering of the 2029 Convertible Notes, the Company entered into capped call transactions (the “Capped Call Transactions”) with certain financial institutions. The Capped Call Transactions are expected generally to reduce the potential dilution to the Company’s common stock upon any conversion of the Convertible Senior Notes due 2029 and/or offset any cash payments the Company is required to make in excess of the principal amount of any converted Convertible Senior Notes due 2029, as the case may be. If, however, the market price per share of the Company’s common stock, as measured under the terms of the Capped Call Transactions, exceeds the cap price of the Capped Call Transactions, there would nevertheless be dilution and/or there would not be an offset of such cash payments, in each case, to the extent that such market price exceeds the cap price of the Capped Call Transactions.</w:t>
      </w:r>
    </w:p>
    <w:p>
      <w:pPr>
        <w:spacing w:after="0" w:line="185" w:lineRule="exact"/>
        <w:rPr>
          <w:sz w:val="20"/>
          <w:szCs w:val="20"/>
          <w:color w:val="auto"/>
        </w:rPr>
      </w:pPr>
    </w:p>
    <w:p>
      <w:pPr>
        <w:ind w:right="180" w:firstLine="644"/>
        <w:spacing w:after="0" w:line="247" w:lineRule="auto"/>
        <w:rPr>
          <w:sz w:val="20"/>
          <w:szCs w:val="20"/>
          <w:color w:val="auto"/>
        </w:rPr>
      </w:pPr>
      <w:r>
        <w:rPr>
          <w:rFonts w:ascii="Arial" w:cs="Arial" w:eastAsia="Arial" w:hAnsi="Arial"/>
          <w:sz w:val="18"/>
          <w:szCs w:val="18"/>
          <w:color w:val="auto"/>
        </w:rPr>
        <w:t>The cap price of the Capped Call Transactions is initially $131.7575 per share, which represents a premium of 75% over the last reported sale price of the Company’s common stock of $75.29 per share on the New York Stock Exchange on February 21, 2024, and is subject to certain adjustments under the terms of the Capped Call Transactions. The cost of $88.4 million for the Capped Call Transactions was recorded as a reduction to additional paid-in capital in the consolidated balance sheets.</w:t>
      </w:r>
    </w:p>
    <w:p>
      <w:pPr>
        <w:spacing w:after="0" w:line="174" w:lineRule="exact"/>
        <w:rPr>
          <w:sz w:val="20"/>
          <w:szCs w:val="20"/>
          <w:color w:val="auto"/>
        </w:rPr>
      </w:pPr>
    </w:p>
    <w:p>
      <w:pPr>
        <w:ind w:right="460" w:firstLine="644"/>
        <w:spacing w:after="0" w:line="271" w:lineRule="auto"/>
        <w:rPr>
          <w:sz w:val="20"/>
          <w:szCs w:val="20"/>
          <w:color w:val="auto"/>
        </w:rPr>
      </w:pPr>
      <w:r>
        <w:rPr>
          <w:rFonts w:ascii="Arial" w:cs="Arial" w:eastAsia="Arial" w:hAnsi="Arial"/>
          <w:sz w:val="18"/>
          <w:szCs w:val="18"/>
          <w:color w:val="auto"/>
        </w:rPr>
        <w:t>At issuance, the Company recorded a deferred tax asset of $22.3 million related to the Capped Call Transactions costs through additional paid-in capital. The deferred tax asset was included in Deferred tax assets in the consolidated balance sheets.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 due 2025 Partial Repurchase and Note Hedge and Warrants Partial Unwind</w:t>
      </w:r>
    </w:p>
    <w:p>
      <w:pPr>
        <w:spacing w:after="0" w:line="210" w:lineRule="exact"/>
        <w:rPr>
          <w:sz w:val="20"/>
          <w:szCs w:val="20"/>
          <w:color w:val="auto"/>
        </w:rPr>
      </w:pPr>
    </w:p>
    <w:p>
      <w:pPr>
        <w:ind w:firstLine="644"/>
        <w:spacing w:after="0"/>
        <w:rPr>
          <w:sz w:val="20"/>
          <w:szCs w:val="20"/>
          <w:color w:val="auto"/>
        </w:rPr>
      </w:pPr>
      <w:r>
        <w:rPr>
          <w:rFonts w:ascii="Arial" w:cs="Arial" w:eastAsia="Arial" w:hAnsi="Arial"/>
          <w:sz w:val="18"/>
          <w:szCs w:val="18"/>
          <w:color w:val="auto"/>
        </w:rPr>
        <w:t>In connection with the issuance of the Convertible Senior Notes due 2029, during the first quarter of 2024, we used $391.8 million of the net proceeds to purchase approximately $228.1 million aggregate principal amount of our Convertible Senior Notes due 2025 concurrently with the offering in separate and individually negotiated transactions. In addition, we used $103.8 million to settle the repurchase of approximately $56.5 million aggregate principal amount of our Convertible Senior Notes due 2025 in a separately negotiated transaction that settled in March 2024. We also received approximately $90.6 million in cash from the note hedge counterparties for the partial termination of the existing bond hedge relating to the Convertible Senior Notes due 2025 repurchased, net of our obligations to the counterparties 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ind w:right="140"/>
        <w:spacing w:after="0" w:line="253" w:lineRule="auto"/>
        <w:rPr>
          <w:sz w:val="20"/>
          <w:szCs w:val="20"/>
          <w:color w:val="auto"/>
        </w:rPr>
      </w:pPr>
      <w:r>
        <w:rPr>
          <w:rFonts w:ascii="Arial" w:cs="Arial" w:eastAsia="Arial" w:hAnsi="Arial"/>
          <w:sz w:val="18"/>
          <w:szCs w:val="18"/>
          <w:color w:val="auto"/>
        </w:rPr>
        <w:t>connection with the partial termination of the related warrant transactions. The tax effect of $46.2 million from the partial unwind of the existing bond hedge was recognized as a reduction in additional paid-in capital in the consolidated balance sheets. The income tax payable was included in Income taxes payable in the consolidated balance sheets.</w:t>
      </w:r>
    </w:p>
    <w:p>
      <w:pPr>
        <w:spacing w:after="0" w:line="169" w:lineRule="exact"/>
        <w:rPr>
          <w:sz w:val="20"/>
          <w:szCs w:val="20"/>
          <w:color w:val="auto"/>
        </w:rPr>
      </w:pPr>
    </w:p>
    <w:p>
      <w:pPr>
        <w:jc w:val="both"/>
        <w:ind w:right="140" w:firstLine="636"/>
        <w:spacing w:after="0" w:line="266" w:lineRule="auto"/>
        <w:rPr>
          <w:sz w:val="20"/>
          <w:szCs w:val="20"/>
          <w:color w:val="auto"/>
        </w:rPr>
      </w:pPr>
      <w:r>
        <w:rPr>
          <w:rFonts w:ascii="Arial" w:cs="Arial" w:eastAsia="Arial" w:hAnsi="Arial"/>
          <w:sz w:val="17"/>
          <w:szCs w:val="17"/>
          <w:color w:val="auto"/>
        </w:rPr>
        <w:t>The partial repurchase, during the six months ended June 30, 2024, resulted in a $214.2 million loss on debt extinguishment which includes a $3.2 million charge to interest expense for the acceleration of the amortization of debt issuance costs associated with the 0.25% Convertible Senior Notes due 2025. The tax effect of the debt extinguishment, excluding the interest expense, was recognized as a discrete event to the quarter giving rise to an increase in the effective tax rate and tax benefit of $49.9 million recognized in the income statement.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5" w:lineRule="exact"/>
        <w:rPr>
          <w:sz w:val="20"/>
          <w:szCs w:val="20"/>
          <w:color w:val="auto"/>
        </w:rPr>
      </w:pPr>
    </w:p>
    <w:p>
      <w:pPr>
        <w:ind w:right="140" w:firstLine="636"/>
        <w:spacing w:after="0" w:line="243"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foreign currencies, and each other currency that may be approved in accordance with the 2021 Facility. The borrowings under the Credit Agreement bear interest at either the Term SOFR rate plus a margin between 1.0% and 1.625% or a base rate (as defined in the Credit Agreement) plus a margin of between 0% and 0.625%. The rates on June 30, 2024 and December 31, 2023 were both 6.7%. Borrowings under this Credit Agreement are guaranteed by certain Company operating subsidiaries. Letters of credit commitments outstanding under this agreement aggregated to $43.0 million and $43.8 million at June 30, 2024 and December 31, 2023, respectively, which reduced borrowing limits available to the Company. Interest expense related to the Credit Agreement was $0.2 million and $0.3 million for the three months ended June 30, 2024 and June 30, 2023, respectively and $0.5 million and $0.5 million for the six months ended June 30, 2024 and June 30, 2023. There were no loan amounts outstanding under the Credit Agreement at June 30, 2024.</w:t>
      </w:r>
    </w:p>
    <w:p>
      <w:pPr>
        <w:spacing w:after="0" w:line="169"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June 30, 2024 and December 31, 2023.</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96"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$303.6 million and $320.7 million at June 30, 2024 and December 31, 2023, respectively.</w:t>
      </w:r>
    </w:p>
    <w:p>
      <w:pPr>
        <w:spacing w:after="0" w:line="27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2021 the Organization for Economic Co-operation and Development (OECD) announced an inclusive Framework on Base Erosion and Profit Shifting (BEPS) including Pillar Two Model Rules defining the global minimum tax, also known as the Global Anti-Base Erosion (GloBE), which aims to ensure that multinational enterprises (MNEs) pay a 15% minimum level of tax regardless of where the MNE operates. The OECD has released its fourth round of administrative guidance In June 2024. Many non-US tax jurisdictions have either recently enacted legislation to adopt components of the Pillar Two Model Rules beginning in 2024 and/or have announced their plans to enact legislation in future years. The Company continues to evaluate the impact of the implementation of Pillar Two on its income tax position. The Company does not expect Pillar Two to result in any material impact to the Company’s income tax provision. We are continuing to evaluate the potential impact on future periods of the Pillar Two Framework, pending enactment of legislation by individual countries.</w:t>
      </w:r>
    </w:p>
    <w:p>
      <w:pPr>
        <w:spacing w:after="0" w:line="18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Company’s effective tax rate was 21.7% and 21.8% for the three months ended June 30, 2024 and June 30, 2023, respectively. The decrease in the effective tax rate was due primarily to an increase in the foreign-derived intangible income (FDII) deduction, offset by an increased valuation allowance against deferred tax assets, and an increase in executive compensation subject to Section 162(m). The Company’s effective tax rate benefit was 46.3% and the effective tax rate was 22.9% for the six months ended June 30, 2024 and June 30, 2023, respectively. The change in effective tax rate was due primarily to the tax benefit resulting from the $211 million loss in partially unwinding Convertible Senior Notes during the first quarter 2024. The difference between the effective tax rate and the statutory U.S. Federal income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60"/>
        <w:spacing w:after="0" w:line="253" w:lineRule="auto"/>
        <w:rPr>
          <w:sz w:val="20"/>
          <w:szCs w:val="20"/>
          <w:color w:val="auto"/>
        </w:rPr>
      </w:pPr>
      <w:r>
        <w:rPr>
          <w:rFonts w:ascii="Arial" w:cs="Arial" w:eastAsia="Arial" w:hAnsi="Arial"/>
          <w:sz w:val="18"/>
          <w:szCs w:val="18"/>
          <w:color w:val="auto"/>
        </w:rPr>
        <w:t>tax rate of 21% for the three and six months ended June 30, 2024 primarily relates to a change in jurisdictional earnings partially resulting from a loss in partially unwinding Convertible Senior Notes, the FDII deduction, equity based compensation, and untaxed income attributable to noncontrolling interests, partially offset by rate impacts related to state income taxes, and foreign withholding taxes.</w:t>
      </w:r>
    </w:p>
    <w:p>
      <w:pPr>
        <w:spacing w:after="0" w:line="16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As of June 30, 2024, the Company’s deferred tax assets were subject to a valuation allowance of $44.0 million primarily related to foreign net operating loss carryforwards, foreign tax credit carryforwards, reserves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79"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As of June 30, 2024 and December 31, 2023, the liability for income taxes associated with uncertain tax positions was $22.1 million and $25.5 million, respectively. It is reasonably possible that the Company may realize a decrease in our uncertain tax positions of approximately $2.8 million during the next 12 months as a result of concluding various tax audits and closing tax years.</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w:t>
      </w:r>
    </w:p>
    <w:p>
      <w:pPr>
        <w:spacing w:after="0" w:line="28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12" w:lineRule="exact"/>
        <w:rPr>
          <w:sz w:val="20"/>
          <w:szCs w:val="20"/>
          <w:color w:val="auto"/>
        </w:rPr>
      </w:pPr>
    </w:p>
    <w:p>
      <w:pPr>
        <w:ind w:firstLine="674"/>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6" w:lineRule="exact"/>
        <w:rPr>
          <w:sz w:val="20"/>
          <w:szCs w:val="20"/>
          <w:color w:val="auto"/>
        </w:rPr>
      </w:pPr>
    </w:p>
    <w:p>
      <w:pPr>
        <w:ind w:right="100" w:firstLine="674"/>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We are awaiting the court’s rulings upon such motions, which will determine whether a trial will be necessary for this matter in 2024.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20" w:firstLine="674"/>
        <w:spacing w:after="0"/>
        <w:rPr>
          <w:sz w:val="20"/>
          <w:szCs w:val="20"/>
          <w:color w:val="auto"/>
        </w:rPr>
      </w:pPr>
      <w:r>
        <w:rPr>
          <w:rFonts w:ascii="Arial" w:cs="Arial" w:eastAsia="Arial" w:hAnsi="Arial"/>
          <w:sz w:val="18"/>
          <w:szCs w:val="18"/>
          <w:color w:val="auto"/>
        </w:rPr>
        <w:t>On July 1, 2024, a final judgment was filed with the clerk of the Superior Court of the State of California In and For the County of San Mateo with an award of damages in the total amount of approximately $102.5 million in favor of Parsons Transportation Group, Inc. and against Alstom Signaling Operations LLC (Alstom"). This proposed award relates back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Alstom filed its notice of appeal on July 9, 2024 and has posted a bond.</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 this time, the Company is unable to determine the probability of the outcome of the litigation.</w:t>
      </w:r>
    </w:p>
    <w:p>
      <w:pPr>
        <w:spacing w:after="0" w:line="212" w:lineRule="exact"/>
        <w:rPr>
          <w:sz w:val="20"/>
          <w:szCs w:val="20"/>
          <w:color w:val="auto"/>
        </w:rPr>
      </w:pPr>
    </w:p>
    <w:p>
      <w:pPr>
        <w:ind w:right="80" w:firstLine="674"/>
        <w:spacing w:after="0"/>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2018 have been closed, and years thereafter remain open.</w:t>
      </w:r>
    </w:p>
    <w:p>
      <w:pPr>
        <w:spacing w:after="0" w:line="180" w:lineRule="exact"/>
        <w:rPr>
          <w:sz w:val="20"/>
          <w:szCs w:val="20"/>
          <w:color w:val="auto"/>
        </w:rPr>
      </w:pPr>
    </w:p>
    <w:p>
      <w:pPr>
        <w:ind w:firstLine="674"/>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4" w:lineRule="exact"/>
        <w:rPr>
          <w:sz w:val="20"/>
          <w:szCs w:val="20"/>
          <w:color w:val="auto"/>
        </w:rPr>
      </w:pPr>
    </w:p>
    <w:p>
      <w:pPr>
        <w:ind w:right="320" w:firstLine="636"/>
        <w:spacing w:after="0" w:line="257"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June 30, 2024 and December 31, 2023, total shares of the</w:t>
      </w:r>
    </w:p>
    <w:p>
      <w:pPr>
        <w:spacing w:after="0" w:line="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Company’s common stock outstanding were 106,184,128 and 105,839,978, respectively, of which 56,161,683 and 59,879,857, respectively, were held by the ESOP.</w:t>
      </w:r>
    </w:p>
    <w:p>
      <w:pPr>
        <w:spacing w:after="0" w:line="149" w:lineRule="exact"/>
        <w:rPr>
          <w:sz w:val="20"/>
          <w:szCs w:val="20"/>
          <w:color w:val="auto"/>
        </w:rPr>
      </w:pPr>
    </w:p>
    <w:p>
      <w:pPr>
        <w:ind w:right="420" w:firstLine="64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60" w:firstLine="644"/>
        <w:spacing w:after="0" w:line="262" w:lineRule="auto"/>
        <w:rPr>
          <w:sz w:val="20"/>
          <w:szCs w:val="20"/>
          <w:color w:val="auto"/>
        </w:rPr>
      </w:pPr>
      <w:r>
        <w:rPr>
          <w:rFonts w:ascii="Arial" w:cs="Arial" w:eastAsia="Arial" w:hAnsi="Arial"/>
          <w:sz w:val="18"/>
          <w:szCs w:val="18"/>
          <w:color w:val="auto"/>
        </w:rPr>
        <w:t>Total ESOP contribution expense was $15.1 million and $14.7 million for the three months ended June 30, 2024 and June 30, 2023, respectively and $30.1 million and $29.2 million for the six months ended June 30, 2024 and June 30, 2023, respectively. The expense is recorded in “Direct costs of contracts” and “Selling, general and administrative expense” in the consolidated statements of income. The fiscal 2024 ESOP contribution has not yet been made. The amount is currently included in accrued liabilities.</w:t>
      </w:r>
    </w:p>
    <w:p>
      <w:pPr>
        <w:spacing w:after="0" w:line="2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160" w:firstLine="636"/>
        <w:spacing w:after="0" w:line="253"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of the VIE and the obligation to absorb losses or the right to receive benefits that could potentially be significant to the VIE.</w:t>
      </w:r>
    </w:p>
    <w:p>
      <w:pPr>
        <w:spacing w:after="0" w:line="212" w:lineRule="exact"/>
        <w:rPr>
          <w:sz w:val="20"/>
          <w:szCs w:val="20"/>
          <w:color w:val="auto"/>
        </w:rPr>
      </w:pPr>
    </w:p>
    <w:p>
      <w:pPr>
        <w:ind w:right="300" w:firstLine="636"/>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right="80" w:firstLine="636"/>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81" w:lineRule="exact"/>
        <w:rPr>
          <w:sz w:val="20"/>
          <w:szCs w:val="20"/>
          <w:color w:val="auto"/>
        </w:rPr>
      </w:pPr>
    </w:p>
    <w:p>
      <w:pPr>
        <w:ind w:right="140" w:firstLine="636"/>
        <w:spacing w:after="0" w:line="287"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$158.1 million and $147.7 million at June 30, 2024 and December 31, 2023.</w:t>
      </w:r>
    </w:p>
    <w:p>
      <w:pPr>
        <w:spacing w:after="0" w:line="139" w:lineRule="exact"/>
        <w:rPr>
          <w:sz w:val="20"/>
          <w:szCs w:val="20"/>
          <w:color w:val="auto"/>
        </w:rPr>
      </w:pPr>
    </w:p>
    <w:p>
      <w:pPr>
        <w:jc w:val="both"/>
        <w:ind w:right="320" w:firstLine="636"/>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464,312</w:t>
            </w:r>
          </w:p>
        </w:tc>
        <w:tc>
          <w:tcPr>
            <w:tcW w:w="4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426,633</w:t>
            </w: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tcPr>
          <w:p>
            <w:pPr>
              <w:spacing w:after="0"/>
              <w:rPr>
                <w:sz w:val="19"/>
                <w:szCs w:val="19"/>
                <w:color w:val="auto"/>
              </w:rPr>
            </w:pPr>
          </w:p>
        </w:tc>
      </w:tr>
      <w:tr>
        <w:trPr>
          <w:trHeight w:val="223"/>
        </w:trPr>
        <w:tc>
          <w:tcPr>
            <w:tcW w:w="6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475,982</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440,928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276,649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260,286</w:t>
            </w:r>
          </w:p>
        </w:tc>
        <w:tc>
          <w:tcPr>
            <w:tcW w:w="100" w:type="dxa"/>
            <w:vAlign w:val="bottom"/>
          </w:tcPr>
          <w:p>
            <w:pPr>
              <w:spacing w:after="0"/>
              <w:rPr>
                <w:sz w:val="19"/>
                <w:szCs w:val="19"/>
                <w:color w:val="auto"/>
              </w:rPr>
            </w:pPr>
          </w:p>
        </w:tc>
      </w:tr>
      <w:tr>
        <w:trPr>
          <w:trHeight w:val="230"/>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279,948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265,418</w:t>
            </w:r>
          </w:p>
        </w:tc>
        <w:tc>
          <w:tcPr>
            <w:tcW w:w="100" w:type="dxa"/>
            <w:vAlign w:val="bottom"/>
          </w:tcPr>
          <w:p>
            <w:pPr>
              <w:spacing w:after="0"/>
              <w:rPr>
                <w:sz w:val="19"/>
                <w:szCs w:val="19"/>
                <w:color w:val="auto"/>
              </w:rPr>
            </w:pPr>
          </w:p>
        </w:tc>
      </w:tr>
      <w:tr>
        <w:trPr>
          <w:trHeight w:val="263"/>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joint venture equity</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196,034</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-633730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-333375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r>
      <w:tr>
        <w:trPr>
          <w:trHeight w:val="22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186,731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167,253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388,748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328,737</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163,287</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143,808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334,435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285,406</w:t>
            </w:r>
          </w:p>
        </w:tc>
        <w:tc>
          <w:tcPr>
            <w:tcW w:w="100" w:type="dxa"/>
            <w:vAlign w:val="bottom"/>
          </w:tcPr>
          <w:p>
            <w:pPr>
              <w:spacing w:after="0"/>
              <w:rPr>
                <w:sz w:val="19"/>
                <w:szCs w:val="19"/>
                <w:color w:val="auto"/>
              </w:rPr>
            </w:pPr>
          </w:p>
        </w:tc>
      </w:tr>
      <w:tr>
        <w:trPr>
          <w:trHeight w:val="263"/>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23,444</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23,445</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54,313</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43,331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49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11,547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26,790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21,253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-176530</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-159385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-176530</wp:posOffset>
            </wp:positionV>
            <wp:extent cx="768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-159385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-176530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-159385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ind w:right="320" w:firstLine="636"/>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(losses) earnings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74"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1,617,486</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1,607,953</w:t>
            </w:r>
          </w:p>
        </w:tc>
        <w:tc>
          <w:tcPr>
            <w:tcW w:w="10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462,319</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483,693</w:t>
            </w:r>
          </w:p>
        </w:tc>
        <w:tc>
          <w:tcPr>
            <w:tcW w:w="100" w:type="dxa"/>
            <w:vAlign w:val="bottom"/>
          </w:tcPr>
          <w:p>
            <w:pPr>
              <w:spacing w:after="0"/>
              <w:rPr>
                <w:sz w:val="19"/>
                <w:szCs w:val="19"/>
                <w:color w:val="auto"/>
              </w:rPr>
            </w:pPr>
          </w:p>
        </w:tc>
      </w:tr>
      <w:tr>
        <w:trPr>
          <w:trHeight w:val="223"/>
        </w:trPr>
        <w:tc>
          <w:tcPr>
            <w:tcW w:w="6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2,079,805</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2,091,646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970,590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1,057,113</w:t>
            </w:r>
          </w:p>
        </w:tc>
        <w:tc>
          <w:tcPr>
            <w:tcW w:w="100" w:type="dxa"/>
            <w:vAlign w:val="bottom"/>
          </w:tcPr>
          <w:p>
            <w:pPr>
              <w:spacing w:after="0"/>
              <w:rPr>
                <w:sz w:val="19"/>
                <w:szCs w:val="19"/>
                <w:color w:val="auto"/>
              </w:rPr>
            </w:pPr>
          </w:p>
        </w:tc>
      </w:tr>
      <w:tr>
        <w:trPr>
          <w:trHeight w:val="230"/>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498,239</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518,647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2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1,468,829</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1,575,760</w:t>
            </w:r>
          </w:p>
        </w:tc>
        <w:tc>
          <w:tcPr>
            <w:tcW w:w="100" w:type="dxa"/>
            <w:vAlign w:val="bottom"/>
          </w:tcPr>
          <w:p>
            <w:pPr>
              <w:spacing w:after="0"/>
              <w:rPr>
                <w:sz w:val="19"/>
                <w:szCs w:val="19"/>
                <w:color w:val="auto"/>
              </w:rPr>
            </w:pPr>
          </w:p>
        </w:tc>
      </w:tr>
      <w:tr>
        <w:trPr>
          <w:trHeight w:val="263"/>
        </w:trPr>
        <w:tc>
          <w:tcPr>
            <w:tcW w:w="6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joint venture equity</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610,976</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515,886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5"/>
        </w:trPr>
        <w:tc>
          <w:tcPr>
            <w:tcW w:w="6220" w:type="dxa"/>
            <w:vAlign w:val="bottom"/>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157,243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128,204</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-807720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-807720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-508000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-508000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-199390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-182245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-199390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-182245</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5"/>
                <w:szCs w:val="15"/>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5"/>
                <w:szCs w:val="15"/>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2024</w:t>
            </w:r>
          </w:p>
        </w:tc>
        <w:tc>
          <w:tcPr>
            <w:tcW w:w="1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June 30, 2023</w:t>
            </w: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544,000</w:t>
            </w: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530,467</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1,017,532</w:t>
            </w:r>
          </w:p>
        </w:tc>
        <w:tc>
          <w:tcPr>
            <w:tcW w:w="2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879,624</w:t>
            </w: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Costs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555,971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534,555</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1,032,721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893,950</w:t>
            </w:r>
          </w:p>
        </w:tc>
        <w:tc>
          <w:tcPr>
            <w:tcW w:w="100" w:type="dxa"/>
            <w:vAlign w:val="bottom"/>
          </w:tcPr>
          <w:p>
            <w:pPr>
              <w:spacing w:after="0"/>
              <w:rPr>
                <w:sz w:val="19"/>
                <w:szCs w:val="19"/>
                <w:color w:val="auto"/>
              </w:rPr>
            </w:pPr>
          </w:p>
        </w:tc>
      </w:tr>
      <w:tr>
        <w:trPr>
          <w:trHeight w:val="24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(11,971 )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(4,088 )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(15,189 )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(14,326 )</w:t>
            </w: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9"/>
        </w:trPr>
        <w:tc>
          <w:tcPr>
            <w:tcW w:w="4420" w:type="dxa"/>
            <w:vAlign w:val="bottom"/>
          </w:tcPr>
          <w:p>
            <w:pPr>
              <w:spacing w:after="0"/>
              <w:rPr>
                <w:sz w:val="20"/>
                <w:szCs w:val="20"/>
                <w:color w:val="auto"/>
              </w:rPr>
            </w:pPr>
            <w:r>
              <w:rPr>
                <w:rFonts w:ascii="Arial" w:cs="Arial" w:eastAsia="Arial" w:hAnsi="Arial"/>
                <w:sz w:val="18"/>
                <w:szCs w:val="18"/>
                <w:color w:val="auto"/>
              </w:rPr>
              <w:t>Equity in losses of unconsolidated joint ventures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(16,837 )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(18,897 )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(5,765 )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-176530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-159385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-176530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-159385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-176530</wp:posOffset>
            </wp:positionV>
            <wp:extent cx="596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-159385</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-176530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ind w:right="200" w:firstLine="636"/>
        <w:spacing w:after="0" w:line="253" w:lineRule="auto"/>
        <w:rPr>
          <w:sz w:val="20"/>
          <w:szCs w:val="20"/>
          <w:color w:val="auto"/>
        </w:rPr>
      </w:pPr>
      <w:r>
        <w:rPr>
          <w:rFonts w:ascii="Arial" w:cs="Arial" w:eastAsia="Arial" w:hAnsi="Arial"/>
          <w:sz w:val="18"/>
          <w:szCs w:val="18"/>
          <w:color w:val="auto"/>
        </w:rPr>
        <w:t>The Company had net contributions to its unconsolidated joint ventures for the three months ended June 30, 2024 and June 30, 2023 of $29.2 million and of $9.9 million, respectively and $49.2 million and $14.7 million for the six months ended June 30, 2024 and June 30, 2023, respectively.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certain financial statement impacts from changes in estimates on unconsolidated joint ventures in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Critical Infrastructure segment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r>
      <w:tr>
        <w:trPr>
          <w:trHeight w:val="22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(22,433 )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(6,987 )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(30,793 )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(16,974 )</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(22,433 )</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(5,198 )</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(30,793 )</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(12,629 )</w:t>
            </w:r>
          </w:p>
        </w:tc>
      </w:tr>
      <w:tr>
        <w:trPr>
          <w:trHeight w:val="23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income (loss) per share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(0.20 )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(0.05 )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(0.11 )</w:t>
            </w:r>
          </w:p>
        </w:tc>
      </w:tr>
    </w:tbl>
    <w:p>
      <w:pPr>
        <w:spacing w:after="0" w:line="200" w:lineRule="exact"/>
        <w:rPr>
          <w:sz w:val="20"/>
          <w:szCs w:val="20"/>
          <w:color w:val="auto"/>
        </w:rPr>
      </w:pPr>
    </w:p>
    <w:p>
      <w:pPr>
        <w:spacing w:after="0" w:line="30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right="60" w:firstLine="644"/>
        <w:spacing w:after="0" w:line="247"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costs for these services. Revenues related to services the Company provided to unconsolidated joint ventures for the three months ended June 30, 2024 and June 30, 2023 were $50.5 million and $55.4 million, respectively, and $97.3 million and $106.3 million for the six months ended June 30, 2024 and June 30, 2023, respectively.</w:t>
      </w:r>
    </w:p>
    <w:p>
      <w:pPr>
        <w:spacing w:after="0" w:line="66" w:lineRule="exact"/>
        <w:rPr>
          <w:sz w:val="20"/>
          <w:szCs w:val="20"/>
          <w:color w:val="auto"/>
        </w:rPr>
      </w:pPr>
    </w:p>
    <w:p>
      <w:pPr>
        <w:ind w:right="200" w:firstLine="644"/>
        <w:spacing w:after="0" w:line="271" w:lineRule="auto"/>
        <w:rPr>
          <w:sz w:val="20"/>
          <w:szCs w:val="20"/>
          <w:color w:val="auto"/>
        </w:rPr>
      </w:pPr>
      <w:r>
        <w:rPr>
          <w:rFonts w:ascii="Arial" w:cs="Arial" w:eastAsia="Arial" w:hAnsi="Arial"/>
          <w:sz w:val="18"/>
          <w:szCs w:val="18"/>
          <w:color w:val="auto"/>
        </w:rPr>
        <w:t>For the three months ended June 30, 2024 and June 30, 2023, the Company incurred $36.1 million and $39.8 million, respectively, and $71.5 million and $78.9 million for the six months ended June 30, 2024 and June 30, 2023, respectively, of reimbursable costs.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6" w:name="page27"/>
    <w:bookmarkEnd w:id="26"/>
    <w:p>
      <w:pPr>
        <w:ind w:right="100" w:firstLine="636"/>
        <w:spacing w:after="0" w:line="271" w:lineRule="auto"/>
        <w:rPr>
          <w:sz w:val="20"/>
          <w:szCs w:val="20"/>
          <w:color w:val="auto"/>
        </w:rPr>
      </w:pPr>
      <w:r>
        <w:rPr>
          <w:rFonts w:ascii="Arial" w:cs="Arial" w:eastAsia="Arial" w:hAnsi="Arial"/>
          <w:sz w:val="18"/>
          <w:szCs w:val="18"/>
          <w:color w:val="auto"/>
        </w:rPr>
        <w:t>Amounts included in the consolidated balance sheets related to services the Company provided to unconsolidated joint ventures are as follows (in thousands):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47,778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38,898</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Contract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38,009</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15,287</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348"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4"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June 30, 2024 and December 31, 2023,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4" w:lineRule="exact"/>
        <w:rPr>
          <w:sz w:val="20"/>
          <w:szCs w:val="20"/>
          <w:color w:val="auto"/>
        </w:rPr>
      </w:pPr>
    </w:p>
    <w:p>
      <w:pPr>
        <w:ind w:left="900" w:right="480" w:hanging="248"/>
        <w:spacing w:after="0" w:line="270"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900" w:right="320" w:hanging="248"/>
        <w:spacing w:after="0" w:line="270"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6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assets and liabilities;</w:t>
      </w:r>
    </w:p>
    <w:p>
      <w:pPr>
        <w:spacing w:after="0" w:line="104" w:lineRule="exact"/>
        <w:rPr>
          <w:sz w:val="20"/>
          <w:szCs w:val="20"/>
          <w:color w:val="auto"/>
        </w:rPr>
      </w:pPr>
    </w:p>
    <w:p>
      <w:pPr>
        <w:ind w:left="900" w:hanging="253"/>
        <w:spacing w:after="0" w:line="271" w:lineRule="auto"/>
        <w:rPr>
          <w:sz w:val="20"/>
          <w:szCs w:val="20"/>
          <w:color w:val="auto"/>
        </w:rPr>
      </w:pPr>
      <w:r>
        <w:rPr>
          <w:rFonts w:ascii="Arial" w:cs="Arial" w:eastAsia="Arial" w:hAnsi="Arial"/>
          <w:sz w:val="18"/>
          <w:szCs w:val="18"/>
          <w:color w:val="auto"/>
        </w:rPr>
        <w:t>Level 2</w:t>
      </w:r>
      <w:r>
        <w:rPr>
          <w:sz w:val="20"/>
          <w:szCs w:val="20"/>
          <w:color w:val="auto"/>
        </w:rPr>
        <w:t xml:space="preserve"> </w:t>
      </w:r>
      <w:r>
        <w:rPr>
          <w:rFonts w:ascii="Arial" w:cs="Arial" w:eastAsia="Arial" w:hAnsi="Arial"/>
          <w:sz w:val="18"/>
          <w:szCs w:val="18"/>
          <w:color w:val="auto"/>
        </w:rPr>
        <w:t>Pricing inputs that include quoted prices for similar assets and liabilities in active markets and inputs that are observable for the asset or liability, either directly or indirectly, for substantially the full term of the instrument; and</w:t>
      </w:r>
    </w:p>
    <w:p>
      <w:pPr>
        <w:spacing w:after="0" w:line="46"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Prices or valuations that require inputs that are both significant to the fair value measurements and unobservable.</w:t>
      </w:r>
    </w:p>
    <w:p>
      <w:pPr>
        <w:spacing w:after="0" w:line="212" w:lineRule="exact"/>
        <w:rPr>
          <w:sz w:val="20"/>
          <w:szCs w:val="20"/>
          <w:color w:val="auto"/>
        </w:rPr>
      </w:pPr>
    </w:p>
    <w:p>
      <w:pPr>
        <w:ind w:right="180" w:firstLine="636"/>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assets and liabilities measured at fair value on a quarterly basis are as follows: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as of June 30, 2024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020" w:type="dxa"/>
            <w:vAlign w:val="bottom"/>
          </w:tcPr>
          <w:p>
            <w:pPr>
              <w:ind w:left="3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Earnout liability</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9"/>
                <w:szCs w:val="19"/>
                <w:color w:val="auto"/>
              </w:rPr>
            </w:pPr>
          </w:p>
        </w:tc>
      </w:tr>
      <w:tr>
        <w:trPr>
          <w:trHeight w:val="26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 at fair value</w:t>
            </w:r>
          </w:p>
        </w:tc>
        <w:tc>
          <w:tcPr>
            <w:tcW w:w="1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100" w:type="dxa"/>
            <w:vAlign w:val="bottom"/>
            <w:shd w:val="clear" w:color="auto" w:fill="CFF0FC"/>
          </w:tcPr>
          <w:p>
            <w:pPr>
              <w:spacing w:after="0"/>
              <w:rPr>
                <w:sz w:val="22"/>
                <w:szCs w:val="22"/>
                <w:color w:val="auto"/>
              </w:rPr>
            </w:pPr>
          </w:p>
        </w:tc>
      </w:tr>
      <w:tr>
        <w:trPr>
          <w:trHeight w:val="633"/>
        </w:trPr>
        <w:tc>
          <w:tcPr>
            <w:tcW w:w="550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32"/>
        </w:trPr>
        <w:tc>
          <w:tcPr>
            <w:tcW w:w="5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-916940</wp:posOffset>
            </wp:positionV>
            <wp:extent cx="768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-899795</wp:posOffset>
            </wp:positionV>
            <wp:extent cx="768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-916940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-899795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-916940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-899795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Fair value as of December 31, 2023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Earnout liability</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r>
      <w:tr>
        <w:trPr>
          <w:trHeight w:val="263"/>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at fair value</w:t>
            </w:r>
          </w:p>
        </w:tc>
        <w:tc>
          <w:tcPr>
            <w:tcW w:w="102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-25400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00" w:firstLine="636"/>
        <w:spacing w:after="0" w:line="253" w:lineRule="auto"/>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2023 for a more complete discussion of the various items within the consolidated financial statements measured at fair value and the methods used to determine fair value.</w:t>
      </w:r>
    </w:p>
    <w:p>
      <w:pPr>
        <w:spacing w:after="0" w:line="61" w:lineRule="exact"/>
        <w:rPr>
          <w:sz w:val="20"/>
          <w:szCs w:val="20"/>
          <w:color w:val="auto"/>
        </w:rPr>
      </w:pPr>
    </w:p>
    <w:p>
      <w:pPr>
        <w:jc w:val="both"/>
        <w:ind w:right="380" w:firstLine="644"/>
        <w:spacing w:after="0" w:line="253" w:lineRule="auto"/>
        <w:rPr>
          <w:sz w:val="20"/>
          <w:szCs w:val="20"/>
          <w:color w:val="auto"/>
        </w:rPr>
      </w:pPr>
      <w:r>
        <w:rPr>
          <w:rFonts w:ascii="Arial" w:cs="Arial" w:eastAsia="Arial" w:hAnsi="Arial"/>
          <w:sz w:val="18"/>
          <w:szCs w:val="18"/>
          <w:color w:val="auto"/>
        </w:rPr>
        <w:t>The carrying values and estimated fair values of our financial instruments that are not required to be recorded at fair value in our consolidated balance sheets, on the basis of Level 1 inputs for the Company's convertible notes and Level 2 inputs for the delayed draw term loan,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right"/>
              <w:ind w:right="894"/>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 2023</w:t>
            </w:r>
          </w:p>
        </w:tc>
      </w:tr>
      <w:tr>
        <w:trPr>
          <w:trHeight w:val="185"/>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4"/>
                <w:szCs w:val="14"/>
                <w:b w:val="1"/>
                <w:bCs w:val="1"/>
                <w:color w:val="auto"/>
                <w:w w:val="99"/>
              </w:rPr>
              <w:t>Carrying Value</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Convertible senior notes due 2025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115,443</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207,797</w:t>
            </w:r>
          </w:p>
        </w:tc>
        <w:tc>
          <w:tcPr>
            <w:tcW w:w="5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568,000</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 due 2029</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859,520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Delayed draw term loan</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r>
      <w:tr>
        <w:trPr>
          <w:trHeight w:val="263"/>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1,265,443</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1,417,317</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918,000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Basic earnings per share (“EPS”) is computed using the weighted average number of shares outstanding during the period and income available to shareholders. Diluted EPS includes additional common shares that would have been outstanding if potential common shares with a dilutive effect had been issued using the if-converted method for Convertible Debt and the treasury stock method for all other instruments.</w:t>
      </w:r>
    </w:p>
    <w:p>
      <w:pPr>
        <w:spacing w:after="0" w:line="66" w:lineRule="exact"/>
        <w:rPr>
          <w:sz w:val="20"/>
          <w:szCs w:val="20"/>
          <w:color w:val="auto"/>
        </w:rPr>
      </w:pPr>
    </w:p>
    <w:p>
      <w:pPr>
        <w:ind w:right="380" w:firstLine="644"/>
        <w:spacing w:after="0" w:line="271" w:lineRule="auto"/>
        <w:rPr>
          <w:sz w:val="20"/>
          <w:szCs w:val="20"/>
          <w:color w:val="auto"/>
        </w:rPr>
      </w:pPr>
      <w:r>
        <w:rPr>
          <w:rFonts w:ascii="Arial" w:cs="Arial" w:eastAsia="Arial" w:hAnsi="Arial"/>
          <w:sz w:val="18"/>
          <w:szCs w:val="18"/>
          <w:color w:val="auto"/>
        </w:rPr>
        <w:t>Under the treasury stock method, the weighted average number of shares outstanding is adjusted to reflect the dilutive effects of stock-based awards.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if-converted method:</w:t>
      </w:r>
    </w:p>
    <w:p>
      <w:pPr>
        <w:spacing w:after="0" w:line="104" w:lineRule="exact"/>
        <w:rPr>
          <w:sz w:val="20"/>
          <w:szCs w:val="20"/>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Convertible Senior Notes due 2025:</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Income available to shareholders is adjusted to add back interest expense, after tax (unless antidilutive).</w:t>
      </w:r>
    </w:p>
    <w:p>
      <w:pPr>
        <w:spacing w:after="0" w:line="103" w:lineRule="exact"/>
        <w:rPr>
          <w:rFonts w:ascii="Arial" w:cs="Arial" w:eastAsia="Arial" w:hAnsi="Arial"/>
          <w:sz w:val="18"/>
          <w:szCs w:val="18"/>
          <w:color w:val="auto"/>
        </w:rPr>
      </w:pPr>
    </w:p>
    <w:p>
      <w:pPr>
        <w:ind w:left="1540" w:right="60" w:hanging="514"/>
        <w:spacing w:after="0" w:line="271"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Weighted average number of shares outstanding is adjusted to include the shares underlying the convertible debt (unless antidilutive).</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Shares underlying the bond hedge (unless antidilutive).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Shares underlying the warrants (unless antidilutive).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Convertible Senior Notes due 2029:</w:t>
      </w:r>
    </w:p>
    <w:p>
      <w:pPr>
        <w:spacing w:after="0" w:line="103" w:lineRule="exact"/>
        <w:rPr>
          <w:rFonts w:ascii="Arial" w:cs="Arial" w:eastAsia="Arial" w:hAnsi="Arial"/>
          <w:sz w:val="18"/>
          <w:szCs w:val="18"/>
          <w:color w:val="auto"/>
        </w:rPr>
      </w:pPr>
    </w:p>
    <w:p>
      <w:pPr>
        <w:jc w:val="both"/>
        <w:ind w:left="1540" w:right="100" w:hanging="514"/>
        <w:spacing w:after="0" w:line="253"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Interest has been excluded from the numerator and no shares have been included in the denominator of diluted EPS, as the principal amount of convertible debt will be settled in cash with any excess conversion value settled in cash or shares of common stock.</w:t>
      </w:r>
    </w:p>
    <w:p>
      <w:pPr>
        <w:spacing w:after="0" w:line="60" w:lineRule="exact"/>
        <w:rPr>
          <w:rFonts w:ascii="Arial" w:cs="Arial" w:eastAsia="Arial" w:hAnsi="Arial"/>
          <w:sz w:val="18"/>
          <w:szCs w:val="18"/>
          <w:color w:val="auto"/>
        </w:rPr>
      </w:pPr>
    </w:p>
    <w:p>
      <w:pPr>
        <w:ind w:left="1540" w:hanging="514"/>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Excludes shares underlying the capped call as the shares are antidilutive.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right="200" w:firstLine="636"/>
        <w:spacing w:after="0" w:line="271" w:lineRule="auto"/>
        <w:rPr>
          <w:sz w:val="20"/>
          <w:szCs w:val="20"/>
          <w:color w:val="auto"/>
        </w:rPr>
      </w:pPr>
      <w:r>
        <w:rPr>
          <w:rFonts w:ascii="Arial" w:cs="Arial" w:eastAsia="Arial" w:hAnsi="Arial"/>
          <w:sz w:val="18"/>
          <w:szCs w:val="18"/>
          <w:color w:val="auto"/>
        </w:rPr>
        <w:t>The following tables reconcile the denominator and numerator used to compute basic EPS to the denominator and numerator used to compute diluted EPS for the three and six months ended June 30, 2024 and June 30, 2023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93"/>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 2024</w:t>
            </w:r>
          </w:p>
        </w:tc>
        <w:tc>
          <w:tcPr>
            <w:tcW w:w="14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Net income (loss) attributable to Parsons Corporation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69,172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43,241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(38,183 )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2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Convertible senior notes if-converted method interest</w:t>
            </w:r>
          </w:p>
        </w:tc>
        <w:tc>
          <w:tcPr>
            <w:tcW w:w="16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adjustment</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Net income (loss) attributable to Parsons Corporation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69,226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43,795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(38,183 )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Denominator for Basic and Diluted EPS:</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106,303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104,908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106,170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Dilutive effect of stock-based awards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883</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Dilutive effect of warrants</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Dilutive effect of convertible senior notes due 2025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160" w:type="dxa"/>
            <w:vAlign w:val="bottom"/>
            <w:tcBorders>
              <w:top w:val="single" w:sz="8" w:color="auto"/>
              <w:bottom w:val="single" w:sz="8" w:color="auto"/>
            </w:tcBorders>
            <w:shd w:val="clear" w:color="auto" w:fill="CFF0FC"/>
          </w:tcPr>
          <w:p>
            <w:pPr>
              <w:spacing w:after="0"/>
              <w:rPr>
                <w:sz w:val="22"/>
                <w:szCs w:val="2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110,524</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114,708</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106,170</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114,714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1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(0.36 )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4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(0.36 )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-1945005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-1945005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-1945005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-685165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-668020</wp:posOffset>
            </wp:positionV>
            <wp:extent cx="768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-685165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-668020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-685165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-668020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right="120" w:firstLine="644"/>
        <w:spacing w:after="0" w:line="271" w:lineRule="auto"/>
        <w:rPr>
          <w:sz w:val="20"/>
          <w:szCs w:val="20"/>
          <w:color w:val="auto"/>
        </w:rPr>
      </w:pPr>
      <w:r>
        <w:rPr>
          <w:rFonts w:ascii="Arial" w:cs="Arial" w:eastAsia="Arial" w:hAnsi="Arial"/>
          <w:sz w:val="18"/>
          <w:szCs w:val="18"/>
          <w:color w:val="auto"/>
        </w:rPr>
        <w:t>Anti-dilutive stock-based awards excluded from the calculation of earnings per share for the three months ended June 30, 2024 and June 30, 2023 were 15,400 and 3,837, respectively.</w:t>
      </w:r>
    </w:p>
    <w:p>
      <w:pPr>
        <w:spacing w:after="0" w:line="46" w:lineRule="exact"/>
        <w:rPr>
          <w:sz w:val="20"/>
          <w:szCs w:val="20"/>
          <w:color w:val="auto"/>
        </w:rPr>
      </w:pPr>
    </w:p>
    <w:p>
      <w:pPr>
        <w:ind w:right="360" w:firstLine="644"/>
        <w:spacing w:after="0" w:line="253" w:lineRule="auto"/>
        <w:rPr>
          <w:sz w:val="20"/>
          <w:szCs w:val="20"/>
          <w:color w:val="auto"/>
        </w:rPr>
      </w:pPr>
      <w:r>
        <w:rPr>
          <w:rFonts w:ascii="Arial" w:cs="Arial" w:eastAsia="Arial" w:hAnsi="Arial"/>
          <w:sz w:val="18"/>
          <w:szCs w:val="18"/>
          <w:color w:val="auto"/>
        </w:rPr>
        <w:t>Due to the loss for the six months ended June 30, 2024, the potential dilution from stock based awards of 1.4 million shares, convertible senior notes due 2025 of 4.7 million shares and convertible senior notes due 2025 interest expense of $2.8 million have been excluded from the calculation of diluted earnings per share, as their inclusion would have been antidilutive.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Anti-dilutive stock-based awards excluded from the calculation of earnings per share for the six months ended June 30, 2023 were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1,265.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02" w:lineRule="exact"/>
        <w:rPr>
          <w:sz w:val="20"/>
          <w:szCs w:val="20"/>
          <w:color w:val="auto"/>
        </w:rPr>
      </w:pPr>
    </w:p>
    <w:p>
      <w:pPr>
        <w:ind w:right="60" w:firstLine="644"/>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February 2024 to restore the repurchase capacity to $100 million and removed the $25 million quarterly cap on such repurchases.</w:t>
      </w:r>
    </w:p>
    <w:p>
      <w:pPr>
        <w:spacing w:after="0" w:line="68" w:lineRule="exact"/>
        <w:rPr>
          <w:sz w:val="20"/>
          <w:szCs w:val="20"/>
          <w:color w:val="auto"/>
        </w:rPr>
      </w:pPr>
    </w:p>
    <w:p>
      <w:pPr>
        <w:ind w:right="160" w:firstLine="644"/>
        <w:spacing w:after="0" w:line="253" w:lineRule="auto"/>
        <w:rPr>
          <w:sz w:val="20"/>
          <w:szCs w:val="20"/>
          <w:color w:val="auto"/>
        </w:rPr>
      </w:pPr>
      <w:r>
        <w:rPr>
          <w:rFonts w:ascii="Arial" w:cs="Arial" w:eastAsia="Arial" w:hAnsi="Arial"/>
          <w:sz w:val="18"/>
          <w:szCs w:val="18"/>
          <w:color w:val="auto"/>
        </w:rPr>
        <w:t>At the time of the February 2024 authorization, the Company had repurchased shares with an aggregated market value (including fees) of $54.7 million. The aggregate market value of shares of Common Stock the Company is authorized to acquire, from both the August 2021 and February 2024 authorizations, is not greater than $154.7 million.</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2024, the Company has $90 million remaining under the stock repurchase program.</w:t>
      </w:r>
    </w:p>
    <w:p>
      <w:pPr>
        <w:spacing w:after="0" w:line="104" w:lineRule="exact"/>
        <w:rPr>
          <w:sz w:val="20"/>
          <w:szCs w:val="20"/>
          <w:color w:val="auto"/>
        </w:rPr>
      </w:pPr>
    </w:p>
    <w:p>
      <w:pPr>
        <w:ind w:right="140" w:firstLine="644"/>
        <w:spacing w:after="0" w:line="247"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360"/>
        <w:spacing w:after="0" w:line="271" w:lineRule="auto"/>
        <w:rPr>
          <w:sz w:val="20"/>
          <w:szCs w:val="20"/>
          <w:color w:val="auto"/>
        </w:rPr>
      </w:pPr>
      <w:r>
        <w:rPr>
          <w:rFonts w:ascii="Arial" w:cs="Arial" w:eastAsia="Arial" w:hAnsi="Arial"/>
          <w:sz w:val="18"/>
          <w:szCs w:val="18"/>
          <w:color w:val="auto"/>
        </w:rPr>
        <w:t>circumstances, availability of investment opportunities, the availability and costs of financing, the market price of the Company's common stock, other uses of capital and other factors.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repurchase activity under the stock repurchase program:</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209"/>
        </w:trPr>
        <w:tc>
          <w:tcPr>
            <w:tcW w:w="4820" w:type="dxa"/>
            <w:vAlign w:val="bottom"/>
          </w:tcPr>
          <w:p>
            <w:pPr>
              <w:spacing w:after="0"/>
              <w:rPr>
                <w:sz w:val="18"/>
                <w:szCs w:val="18"/>
                <w:color w:val="auto"/>
              </w:rPr>
            </w:pPr>
          </w:p>
        </w:tc>
        <w:tc>
          <w:tcPr>
            <w:tcW w:w="114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8"/>
                <w:szCs w:val="18"/>
                <w:color w:val="auto"/>
              </w:rPr>
            </w:pPr>
          </w:p>
        </w:tc>
        <w:tc>
          <w:tcPr>
            <w:tcW w:w="112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June 30, 2024</w:t>
            </w:r>
          </w:p>
        </w:tc>
        <w:tc>
          <w:tcPr>
            <w:tcW w:w="20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2023</w:t>
            </w: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Total shares repurchased</w:t>
            </w:r>
          </w:p>
        </w:tc>
        <w:tc>
          <w:tcPr>
            <w:tcW w:w="3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131,053</w:t>
            </w:r>
          </w:p>
        </w:tc>
        <w:tc>
          <w:tcPr>
            <w:tcW w:w="24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46,077</w:t>
            </w: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131,053</w:t>
            </w:r>
          </w:p>
        </w:tc>
        <w:tc>
          <w:tcPr>
            <w:tcW w:w="20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185,475</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Total shares retired</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131,053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46,077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131,053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185,475</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Average price paid per share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76.30</w:t>
            </w:r>
          </w:p>
        </w:tc>
        <w:tc>
          <w:tcPr>
            <w:tcW w:w="5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5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76.30</w:t>
            </w:r>
          </w:p>
        </w:tc>
        <w:tc>
          <w:tcPr>
            <w:tcW w:w="4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420" w:firstLine="636"/>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74"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240" w:firstLine="636"/>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5940" w:type="dxa"/>
            <w:vAlign w:val="bottom"/>
          </w:tcPr>
          <w:p>
            <w:pPr>
              <w:spacing w:after="0"/>
              <w:rPr>
                <w:sz w:val="15"/>
                <w:szCs w:val="15"/>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 2024</w:t>
            </w:r>
          </w:p>
        </w:tc>
        <w:tc>
          <w:tcPr>
            <w:tcW w:w="13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 2023</w:t>
            </w:r>
          </w:p>
        </w:tc>
        <w:tc>
          <w:tcPr>
            <w:tcW w:w="1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 2024</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 2023</w:t>
            </w:r>
          </w:p>
        </w:tc>
      </w:tr>
      <w:tr>
        <w:trPr>
          <w:trHeight w:val="22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Solutions revenue</w:t>
            </w: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988,603</w:t>
            </w:r>
          </w:p>
        </w:tc>
        <w:tc>
          <w:tcPr>
            <w:tcW w:w="2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762,797</w:t>
            </w: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1,898,211</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1,397,343</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Critical Infrastructure revenue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681,864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593,689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1,307,932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1,132,609</w:t>
            </w:r>
          </w:p>
        </w:tc>
        <w:tc>
          <w:tcPr>
            <w:tcW w:w="100" w:type="dxa"/>
            <w:vAlign w:val="bottom"/>
          </w:tcPr>
          <w:p>
            <w:pPr>
              <w:spacing w:after="0"/>
              <w:rPr>
                <w:sz w:val="19"/>
                <w:szCs w:val="19"/>
                <w:color w:val="auto"/>
              </w:rPr>
            </w:pPr>
          </w:p>
        </w:tc>
      </w:tr>
      <w:tr>
        <w:trPr>
          <w:trHeight w:val="263"/>
        </w:trPr>
        <w:tc>
          <w:tcPr>
            <w:tcW w:w="5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1,670,467</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1,356,486</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3,206,143</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2,529,952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3"/>
        </w:trPr>
        <w:tc>
          <w:tcPr>
            <w:tcW w:w="5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4"/>
                <w:szCs w:val="24"/>
                <w:color w:val="auto"/>
              </w:rPr>
            </w:pPr>
          </w:p>
        </w:tc>
      </w:tr>
      <w:tr>
        <w:trPr>
          <w:trHeight w:val="183"/>
        </w:trPr>
        <w:tc>
          <w:tcPr>
            <w:tcW w:w="5940" w:type="dxa"/>
            <w:vAlign w:val="bottom"/>
          </w:tcPr>
          <w:p>
            <w:pPr>
              <w:spacing w:after="0"/>
              <w:rPr>
                <w:sz w:val="15"/>
                <w:szCs w:val="15"/>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 2024</w:t>
            </w:r>
          </w:p>
        </w:tc>
        <w:tc>
          <w:tcPr>
            <w:tcW w:w="13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 2023</w:t>
            </w:r>
          </w:p>
        </w:tc>
        <w:tc>
          <w:tcPr>
            <w:tcW w:w="1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 2024</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 2023</w:t>
            </w:r>
          </w:p>
        </w:tc>
      </w:tr>
      <w:tr>
        <w:trPr>
          <w:trHeight w:val="22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280"/>
              <w:spacing w:after="0"/>
              <w:rPr>
                <w:sz w:val="20"/>
                <w:szCs w:val="20"/>
                <w:color w:val="auto"/>
              </w:rPr>
            </w:pPr>
            <w:r>
              <w:rPr>
                <w:rFonts w:ascii="Arial" w:cs="Arial" w:eastAsia="Arial" w:hAnsi="Arial"/>
                <w:sz w:val="18"/>
                <w:szCs w:val="18"/>
                <w:color w:val="auto"/>
              </w:rPr>
              <w:t>Federal Solutions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1,466</w:t>
            </w:r>
          </w:p>
        </w:tc>
        <w:tc>
          <w:tcPr>
            <w:tcW w:w="26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Critical Infrastructure</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(18,303 )</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(880 )</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(19,894 )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(7,832 )</w:t>
            </w:r>
          </w:p>
        </w:tc>
      </w:tr>
      <w:tr>
        <w:trPr>
          <w:trHeight w:val="20"/>
        </w:trPr>
        <w:tc>
          <w:tcPr>
            <w:tcW w:w="5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Total equity in (losses) earnings of unconsolidated joint ventures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(16,837 )</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(18,897 )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(5,765 )</w:t>
            </w:r>
          </w:p>
        </w:tc>
      </w:tr>
      <w:tr>
        <w:trPr>
          <w:trHeight w:val="20"/>
        </w:trPr>
        <w:tc>
          <w:tcPr>
            <w:tcW w:w="5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-1053465</wp:posOffset>
            </wp:positionV>
            <wp:extent cx="774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-1036320</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-1053465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-1036320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-1053465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-1036320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-179070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-179070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-179070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equity-based compensation, income and expense recognized on litigation matters, expenses incurred in connection with acquisitions and other non-recurring transaction costs and expenses related to our prior restructuring. The following table reconciles business segment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right="680"/>
        <w:spacing w:after="0" w:line="271" w:lineRule="auto"/>
        <w:rPr>
          <w:sz w:val="20"/>
          <w:szCs w:val="20"/>
          <w:color w:val="auto"/>
        </w:rPr>
      </w:pPr>
      <w:r>
        <w:rPr>
          <w:rFonts w:ascii="Arial" w:cs="Arial" w:eastAsia="Arial" w:hAnsi="Arial"/>
          <w:sz w:val="18"/>
          <w:szCs w:val="18"/>
          <w:color w:val="auto"/>
        </w:rPr>
        <w:t>Adjusted EBITDA attributable to Parsons Corporation to Net Income attributable to Parsons Corporation for the periods presented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 2024</w:t>
            </w:r>
          </w:p>
        </w:tc>
        <w:tc>
          <w:tcPr>
            <w:tcW w:w="13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 2023</w:t>
            </w:r>
          </w:p>
        </w:tc>
        <w:tc>
          <w:tcPr>
            <w:tcW w:w="1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June 30, 2024</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23"/>
        </w:trPr>
        <w:tc>
          <w:tcPr>
            <w:tcW w:w="5940" w:type="dxa"/>
            <w:vAlign w:val="bottom"/>
            <w:gridSpan w:val="2"/>
          </w:tcPr>
          <w:p>
            <w:pPr>
              <w:ind w:left="280"/>
              <w:spacing w:after="0"/>
              <w:rPr>
                <w:sz w:val="20"/>
                <w:szCs w:val="20"/>
                <w:color w:val="auto"/>
              </w:rPr>
            </w:pPr>
            <w:r>
              <w:rPr>
                <w:rFonts w:ascii="Arial" w:cs="Arial" w:eastAsia="Arial" w:hAnsi="Arial"/>
                <w:sz w:val="18"/>
                <w:szCs w:val="18"/>
                <w:color w:val="auto"/>
              </w:rPr>
              <w:t>Federal Solutions</w:t>
            </w: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102,781</w:t>
            </w:r>
          </w:p>
        </w:tc>
        <w:tc>
          <w:tcPr>
            <w:tcW w:w="260" w:type="dxa"/>
            <w:vAlign w:val="bottom"/>
          </w:tcPr>
          <w:p>
            <w:pPr>
              <w:spacing w:after="0"/>
              <w:rPr>
                <w:sz w:val="19"/>
                <w:szCs w:val="19"/>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85,640</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195,322</w:t>
            </w: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Critical Infrastructure</w:t>
            </w: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35,612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20,936</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68,575</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138,393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106,576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263,897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(24,440 )</w:t>
            </w:r>
          </w:p>
        </w:tc>
        <w:tc>
          <w:tcPr>
            <w:tcW w:w="3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(28,689 )</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(48,971 )</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(57,048 )</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(9,183 )</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(6,993 )</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(21,029 )</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(12,658 )</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(22,415 )</w:t>
            </w:r>
          </w:p>
        </w:tc>
        <w:tc>
          <w:tcPr>
            <w:tcW w:w="3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(15,223 )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9,819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(26,726 )</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Equity-based compensation expense</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(10,647 )</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(9,314 )</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(23,303 )</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(16,017 )</w:t>
            </w:r>
          </w:p>
        </w:tc>
        <w:tc>
          <w:tcPr>
            <w:tcW w:w="0" w:type="dxa"/>
            <w:vAlign w:val="bottom"/>
          </w:tcPr>
          <w:p>
            <w:pPr>
              <w:spacing w:after="0"/>
              <w:rPr>
                <w:sz w:val="1"/>
                <w:szCs w:val="1"/>
                <w:color w:val="auto"/>
              </w:rPr>
            </w:pP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(211,018 )</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Transaction-related costs (a)</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(2,302 )</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(1,917 )</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(5,188 )</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(3,535 )</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Restructuring expense (b)</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(546 )</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(c)</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(524 )</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(1,399 )</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(3,026 )</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(2,120 )</w:t>
            </w:r>
          </w:p>
        </w:tc>
        <w:tc>
          <w:tcPr>
            <w:tcW w:w="0" w:type="dxa"/>
            <w:vAlign w:val="bottom"/>
          </w:tcPr>
          <w:p>
            <w:pPr>
              <w:spacing w:after="0"/>
              <w:rPr>
                <w:sz w:val="1"/>
                <w:szCs w:val="1"/>
                <w:color w:val="auto"/>
              </w:rPr>
            </w:pPr>
          </w:p>
        </w:tc>
      </w:tr>
      <w:tr>
        <w:trPr>
          <w:trHeight w:val="20"/>
        </w:trPr>
        <w:tc>
          <w:tcPr>
            <w:tcW w:w="1500" w:type="dxa"/>
            <w:vAlign w:val="bottom"/>
            <w:shd w:val="clear" w:color="auto" w:fill="CFF0FC"/>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Net (loss) income including noncontrolling interests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80,719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54,771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(11,393 )</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11,530</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26,790</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Net (loss) income attributable to Parsons Corporation</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69,172</w:t>
            </w:r>
          </w:p>
        </w:tc>
        <w:tc>
          <w:tcPr>
            <w:tcW w:w="260" w:type="dxa"/>
            <w:vAlign w:val="bottom"/>
          </w:tcPr>
          <w:p>
            <w:pPr>
              <w:spacing w:after="0"/>
              <w:rPr>
                <w:sz w:val="19"/>
                <w:szCs w:val="19"/>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43,241</w:t>
            </w:r>
          </w:p>
        </w:tc>
        <w:tc>
          <w:tcPr>
            <w:tcW w:w="22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(38,183 )</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4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-2039620</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-2039620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-2039620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-573405</wp:posOffset>
            </wp:positionV>
            <wp:extent cx="774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-573405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-573405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-273685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-273685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-273685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660" w:right="120" w:hanging="652"/>
        <w:spacing w:after="0" w:line="24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60" w:hanging="652"/>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60" w:right="100" w:hanging="652"/>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tables present revenues and property and equipment, net by geographic area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7"/>
          </w:tcPr>
          <w:p>
            <w:pPr>
              <w:jc w:val="right"/>
              <w:ind w:right="51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2024</w:t>
            </w:r>
          </w:p>
        </w:tc>
        <w:tc>
          <w:tcPr>
            <w:tcW w:w="11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5"/>
                <w:szCs w:val="15"/>
                <w:color w:val="auto"/>
              </w:rPr>
            </w:pPr>
          </w:p>
        </w:tc>
        <w:tc>
          <w:tcPr>
            <w:tcW w:w="1120" w:type="dxa"/>
            <w:vAlign w:val="bottom"/>
            <w:gridSpan w:val="6"/>
          </w:tcPr>
          <w:p>
            <w:pPr>
              <w:jc w:val="right"/>
              <w:ind w:right="19"/>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1,419,327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1,136,290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2,691,577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80"/>
              <w:spacing w:after="0"/>
              <w:rPr>
                <w:sz w:val="20"/>
                <w:szCs w:val="20"/>
                <w:color w:val="auto"/>
              </w:rPr>
            </w:pPr>
            <w:r>
              <w:rPr>
                <w:rFonts w:ascii="Arial" w:cs="Arial" w:eastAsia="Arial" w:hAnsi="Arial"/>
                <w:sz w:val="18"/>
                <w:szCs w:val="18"/>
                <w:color w:val="auto"/>
              </w:rPr>
              <w:t>Middle East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246,063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219,253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504,984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5,077</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9,582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1,670,467</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1,356,486</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3,206,143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320" w:type="dxa"/>
            <w:vAlign w:val="bottom"/>
            <w:gridSpan w:val="4"/>
          </w:tcPr>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gridSpan w:val="4"/>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40" w:type="dxa"/>
            <w:vAlign w:val="bottom"/>
            <w:vMerge w:val="restart"/>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June 30, 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North America</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539"/>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89,506</w:t>
            </w:r>
          </w:p>
        </w:tc>
        <w:tc>
          <w:tcPr>
            <w:tcW w:w="520" w:type="dxa"/>
            <w:vAlign w:val="bottom"/>
            <w:gridSpan w:val="4"/>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80"/>
              <w:spacing w:after="0"/>
              <w:rPr>
                <w:sz w:val="20"/>
                <w:szCs w:val="20"/>
                <w:color w:val="auto"/>
              </w:rPr>
            </w:pPr>
            <w:r>
              <w:rPr>
                <w:rFonts w:ascii="Arial" w:cs="Arial" w:eastAsia="Arial" w:hAnsi="Arial"/>
                <w:sz w:val="18"/>
                <w:szCs w:val="18"/>
                <w:color w:val="auto"/>
              </w:rPr>
              <w:t>Middle East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8,711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98,217</w:t>
            </w:r>
          </w:p>
        </w:tc>
        <w:tc>
          <w:tcPr>
            <w:tcW w:w="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CFF0FC"/>
            </w:tcBorders>
            <w:gridSpan w:val="2"/>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98,957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-1362075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-1362075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-1362075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-774700</wp:posOffset>
            </wp:positionV>
            <wp:extent cx="93980" cy="171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-774700</wp:posOffset>
            </wp:positionV>
            <wp:extent cx="93980" cy="1714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North America includes revenue in the United States for the three months ended June 30, 2024 and June 30, 2023 of $1.3 billion and $1.0 billion, respectively and for the six months ended June 30, 2024 and June 30, 2023 of $2.5 billion and $1.9 billion, respectively. North America property and equipment, net includes $81.7 million and $83.9 million of property and equipment, net in the United States at June 30, 2024 and December 31, 2023,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4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1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5"/>
                <w:szCs w:val="15"/>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5"/>
                <w:szCs w:val="15"/>
                <w:color w:val="auto"/>
              </w:rPr>
            </w:pPr>
          </w:p>
        </w:tc>
        <w:tc>
          <w:tcPr>
            <w:tcW w:w="11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Defense and Intelligence</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420,396</w:t>
            </w:r>
          </w:p>
        </w:tc>
        <w:tc>
          <w:tcPr>
            <w:tcW w:w="4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381,328</w:t>
            </w:r>
          </w:p>
        </w:tc>
        <w:tc>
          <w:tcPr>
            <w:tcW w:w="44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828,784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520"/>
              <w:spacing w:after="0"/>
              <w:rPr>
                <w:sz w:val="20"/>
                <w:szCs w:val="20"/>
                <w:color w:val="auto"/>
              </w:rPr>
            </w:pPr>
            <w:r>
              <w:rPr>
                <w:rFonts w:ascii="Arial" w:cs="Arial" w:eastAsia="Arial" w:hAnsi="Arial"/>
                <w:sz w:val="18"/>
                <w:szCs w:val="18"/>
                <w:color w:val="auto"/>
              </w:rPr>
              <w:t>Engineered Systems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568,207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381,469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1,069,427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Federal Solutions revenues</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988,603</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762,797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1,898,211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1,397,343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520"/>
              <w:spacing w:after="0"/>
              <w:rPr>
                <w:sz w:val="20"/>
                <w:szCs w:val="20"/>
                <w:color w:val="auto"/>
              </w:rPr>
            </w:pPr>
            <w:r>
              <w:rPr>
                <w:rFonts w:ascii="Arial" w:cs="Arial" w:eastAsia="Arial" w:hAnsi="Arial"/>
                <w:sz w:val="18"/>
                <w:szCs w:val="18"/>
                <w:color w:val="auto"/>
              </w:rPr>
              <w:t>Infrastructure – North America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434,163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373,153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799,445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692,712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Infrastructure – Europe, Middle East and Africa</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247,701</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220,536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508,487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439,897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80"/>
              <w:spacing w:after="0"/>
              <w:rPr>
                <w:sz w:val="20"/>
                <w:szCs w:val="20"/>
                <w:color w:val="auto"/>
              </w:rPr>
            </w:pPr>
            <w:r>
              <w:rPr>
                <w:rFonts w:ascii="Arial" w:cs="Arial" w:eastAsia="Arial" w:hAnsi="Arial"/>
                <w:sz w:val="18"/>
                <w:szCs w:val="18"/>
                <w:color w:val="auto"/>
              </w:rPr>
              <w:t>Critical Infrastructure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681,864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593,689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1,307,932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1,670,467</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1,356,486</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3,206,143</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2,529,952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-633730</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-633730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-633730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-334010</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-334010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-334010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40" w:firstLine="636"/>
        <w:spacing w:after="0" w:line="253" w:lineRule="auto"/>
        <w:rPr>
          <w:sz w:val="20"/>
          <w:szCs w:val="20"/>
          <w:color w:val="auto"/>
        </w:rPr>
      </w:pPr>
      <w:r>
        <w:rPr>
          <w:rFonts w:ascii="Arial" w:cs="Arial" w:eastAsia="Arial" w:hAnsi="Arial"/>
          <w:sz w:val="18"/>
          <w:szCs w:val="18"/>
          <w:color w:val="auto"/>
        </w:rPr>
        <w:t>Effective October 1, 2023, the Company reorganized its Critical Infrastructure business units from Mobility Solutions and Connected Communities to Infrastructure – North America and Infrastructure – Europe, Middle East and Africa. The prior year information in the table above has been reclassified to conform to the business unit changes.</w:t>
      </w:r>
    </w:p>
    <w:p>
      <w:pPr>
        <w:spacing w:after="0" w:line="27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4" w:lineRule="exact"/>
        <w:rPr>
          <w:sz w:val="20"/>
          <w:szCs w:val="20"/>
          <w:color w:val="auto"/>
        </w:rPr>
      </w:pPr>
    </w:p>
    <w:p>
      <w:pPr>
        <w:ind w:firstLine="644"/>
        <w:spacing w:after="0" w:line="242" w:lineRule="auto"/>
        <w:rPr>
          <w:sz w:val="20"/>
          <w:szCs w:val="20"/>
          <w:color w:val="auto"/>
        </w:rPr>
      </w:pPr>
      <w:r>
        <w:rPr>
          <w:rFonts w:ascii="Arial" w:cs="Arial" w:eastAsia="Arial" w:hAnsi="Arial"/>
          <w:sz w:val="18"/>
          <w:szCs w:val="18"/>
          <w:color w:val="auto"/>
        </w:rPr>
        <w:t>After the end of the quarter ended June 30, 2024, the Company entered into a merger agreement to acquire a 100% ownership interest in BlackSignal Technologies, LLC, ("BlackSignal") a privately-owned company, for approximately $200 million from cash on hand. Headquartered in Chantilly, Virginia, BlackSignal is a next-generation digital signal processing, electronic warfare, and cyber security provider built to counter near peer threats. Upon closing, Parsons believes that the acquisition will expand Parsons' customer base across the Department of Defense and Intelligence Community and significantly strengthen Parsons' positioning within offensive cyber warfare, while adding new capabilities in the counterspace radio frequency domain. We anticipate that the closing will occur in Q3 2024.</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636"/>
        <w:spacing w:after="0" w:line="246"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2023. Certain amounts may not foot due to rounding.</w:t>
      </w:r>
    </w:p>
    <w:p>
      <w:pPr>
        <w:spacing w:after="0" w:line="177" w:lineRule="exact"/>
        <w:rPr>
          <w:sz w:val="20"/>
          <w:szCs w:val="20"/>
          <w:color w:val="auto"/>
        </w:rPr>
      </w:pPr>
    </w:p>
    <w:p>
      <w:pPr>
        <w:ind w:right="20" w:firstLine="636"/>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2023.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-8890</wp:posOffset>
            </wp:positionV>
            <wp:extent cx="6172200" cy="3471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9"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3" w:name="page34"/>
    <w:bookmarkEnd w:id="33"/>
    <w:p>
      <w:pPr>
        <w:ind w:right="20"/>
        <w:spacing w:after="0" w:line="271" w:lineRule="auto"/>
        <w:rPr>
          <w:sz w:val="20"/>
          <w:szCs w:val="20"/>
          <w:color w:val="auto"/>
        </w:rPr>
      </w:pPr>
      <w:r>
        <w:rPr>
          <w:rFonts w:ascii="Arial" w:cs="Arial" w:eastAsia="Arial" w:hAnsi="Arial"/>
          <w:sz w:val="18"/>
          <w:szCs w:val="18"/>
          <w:color w:val="auto"/>
        </w:rPr>
        <w:t>entity. In addition to focusing on increasing our revenues through increased contract awards and backlog, we focus our financial performance on margin expansion and cash flow.</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260" w:firstLine="636"/>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113665</wp:posOffset>
            </wp:positionV>
            <wp:extent cx="93980" cy="162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113665</wp:posOffset>
            </wp:positionV>
            <wp:extent cx="85725" cy="162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7"/>
                <w:szCs w:val="17"/>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3,582,373</w:t>
            </w:r>
          </w:p>
        </w:tc>
        <w:tc>
          <w:tcPr>
            <w:tcW w:w="4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3,313,391</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Backlog (1)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8,831,606</w:t>
            </w: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8,901,578</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660" w:right="80" w:hanging="652"/>
        <w:spacing w:after="0" w:line="25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Difference between our backlog of $8.8 billion and our remaining unsatisfied performance obligations, or RUPO, of $6.2 billion, each as of June 30, 2024, is due to (i) unissued task orders and unexercised option years, to the extent their issuance or exercise is probable, as well as (ii) contract awards, to the extent we believe contract execution and funding is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240" w:firstLine="636"/>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4880" w:type="dxa"/>
            <w:vAlign w:val="bottom"/>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805,170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1,182,127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2,087,810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1,877,771</w:t>
            </w:r>
          </w:p>
        </w:tc>
        <w:tc>
          <w:tcPr>
            <w:tcW w:w="100" w:type="dxa"/>
            <w:vAlign w:val="bottom"/>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694,894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749,035</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1,494,563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1,435,620</w:t>
            </w:r>
          </w:p>
        </w:tc>
        <w:tc>
          <w:tcPr>
            <w:tcW w:w="100" w:type="dxa"/>
            <w:vAlign w:val="bottom"/>
          </w:tcPr>
          <w:p>
            <w:pPr>
              <w:spacing w:after="0"/>
              <w:rPr>
                <w:sz w:val="19"/>
                <w:szCs w:val="19"/>
                <w:color w:val="auto"/>
              </w:rPr>
            </w:pPr>
          </w:p>
        </w:tc>
      </w:tr>
      <w:tr>
        <w:trPr>
          <w:trHeight w:val="26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Awards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1,500,064</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1,931,162</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3,582,373</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3,313,391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03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4"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w:t>
      </w:r>
    </w:p>
    <w:p>
      <w:pPr>
        <w:spacing w:after="0" w:line="154"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The decrease in awards for the three months ended June 30, 2024 compared to the corresponding period last year was primarily due to significant awards for the three months ended June 30, 2023 in our Federal Solutions segment from the Federal Aviation Administration and the General Services Administration. The increase in awards for the six months ended June 30, 2024 when compared to the corresponding period last year was primarily due to significant option period awards from a customer in our Federal Solutions segment offset by the awards discussed above for the three months ended June 30, 2023.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900" w:right="580" w:hanging="263"/>
        <w:spacing w:after="0" w:line="270"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future revenue anticipated from orders for services under existing contracts for which funding is appropriated or otherwise authorized.</w:t>
      </w:r>
    </w:p>
    <w:p>
      <w:pPr>
        <w:spacing w:after="0" w:line="46"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future revenue anticipated from orders for services under existing contracts for which funding has not been appropriated or otherwise authorized.</w:t>
      </w:r>
    </w:p>
    <w:p>
      <w:pPr>
        <w:spacing w:after="0" w:line="154" w:lineRule="exact"/>
        <w:rPr>
          <w:sz w:val="20"/>
          <w:szCs w:val="20"/>
          <w:color w:val="auto"/>
        </w:rPr>
      </w:pPr>
    </w:p>
    <w:p>
      <w:pPr>
        <w:ind w:right="160" w:firstLine="636"/>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5624195</wp:posOffset>
            </wp:positionH>
            <wp:positionV relativeFrom="paragraph">
              <wp:posOffset>150495</wp:posOffset>
            </wp:positionV>
            <wp:extent cx="93980" cy="162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150495</wp:posOffset>
            </wp:positionV>
            <wp:extent cx="85725" cy="162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Federal Solutions:</w:t>
            </w: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Funded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1,736,698</w:t>
            </w:r>
          </w:p>
        </w:tc>
        <w:tc>
          <w:tcPr>
            <w:tcW w:w="4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rPr>
              <w:t>Unfunded</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3,284,801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5,021,499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5,215,523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Critical Infrastructure:</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Funded</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3,754,225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3,615,955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40" w:type="dxa"/>
            <w:vAlign w:val="bottom"/>
            <w:gridSpan w:val="2"/>
          </w:tcPr>
          <w:p>
            <w:pPr>
              <w:ind w:left="260"/>
              <w:spacing w:after="0"/>
              <w:rPr>
                <w:sz w:val="20"/>
                <w:szCs w:val="20"/>
                <w:color w:val="auto"/>
              </w:rPr>
            </w:pPr>
            <w:r>
              <w:rPr>
                <w:rFonts w:ascii="Arial" w:cs="Arial" w:eastAsia="Arial" w:hAnsi="Arial"/>
                <w:sz w:val="18"/>
                <w:szCs w:val="18"/>
                <w:color w:val="auto"/>
              </w:rPr>
              <w:t>Unfunded</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3,810,107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3,686,064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Total Backlog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8,831,606</w:t>
            </w: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8,901,587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-873760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-873760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-273685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-273685</wp:posOffset>
            </wp:positionV>
            <wp:extent cx="603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 w:lineRule="exact"/>
        <w:rPr>
          <w:sz w:val="20"/>
          <w:szCs w:val="20"/>
          <w:color w:val="auto"/>
        </w:rPr>
      </w:pPr>
    </w:p>
    <w:p>
      <w:pPr>
        <w:ind w:left="1020" w:right="100" w:hanging="638"/>
        <w:spacing w:after="0" w:line="25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Difference between our backlog of $8.8 billion and our RUPO of $6.2 billion, each as of June 30, 2024,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We expect to recognize $3.8 billion of our funded backlog at June 30, 2024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 than expected revenue” in the Company’s Form 10-K for the year ended December 31, 2023.</w:t>
      </w:r>
    </w:p>
    <w:p>
      <w:pPr>
        <w:spacing w:after="0" w:line="179" w:lineRule="exact"/>
        <w:rPr>
          <w:sz w:val="20"/>
          <w:szCs w:val="20"/>
          <w:color w:val="auto"/>
        </w:rPr>
      </w:pPr>
    </w:p>
    <w:p>
      <w:pPr>
        <w:ind w:right="600" w:firstLine="636"/>
        <w:spacing w:after="0" w:line="271"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right="60" w:firstLine="636"/>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484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June 30, 2024</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60" w:firstLine="636"/>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60" w:firstLine="636"/>
        <w:spacing w:after="0" w:line="239"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right="160" w:firstLine="636"/>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 Engineers, LLC</w:t>
      </w:r>
    </w:p>
    <w:p>
      <w:pPr>
        <w:spacing w:after="0" w:line="102"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8"/>
          <w:szCs w:val="18"/>
          <w:color w:val="auto"/>
        </w:rPr>
        <w:t>On October 31, 2023, the Company entered into a Membership Interest Purchase Agreement to acquire a 100% ownership interest in I.S. Engineers, LLC, a privately-owned company, for $12.2 million, subject to certain adjustments. Headquartered in Texas, I.S. Engineers, LLC provides full-service consulting specializing in transportation engineering, including roads and highways, and program management. The financial results of I.S. Engineers have been included in our consolidated results of operations from October 31, 2023 onward.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Sealing Technologies, Inc.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36" w:name="page37"/>
    <w:bookmarkEnd w:id="36"/>
    <w:p>
      <w:pPr>
        <w:ind w:right="20" w:firstLine="644"/>
        <w:spacing w:after="0" w:line="242" w:lineRule="auto"/>
        <w:rPr>
          <w:sz w:val="20"/>
          <w:szCs w:val="20"/>
          <w:color w:val="auto"/>
        </w:rPr>
      </w:pPr>
      <w:r>
        <w:rPr>
          <w:rFonts w:ascii="Arial" w:cs="Arial" w:eastAsia="Arial" w:hAnsi="Arial"/>
          <w:sz w:val="18"/>
          <w:szCs w:val="18"/>
          <w:color w:val="auto"/>
        </w:rPr>
        <w:t>On August 23, 2023, the Company acquired a 100% ownership interest in Sealing Technologies, Inc (“SealingTech”), a privately-owned company, for $179.3 million and up to an additional $25 million in the event an earn out revenue target is exceeded. Headquartered in Maryland, SealingTech expands Parsons’ customer base across the Department of Defense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The financial results of SealingTech have been included in our consolidated results of operations from August 23, 2023 onward.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IPKeys Power Partners</w:t>
      </w:r>
    </w:p>
    <w:p>
      <w:pPr>
        <w:spacing w:after="0" w:line="102"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financial results of IPKeys have been included in our consolidated results of operations from April 13, 2023 onward.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400" w:right="180" w:hanging="374"/>
        <w:spacing w:after="0" w:line="246" w:lineRule="auto"/>
        <w:tabs>
          <w:tab w:leader="none" w:pos="14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68" w:lineRule="exact"/>
        <w:rPr>
          <w:rFonts w:ascii="Times New Roman" w:cs="Times New Roman" w:eastAsia="Times New Roman" w:hAnsi="Times New Roman"/>
          <w:sz w:val="18"/>
          <w:szCs w:val="18"/>
          <w:color w:val="auto"/>
        </w:rPr>
      </w:pPr>
    </w:p>
    <w:p>
      <w:pPr>
        <w:jc w:val="both"/>
        <w:ind w:left="1400" w:right="400" w:hanging="374"/>
        <w:spacing w:after="0" w:line="252" w:lineRule="auto"/>
        <w:tabs>
          <w:tab w:leader="none" w:pos="14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4"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2023 for a description of our policies on revenue recognition.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4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48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2024</w:t>
            </w: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2023</w:t>
            </w: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42.3%</w:t>
            </w:r>
          </w:p>
        </w:tc>
        <w:tc>
          <w:tcPr>
            <w:tcW w:w="13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32.4%</w:t>
            </w:r>
          </w:p>
        </w:tc>
        <w:tc>
          <w:tcPr>
            <w:tcW w:w="148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rPr>
              <w:t>41.7%</w:t>
            </w:r>
          </w:p>
        </w:tc>
        <w:tc>
          <w:tcPr>
            <w:tcW w:w="128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rPr>
              <w:t>30.9%</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Time-and-materials</w:t>
            </w:r>
          </w:p>
        </w:tc>
        <w:tc>
          <w:tcPr>
            <w:tcW w:w="1160" w:type="dxa"/>
            <w:vAlign w:val="bottom"/>
          </w:tcPr>
          <w:p>
            <w:pPr>
              <w:jc w:val="center"/>
              <w:spacing w:after="0"/>
              <w:rPr>
                <w:sz w:val="20"/>
                <w:szCs w:val="20"/>
                <w:color w:val="auto"/>
              </w:rPr>
            </w:pPr>
            <w:r>
              <w:rPr>
                <w:rFonts w:ascii="Arial" w:cs="Arial" w:eastAsia="Arial" w:hAnsi="Arial"/>
                <w:sz w:val="18"/>
                <w:szCs w:val="18"/>
                <w:color w:val="auto"/>
              </w:rPr>
              <w:t>20.8%</w:t>
            </w:r>
          </w:p>
        </w:tc>
        <w:tc>
          <w:tcPr>
            <w:tcW w:w="1300" w:type="dxa"/>
            <w:vAlign w:val="bottom"/>
            <w:gridSpan w:val="2"/>
          </w:tcPr>
          <w:p>
            <w:pPr>
              <w:jc w:val="center"/>
              <w:ind w:left="50"/>
              <w:spacing w:after="0"/>
              <w:rPr>
                <w:sz w:val="20"/>
                <w:szCs w:val="20"/>
                <w:color w:val="auto"/>
              </w:rPr>
            </w:pPr>
            <w:r>
              <w:rPr>
                <w:rFonts w:ascii="Arial" w:cs="Arial" w:eastAsia="Arial" w:hAnsi="Arial"/>
                <w:sz w:val="18"/>
                <w:szCs w:val="18"/>
                <w:color w:val="auto"/>
              </w:rPr>
              <w:t>23.9%</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rPr>
              <w:t>21.8%</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color w:val="auto"/>
              </w:rPr>
              <w:t>25.4%</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36.9%</w:t>
            </w:r>
          </w:p>
        </w:tc>
        <w:tc>
          <w:tcPr>
            <w:tcW w:w="13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43.7%</w:t>
            </w:r>
          </w:p>
        </w:tc>
        <w:tc>
          <w:tcPr>
            <w:tcW w:w="148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rPr>
              <w:t>36.5%</w:t>
            </w:r>
          </w:p>
        </w:tc>
        <w:tc>
          <w:tcPr>
            <w:tcW w:w="128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rPr>
              <w:t>43.7%</w:t>
            </w:r>
          </w:p>
        </w:tc>
      </w:tr>
    </w:tbl>
    <w:p>
      <w:pPr>
        <w:spacing w:after="0" w:line="22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generally experienced a relatively stable contract mix.</w:t>
      </w:r>
    </w:p>
    <w:p>
      <w:pPr>
        <w:spacing w:after="0" w:line="186" w:lineRule="exact"/>
        <w:rPr>
          <w:sz w:val="20"/>
          <w:szCs w:val="20"/>
          <w:color w:val="auto"/>
        </w:rPr>
      </w:pPr>
    </w:p>
    <w:p>
      <w:pPr>
        <w:ind w:right="120" w:firstLine="644"/>
        <w:spacing w:after="0" w:line="271" w:lineRule="auto"/>
        <w:rPr>
          <w:sz w:val="20"/>
          <w:szCs w:val="20"/>
          <w:color w:val="auto"/>
        </w:rPr>
      </w:pPr>
      <w:r>
        <w:rPr>
          <w:rFonts w:ascii="Arial" w:cs="Arial" w:eastAsia="Arial" w:hAnsi="Arial"/>
          <w:sz w:val="18"/>
          <w:szCs w:val="18"/>
          <w:color w:val="auto"/>
        </w:rPr>
        <w:t>The significant change in the contract mix for the three and six months ended June 30, 2024 compared to the corresponding period last year relates to increased business volume from a significant fixed price contract in our Federal Solutions segment.</w:t>
      </w:r>
    </w:p>
    <w:p>
      <w:pPr>
        <w:spacing w:after="0" w:line="154" w:lineRule="exact"/>
        <w:rPr>
          <w:sz w:val="20"/>
          <w:szCs w:val="20"/>
          <w:color w:val="auto"/>
        </w:rPr>
      </w:pPr>
    </w:p>
    <w:p>
      <w:pPr>
        <w:ind w:right="180" w:firstLine="644"/>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right="120" w:firstLine="636"/>
        <w:spacing w:after="0" w:line="242"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(losses) earnings of unconsolidated joint ventures. Our revenues included amounts related to services we provided to our unconsolidated joint ventures for the three months ended June 30, 2024 and June 30, 2023 of $50.5 million and $55.4 million, respectively, and $97.3 million and $106.3 million for the six months ended June 30, 2024 and June 30, 2023,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June 30, 2024 and June 30, 2023 was $15.1 million and $14.7 million, respectively, and $30.1 million and $29.2 million for the six months ended June 30, 2024 and June 30, 2023, respectively and is recorded in “Direct cost of contracts” and “Selling, general and administrative expenses.”</w:t>
      </w:r>
    </w:p>
    <w:p>
      <w:pPr>
        <w:spacing w:after="0" w:line="176"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8" w:name="page39"/>
    <w:bookmarkEnd w:id="38"/>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600" w:firstLine="636"/>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0" w:lineRule="exact"/>
        <w:rPr>
          <w:sz w:val="20"/>
          <w:szCs w:val="20"/>
          <w:color w:val="auto"/>
        </w:rPr>
      </w:pPr>
    </w:p>
    <w:p>
      <w:pPr>
        <w:ind w:right="440" w:firstLine="636"/>
        <w:spacing w:after="0" w:line="271"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six months ended June 30, 2024 and June 30, 2023.</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gridSpan w:val="2"/>
          </w:tcPr>
          <w:p>
            <w:pPr>
              <w:spacing w:after="0"/>
              <w:rPr>
                <w:sz w:val="16"/>
                <w:szCs w:val="16"/>
                <w:color w:val="auto"/>
              </w:rPr>
            </w:pPr>
          </w:p>
        </w:tc>
      </w:tr>
      <w:tr>
        <w:trPr>
          <w:trHeight w:val="183"/>
        </w:trPr>
        <w:tc>
          <w:tcPr>
            <w:tcW w:w="394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Pr>
          <w:p>
            <w:pPr>
              <w:spacing w:after="0"/>
              <w:rPr>
                <w:sz w:val="15"/>
                <w:szCs w:val="15"/>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2024</w:t>
            </w:r>
          </w:p>
        </w:tc>
        <w:tc>
          <w:tcPr>
            <w:tcW w:w="14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5"/>
                <w:szCs w:val="15"/>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June 30, 2023</w:t>
            </w: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150,230</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118,306</w:t>
            </w:r>
          </w:p>
        </w:tc>
        <w:tc>
          <w:tcPr>
            <w:tcW w:w="2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291,323</w:t>
            </w:r>
          </w:p>
        </w:tc>
        <w:tc>
          <w:tcPr>
            <w:tcW w:w="2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208,697</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Net Income Margin (2)</w:t>
            </w:r>
          </w:p>
        </w:tc>
        <w:tc>
          <w:tcPr>
            <w:tcW w:w="1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4.8 %</w:t>
            </w:r>
          </w:p>
        </w:tc>
        <w:tc>
          <w:tcPr>
            <w:tcW w:w="1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4.0 %</w:t>
            </w:r>
          </w:p>
        </w:tc>
        <w:tc>
          <w:tcPr>
            <w:tcW w:w="20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-0.4 %</w:t>
            </w:r>
          </w:p>
        </w:tc>
        <w:tc>
          <w:tcPr>
            <w:tcW w:w="16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Adjusted EBITDA Margin (3)</w:t>
            </w:r>
          </w:p>
        </w:tc>
        <w:tc>
          <w:tcPr>
            <w:tcW w:w="1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9.0 %</w:t>
            </w:r>
          </w:p>
        </w:tc>
        <w:tc>
          <w:tcPr>
            <w:tcW w:w="1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8.7 %</w:t>
            </w:r>
          </w:p>
        </w:tc>
        <w:tc>
          <w:tcPr>
            <w:tcW w:w="20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9.1 %</w:t>
            </w:r>
          </w:p>
        </w:tc>
        <w:tc>
          <w:tcPr>
            <w:tcW w:w="16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20" w:hanging="63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36" w:lineRule="exact"/>
        <w:rPr>
          <w:rFonts w:ascii="Arial" w:cs="Arial" w:eastAsia="Arial" w:hAnsi="Arial"/>
          <w:sz w:val="18"/>
          <w:szCs w:val="18"/>
          <w:color w:val="auto"/>
        </w:rPr>
      </w:pPr>
    </w:p>
    <w:p>
      <w:pPr>
        <w:ind w:left="1020" w:right="460" w:hanging="638"/>
        <w:spacing w:after="0" w:line="27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Income Margin is calculated as net income (loss) including noncontrolling interest divided by revenue in the applicable period</w:t>
      </w:r>
    </w:p>
    <w:p>
      <w:pPr>
        <w:spacing w:after="0" w:line="45" w:lineRule="exact"/>
        <w:rPr>
          <w:rFonts w:ascii="Arial" w:cs="Arial" w:eastAsia="Arial" w:hAnsi="Arial"/>
          <w:sz w:val="18"/>
          <w:szCs w:val="18"/>
          <w:color w:val="auto"/>
        </w:rPr>
      </w:pPr>
    </w:p>
    <w:p>
      <w:pPr>
        <w:ind w:left="1020" w:hanging="63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4880" w:type="dxa"/>
            <w:vAlign w:val="bottom"/>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Parsons Corporation</w:t>
            </w: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69,172</w:t>
            </w:r>
          </w:p>
        </w:tc>
        <w:tc>
          <w:tcPr>
            <w:tcW w:w="52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(38,183 )</w:t>
            </w:r>
          </w:p>
        </w:tc>
        <w:tc>
          <w:tcPr>
            <w:tcW w:w="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68,794</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12,658</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(9,819 )</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26,726</w:t>
            </w:r>
          </w:p>
        </w:tc>
        <w:tc>
          <w:tcPr>
            <w:tcW w:w="100" w:type="dxa"/>
            <w:vAlign w:val="bottom"/>
            <w:shd w:val="clear" w:color="auto" w:fill="CFF0FC"/>
          </w:tcPr>
          <w:p>
            <w:pPr>
              <w:spacing w:after="0"/>
              <w:rPr>
                <w:sz w:val="19"/>
                <w:szCs w:val="19"/>
                <w:color w:val="auto"/>
              </w:rPr>
            </w:pP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24,440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28,689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57,048</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21,253</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Equity-based compensation</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10,647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16,017</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211,018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Transaction-related costs (a)</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19"/>
                <w:szCs w:val="19"/>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(b)</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Other (c)</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r>
      <w:tr>
        <w:trPr>
          <w:trHeight w:val="263"/>
        </w:trPr>
        <w:tc>
          <w:tcPr>
            <w:tcW w:w="4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150,230</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118,306</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291,323</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208,697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3" w:lineRule="exact"/>
        <w:rPr>
          <w:sz w:val="20"/>
          <w:szCs w:val="20"/>
          <w:color w:val="auto"/>
        </w:rPr>
      </w:pPr>
    </w:p>
    <w:p>
      <w:pPr>
        <w:ind w:left="660" w:right="60" w:hanging="652"/>
        <w:spacing w:after="0" w:line="24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60" w:hanging="652"/>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60" w:right="40" w:hanging="652"/>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95123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2"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9" w:name="page40"/>
    <w:bookmarkEnd w:id="39"/>
    <w:p>
      <w:pPr>
        <w:ind w:right="120"/>
        <w:spacing w:after="0" w:line="239" w:lineRule="auto"/>
        <w:rPr>
          <w:sz w:val="20"/>
          <w:szCs w:val="20"/>
          <w:color w:val="auto"/>
        </w:rPr>
      </w:pPr>
      <w:r>
        <w:rPr>
          <w:rFonts w:ascii="Arial" w:cs="Arial" w:eastAsia="Arial" w:hAnsi="Arial"/>
          <w:sz w:val="18"/>
          <w:szCs w:val="18"/>
          <w:color w:val="auto"/>
        </w:rPr>
        <w:t>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83"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Variance</w:t>
            </w:r>
          </w:p>
        </w:tc>
        <w:tc>
          <w:tcPr>
            <w:tcW w:w="10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Federal Solutions Adjusted EBITDA attributable to Parsons</w:t>
            </w:r>
          </w:p>
        </w:tc>
        <w:tc>
          <w:tcPr>
            <w:tcW w:w="12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4"/>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ind w:left="180"/>
              <w:spacing w:after="0"/>
              <w:rPr>
                <w:sz w:val="20"/>
                <w:szCs w:val="20"/>
                <w:color w:val="auto"/>
              </w:rPr>
            </w:pPr>
            <w:r>
              <w:rPr>
                <w:rFonts w:ascii="Arial" w:cs="Arial" w:eastAsia="Arial" w:hAnsi="Arial"/>
                <w:sz w:val="14"/>
                <w:szCs w:val="14"/>
                <w:b w:val="1"/>
                <w:bCs w:val="1"/>
                <w:color w:val="auto"/>
              </w:rPr>
              <w:t>Dollar</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544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4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102,781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85,640</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17,141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97"/>
        </w:trPr>
        <w:tc>
          <w:tcPr>
            <w:tcW w:w="5440" w:type="dxa"/>
            <w:vAlign w:val="bottom"/>
          </w:tcPr>
          <w:p>
            <w:pPr>
              <w:ind w:left="20"/>
              <w:spacing w:after="0" w:line="197" w:lineRule="exact"/>
              <w:rPr>
                <w:sz w:val="20"/>
                <w:szCs w:val="20"/>
                <w:color w:val="auto"/>
              </w:rPr>
            </w:pPr>
            <w:r>
              <w:rPr>
                <w:rFonts w:ascii="Arial" w:cs="Arial" w:eastAsia="Arial" w:hAnsi="Arial"/>
                <w:sz w:val="18"/>
                <w:szCs w:val="18"/>
                <w:color w:val="auto"/>
              </w:rPr>
              <w:t>Critical Infrastructure Adjusted EBITDA attributable to Parsons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4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35,612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20,936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14,676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70.1 %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11,837</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11,730</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 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150,230</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118,306</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Variance</w:t>
            </w: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40" w:type="dxa"/>
            <w:vAlign w:val="bottom"/>
            <w:vMerge w:val="restart"/>
          </w:tcPr>
          <w:p>
            <w:pPr>
              <w:ind w:left="20"/>
              <w:spacing w:after="0"/>
              <w:rPr>
                <w:sz w:val="20"/>
                <w:szCs w:val="20"/>
                <w:color w:val="auto"/>
              </w:rPr>
            </w:pPr>
            <w:r>
              <w:rPr>
                <w:rFonts w:ascii="Arial" w:cs="Arial" w:eastAsia="Arial" w:hAnsi="Arial"/>
                <w:sz w:val="18"/>
                <w:szCs w:val="18"/>
                <w:color w:val="auto"/>
              </w:rPr>
              <w:t>Federal Solutions Adjusted EBITDA attributable to Parsons</w:t>
            </w:r>
          </w:p>
        </w:tc>
        <w:tc>
          <w:tcPr>
            <w:tcW w:w="120" w:type="dxa"/>
            <w:vAlign w:val="bottom"/>
          </w:tcPr>
          <w:p>
            <w:pPr>
              <w:spacing w:after="0"/>
              <w:rPr>
                <w:sz w:val="19"/>
                <w:szCs w:val="19"/>
                <w:color w:val="auto"/>
              </w:rPr>
            </w:pPr>
          </w:p>
        </w:tc>
        <w:tc>
          <w:tcPr>
            <w:tcW w:w="1080" w:type="dxa"/>
            <w:vAlign w:val="bottom"/>
          </w:tcPr>
          <w:p>
            <w:pPr>
              <w:jc w:val="right"/>
              <w:ind w:right="36"/>
              <w:spacing w:after="0"/>
              <w:rPr>
                <w:sz w:val="20"/>
                <w:szCs w:val="20"/>
                <w:color w:val="auto"/>
              </w:rPr>
            </w:pPr>
            <w:r>
              <w:rPr>
                <w:rFonts w:ascii="Arial" w:cs="Arial" w:eastAsia="Arial" w:hAnsi="Arial"/>
                <w:sz w:val="14"/>
                <w:szCs w:val="14"/>
                <w:b w:val="1"/>
                <w:bCs w:val="1"/>
                <w:color w:val="auto"/>
              </w:rPr>
              <w:t>June 30, 2024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3"/>
          </w:tcPr>
          <w:p>
            <w:pPr>
              <w:ind w:left="180"/>
              <w:spacing w:after="0"/>
              <w:rPr>
                <w:sz w:val="20"/>
                <w:szCs w:val="20"/>
                <w:color w:val="auto"/>
              </w:rPr>
            </w:pPr>
            <w:r>
              <w:rPr>
                <w:rFonts w:ascii="Arial" w:cs="Arial" w:eastAsia="Arial" w:hAnsi="Arial"/>
                <w:sz w:val="14"/>
                <w:szCs w:val="14"/>
                <w:b w:val="1"/>
                <w:bCs w:val="1"/>
                <w:color w:val="auto"/>
              </w:rPr>
              <w:t>Dollar</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544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4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195,322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141,788</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53,534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37.8 %</w:t>
            </w:r>
          </w:p>
        </w:tc>
        <w:tc>
          <w:tcPr>
            <w:tcW w:w="0" w:type="dxa"/>
            <w:vAlign w:val="bottom"/>
          </w:tcPr>
          <w:p>
            <w:pPr>
              <w:spacing w:after="0"/>
              <w:rPr>
                <w:sz w:val="1"/>
                <w:szCs w:val="1"/>
                <w:color w:val="auto"/>
              </w:rPr>
            </w:pPr>
          </w:p>
        </w:tc>
      </w:tr>
      <w:tr>
        <w:trPr>
          <w:trHeight w:val="197"/>
        </w:trPr>
        <w:tc>
          <w:tcPr>
            <w:tcW w:w="5440" w:type="dxa"/>
            <w:vAlign w:val="bottom"/>
          </w:tcPr>
          <w:p>
            <w:pPr>
              <w:ind w:left="20"/>
              <w:spacing w:after="0" w:line="197" w:lineRule="exact"/>
              <w:rPr>
                <w:sz w:val="20"/>
                <w:szCs w:val="20"/>
                <w:color w:val="auto"/>
              </w:rPr>
            </w:pPr>
            <w:r>
              <w:rPr>
                <w:rFonts w:ascii="Arial" w:cs="Arial" w:eastAsia="Arial" w:hAnsi="Arial"/>
                <w:sz w:val="18"/>
                <w:szCs w:val="18"/>
                <w:color w:val="auto"/>
              </w:rPr>
              <w:t>Critical Infrastructure Adjusted EBITDA attributable to Parsons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4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68,575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45,293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23,282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51.4 %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27,426</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21,616</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 Adjusted EBITDA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291,323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208,697</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82,626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2743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2743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12" w:lineRule="exact"/>
        <w:rPr>
          <w:sz w:val="20"/>
          <w:szCs w:val="20"/>
          <w:color w:val="auto"/>
        </w:rPr>
      </w:pPr>
    </w:p>
    <w:p>
      <w:pPr>
        <w:ind w:right="440" w:firstLine="636"/>
        <w:spacing w:after="0" w:line="271" w:lineRule="auto"/>
        <w:rPr>
          <w:sz w:val="20"/>
          <w:szCs w:val="20"/>
          <w:color w:val="auto"/>
        </w:rPr>
      </w:pPr>
      <w:r>
        <w:rPr>
          <w:rFonts w:ascii="Arial" w:cs="Arial" w:eastAsia="Arial" w:hAnsi="Arial"/>
          <w:sz w:val="18"/>
          <w:szCs w:val="18"/>
          <w:color w:val="auto"/>
        </w:rPr>
        <w:t>The following table sets forth our results of operations for the three and six months ended June 30, 2024 and June 30, 2023 as a percentage of revenue.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4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8"/>
                <w:szCs w:val="18"/>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8"/>
                <w:szCs w:val="18"/>
                <w:color w:val="auto"/>
              </w:rPr>
            </w:pPr>
          </w:p>
        </w:tc>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June 30, 2024</w:t>
            </w:r>
          </w:p>
        </w:tc>
        <w:tc>
          <w:tcPr>
            <w:tcW w:w="200" w:type="dxa"/>
            <w:vAlign w:val="bottom"/>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2023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79.0 %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78.7 %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78.9 %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78.5 %</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in losses of unconsolidated joint ventures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-0.6 %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13.4 %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15.6 %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13.9 %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vMerge w:val="restart"/>
          </w:tcPr>
          <w:p>
            <w:pPr>
              <w:ind w:left="260"/>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6.7 %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5.6 %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6.7 %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0.2 %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0.2 %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-0.8 %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-0.5 %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-0.8 %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0.0 %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-6.6 %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 net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0.1 %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-0.1 %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vMerge w:val="restart"/>
          </w:tcPr>
          <w:p>
            <w:pPr>
              <w:ind w:left="260"/>
              <w:spacing w:after="0"/>
              <w:rPr>
                <w:sz w:val="20"/>
                <w:szCs w:val="20"/>
                <w:color w:val="auto"/>
              </w:rPr>
            </w:pPr>
            <w:r>
              <w:rPr>
                <w:rFonts w:ascii="Arial" w:cs="Arial" w:eastAsia="Arial" w:hAnsi="Arial"/>
                <w:sz w:val="18"/>
                <w:szCs w:val="18"/>
                <w:color w:val="auto"/>
              </w:rPr>
              <w:t>Total other income (expense)</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-0.5 %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-0.5 %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-7.3 %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vMerge w:val="restart"/>
          </w:tcPr>
          <w:p>
            <w:pPr>
              <w:ind w:left="260"/>
              <w:spacing w:after="0"/>
              <w:rPr>
                <w:sz w:val="20"/>
                <w:szCs w:val="20"/>
                <w:color w:val="auto"/>
              </w:rPr>
            </w:pPr>
            <w:r>
              <w:rPr>
                <w:rFonts w:ascii="Arial" w:cs="Arial" w:eastAsia="Arial" w:hAnsi="Arial"/>
                <w:sz w:val="18"/>
                <w:szCs w:val="18"/>
                <w:color w:val="auto"/>
              </w:rPr>
              <w:t>Income before income tax expense</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6.2 %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5.2 %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-0.7 %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0.3 %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vMerge w:val="restart"/>
          </w:tcPr>
          <w:p>
            <w:pPr>
              <w:ind w:left="260"/>
              <w:spacing w:after="0"/>
              <w:rPr>
                <w:sz w:val="20"/>
                <w:szCs w:val="20"/>
                <w:color w:val="auto"/>
              </w:rPr>
            </w:pPr>
            <w:r>
              <w:rPr>
                <w:rFonts w:ascii="Arial" w:cs="Arial" w:eastAsia="Arial" w:hAnsi="Arial"/>
                <w:sz w:val="18"/>
                <w:szCs w:val="18"/>
                <w:color w:val="auto"/>
              </w:rPr>
              <w:t>Net (loss) income including noncontrolling interests</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4.8 %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-0.4 %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-0.7 %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-0.8 %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-0.8 %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vMerge w:val="restart"/>
          </w:tcPr>
          <w:p>
            <w:pPr>
              <w:ind w:left="260"/>
              <w:spacing w:after="0"/>
              <w:rPr>
                <w:sz w:val="20"/>
                <w:szCs w:val="20"/>
                <w:color w:val="auto"/>
              </w:rPr>
            </w:pPr>
            <w:r>
              <w:rPr>
                <w:rFonts w:ascii="Arial" w:cs="Arial" w:eastAsia="Arial" w:hAnsi="Arial"/>
                <w:sz w:val="18"/>
                <w:szCs w:val="18"/>
                <w:color w:val="auto"/>
              </w:rPr>
              <w:t>Net (loss) income attributable to Parsons Corporation</w:t>
            </w: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4.1 %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3.2 %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-1.2 %</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-3162300</wp:posOffset>
            </wp:positionV>
            <wp:extent cx="6412230" cy="1460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-2870835</wp:posOffset>
            </wp:positionV>
            <wp:extent cx="6412230" cy="146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-2270760</wp:posOffset>
            </wp:positionV>
            <wp:extent cx="6412230" cy="146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-1670685</wp:posOffset>
            </wp:positionV>
            <wp:extent cx="6412230" cy="146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-1370965</wp:posOffset>
            </wp:positionV>
            <wp:extent cx="6412230" cy="146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-2571115</wp:posOffset>
            </wp:positionV>
            <wp:extent cx="6412230" cy="154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-1979295</wp:posOffset>
            </wp:positionV>
            <wp:extent cx="6412230" cy="154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-1070610</wp:posOffset>
            </wp:positionV>
            <wp:extent cx="6412230" cy="1714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41223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Revenue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8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5"/>
                <w:szCs w:val="15"/>
                <w:color w:val="auto"/>
              </w:rPr>
            </w:pPr>
          </w:p>
        </w:tc>
      </w:tr>
      <w:tr>
        <w:trPr>
          <w:trHeight w:val="208"/>
        </w:trPr>
        <w:tc>
          <w:tcPr>
            <w:tcW w:w="4260" w:type="dxa"/>
            <w:vAlign w:val="bottom"/>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1,670,467</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1,356,486</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313,981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5" w:lineRule="exact"/>
        <w:rPr>
          <w:sz w:val="20"/>
          <w:szCs w:val="20"/>
          <w:color w:val="auto"/>
        </w:rPr>
      </w:pPr>
    </w:p>
    <w:p>
      <w:pPr>
        <w:ind w:right="200" w:firstLine="644"/>
        <w:spacing w:after="0" w:line="253" w:lineRule="auto"/>
        <w:rPr>
          <w:sz w:val="20"/>
          <w:szCs w:val="20"/>
          <w:color w:val="auto"/>
        </w:rPr>
      </w:pPr>
      <w:r>
        <w:rPr>
          <w:rFonts w:ascii="Arial" w:cs="Arial" w:eastAsia="Arial" w:hAnsi="Arial"/>
          <w:sz w:val="18"/>
          <w:szCs w:val="18"/>
          <w:color w:val="auto"/>
        </w:rPr>
        <w:t>Revenue increased $314.0 million for the three months ended June 30, 2024 when compared to the corresponding period last year, due to increases in revenue in both our Federal Solutions and Critical Infrastructure segments of $225.8 million and $88.2 million, respectively.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64"/>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5"/>
                <w:szCs w:val="15"/>
                <w:color w:val="auto"/>
              </w:rPr>
            </w:pPr>
          </w:p>
        </w:tc>
      </w:tr>
      <w:tr>
        <w:trPr>
          <w:trHeight w:val="208"/>
        </w:trPr>
        <w:tc>
          <w:tcPr>
            <w:tcW w:w="4260" w:type="dxa"/>
            <w:vAlign w:val="bottom"/>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3,206,143</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2,529,952</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676,191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5" w:lineRule="exact"/>
        <w:rPr>
          <w:sz w:val="20"/>
          <w:szCs w:val="20"/>
          <w:color w:val="auto"/>
        </w:rPr>
      </w:pPr>
    </w:p>
    <w:p>
      <w:pPr>
        <w:ind w:right="240" w:firstLine="644"/>
        <w:spacing w:after="0" w:line="271" w:lineRule="auto"/>
        <w:rPr>
          <w:sz w:val="20"/>
          <w:szCs w:val="20"/>
          <w:color w:val="auto"/>
        </w:rPr>
      </w:pPr>
      <w:r>
        <w:rPr>
          <w:rFonts w:ascii="Arial" w:cs="Arial" w:eastAsia="Arial" w:hAnsi="Arial"/>
          <w:sz w:val="18"/>
          <w:szCs w:val="18"/>
          <w:color w:val="auto"/>
        </w:rPr>
        <w:t>The increase in revenue for the six months ended June 30, 2024 when compared to the corresponding period last year, was due to increases in both our Federal Solutions and Critical Infrastructure segments of $500.9 million and $175.3 million, respectively.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“Segment Results” below for a further discussion of the changes in the Company's revenue.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Variance</w:t>
            </w:r>
          </w:p>
        </w:tc>
        <w:tc>
          <w:tcPr>
            <w:tcW w:w="1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June 30, 2024</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Dollar</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Direct costs of 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1,318,931</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1,068,220</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250,711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4" w:lineRule="exact"/>
        <w:rPr>
          <w:sz w:val="20"/>
          <w:szCs w:val="20"/>
          <w:color w:val="auto"/>
        </w:rPr>
      </w:pPr>
    </w:p>
    <w:p>
      <w:pPr>
        <w:ind w:right="100" w:firstLine="644"/>
        <w:spacing w:after="0" w:line="242" w:lineRule="auto"/>
        <w:rPr>
          <w:sz w:val="20"/>
          <w:szCs w:val="20"/>
          <w:color w:val="auto"/>
        </w:rPr>
      </w:pPr>
      <w:r>
        <w:rPr>
          <w:rFonts w:ascii="Arial" w:cs="Arial" w:eastAsia="Arial" w:hAnsi="Arial"/>
          <w:sz w:val="18"/>
          <w:szCs w:val="18"/>
          <w:color w:val="auto"/>
        </w:rPr>
        <w:t>Direct cost of contracts increased $250.7 million for the three months ended June 30, 2024 when compared to the corresponding period last year, primarily due to an increase of $198.2 million in our Federal Solutions segment and $52.5 million in our Critical Infrastructure segment. The increase in direct costs of contracts in the Federal Solutions segment is primarily related to increased business volume from a significant contract. The increase in direct cost of contracts in the Critical Infrastructure segment are primarily related to increased volume from new and existing contracts. Direct costs of contracts for the three months ended June 30, 2023 included a $24.7 million write-down on a Critical Infrastructure contract.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Variance</w:t>
            </w:r>
          </w:p>
        </w:tc>
        <w:tc>
          <w:tcPr>
            <w:tcW w:w="1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June 30, 2024</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Dollar</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Direct costs of 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2,529,758</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1,985,408</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544,350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4" w:lineRule="exact"/>
        <w:rPr>
          <w:sz w:val="20"/>
          <w:szCs w:val="20"/>
          <w:color w:val="auto"/>
        </w:rPr>
      </w:pPr>
    </w:p>
    <w:p>
      <w:pPr>
        <w:ind w:right="160" w:firstLine="644"/>
        <w:spacing w:after="0" w:line="247" w:lineRule="auto"/>
        <w:rPr>
          <w:sz w:val="20"/>
          <w:szCs w:val="20"/>
          <w:color w:val="auto"/>
        </w:rPr>
      </w:pPr>
      <w:r>
        <w:rPr>
          <w:rFonts w:ascii="Arial" w:cs="Arial" w:eastAsia="Arial" w:hAnsi="Arial"/>
          <w:sz w:val="18"/>
          <w:szCs w:val="18"/>
          <w:color w:val="auto"/>
        </w:rPr>
        <w:t>The increase in direct cost of contracts for the six months ended June 30, 2024 when compared to the corresponding period last year, was primarily due to an increase of $425.9 million in our Federal Solutions segment and $118.5 million in our Critical Infrastructure segment. The increases for the six months ended June 30, 2024 compared to the corresponding period last year were primarily impacted by the factors noted above for both segments for the three months ended June 30, 2024.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earnings of unconsolidated joint ventures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(16,837 )</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75</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(16,912 )</w:t>
            </w: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22549.3 %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4" w:lineRule="exact"/>
        <w:rPr>
          <w:sz w:val="20"/>
          <w:szCs w:val="20"/>
          <w:color w:val="auto"/>
        </w:rPr>
      </w:pPr>
    </w:p>
    <w:p>
      <w:pPr>
        <w:ind w:right="180" w:firstLine="644"/>
        <w:spacing w:after="0" w:line="247" w:lineRule="auto"/>
        <w:rPr>
          <w:sz w:val="20"/>
          <w:szCs w:val="20"/>
          <w:color w:val="auto"/>
        </w:rPr>
      </w:pPr>
      <w:r>
        <w:rPr>
          <w:rFonts w:ascii="Arial" w:cs="Arial" w:eastAsia="Arial" w:hAnsi="Arial"/>
          <w:sz w:val="18"/>
          <w:szCs w:val="18"/>
          <w:color w:val="auto"/>
        </w:rPr>
        <w:t>Equity in losses of unconsolidated joint ventures increased $16.9 million for the three months ended June 30, 2024 compared to the corresponding period last year. Impacting equity in losses of unconsolidated joint ventures was a write-down of $22.4 million related to Parsons' participation in a design build joint venture. This compares to $7.0 million in write-downs from joint ventures for the three months ended June 30, 2023. The write-downs from joint ventures were partially offset by improved results in certain other joint ventures.</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5" w:right="2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Equity in losses of unconsolidated joint ventures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(18,897 )   $</w:t>
            </w:r>
          </w:p>
        </w:tc>
        <w:tc>
          <w:tcPr>
            <w:tcW w:w="1760" w:type="dxa"/>
            <w:vAlign w:val="bottom"/>
            <w:gridSpan w:val="3"/>
          </w:tcPr>
          <w:p>
            <w:pPr>
              <w:jc w:val="right"/>
              <w:ind w:right="180"/>
              <w:spacing w:after="0"/>
              <w:rPr>
                <w:sz w:val="20"/>
                <w:szCs w:val="20"/>
                <w:color w:val="auto"/>
              </w:rPr>
            </w:pPr>
            <w:r>
              <w:rPr>
                <w:rFonts w:ascii="Arial" w:cs="Arial" w:eastAsia="Arial" w:hAnsi="Arial"/>
                <w:sz w:val="18"/>
                <w:szCs w:val="18"/>
                <w:color w:val="auto"/>
              </w:rPr>
              <w:t>(5,765 )  $</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(13,132 )</w:t>
            </w:r>
          </w:p>
        </w:tc>
        <w:tc>
          <w:tcPr>
            <w:tcW w:w="3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4" w:lineRule="exact"/>
        <w:rPr>
          <w:sz w:val="20"/>
          <w:szCs w:val="20"/>
          <w:color w:val="auto"/>
        </w:rPr>
      </w:pPr>
    </w:p>
    <w:p>
      <w:pPr>
        <w:ind w:right="100" w:firstLine="644"/>
        <w:spacing w:after="0" w:line="247" w:lineRule="auto"/>
        <w:rPr>
          <w:sz w:val="20"/>
          <w:szCs w:val="20"/>
          <w:color w:val="auto"/>
        </w:rPr>
      </w:pPr>
      <w:r>
        <w:rPr>
          <w:rFonts w:ascii="Arial" w:cs="Arial" w:eastAsia="Arial" w:hAnsi="Arial"/>
          <w:sz w:val="18"/>
          <w:szCs w:val="18"/>
          <w:color w:val="auto"/>
        </w:rPr>
        <w:t>The increase in equity in losses of unconsolidated joint ventures for the six months ended June 30, 2024 compared to the corresponding period last year, was primarily due to write-downs of $30.8 million during the six months ended June 30, 2024 related to the joint venture discussed above. This compares to $11.3 million in write-downs from joint ventures for the six months ended June 30, 2023.The write-downs from joint ventures were offset by improved results in certain other joint ventures.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223,277</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211,897</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11,380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7" w:lineRule="exact"/>
        <w:rPr>
          <w:sz w:val="20"/>
          <w:szCs w:val="20"/>
          <w:color w:val="auto"/>
        </w:rPr>
      </w:pPr>
    </w:p>
    <w:p>
      <w:pPr>
        <w:ind w:right="220" w:firstLine="644"/>
        <w:spacing w:after="0" w:line="271" w:lineRule="auto"/>
        <w:rPr>
          <w:sz w:val="20"/>
          <w:szCs w:val="20"/>
          <w:color w:val="auto"/>
        </w:rPr>
      </w:pPr>
      <w:r>
        <w:rPr>
          <w:rFonts w:ascii="Arial" w:cs="Arial" w:eastAsia="Arial" w:hAnsi="Arial"/>
          <w:sz w:val="18"/>
          <w:szCs w:val="18"/>
          <w:color w:val="auto"/>
        </w:rPr>
        <w:t>As a percentage of revenue, SG&amp;A decreased by 2.3% to 13.4% for the three months ended June 30, 2024 compared to 15.6% for the corresponding period last year.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444,222</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411,205</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33,017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7" w:lineRule="exact"/>
        <w:rPr>
          <w:sz w:val="20"/>
          <w:szCs w:val="20"/>
          <w:color w:val="auto"/>
        </w:rPr>
      </w:pPr>
    </w:p>
    <w:p>
      <w:pPr>
        <w:ind w:right="120" w:firstLine="636"/>
        <w:spacing w:after="0" w:line="271" w:lineRule="auto"/>
        <w:rPr>
          <w:sz w:val="20"/>
          <w:szCs w:val="20"/>
          <w:color w:val="auto"/>
        </w:rPr>
      </w:pPr>
      <w:r>
        <w:rPr>
          <w:rFonts w:ascii="Arial" w:cs="Arial" w:eastAsia="Arial" w:hAnsi="Arial"/>
          <w:sz w:val="18"/>
          <w:szCs w:val="18"/>
          <w:color w:val="auto"/>
        </w:rPr>
        <w:t>As a percentage of revenue, SG&amp;A decreased by 2.4% to 13.9% for the six months ended June 30, 2024 compared to 16.3% for the corresponding period last year.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Variance</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June 30, 2024</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Percent</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3,825</w:t>
            </w:r>
          </w:p>
        </w:tc>
        <w:tc>
          <w:tcPr>
            <w:tcW w:w="3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3,519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1150.0 %</w:t>
            </w:r>
          </w:p>
        </w:tc>
        <w:tc>
          <w:tcPr>
            <w:tcW w:w="0" w:type="dxa"/>
            <w:vAlign w:val="bottom"/>
          </w:tcPr>
          <w:p>
            <w:pPr>
              <w:spacing w:after="0"/>
              <w:rPr>
                <w:sz w:val="1"/>
                <w:szCs w:val="1"/>
                <w:color w:val="auto"/>
              </w:rPr>
            </w:pPr>
          </w:p>
        </w:tc>
      </w:tr>
      <w:tr>
        <w:trPr>
          <w:trHeight w:val="230"/>
        </w:trPr>
        <w:tc>
          <w:tcPr>
            <w:tcW w:w="3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(13,008 )</w:t>
            </w:r>
          </w:p>
        </w:tc>
        <w:tc>
          <w:tcPr>
            <w:tcW w:w="22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(7,299 )</w:t>
            </w:r>
          </w:p>
        </w:tc>
        <w:tc>
          <w:tcPr>
            <w:tcW w:w="3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(5,709 )</w:t>
            </w: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78.2 %</w:t>
            </w:r>
          </w:p>
        </w:tc>
        <w:tc>
          <w:tcPr>
            <w:tcW w:w="0" w:type="dxa"/>
            <w:vAlign w:val="bottom"/>
          </w:tcPr>
          <w:p>
            <w:pPr>
              <w:spacing w:after="0"/>
              <w:rPr>
                <w:sz w:val="1"/>
                <w:szCs w:val="1"/>
                <w:color w:val="auto"/>
              </w:rPr>
            </w:pPr>
          </w:p>
        </w:tc>
      </w:tr>
      <w:tr>
        <w:trPr>
          <w:trHeight w:val="230"/>
        </w:trPr>
        <w:tc>
          <w:tcPr>
            <w:tcW w:w="36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64.8 %</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80"/>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(8,288 )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(6,450 )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(1,838 )</w:t>
            </w: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right"/>
              <w:ind w:right="1113"/>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Variance</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June 30, 2024</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Percent</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4,977</w:t>
            </w:r>
          </w:p>
        </w:tc>
        <w:tc>
          <w:tcPr>
            <w:tcW w:w="3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1,099</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3,878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352.9 %</w:t>
            </w:r>
          </w:p>
        </w:tc>
        <w:tc>
          <w:tcPr>
            <w:tcW w:w="0" w:type="dxa"/>
            <w:vAlign w:val="bottom"/>
          </w:tcPr>
          <w:p>
            <w:pPr>
              <w:spacing w:after="0"/>
              <w:rPr>
                <w:sz w:val="1"/>
                <w:szCs w:val="1"/>
                <w:color w:val="auto"/>
              </w:rPr>
            </w:pPr>
          </w:p>
        </w:tc>
      </w:tr>
      <w:tr>
        <w:trPr>
          <w:trHeight w:val="230"/>
        </w:trPr>
        <w:tc>
          <w:tcPr>
            <w:tcW w:w="3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(26,006 )</w:t>
            </w:r>
          </w:p>
        </w:tc>
        <w:tc>
          <w:tcPr>
            <w:tcW w:w="22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(13,757 )</w:t>
            </w:r>
          </w:p>
        </w:tc>
        <w:tc>
          <w:tcPr>
            <w:tcW w:w="3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(12,249 )</w:t>
            </w: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89.0 %</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(211,018 )</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(211,018 )</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(2,431 )</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(4,288 )</w:t>
            </w: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-230.9 %</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80"/>
              <w:spacing w:after="0"/>
              <w:rPr>
                <w:sz w:val="20"/>
                <w:szCs w:val="20"/>
                <w:color w:val="auto"/>
              </w:rPr>
            </w:pPr>
            <w:r>
              <w:rPr>
                <w:rFonts w:ascii="Arial" w:cs="Arial" w:eastAsia="Arial" w:hAnsi="Arial"/>
                <w:sz w:val="18"/>
                <w:szCs w:val="18"/>
                <w:color w:val="auto"/>
              </w:rPr>
              <w:t>Total other income (expense)</w:t>
            </w: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(234,478 )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(10,801 )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(223,677 )</w:t>
            </w:r>
          </w:p>
        </w:tc>
        <w:tc>
          <w:tcPr>
            <w:tcW w:w="4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2070.9 %</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1460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543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6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7" w:lineRule="exact"/>
        <w:rPr>
          <w:sz w:val="20"/>
          <w:szCs w:val="20"/>
          <w:color w:val="auto"/>
        </w:rPr>
      </w:pPr>
    </w:p>
    <w:p>
      <w:pPr>
        <w:ind w:right="60" w:firstLine="636"/>
        <w:spacing w:after="0" w:line="244" w:lineRule="auto"/>
        <w:rPr>
          <w:sz w:val="20"/>
          <w:szCs w:val="20"/>
          <w:color w:val="auto"/>
        </w:rPr>
      </w:pPr>
      <w:r>
        <w:rPr>
          <w:rFonts w:ascii="Arial" w:cs="Arial" w:eastAsia="Arial" w:hAnsi="Arial"/>
          <w:sz w:val="18"/>
          <w:szCs w:val="18"/>
          <w:color w:val="auto"/>
        </w:rPr>
        <w:t xml:space="preserve">During the six months ended June 30, 2024, we paid $495.6 million in cash to repurchase $284.6 million aggregate principal amount of our Convertible Senior Notes due 2025 (the "Repurchase Transaction") concurrently with the offering of 2.625% Convertible Senior Notes due 2029. As a result of the Repurchase Transaction, we incurred a $211.0 million loss on debt extinguishment. The Repurchase Transaction is a partial repurchase of our Convertible Senior Notes due 2025. See </w:t>
      </w:r>
      <w:r>
        <w:rPr>
          <w:rFonts w:ascii="Arial" w:cs="Arial" w:eastAsia="Arial" w:hAnsi="Arial"/>
          <w:sz w:val="18"/>
          <w:szCs w:val="18"/>
          <w:color w:val="202124"/>
        </w:rPr>
        <w:t>“Note 10 – Debt and Credit Facilities,” for a further discussion of this</w:t>
      </w:r>
      <w:r>
        <w:rPr>
          <w:rFonts w:ascii="Arial" w:cs="Arial" w:eastAsia="Arial" w:hAnsi="Arial"/>
          <w:sz w:val="18"/>
          <w:szCs w:val="18"/>
          <w:color w:val="auto"/>
        </w:rPr>
        <w:t xml:space="preserve"> </w:t>
      </w:r>
      <w:r>
        <w:rPr>
          <w:rFonts w:ascii="Arial" w:cs="Arial" w:eastAsia="Arial" w:hAnsi="Arial"/>
          <w:sz w:val="18"/>
          <w:szCs w:val="18"/>
          <w:color w:val="202124"/>
        </w:rPr>
        <w:t>transaction</w:t>
      </w:r>
      <w:r>
        <w:rPr>
          <w:rFonts w:ascii="Arial" w:cs="Arial" w:eastAsia="Arial" w:hAnsi="Arial"/>
          <w:sz w:val="18"/>
          <w:szCs w:val="18"/>
          <w:color w:val="000000"/>
        </w:rPr>
        <w:t>.</w:t>
      </w:r>
    </w:p>
    <w:p>
      <w:pPr>
        <w:spacing w:after="0" w:line="176" w:lineRule="exact"/>
        <w:rPr>
          <w:sz w:val="20"/>
          <w:szCs w:val="20"/>
          <w:color w:val="auto"/>
        </w:rPr>
      </w:pPr>
    </w:p>
    <w:p>
      <w:pPr>
        <w:ind w:right="340" w:firstLine="636"/>
        <w:spacing w:after="0" w:line="253" w:lineRule="auto"/>
        <w:rPr>
          <w:sz w:val="20"/>
          <w:szCs w:val="20"/>
          <w:color w:val="auto"/>
        </w:rPr>
      </w:pPr>
      <w:r>
        <w:rPr>
          <w:rFonts w:ascii="Arial" w:cs="Arial" w:eastAsia="Arial" w:hAnsi="Arial"/>
          <w:sz w:val="18"/>
          <w:szCs w:val="18"/>
          <w:color w:val="auto"/>
        </w:rPr>
        <w:t>Interest income is related to interest earned on investments in government money funds. The increase in interest income for the three and six months ended June 30, 2024 is from higher cash balances held and increased interest rates compared to the corresponding periods last year.</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48" w:right="279" w:bottom="1440" w:gutter="0" w:footer="0" w:header="0"/>
        </w:sectPr>
      </w:pPr>
    </w:p>
    <w:bookmarkStart w:id="42" w:name="page43"/>
    <w:bookmarkEnd w:id="42"/>
    <w:p>
      <w:pPr>
        <w:ind w:right="220" w:firstLine="636"/>
        <w:spacing w:after="0" w:line="242" w:lineRule="auto"/>
        <w:rPr>
          <w:sz w:val="20"/>
          <w:szCs w:val="20"/>
          <w:color w:val="auto"/>
        </w:rPr>
      </w:pPr>
      <w:r>
        <w:rPr>
          <w:rFonts w:ascii="Arial" w:cs="Arial" w:eastAsia="Arial" w:hAnsi="Arial"/>
          <w:sz w:val="18"/>
          <w:szCs w:val="18"/>
          <w:color w:val="auto"/>
        </w:rPr>
        <w:t>Interest expense for the three and six months ended June 30, 2024 is primarily due to debt related to our Convertible Senior Notes and Delayed Draw Term Loan. The increase in interest expense during the three months ended June 30, 2024 compared to the corresponding periods last year is primarily related to an increase in debt balances. The increase in interest expense for the six months ended June 30, 2024, compared to the corresponding period last year is primarily related to an increase in debt balances and a $3.2 million charge from the acceleration of the amortization of debt issuance costs associated with the partial repurchase of the 0.25% Convertible Senior Notes due 2025 discussed above.</w:t>
      </w:r>
    </w:p>
    <w:p>
      <w:pPr>
        <w:spacing w:after="0" w:line="179" w:lineRule="exact"/>
        <w:rPr>
          <w:sz w:val="20"/>
          <w:szCs w:val="20"/>
          <w:color w:val="auto"/>
        </w:rPr>
      </w:pPr>
    </w:p>
    <w:p>
      <w:pPr>
        <w:jc w:val="both"/>
        <w:ind w:right="80" w:firstLine="636"/>
        <w:spacing w:after="0" w:line="253" w:lineRule="auto"/>
        <w:rPr>
          <w:sz w:val="20"/>
          <w:szCs w:val="20"/>
          <w:color w:val="auto"/>
        </w:rPr>
      </w:pPr>
      <w:r>
        <w:rPr>
          <w:rFonts w:ascii="Arial" w:cs="Arial" w:eastAsia="Arial" w:hAnsi="Arial"/>
          <w:sz w:val="18"/>
          <w:szCs w:val="18"/>
          <w:color w:val="auto"/>
        </w:rPr>
        <w:t>The amounts in other income (expense), net for the three months ended June 30, 2024 are primarily related to transaction gains and losses on foreign currency transactions and sublease income and for the six months ended June 30, 2024 are primarily related to transaction gains and losses on foreign currency transactions, sublease income, and a change in the estimated fair value of contingent consideration.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expense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Variance</w:t>
            </w:r>
          </w:p>
        </w:tc>
        <w:tc>
          <w:tcPr>
            <w:tcW w:w="1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June 30, 2024</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Dollar</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ind w:left="840"/>
              <w:spacing w:after="0"/>
              <w:rPr>
                <w:sz w:val="20"/>
                <w:szCs w:val="20"/>
                <w:color w:val="auto"/>
              </w:rPr>
            </w:pPr>
            <w:r>
              <w:rPr>
                <w:rFonts w:ascii="Arial" w:cs="Arial" w:eastAsia="Arial" w:hAnsi="Arial"/>
                <w:sz w:val="18"/>
                <w:szCs w:val="18"/>
                <w:color w:val="auto"/>
              </w:rPr>
              <w:t>22,415</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15,223</w:t>
            </w:r>
          </w:p>
        </w:tc>
        <w:tc>
          <w:tcPr>
            <w:tcW w:w="140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7,192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47.2 %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7"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The Company’s effective tax rate was 21.7% and 21.8% and income tax expense was $22.4 million and $15.2 million for the three months ended June 30, 2024 and June 30, 2023, respectively. The increase in tax expense for the three months ended June 30, 2024 compared to the corresponding period last year was due primarily to the tax impact of an increase in pre-tax income, an increased valuation allowance against deferred tax assets, and an increase in executive compensation subject to Section 162(m), partially offset by the increase in the foreign-derived intangible income (FDII) deduction.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Variance</w:t>
            </w:r>
          </w:p>
        </w:tc>
        <w:tc>
          <w:tcPr>
            <w:tcW w:w="1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June 30, 2024</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gridSpan w:val="3"/>
          </w:tcPr>
          <w:p>
            <w:pPr>
              <w:jc w:val="right"/>
              <w:ind w:right="120"/>
              <w:spacing w:after="0"/>
              <w:rPr>
                <w:sz w:val="20"/>
                <w:szCs w:val="20"/>
                <w:color w:val="auto"/>
              </w:rPr>
            </w:pPr>
            <w:r>
              <w:rPr>
                <w:rFonts w:ascii="Arial" w:cs="Arial" w:eastAsia="Arial" w:hAnsi="Arial"/>
                <w:sz w:val="18"/>
                <w:szCs w:val="18"/>
                <w:color w:val="auto"/>
              </w:rPr>
              <w:t>(9,819 )   $</w:t>
            </w:r>
          </w:p>
        </w:tc>
        <w:tc>
          <w:tcPr>
            <w:tcW w:w="1400" w:type="dxa"/>
            <w:vAlign w:val="bottom"/>
          </w:tcPr>
          <w:p>
            <w:pPr>
              <w:jc w:val="right"/>
              <w:spacing w:after="0"/>
              <w:rPr>
                <w:sz w:val="20"/>
                <w:szCs w:val="20"/>
                <w:color w:val="auto"/>
              </w:rPr>
            </w:pPr>
            <w:r>
              <w:rPr>
                <w:rFonts w:ascii="Arial" w:cs="Arial" w:eastAsia="Arial" w:hAnsi="Arial"/>
                <w:sz w:val="18"/>
                <w:szCs w:val="18"/>
                <w:color w:val="auto"/>
              </w:rPr>
              <w:t>26,726</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(36,545 )</w:t>
            </w:r>
          </w:p>
        </w:tc>
        <w:tc>
          <w:tcPr>
            <w:tcW w:w="3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7" w:lineRule="exact"/>
        <w:rPr>
          <w:sz w:val="20"/>
          <w:szCs w:val="20"/>
          <w:color w:val="auto"/>
        </w:rPr>
      </w:pPr>
    </w:p>
    <w:p>
      <w:pPr>
        <w:ind w:right="160" w:firstLine="644"/>
        <w:spacing w:after="0" w:line="244" w:lineRule="auto"/>
        <w:rPr>
          <w:sz w:val="20"/>
          <w:szCs w:val="20"/>
          <w:color w:val="auto"/>
        </w:rPr>
      </w:pPr>
      <w:r>
        <w:rPr>
          <w:rFonts w:ascii="Arial" w:cs="Arial" w:eastAsia="Arial" w:hAnsi="Arial"/>
          <w:sz w:val="18"/>
          <w:szCs w:val="18"/>
          <w:color w:val="auto"/>
        </w:rPr>
        <w:t>The Company’s effective income tax rate (benefit) was 46.3% for the six months ended June 30, 2024 and the effective tax rate was 22.9% for the six months ended June 30, 2023. Income tax benefit was $9.8 million for the six months ended June 30, 2024 and income tax expense was $26.7 million for the six months ended June 30, 2023. The decrease in tax expense for the six months ended June 30, 2024 compared to the corresponding period last year was due primarily to the tax benefit resulting from the $211 million loss in partially unwinding Convertible Senior Notes during the first quarter 2024.</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43" w:name="page44"/>
    <w:bookmarkEnd w:id="43"/>
    <w:p>
      <w:pPr>
        <w:jc w:val="center"/>
        <w:ind w:right="100"/>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740" w:firstLine="636"/>
        <w:spacing w:after="0" w:line="255"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5"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ind w:right="3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553"/>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21"/>
                <w:szCs w:val="21"/>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21"/>
                <w:szCs w:val="21"/>
                <w:color w:val="auto"/>
              </w:rPr>
            </w:pPr>
          </w:p>
        </w:tc>
        <w:tc>
          <w:tcPr>
            <w:tcW w:w="1380" w:type="dxa"/>
            <w:vAlign w:val="bottom"/>
            <w:gridSpan w:val="5"/>
          </w:tcPr>
          <w:p>
            <w:pPr>
              <w:ind w:left="100"/>
              <w:spacing w:after="0"/>
              <w:rPr>
                <w:sz w:val="20"/>
                <w:szCs w:val="20"/>
                <w:color w:val="auto"/>
              </w:rPr>
            </w:pPr>
            <w:r>
              <w:rPr>
                <w:rFonts w:ascii="Arial" w:cs="Arial" w:eastAsia="Arial" w:hAnsi="Arial"/>
                <w:sz w:val="14"/>
                <w:szCs w:val="14"/>
                <w:b w:val="1"/>
                <w:bCs w:val="1"/>
                <w:color w:val="auto"/>
              </w:rPr>
              <w:t>June 30, 2024</w:t>
            </w:r>
          </w:p>
        </w:tc>
        <w:tc>
          <w:tcPr>
            <w:tcW w:w="13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191"/>
        </w:trPr>
        <w:tc>
          <w:tcPr>
            <w:tcW w:w="490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Federal Solutions Adjusted EBITDA attributable to Parsons</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Corporation</w:t>
            </w: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102,781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85,640</w:t>
            </w:r>
          </w:p>
        </w:tc>
        <w:tc>
          <w:tcPr>
            <w:tcW w:w="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195,322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141,788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8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Critical Infrastructure Adjusted EBITDA attributable to Parsons</w:t>
            </w: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900" w:type="dxa"/>
            <w:vAlign w:val="bottom"/>
          </w:tcPr>
          <w:p>
            <w:pPr>
              <w:ind w:left="20"/>
              <w:spacing w:after="0"/>
              <w:rPr>
                <w:sz w:val="20"/>
                <w:szCs w:val="20"/>
                <w:color w:val="auto"/>
              </w:rPr>
            </w:pPr>
            <w:r>
              <w:rPr>
                <w:rFonts w:ascii="Arial" w:cs="Arial" w:eastAsia="Arial" w:hAnsi="Arial"/>
                <w:sz w:val="18"/>
                <w:szCs w:val="18"/>
                <w:color w:val="auto"/>
              </w:rPr>
              <w:t>Corporation</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35,612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20,936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68,575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45,293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 attributable to noncontrolling interests</w:t>
            </w:r>
          </w:p>
        </w:tc>
        <w:tc>
          <w:tcPr>
            <w:tcW w:w="1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11,837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11,730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27,426</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21,616</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80"/>
              <w:spacing w:after="0"/>
              <w:rPr>
                <w:sz w:val="20"/>
                <w:szCs w:val="20"/>
                <w:color w:val="auto"/>
              </w:rPr>
            </w:pPr>
            <w:r>
              <w:rPr>
                <w:rFonts w:ascii="Arial" w:cs="Arial" w:eastAsia="Arial" w:hAnsi="Arial"/>
                <w:sz w:val="18"/>
                <w:szCs w:val="18"/>
                <w:color w:val="auto"/>
              </w:rPr>
              <w:t>Total Adjusted EBITDA</w:t>
            </w:r>
          </w:p>
        </w:tc>
        <w:tc>
          <w:tcPr>
            <w:tcW w:w="180" w:type="dxa"/>
            <w:vAlign w:val="bottom"/>
          </w:tcPr>
          <w:p>
            <w:pPr>
              <w:spacing w:after="0"/>
              <w:rPr>
                <w:sz w:val="19"/>
                <w:szCs w:val="19"/>
                <w:color w:val="auto"/>
              </w:rPr>
            </w:pPr>
          </w:p>
        </w:tc>
        <w:tc>
          <w:tcPr>
            <w:tcW w:w="120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150,230</w:t>
            </w:r>
          </w:p>
        </w:tc>
        <w:tc>
          <w:tcPr>
            <w:tcW w:w="24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118,306</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291,323</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208,697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4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Variance</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260" w:type="dxa"/>
            <w:vAlign w:val="bottom"/>
            <w:tcBorders>
              <w:bottom w:val="single" w:sz="8" w:color="auto"/>
            </w:tcBorders>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Percent</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988,603</w:t>
            </w:r>
          </w:p>
        </w:tc>
        <w:tc>
          <w:tcPr>
            <w:tcW w:w="6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762,797</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225,806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102,781</w:t>
            </w:r>
          </w:p>
        </w:tc>
        <w:tc>
          <w:tcPr>
            <w:tcW w:w="6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85,640</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17,141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-1402715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-1402715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-1402715</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-1402715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60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8"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The increase in Federal Solutions revenue for the three months ended June 30, 2024 compared to the corresponding period last year was primarily related to organic growth of 27% and $16.9 million from business acquisitions. Organic growth was due primarily from the ramp up of recent awards and growth on a significant contract. Revenue for the three months ended June 30, 2023 included incentive fees on two contracts of approximately $20 million that did not reoccur for the three months ended June 30, 2024.</w:t>
      </w:r>
    </w:p>
    <w:p>
      <w:pPr>
        <w:spacing w:after="0" w:line="174" w:lineRule="exact"/>
        <w:rPr>
          <w:sz w:val="20"/>
          <w:szCs w:val="20"/>
          <w:color w:val="auto"/>
        </w:rPr>
      </w:pPr>
    </w:p>
    <w:p>
      <w:pPr>
        <w:ind w:right="280" w:firstLine="644"/>
        <w:spacing w:after="0" w:line="247" w:lineRule="auto"/>
        <w:rPr>
          <w:sz w:val="20"/>
          <w:szCs w:val="20"/>
          <w:color w:val="auto"/>
        </w:rPr>
      </w:pPr>
      <w:r>
        <w:rPr>
          <w:rFonts w:ascii="Arial" w:cs="Arial" w:eastAsia="Arial" w:hAnsi="Arial"/>
          <w:sz w:val="18"/>
          <w:szCs w:val="18"/>
          <w:color w:val="auto"/>
        </w:rPr>
        <w:t>The increase in Federal Solutions Adjusted EBITDA attributable to Parsons Corporation for the three months ended June 30, 2024 compared to the corresponding period last year was primarily due to the factors impacting revenue discussed above and a reduction in selling general, and administrative expenses as a percentage of revenue for the three months ended June 30, 2024 compared to the corresponding period last year.</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1,898,211</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1,397,343</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500,868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35.8 %</w:t>
            </w: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195,322</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141,788</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53,534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60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8"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The increase in Federal Solutions revenue for the six months ended June 30, 2024 compared to the corresponding period last year was primarily related to organic growth of 33% and $33.8 million from business acquisitions. The increase</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44" w:name="page45"/>
    <w:bookmarkEnd w:id="44"/>
    <w:p>
      <w:pPr>
        <w:ind w:right="60"/>
        <w:spacing w:after="0" w:line="271" w:lineRule="auto"/>
        <w:rPr>
          <w:sz w:val="20"/>
          <w:szCs w:val="20"/>
          <w:color w:val="auto"/>
        </w:rPr>
      </w:pPr>
      <w:r>
        <w:rPr>
          <w:rFonts w:ascii="Arial" w:cs="Arial" w:eastAsia="Arial" w:hAnsi="Arial"/>
          <w:sz w:val="18"/>
          <w:szCs w:val="18"/>
          <w:color w:val="auto"/>
        </w:rPr>
        <w:t>in revenue for the six months ended June 30, 2024 compared to the corresponding period last year was primarily due to the factors impacting revenue discussed above for the three months ended June 30, 2024.</w:t>
      </w:r>
    </w:p>
    <w:p>
      <w:pPr>
        <w:spacing w:after="0" w:line="154" w:lineRule="exact"/>
        <w:rPr>
          <w:sz w:val="20"/>
          <w:szCs w:val="20"/>
          <w:color w:val="auto"/>
        </w:rPr>
      </w:pPr>
    </w:p>
    <w:p>
      <w:pPr>
        <w:ind w:right="480" w:firstLine="636"/>
        <w:spacing w:after="0" w:line="253" w:lineRule="auto"/>
        <w:rPr>
          <w:sz w:val="20"/>
          <w:szCs w:val="20"/>
          <w:color w:val="auto"/>
        </w:rPr>
      </w:pPr>
      <w:r>
        <w:rPr>
          <w:rFonts w:ascii="Arial" w:cs="Arial" w:eastAsia="Arial" w:hAnsi="Arial"/>
          <w:sz w:val="18"/>
          <w:szCs w:val="18"/>
          <w:color w:val="auto"/>
        </w:rPr>
        <w:t>The increase in Federal Solutions Adjusted EBITDA attributable to Parsons Corporation for the six months ended June 30, 2024 compared to the corresponding period last year was primarily due to the factors discussed above for Adjusted EBITDA attributable to Parsons Corporation for the three months ended June 30, 2024.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681,864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593,689</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88,175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14.9 %</w:t>
            </w: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35,612</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20,936</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14,676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4" w:lineRule="exact"/>
        <w:rPr>
          <w:sz w:val="20"/>
          <w:szCs w:val="20"/>
          <w:color w:val="auto"/>
        </w:rPr>
      </w:pPr>
    </w:p>
    <w:p>
      <w:pPr>
        <w:ind w:right="100" w:firstLine="644"/>
        <w:spacing w:after="0" w:line="253" w:lineRule="auto"/>
        <w:rPr>
          <w:sz w:val="20"/>
          <w:szCs w:val="20"/>
          <w:color w:val="auto"/>
        </w:rPr>
      </w:pPr>
      <w:r>
        <w:rPr>
          <w:rFonts w:ascii="Arial" w:cs="Arial" w:eastAsia="Arial" w:hAnsi="Arial"/>
          <w:sz w:val="18"/>
          <w:szCs w:val="18"/>
          <w:color w:val="auto"/>
        </w:rPr>
        <w:t>The increase in Critical Infrastructure revenue for the three months ended June 30, 2024 compared to the corresponding periods last year was primarily related to organic growth of 15%. Organic growth was primarily due to an increase in business volume from existing contracts and ramping up of recent awards.</w:t>
      </w:r>
    </w:p>
    <w:p>
      <w:pPr>
        <w:spacing w:after="0" w:line="169" w:lineRule="exact"/>
        <w:rPr>
          <w:sz w:val="20"/>
          <w:szCs w:val="20"/>
          <w:color w:val="auto"/>
        </w:rPr>
      </w:pPr>
    </w:p>
    <w:p>
      <w:pPr>
        <w:ind w:right="120" w:firstLine="644"/>
        <w:spacing w:after="0" w:line="247"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three months ended June 30, 2024 compared to the corresponding period last year was primarily due to the revenue impacts discussed above and a reduction in selling general, and administrative expenses as a percentage of revenue for the three months ended June 30, 2024 compared to the corresponding period last year. Offsetting these increases were write-downs in equity in losses from unconsolidated joint ventures.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1,307,932</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1,132,609</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175,323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15.5 %</w:t>
            </w: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68,575</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45,293</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23,282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60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8" w:lineRule="exact"/>
        <w:rPr>
          <w:sz w:val="20"/>
          <w:szCs w:val="20"/>
          <w:color w:val="auto"/>
        </w:rPr>
      </w:pPr>
    </w:p>
    <w:p>
      <w:pPr>
        <w:ind w:right="380" w:firstLine="644"/>
        <w:spacing w:after="0" w:line="271" w:lineRule="auto"/>
        <w:rPr>
          <w:sz w:val="20"/>
          <w:szCs w:val="20"/>
          <w:color w:val="auto"/>
        </w:rPr>
      </w:pPr>
      <w:r>
        <w:rPr>
          <w:rFonts w:ascii="Arial" w:cs="Arial" w:eastAsia="Arial" w:hAnsi="Arial"/>
          <w:sz w:val="18"/>
          <w:szCs w:val="18"/>
          <w:color w:val="auto"/>
        </w:rPr>
        <w:t>The increase in Critical Infrastructure revenue for the six months ended June 30, 2024 compared to the corresponding period last year was primarily related to organic growth of 15% and $7.1 million from business acquisitions.</w:t>
      </w:r>
    </w:p>
    <w:p>
      <w:pPr>
        <w:spacing w:after="0" w:line="154" w:lineRule="exact"/>
        <w:rPr>
          <w:sz w:val="20"/>
          <w:szCs w:val="20"/>
          <w:color w:val="auto"/>
        </w:rPr>
      </w:pPr>
    </w:p>
    <w:p>
      <w:pPr>
        <w:ind w:right="200" w:firstLine="644"/>
        <w:spacing w:after="0" w:line="253"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six months ended June 30, 2024 compared to the corresponding period last year was primarily due to the factors discussed above for Adjusted EBITDA above for the three months ended June 30, 2024.</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right="60" w:firstLine="636"/>
        <w:spacing w:after="0" w:line="271" w:lineRule="auto"/>
        <w:rPr>
          <w:sz w:val="20"/>
          <w:szCs w:val="20"/>
          <w:color w:val="auto"/>
        </w:rPr>
      </w:pPr>
      <w:r>
        <w:rPr>
          <w:rFonts w:ascii="Arial" w:cs="Arial" w:eastAsia="Arial" w:hAnsi="Arial"/>
          <w:sz w:val="18"/>
          <w:szCs w:val="18"/>
          <w:color w:val="auto"/>
        </w:rPr>
        <w:t>We currently finance our operations and capital expenditures through a combination of internally generated cash from operations, our Convertible Senior Notes, Delayed Draw Term Loan and periodic borrowings under our Revolving Credit Facility.</w:t>
      </w:r>
    </w:p>
    <w:p>
      <w:pPr>
        <w:spacing w:after="0" w:line="154"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74"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As of June 30, 2024, we believe we have adequate liquidity and capital resources to fund our operations, support our debt service and our ongoing acquisition strategy for at least the next twelve months based on the liquidity from cash provided by our operating activities, cash and cash equivalents on-hand and our borrowing capacity under our Revolving Credit Facility. Management continually monitors debt maturities to strategically execute optimal terms and ensure appropriate levels of working capital liquidity are maintained for the company.</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45" w:name="page46"/>
    <w:bookmarkEnd w:id="45"/>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77"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61"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Accounts receivable is the principal component of our working capital and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60 days at June 30, 2024 down from 76 days at June 30, 2023. Our working capital (current assets less current liabilities) was $1.1 billion at June 30, 2024 and $726.6 million at December 31, 2023.</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cash and cash equivalents increased by $255.5 million to $528.5 million at June 30, 2024 from $272.9 million at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97,807</w:t>
            </w:r>
          </w:p>
        </w:tc>
        <w:tc>
          <w:tcPr>
            <w:tcW w:w="2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(88,715 )</w:t>
            </w: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(84,218 )</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247,065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(14,185 )</w:t>
            </w: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w:t>
            </w: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(638 )</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255,519</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(83,950 )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-179705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-179705</wp:posOffset>
            </wp:positionV>
            <wp:extent cx="6032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140" w:firstLine="636"/>
        <w:spacing w:after="0" w:line="242"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losses (earnings)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1"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Net cash provided by operating activities increased $83.8 million for the six months ended June 30, 2024 compared to the six months ended June 30, 2023. The primary driver of the increase in cash flows provided by operating activities was an $142.8 million increase in net income after adjusting for non-cash items and debt extinguishment offset by an increase in cash outflows from our working capital accounts of $50.8 million (primarily from accounts payable, accrued expenses and other current liabilities, contract liabilities, and income taxes partially offset by accounts receivable, contract assets and prepaid expenses and other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20" w:firstLine="636"/>
        <w:spacing w:after="0" w:line="271"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54" w:lineRule="exact"/>
        <w:rPr>
          <w:sz w:val="20"/>
          <w:szCs w:val="20"/>
          <w:color w:val="auto"/>
        </w:rPr>
      </w:pPr>
    </w:p>
    <w:p>
      <w:pPr>
        <w:ind w:right="220" w:firstLine="636"/>
        <w:spacing w:after="0" w:line="253" w:lineRule="auto"/>
        <w:rPr>
          <w:sz w:val="20"/>
          <w:szCs w:val="20"/>
          <w:color w:val="auto"/>
        </w:rPr>
      </w:pPr>
      <w:r>
        <w:rPr>
          <w:rFonts w:ascii="Arial" w:cs="Arial" w:eastAsia="Arial" w:hAnsi="Arial"/>
          <w:sz w:val="18"/>
          <w:szCs w:val="18"/>
          <w:color w:val="auto"/>
        </w:rPr>
        <w:t>Net cash used in investing activities increased $4.5 million for the six months ended June 30, 2024, when compared to the six months ended June 30, 2023. This change was primarily driven by a $45.5 million increase in investments in unconsolidated joint ventures offset by substantially no payments for acquisitions, net of cash acquired for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6" w:name="page47"/>
    <w:bookmarkEnd w:id="46"/>
    <w:p>
      <w:pPr>
        <w:ind w:right="120"/>
        <w:spacing w:after="0" w:line="271" w:lineRule="auto"/>
        <w:rPr>
          <w:sz w:val="20"/>
          <w:szCs w:val="20"/>
          <w:color w:val="auto"/>
        </w:rPr>
      </w:pPr>
      <w:r>
        <w:rPr>
          <w:rFonts w:ascii="Arial" w:cs="Arial" w:eastAsia="Arial" w:hAnsi="Arial"/>
          <w:sz w:val="18"/>
          <w:szCs w:val="18"/>
          <w:color w:val="auto"/>
        </w:rPr>
        <w:t>the six months ended June 30, 2024 compared to $42.3 million in payments for acquisitions, net of cash acquired for the six months ended June 30, 2023.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520" w:firstLine="636"/>
        <w:spacing w:after="0" w:line="271" w:lineRule="auto"/>
        <w:rPr>
          <w:sz w:val="20"/>
          <w:szCs w:val="20"/>
          <w:color w:val="auto"/>
        </w:rPr>
      </w:pPr>
      <w:r>
        <w:rPr>
          <w:rFonts w:ascii="Arial" w:cs="Arial" w:eastAsia="Arial" w:hAnsi="Arial"/>
          <w:sz w:val="18"/>
          <w:szCs w:val="18"/>
          <w:color w:val="auto"/>
        </w:rPr>
        <w:t>Net cash (used in) provided by financing activities is primarily associated with proceeds from debt, the repayment thereof, and distributions to noncontrolling interests.</w:t>
      </w:r>
    </w:p>
    <w:p>
      <w:pPr>
        <w:spacing w:after="0" w:line="154" w:lineRule="exact"/>
        <w:rPr>
          <w:sz w:val="20"/>
          <w:szCs w:val="20"/>
          <w:color w:val="auto"/>
        </w:rPr>
      </w:pPr>
    </w:p>
    <w:p>
      <w:pPr>
        <w:ind w:right="120" w:firstLine="636"/>
        <w:spacing w:after="0" w:line="247" w:lineRule="auto"/>
        <w:rPr>
          <w:sz w:val="20"/>
          <w:szCs w:val="20"/>
          <w:color w:val="auto"/>
        </w:rPr>
      </w:pPr>
      <w:r>
        <w:rPr>
          <w:rFonts w:ascii="Arial" w:cs="Arial" w:eastAsia="Arial" w:hAnsi="Arial"/>
          <w:sz w:val="18"/>
          <w:szCs w:val="18"/>
          <w:color w:val="auto"/>
        </w:rPr>
        <w:t>Net cash provided by financing activities increased $261.3 million for the six months ended June 30, 2024 compared to the six months ended June 30, 2023. The change in cash flows from financing activities is primarily driven by net cash inflows from our convertible bond transactions which generated $287.4 million in cash. See “Note 10 – Debt and Credit Facilities,” for a further discussion of these transactions.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$303.6 million as of June 30, 2024. Letters of credit outstanding under the Credit Agreement total $43.0 million as of June 30, 2024.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right="280" w:firstLine="636"/>
        <w:spacing w:after="0" w:line="271" w:lineRule="auto"/>
        <w:rPr>
          <w:sz w:val="20"/>
          <w:szCs w:val="20"/>
          <w:color w:val="auto"/>
        </w:rPr>
      </w:pPr>
      <w:r>
        <w:rPr>
          <w:rFonts w:ascii="Arial" w:cs="Arial" w:eastAsia="Arial" w:hAnsi="Arial"/>
          <w:sz w:val="18"/>
          <w:szCs w:val="18"/>
          <w:color w:val="auto"/>
        </w:rPr>
        <w:t>See the information set forth in “Note 3—New Accounting Pronouncements” in the notes to our consolidated financial statements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2" w:lineRule="exact"/>
        <w:rPr>
          <w:sz w:val="20"/>
          <w:szCs w:val="20"/>
          <w:color w:val="auto"/>
        </w:rPr>
      </w:pPr>
    </w:p>
    <w:p>
      <w:pPr>
        <w:ind w:right="320" w:firstLine="636"/>
        <w:spacing w:after="0" w:line="253" w:lineRule="auto"/>
        <w:rPr>
          <w:sz w:val="20"/>
          <w:szCs w:val="20"/>
          <w:color w:val="auto"/>
        </w:rPr>
      </w:pPr>
      <w:r>
        <w:rPr>
          <w:rFonts w:ascii="Arial" w:cs="Arial" w:eastAsia="Arial" w:hAnsi="Arial"/>
          <w:sz w:val="18"/>
          <w:szCs w:val="18"/>
          <w:color w:val="auto"/>
        </w:rPr>
        <w:t>As of June 30, 2024,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right="2020" w:firstLine="644"/>
        <w:spacing w:after="0" w:line="271" w:lineRule="auto"/>
        <w:rPr>
          <w:sz w:val="20"/>
          <w:szCs w:val="20"/>
          <w:color w:val="auto"/>
        </w:rPr>
      </w:pPr>
      <w:r>
        <w:rPr>
          <w:rFonts w:ascii="Arial" w:cs="Arial" w:eastAsia="Arial" w:hAnsi="Arial"/>
          <w:sz w:val="18"/>
          <w:szCs w:val="18"/>
          <w:color w:val="auto"/>
        </w:rPr>
        <w:t>We are exposed to interest rate risks related to the Company’s Revolving Credit Facility and Delayed Draw Term Loan.</w:t>
      </w:r>
    </w:p>
    <w:p>
      <w:pPr>
        <w:spacing w:after="0" w:line="46" w:lineRule="exact"/>
        <w:rPr>
          <w:sz w:val="20"/>
          <w:szCs w:val="20"/>
          <w:color w:val="auto"/>
        </w:rPr>
      </w:pPr>
    </w:p>
    <w:p>
      <w:pPr>
        <w:ind w:right="220" w:firstLine="636"/>
        <w:spacing w:after="0" w:line="270" w:lineRule="auto"/>
        <w:rPr>
          <w:sz w:val="20"/>
          <w:szCs w:val="20"/>
          <w:color w:val="auto"/>
        </w:rPr>
      </w:pPr>
      <w:r>
        <w:rPr>
          <w:rFonts w:ascii="Arial" w:cs="Arial" w:eastAsia="Arial" w:hAnsi="Arial"/>
          <w:sz w:val="17"/>
          <w:szCs w:val="17"/>
          <w:color w:val="auto"/>
        </w:rPr>
        <w:t>As of June 30, 2024, there were no amounts outstanding under the Revolving Credit Facility. Borrowings under the Credit Facility effective June 2021 bear interest at either the Term SOFR rate plus a margin between 1.0% and 1.625%, or a base rate (as defined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plus a margin of between 0% and 0.625%, both based on the leverage ratio of the Company at the end of each quarter.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rates on June 30, 2024 and December 31, 2023 were both 6.7%.</w:t>
      </w:r>
    </w:p>
    <w:p>
      <w:pPr>
        <w:spacing w:after="0" w:line="86" w:lineRule="exact"/>
        <w:rPr>
          <w:sz w:val="20"/>
          <w:szCs w:val="20"/>
          <w:color w:val="auto"/>
        </w:rPr>
      </w:pPr>
    </w:p>
    <w:p>
      <w:pPr>
        <w:ind w:right="2300" w:firstLine="686"/>
        <w:spacing w:after="0" w:line="242" w:lineRule="auto"/>
        <w:rPr>
          <w:sz w:val="20"/>
          <w:szCs w:val="20"/>
          <w:color w:val="auto"/>
        </w:rPr>
      </w:pPr>
      <w:r>
        <w:rPr>
          <w:rFonts w:ascii="Arial" w:cs="Arial" w:eastAsia="Arial" w:hAnsi="Arial"/>
          <w:sz w:val="18"/>
          <w:szCs w:val="18"/>
          <w:color w:val="auto"/>
        </w:rPr>
        <w:t>As of June 30, 2024, there was $350.0 million outstanding under the Delayed Draw Term Loan.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The interest rate at June 30, 2024 and December 31, 2023 were both 6.6%.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0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Our management carried out, as of June 30, 2024,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June 30, 2024,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700" w:firstLine="636"/>
        <w:spacing w:after="0" w:line="271" w:lineRule="auto"/>
        <w:rPr>
          <w:sz w:val="20"/>
          <w:szCs w:val="20"/>
          <w:color w:val="auto"/>
        </w:rPr>
      </w:pPr>
      <w:r>
        <w:rPr>
          <w:rFonts w:ascii="Arial" w:cs="Arial" w:eastAsia="Arial" w:hAnsi="Arial"/>
          <w:sz w:val="18"/>
          <w:szCs w:val="18"/>
          <w:color w:val="auto"/>
        </w:rPr>
        <w:t>During the second quarter of 2024, there were no changes to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480" w:firstLine="636"/>
        <w:spacing w:after="0" w:line="271"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have been no material changes to our Risk Factors disclosed in the Company’s Form 10-K for the year ended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ind w:right="120" w:firstLine="644"/>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amended this authorization in August 2022 to remove the prior expiration date and grant executive leadership the discretion to determine the price for such share repurchases. The Board further amended this authorization in February 2024 to restore the repurchase capacity to $100 million and removed the $25 million quarterly cap on such repurchases.</w:t>
      </w:r>
    </w:p>
    <w:p>
      <w:pPr>
        <w:spacing w:after="0" w:line="68" w:lineRule="exact"/>
        <w:rPr>
          <w:sz w:val="20"/>
          <w:szCs w:val="20"/>
          <w:color w:val="auto"/>
        </w:rPr>
      </w:pPr>
    </w:p>
    <w:p>
      <w:pPr>
        <w:ind w:right="160" w:firstLine="644"/>
        <w:spacing w:after="0" w:line="253" w:lineRule="auto"/>
        <w:rPr>
          <w:sz w:val="20"/>
          <w:szCs w:val="20"/>
          <w:color w:val="auto"/>
        </w:rPr>
      </w:pPr>
      <w:r>
        <w:rPr>
          <w:rFonts w:ascii="Arial" w:cs="Arial" w:eastAsia="Arial" w:hAnsi="Arial"/>
          <w:sz w:val="18"/>
          <w:szCs w:val="18"/>
          <w:color w:val="auto"/>
        </w:rPr>
        <w:t>At the time of the February 2024 authorization, the Company had repurchased shares with an aggregated market value (including fees) of $54.7 million. The aggregate market value of shares of Common Stock the Company is authorized to acquire, from both the August 2021 and February 2024 authorizations, is not greater than $154.7 million.</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2024, the Company has $90 million remaining under the stock repurchase program.</w:t>
      </w:r>
    </w:p>
    <w:p>
      <w:pPr>
        <w:spacing w:after="0" w:line="104" w:lineRule="exact"/>
        <w:rPr>
          <w:sz w:val="20"/>
          <w:szCs w:val="20"/>
          <w:color w:val="auto"/>
        </w:rPr>
      </w:pPr>
    </w:p>
    <w:p>
      <w:pPr>
        <w:ind w:right="140" w:firstLine="636"/>
        <w:spacing w:after="0" w:line="244"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68" w:lineRule="exact"/>
        <w:rPr>
          <w:sz w:val="20"/>
          <w:szCs w:val="20"/>
          <w:color w:val="auto"/>
        </w:rPr>
      </w:pPr>
    </w:p>
    <w:p>
      <w:pPr>
        <w:ind w:right="1520" w:firstLine="644"/>
        <w:spacing w:after="0" w:line="301" w:lineRule="auto"/>
        <w:rPr>
          <w:sz w:val="20"/>
          <w:szCs w:val="20"/>
          <w:color w:val="auto"/>
        </w:rPr>
      </w:pPr>
      <w:r>
        <w:rPr>
          <w:rFonts w:ascii="Arial" w:cs="Arial" w:eastAsia="Arial" w:hAnsi="Arial"/>
          <w:sz w:val="17"/>
          <w:szCs w:val="17"/>
          <w:color w:val="auto"/>
        </w:rPr>
        <w:t>As of June 30, 2024, the Company has spent $64.7 million (which includes commissions paid of $31.2 thousand) repurchasing 1,557,529 shares of Common Stock (all of which have been retired) at an average price of $41.54 per share.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purchases of equity securities for the three months ended June 30, 2024.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260" w:type="dxa"/>
            <w:vAlign w:val="bottom"/>
          </w:tcPr>
          <w:p>
            <w:pPr>
              <w:spacing w:after="0"/>
              <w:rPr>
                <w:sz w:val="14"/>
                <w:szCs w:val="14"/>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center"/>
              <w:ind w:right="296"/>
              <w:spacing w:after="0"/>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(or approximate</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7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 paid</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(or units</w:t>
            </w:r>
          </w:p>
        </w:tc>
        <w:tc>
          <w:tcPr>
            <w:tcW w:w="300" w:type="dxa"/>
            <w:vAlign w:val="bottom"/>
          </w:tcPr>
          <w:p>
            <w:pPr>
              <w:spacing w:after="0"/>
              <w:rPr>
                <w:sz w:val="10"/>
                <w:szCs w:val="1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per share (or unit)</w:t>
            </w:r>
          </w:p>
        </w:tc>
        <w:tc>
          <w:tcPr>
            <w:tcW w:w="2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shares (or units)</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center"/>
              <w:ind w:right="296"/>
              <w:spacing w:after="0"/>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85"/>
        </w:trPr>
        <w:tc>
          <w:tcPr>
            <w:tcW w:w="1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the plans 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to 30, 2024</w:t>
            </w:r>
          </w:p>
        </w:tc>
        <w:tc>
          <w:tcPr>
            <w:tcW w:w="27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Arial" w:cs="Arial" w:eastAsia="Arial" w:hAnsi="Arial"/>
                <w:sz w:val="18"/>
                <w:szCs w:val="18"/>
                <w:color w:val="auto"/>
              </w:rPr>
              <w:t>May 1 to 31, 2024</w:t>
            </w:r>
          </w:p>
        </w:tc>
        <w:tc>
          <w:tcPr>
            <w:tcW w:w="2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63,375</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78.8931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63,375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95,000,148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June 1 to 30, 2024</w:t>
            </w:r>
          </w:p>
        </w:tc>
        <w:tc>
          <w:tcPr>
            <w:tcW w:w="27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67,678</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73.8782</w:t>
            </w:r>
          </w:p>
        </w:tc>
        <w:tc>
          <w:tcPr>
            <w:tcW w:w="2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67,678</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90,000,219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ind w:left="20"/>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131,053</w:t>
            </w:r>
          </w:p>
        </w:tc>
        <w:tc>
          <w:tcPr>
            <w:tcW w:w="6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76.3033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131,053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90,000,219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-179070</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-179070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Insider Trading Relationships and Policies</w:t>
      </w:r>
    </w:p>
    <w:p>
      <w:pPr>
        <w:spacing w:after="0" w:line="104" w:lineRule="exact"/>
        <w:rPr>
          <w:sz w:val="20"/>
          <w:szCs w:val="20"/>
          <w:color w:val="auto"/>
        </w:rPr>
      </w:pPr>
    </w:p>
    <w:p>
      <w:pPr>
        <w:ind w:right="280" w:firstLine="644"/>
        <w:spacing w:after="0" w:line="247" w:lineRule="auto"/>
        <w:rPr>
          <w:sz w:val="20"/>
          <w:szCs w:val="20"/>
          <w:color w:val="auto"/>
        </w:rPr>
      </w:pPr>
      <w:r>
        <w:rPr>
          <w:rFonts w:ascii="Arial" w:cs="Arial" w:eastAsia="Arial" w:hAnsi="Arial"/>
          <w:sz w:val="18"/>
          <w:szCs w:val="18"/>
          <w:color w:val="auto"/>
        </w:rPr>
        <w:t>In conformance with updated SEC regulations, the Company has adopted amended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New York Stock Exchange standards.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ind w:right="75"/>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960" w:type="dxa"/>
            <w:vAlign w:val="bottom"/>
            <w:tcBorders>
              <w:bottom w:val="single" w:sz="8" w:color="auto"/>
            </w:tcBorders>
            <w:gridSpan w:val="9"/>
          </w:tcPr>
          <w:p>
            <w:pPr>
              <w:ind w:left="24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820" w:type="dxa"/>
            <w:vAlign w:val="bottom"/>
          </w:tcPr>
          <w:p>
            <w:pPr>
              <w:jc w:val="right"/>
              <w:ind w:right="295"/>
              <w:spacing w:after="0"/>
              <w:rPr>
                <w:sz w:val="20"/>
                <w:szCs w:val="20"/>
                <w:color w:val="auto"/>
              </w:rPr>
            </w:pPr>
            <w:r>
              <w:rPr>
                <w:rFonts w:ascii="Arial" w:cs="Arial" w:eastAsia="Arial" w:hAnsi="Arial"/>
                <w:sz w:val="18"/>
                <w:szCs w:val="18"/>
                <w:color w:val="auto"/>
                <w:w w:val="99"/>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Tenth Amendment To The Parsons Corporation Retirement Savings Plan (2017 Amendment and Restatement)</w:t>
            </w:r>
          </w:p>
        </w:tc>
        <w:tc>
          <w:tcPr>
            <w:tcW w:w="1480" w:type="dxa"/>
            <w:vAlign w:val="bottom"/>
            <w:gridSpan w:val="5"/>
          </w:tcPr>
          <w:p>
            <w:pPr>
              <w:spacing w:after="0"/>
              <w:rPr>
                <w:sz w:val="24"/>
                <w:szCs w:val="24"/>
                <w:color w:val="auto"/>
              </w:rPr>
            </w:pPr>
          </w:p>
        </w:tc>
      </w:tr>
      <w:tr>
        <w:trPr>
          <w:trHeight w:val="358"/>
        </w:trPr>
        <w:tc>
          <w:tcPr>
            <w:tcW w:w="820" w:type="dxa"/>
            <w:vAlign w:val="bottom"/>
          </w:tcPr>
          <w:p>
            <w:pPr>
              <w:jc w:val="right"/>
              <w:ind w:right="295"/>
              <w:spacing w:after="0"/>
              <w:rPr>
                <w:sz w:val="20"/>
                <w:szCs w:val="20"/>
                <w:color w:val="auto"/>
              </w:rPr>
            </w:pPr>
            <w:r>
              <w:rPr>
                <w:rFonts w:ascii="Arial" w:cs="Arial" w:eastAsia="Arial" w:hAnsi="Arial"/>
                <w:sz w:val="18"/>
                <w:szCs w:val="18"/>
                <w:color w:val="auto"/>
                <w:w w:val="99"/>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Arial" w:cs="Arial" w:eastAsia="Arial" w:hAnsi="Arial"/>
                <w:sz w:val="18"/>
                <w:szCs w:val="18"/>
                <w:color w:val="0000FF"/>
              </w:rPr>
              <w:t>Seventh Amendment To The Parsons Employee Stock Ownership Plan 2019 Amendment and Restatement</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20" w:type="dxa"/>
            <w:vAlign w:val="bottom"/>
          </w:tcPr>
          <w:p>
            <w:pPr>
              <w:jc w:val="right"/>
              <w:ind w:right="295"/>
              <w:spacing w:after="0"/>
              <w:rPr>
                <w:sz w:val="20"/>
                <w:szCs w:val="20"/>
                <w:color w:val="auto"/>
              </w:rPr>
            </w:pPr>
            <w:r>
              <w:rPr>
                <w:rFonts w:ascii="Arial" w:cs="Arial" w:eastAsia="Arial" w:hAnsi="Arial"/>
                <w:sz w:val="18"/>
                <w:szCs w:val="18"/>
                <w:color w:val="auto"/>
                <w:w w:val="99"/>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820" w:type="dxa"/>
            <w:vAlign w:val="bottom"/>
          </w:tcPr>
          <w:p>
            <w:pPr>
              <w:jc w:val="right"/>
              <w:ind w:right="295"/>
              <w:spacing w:after="0"/>
              <w:rPr>
                <w:sz w:val="20"/>
                <w:szCs w:val="20"/>
                <w:color w:val="auto"/>
              </w:rPr>
            </w:pPr>
            <w:r>
              <w:rPr>
                <w:rFonts w:ascii="Arial" w:cs="Arial" w:eastAsia="Arial" w:hAnsi="Arial"/>
                <w:sz w:val="18"/>
                <w:szCs w:val="18"/>
                <w:color w:val="auto"/>
                <w:w w:val="99"/>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 1934,</w:t>
            </w:r>
          </w:p>
        </w:tc>
      </w:tr>
      <w:tr>
        <w:trPr>
          <w:trHeight w:val="182"/>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as Adopted Pursuant to Section 302 of the Sarbanes-Oxley Act of 2002.</w:t>
            </w:r>
          </w:p>
        </w:tc>
        <w:tc>
          <w:tcPr>
            <w:tcW w:w="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tcBorders>
              <w:right w:val="single" w:sz="8" w:color="0000EE"/>
            </w:tcBorders>
            <w:shd w:val="clear" w:color="auto" w:fill="0000FF"/>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358"/>
        </w:trPr>
        <w:tc>
          <w:tcPr>
            <w:tcW w:w="820" w:type="dxa"/>
            <w:vAlign w:val="bottom"/>
          </w:tcPr>
          <w:p>
            <w:pPr>
              <w:jc w:val="right"/>
              <w:ind w:right="295"/>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6"/>
          </w:tcPr>
          <w:p>
            <w:pPr>
              <w:spacing w:after="0"/>
              <w:rPr>
                <w:sz w:val="15"/>
                <w:szCs w:val="15"/>
                <w:color w:val="auto"/>
              </w:rPr>
            </w:pPr>
          </w:p>
        </w:tc>
        <w:tc>
          <w:tcPr>
            <w:tcW w:w="560" w:type="dxa"/>
            <w:vAlign w:val="bottom"/>
            <w:gridSpan w:val="3"/>
          </w:tcPr>
          <w:p>
            <w:pPr>
              <w:spacing w:after="0"/>
              <w:rPr>
                <w:sz w:val="15"/>
                <w:szCs w:val="15"/>
                <w:color w:val="auto"/>
              </w:rPr>
            </w:pPr>
          </w:p>
        </w:tc>
      </w:tr>
      <w:tr>
        <w:trPr>
          <w:trHeight w:val="358"/>
        </w:trPr>
        <w:tc>
          <w:tcPr>
            <w:tcW w:w="820" w:type="dxa"/>
            <w:vAlign w:val="bottom"/>
          </w:tcPr>
          <w:p>
            <w:pPr>
              <w:jc w:val="right"/>
              <w:ind w:right="295"/>
              <w:spacing w:after="0"/>
              <w:rPr>
                <w:sz w:val="20"/>
                <w:szCs w:val="20"/>
                <w:color w:val="auto"/>
              </w:rPr>
            </w:pPr>
            <w:r>
              <w:rPr>
                <w:rFonts w:ascii="Arial" w:cs="Arial" w:eastAsia="Arial" w:hAnsi="Arial"/>
                <w:sz w:val="18"/>
                <w:szCs w:val="18"/>
                <w:color w:val="auto"/>
                <w:w w:val="99"/>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5"/>
          </w:tcPr>
          <w:p>
            <w:pPr>
              <w:spacing w:after="0"/>
              <w:rPr>
                <w:sz w:val="15"/>
                <w:szCs w:val="15"/>
                <w:color w:val="auto"/>
              </w:rPr>
            </w:pPr>
          </w:p>
        </w:tc>
        <w:tc>
          <w:tcPr>
            <w:tcW w:w="620" w:type="dxa"/>
            <w:vAlign w:val="bottom"/>
            <w:gridSpan w:val="4"/>
          </w:tcPr>
          <w:p>
            <w:pPr>
              <w:spacing w:after="0"/>
              <w:rPr>
                <w:sz w:val="15"/>
                <w:szCs w:val="15"/>
                <w:color w:val="auto"/>
              </w:rPr>
            </w:pPr>
          </w:p>
        </w:tc>
      </w:tr>
    </w:tbl>
    <w:p>
      <w:pPr>
        <w:spacing w:after="0" w:line="170" w:lineRule="exact"/>
        <w:rPr>
          <w:sz w:val="20"/>
          <w:szCs w:val="20"/>
          <w:color w:val="auto"/>
        </w:rPr>
      </w:pPr>
    </w:p>
    <w:p>
      <w:pPr>
        <w:ind w:left="960" w:right="20" w:hanging="939"/>
        <w:spacing w:after="0" w:line="266" w:lineRule="auto"/>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June 30, 2024,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119" w:lineRule="exact"/>
        <w:rPr>
          <w:sz w:val="20"/>
          <w:szCs w:val="20"/>
          <w:color w:val="auto"/>
        </w:rPr>
      </w:pPr>
    </w:p>
    <w:p>
      <w:pPr>
        <w:ind w:left="960" w:right="60" w:hanging="939"/>
        <w:spacing w:after="0" w:line="271" w:lineRule="auto"/>
        <w:tabs>
          <w:tab w:leader="none" w:pos="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95123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Parsons Corporation</w:t>
      </w:r>
    </w:p>
    <w:p>
      <w:pPr>
        <w:spacing w:after="0" w:line="252" w:lineRule="exact"/>
        <w:rPr>
          <w:sz w:val="20"/>
          <w:szCs w:val="20"/>
          <w:color w:val="auto"/>
        </w:rPr>
      </w:pPr>
    </w:p>
    <w:p>
      <w:pPr>
        <w:ind w:left="20"/>
        <w:spacing w:after="0"/>
        <w:tabs>
          <w:tab w:leader="none" w:pos="5880" w:val="left"/>
          <w:tab w:leader="none" w:pos="7880" w:val="left"/>
        </w:tabs>
        <w:rPr>
          <w:sz w:val="20"/>
          <w:szCs w:val="20"/>
          <w:color w:val="auto"/>
        </w:rPr>
      </w:pPr>
      <w:r>
        <w:rPr>
          <w:rFonts w:ascii="Arial" w:cs="Arial" w:eastAsia="Arial" w:hAnsi="Arial"/>
          <w:sz w:val="18"/>
          <w:szCs w:val="18"/>
          <w:color w:val="auto"/>
        </w:rPr>
        <w:t>Date: July 31,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17780</wp:posOffset>
            </wp:positionV>
            <wp:extent cx="31629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Matthew M. Ofilos</w:t>
      </w:r>
    </w:p>
    <w:p>
      <w:pPr>
        <w:spacing w:after="0" w:line="32"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5" w:right="599" w:bottom="1440" w:gutter="0" w:footer="0" w:header="0"/>
        </w:sectPr>
      </w:pPr>
    </w:p>
    <w:bookmarkStart w:id="51" w:name="page52"/>
    <w:bookmarkEnd w:id="51"/>
    <w:p>
      <w:pPr>
        <w:jc w:val="right"/>
        <w:spacing w:after="0"/>
        <w:rPr>
          <w:sz w:val="20"/>
          <w:szCs w:val="20"/>
          <w:color w:val="auto"/>
        </w:rPr>
      </w:pPr>
      <w:r>
        <w:rPr>
          <w:rFonts w:ascii="Calibri" w:cs="Calibri" w:eastAsia="Calibri" w:hAnsi="Calibri"/>
          <w:sz w:val="20"/>
          <w:szCs w:val="20"/>
          <w:color w:val="auto"/>
        </w:rPr>
        <w:t>Exhibit 10.1</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TENTH AMENDMENT TO THE</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PARSONS CORPORATION RETIREMENT SAVINGS PLAN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(2017 AMENDMENT AND RESTATEMENT)</w:t>
      </w:r>
    </w:p>
    <w:p>
      <w:pPr>
        <w:spacing w:after="0" w:line="356" w:lineRule="exact"/>
        <w:rPr>
          <w:sz w:val="20"/>
          <w:szCs w:val="20"/>
          <w:color w:val="auto"/>
        </w:rPr>
      </w:pPr>
    </w:p>
    <w:p>
      <w:pPr>
        <w:ind w:right="200" w:firstLine="396"/>
        <w:spacing w:after="0" w:line="269" w:lineRule="auto"/>
        <w:rPr>
          <w:sz w:val="20"/>
          <w:szCs w:val="20"/>
          <w:color w:val="auto"/>
        </w:rPr>
      </w:pPr>
      <w:r>
        <w:rPr>
          <w:rFonts w:ascii="Times New Roman" w:cs="Times New Roman" w:eastAsia="Times New Roman" w:hAnsi="Times New Roman"/>
          <w:sz w:val="20"/>
          <w:szCs w:val="20"/>
          <w:color w:val="auto"/>
        </w:rPr>
        <w:t>The Parsons Corporation Retirement Savings Plan (2017 Amendment and Restatement), as previously amended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hereby amended as follows effective as of July 1, 2024, unless otherwise indicated below:</w:t>
      </w:r>
    </w:p>
    <w:p>
      <w:pPr>
        <w:spacing w:after="0" w:line="78"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Section 1.23 is hereby added to the Plan to read as follows:</w:t>
      </w:r>
    </w:p>
    <w:p>
      <w:pPr>
        <w:spacing w:after="0" w:line="144" w:lineRule="exact"/>
        <w:rPr>
          <w:rFonts w:ascii="Times New Roman" w:cs="Times New Roman" w:eastAsia="Times New Roman" w:hAnsi="Times New Roman"/>
          <w:sz w:val="20"/>
          <w:szCs w:val="20"/>
          <w:color w:val="auto"/>
        </w:rPr>
      </w:pPr>
    </w:p>
    <w:p>
      <w:pPr>
        <w:jc w:val="both"/>
        <w:ind w:left="760" w:right="160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1.22 Merger of I.S. Engineers, LLC 401(k) Plan</w:t>
      </w:r>
      <w:r>
        <w:rPr>
          <w:rFonts w:ascii="Times New Roman" w:cs="Times New Roman" w:eastAsia="Times New Roman" w:hAnsi="Times New Roman"/>
          <w:sz w:val="20"/>
          <w:szCs w:val="20"/>
          <w:color w:val="auto"/>
        </w:rPr>
        <w:t>. Effective as of July 1, 2024, the I.S. Engineers, LLC 401(k)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(the “</w:t>
      </w:r>
      <w:r>
        <w:rPr>
          <w:rFonts w:ascii="Times New Roman" w:cs="Times New Roman" w:eastAsia="Times New Roman" w:hAnsi="Times New Roman"/>
          <w:sz w:val="20"/>
          <w:szCs w:val="20"/>
          <w:u w:val="single" w:color="auto"/>
          <w:color w:val="auto"/>
        </w:rPr>
        <w:t>I.S. Engineers Plan</w:t>
      </w:r>
      <w:r>
        <w:rPr>
          <w:rFonts w:ascii="Times New Roman" w:cs="Times New Roman" w:eastAsia="Times New Roman" w:hAnsi="Times New Roman"/>
          <w:sz w:val="20"/>
          <w:szCs w:val="20"/>
          <w:color w:val="auto"/>
        </w:rPr>
        <w:t>”) is merged into this Plan and the assets held pursuant to the trust for the I.S. Engineers Plan are combined with the Trust Fund and held pursuant to the Trust Agreement. Effective as of said date, every participant in the I.S. Engineers Plan (each an “</w:t>
      </w:r>
      <w:r>
        <w:rPr>
          <w:rFonts w:ascii="Times New Roman" w:cs="Times New Roman" w:eastAsia="Times New Roman" w:hAnsi="Times New Roman"/>
          <w:sz w:val="20"/>
          <w:szCs w:val="20"/>
          <w:u w:val="single" w:color="auto"/>
          <w:color w:val="auto"/>
        </w:rPr>
        <w:t>I.S. Engineers Participant</w:t>
      </w:r>
      <w:r>
        <w:rPr>
          <w:rFonts w:ascii="Times New Roman" w:cs="Times New Roman" w:eastAsia="Times New Roman" w:hAnsi="Times New Roman"/>
          <w:sz w:val="20"/>
          <w:szCs w:val="20"/>
          <w:color w:val="auto"/>
        </w:rPr>
        <w:t>”) who was not previously a Participant in the Plan will become a Participant. The accounts held under the I.S. Engineers Plan will be transferred to the applicable accounts under the Plan and the rights and benefits of I.S. Engineers Participants will be governed by the Plan, including without limitation, Section 4.2.5 hereof.</w:t>
      </w:r>
    </w:p>
    <w:p>
      <w:pPr>
        <w:spacing w:after="0" w:line="115" w:lineRule="exact"/>
        <w:rPr>
          <w:rFonts w:ascii="Times New Roman" w:cs="Times New Roman" w:eastAsia="Times New Roman" w:hAnsi="Times New Roman"/>
          <w:sz w:val="20"/>
          <w:szCs w:val="20"/>
          <w:color w:val="auto"/>
        </w:rPr>
      </w:pPr>
    </w:p>
    <w:p>
      <w:pPr>
        <w:ind w:left="700" w:hanging="318"/>
        <w:spacing w:after="0"/>
        <w:tabs>
          <w:tab w:leader="none" w:pos="7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2.11A of the Plan is hereby amended to read as follows:</w:t>
      </w:r>
    </w:p>
    <w:p>
      <w:pPr>
        <w:spacing w:after="0" w:line="200" w:lineRule="exact"/>
        <w:rPr>
          <w:sz w:val="20"/>
          <w:szCs w:val="20"/>
          <w:color w:val="auto"/>
        </w:rPr>
      </w:pPr>
    </w:p>
    <w:p>
      <w:pPr>
        <w:spacing w:after="0" w:line="322" w:lineRule="exact"/>
        <w:rPr>
          <w:sz w:val="20"/>
          <w:szCs w:val="20"/>
          <w:color w:val="auto"/>
        </w:rPr>
      </w:pPr>
    </w:p>
    <w:p>
      <w:pPr>
        <w:ind w:left="760" w:right="1600"/>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2.11A. Disability. </w:t>
      </w:r>
      <w:r>
        <w:rPr>
          <w:rFonts w:ascii="Times New Roman" w:cs="Times New Roman" w:eastAsia="Times New Roman" w:hAnsi="Times New Roman"/>
          <w:sz w:val="19"/>
          <w:szCs w:val="19"/>
          <w:color w:val="auto"/>
        </w:rPr>
        <w:t>“Disability” shall mean that the Participant has been determined by the Social Security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Administration as eligible for Social Security disability benefits. Notwithstanding the foregoing, with respect to</w:t>
      </w:r>
    </w:p>
    <w:p>
      <w:pPr>
        <w:spacing w:after="0" w:line="1" w:lineRule="exact"/>
        <w:rPr>
          <w:sz w:val="20"/>
          <w:szCs w:val="20"/>
          <w:color w:val="auto"/>
        </w:rPr>
      </w:pPr>
    </w:p>
    <w:p>
      <w:pPr>
        <w:jc w:val="both"/>
        <w:ind w:left="760" w:right="1600" w:hanging="3"/>
        <w:spacing w:after="0"/>
        <w:tabs>
          <w:tab w:leader="none" w:pos="102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 balances merged into the Plan on November 1, 2023 from the LN &amp; JN Plan, and (ii) Account balances merged into the Plan on July 1, 2024 from the I.S. Engineers Plan, “Disability” for the LN &amp; JN Participant or I.S. Engineers Participant, as applicable, with respect to such merged Account balances, shall mean that the Participant is unable to engage in any substantial gainful activity by reason of any medically determinable physical or mental impairment that can be expected to result in death or which has lasted or can be expected to last for a continuous period of not less than twelve months. The permanence and degree of such impairment must be supported by medical evidence.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1" w:lineRule="exact"/>
        <w:rPr>
          <w:rFonts w:ascii="Times New Roman" w:cs="Times New Roman" w:eastAsia="Times New Roman" w:hAnsi="Times New Roman"/>
          <w:sz w:val="20"/>
          <w:szCs w:val="20"/>
          <w:color w:val="auto"/>
        </w:rPr>
      </w:pPr>
    </w:p>
    <w:p>
      <w:pPr>
        <w:ind w:left="5240"/>
        <w:spacing w:after="0"/>
        <w:rPr>
          <w:rFonts w:ascii="Times New Roman" w:cs="Times New Roman" w:eastAsia="Times New Roman" w:hAnsi="Times New Roman"/>
          <w:sz w:val="20"/>
          <w:szCs w:val="20"/>
          <w:color w:val="auto"/>
        </w:rPr>
      </w:pPr>
      <w:r>
        <w:rPr>
          <w:rFonts w:ascii="Calibri" w:cs="Calibri" w:eastAsia="Calibri" w:hAnsi="Calibri"/>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1130935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2" w:name="page53"/>
    <w:bookmarkEnd w:id="52"/>
    <w:p>
      <w:pPr>
        <w:jc w:val="right"/>
        <w:spacing w:after="0"/>
        <w:rPr>
          <w:sz w:val="20"/>
          <w:szCs w:val="20"/>
          <w:color w:val="auto"/>
        </w:rPr>
      </w:pPr>
      <w:r>
        <w:rPr>
          <w:rFonts w:ascii="Calibri" w:cs="Calibri" w:eastAsia="Calibri" w:hAnsi="Calibri"/>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this instrument of amendment is executed this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July, 2024.</w:t>
      </w:r>
    </w:p>
    <w:p>
      <w:pPr>
        <w:spacing w:after="0" w:line="13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4060"/>
        <w:spacing w:after="0"/>
        <w:tabs>
          <w:tab w:leader="none" w:pos="4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1026795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75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SEVENTH AMENDMENT TO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PARSONS EMPLOYEE STOCK OWNERSHIP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2019 AMENDMENT AND RESTATEMENT</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Parsons Employee Stock Ownership Plan 2019 Amendment and Restatement (as amended,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hereby amended as follows, in each case with respect to all diversifications elected or processed on or after August 1, 2024:</w:t>
      </w:r>
    </w:p>
    <w:p>
      <w:pPr>
        <w:spacing w:after="0" w:line="158"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7.5(a) of the Plan are hereby amended and restated to read as follows:</w:t>
      </w:r>
    </w:p>
    <w:p>
      <w:pPr>
        <w:spacing w:after="0" w:line="23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 of this Section 7.5 only, the following definitions shall apply:</w:t>
      </w:r>
    </w:p>
    <w:p>
      <w:pPr>
        <w:spacing w:after="0" w:line="246" w:lineRule="exact"/>
        <w:rPr>
          <w:rFonts w:ascii="Times New Roman" w:cs="Times New Roman" w:eastAsia="Times New Roman" w:hAnsi="Times New Roman"/>
          <w:sz w:val="22"/>
          <w:szCs w:val="22"/>
          <w:color w:val="auto"/>
        </w:rPr>
      </w:pPr>
    </w:p>
    <w:p>
      <w:pPr>
        <w:jc w:val="both"/>
        <w:ind w:left="760" w:right="760" w:firstLine="692"/>
        <w:spacing w:after="0" w:line="209" w:lineRule="auto"/>
        <w:tabs>
          <w:tab w:leader="none" w:pos="1887"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Election Period” shall begin on the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following the end of each Plan Year in the Participant’s Qualified Election Period and end on December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each Plan Year (approximately 350 day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other requirements and terms governing diversifications shall remain in full force and effect.</w:t>
      </w:r>
    </w:p>
    <w:p>
      <w:pPr>
        <w:spacing w:after="0" w:line="200" w:lineRule="exact"/>
        <w:rPr>
          <w:sz w:val="20"/>
          <w:szCs w:val="20"/>
          <w:color w:val="auto"/>
        </w:rPr>
      </w:pP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IN WITNESS WHEREOF, this instrument of amendment is executed this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July, 2024.</w:t>
      </w:r>
    </w:p>
    <w:p>
      <w:pPr>
        <w:spacing w:after="0" w:line="1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1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1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the Seventh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Parsons Employee Stock Ownership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2019 Amendment and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2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8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ind w:left="20"/>
        <w:spacing w:after="0"/>
        <w:tabs>
          <w:tab w:leader="none" w:pos="6640" w:val="left"/>
          <w:tab w:leader="none" w:pos="8420" w:val="left"/>
        </w:tabs>
        <w:rPr>
          <w:sz w:val="20"/>
          <w:szCs w:val="20"/>
          <w:color w:val="auto"/>
        </w:rPr>
      </w:pPr>
      <w:r>
        <w:rPr>
          <w:rFonts w:ascii="Arial" w:cs="Arial" w:eastAsia="Arial" w:hAnsi="Arial"/>
          <w:sz w:val="18"/>
          <w:szCs w:val="18"/>
          <w:color w:val="auto"/>
        </w:rPr>
        <w:t>Date: July 31,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17780</wp:posOffset>
            </wp:positionV>
            <wp:extent cx="263144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2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8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p>
      <w:pPr>
        <w:ind w:left="20"/>
        <w:spacing w:after="0"/>
        <w:tabs>
          <w:tab w:leader="none" w:pos="6760" w:val="left"/>
          <w:tab w:leader="none" w:pos="8300" w:val="left"/>
        </w:tabs>
        <w:rPr>
          <w:sz w:val="20"/>
          <w:szCs w:val="20"/>
          <w:color w:val="auto"/>
        </w:rPr>
      </w:pPr>
      <w:r>
        <w:rPr>
          <w:rFonts w:ascii="Arial" w:cs="Arial" w:eastAsia="Arial" w:hAnsi="Arial"/>
          <w:sz w:val="18"/>
          <w:szCs w:val="18"/>
          <w:color w:val="auto"/>
        </w:rPr>
        <w:t>Date: July 31,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17780</wp:posOffset>
            </wp:positionV>
            <wp:extent cx="263144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5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Matthew M. Ofilos</w:t>
      </w:r>
    </w:p>
    <w:p>
      <w:pPr>
        <w:spacing w:after="0" w:line="32"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June 30, 2024 as filed with the Securities and Exchange Commission on the date hereof (the “Report”), I, Carey A. Smith, Chief Executive Officer of the Company, certify, pursuant to 18 U.S.C. § 1350, as adopted pursuant to § 906 of the Sarbanes-Oxley Act of 2002, that:</w:t>
      </w:r>
    </w:p>
    <w:p>
      <w:pPr>
        <w:spacing w:after="0" w:line="61"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p>
      <w:pPr>
        <w:ind w:left="20"/>
        <w:spacing w:after="0"/>
        <w:tabs>
          <w:tab w:leader="none" w:pos="6080" w:val="left"/>
          <w:tab w:leader="none" w:pos="8140" w:val="left"/>
        </w:tabs>
        <w:rPr>
          <w:sz w:val="20"/>
          <w:szCs w:val="20"/>
          <w:color w:val="auto"/>
        </w:rPr>
      </w:pPr>
      <w:r>
        <w:rPr>
          <w:rFonts w:ascii="Arial" w:cs="Arial" w:eastAsia="Arial" w:hAnsi="Arial"/>
          <w:sz w:val="18"/>
          <w:szCs w:val="18"/>
          <w:color w:val="auto"/>
        </w:rPr>
        <w:t>Date: July 31,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17780</wp:posOffset>
            </wp:positionV>
            <wp:extent cx="299148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Carey A. Smith</w:t>
      </w:r>
    </w:p>
    <w:p>
      <w:pPr>
        <w:spacing w:after="0" w:line="3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June 30, 2024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p>
      <w:pPr>
        <w:ind w:left="20"/>
        <w:spacing w:after="0"/>
        <w:tabs>
          <w:tab w:leader="none" w:pos="6080" w:val="left"/>
          <w:tab w:leader="none" w:pos="8020" w:val="left"/>
        </w:tabs>
        <w:rPr>
          <w:sz w:val="20"/>
          <w:szCs w:val="20"/>
          <w:color w:val="auto"/>
        </w:rPr>
      </w:pPr>
      <w:r>
        <w:rPr>
          <w:rFonts w:ascii="Arial" w:cs="Arial" w:eastAsia="Arial" w:hAnsi="Arial"/>
          <w:sz w:val="18"/>
          <w:szCs w:val="18"/>
          <w:color w:val="auto"/>
        </w:rPr>
        <w:t>Date: July 31,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17780</wp:posOffset>
            </wp:positionV>
            <wp:extent cx="300037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57"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Matthew M. Ofilos</w:t>
      </w:r>
    </w:p>
    <w:p>
      <w:pPr>
        <w:spacing w:after="0" w:line="32"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1."/>
      <w:numFmt w:val="decimal"/>
      <w:start w:val="4"/>
    </w:lvl>
  </w:abstractNum>
  <w:abstractNum w:abstractNumId="6">
    <w:nsid w:val="79838CB2"/>
    <w:multiLevelType w:val="hybridMultilevel"/>
    <w:lvl w:ilvl="0">
      <w:lvlJc w:val="left"/>
      <w:lvlText w:val="%1."/>
      <w:numFmt w:val="decimal"/>
      <w:start w:val="5"/>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6"/>
    </w:lvl>
  </w:abstractNum>
  <w:abstractNum w:abstractNumId="9">
    <w:nsid w:val="189A769B"/>
    <w:multiLevelType w:val="hybridMultilevel"/>
    <w:lvl w:ilvl="0">
      <w:lvlJc w:val="left"/>
      <w:lvlText w:val="%1."/>
      <w:numFmt w:val="decimal"/>
      <w:start w:val="7"/>
    </w:lvl>
  </w:abstractNum>
  <w:abstractNum w:abstractNumId="10">
    <w:nsid w:val="54E49EB4"/>
    <w:multiLevelType w:val="hybridMultilevel"/>
    <w:lvl w:ilvl="0">
      <w:lvlJc w:val="left"/>
      <w:lvlText w:val="%1."/>
      <w:numFmt w:val="decimal"/>
      <w:start w:val="8"/>
    </w:lvl>
  </w:abstractNum>
  <w:abstractNum w:abstractNumId="11">
    <w:nsid w:val="71F32454"/>
    <w:multiLevelType w:val="hybridMultilevel"/>
    <w:lvl w:ilvl="0">
      <w:lvlJc w:val="left"/>
      <w:lvlText w:val="%1."/>
      <w:numFmt w:val="decimal"/>
      <w:start w:val="9"/>
    </w:lvl>
  </w:abstractNum>
  <w:abstractNum w:abstractNumId="12">
    <w:nsid w:val="2CA88611"/>
    <w:multiLevelType w:val="hybridMultilevel"/>
    <w:lvl w:ilvl="0">
      <w:lvlJc w:val="left"/>
      <w:lvlText w:val="%1."/>
      <w:numFmt w:val="decimal"/>
      <w:start w:val="10"/>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1"/>
    </w:lvl>
  </w:abstractNum>
  <w:abstractNum w:abstractNumId="17">
    <w:nsid w:val="1E7FF521"/>
    <w:multiLevelType w:val="hybridMultilevel"/>
    <w:lvl w:ilvl="0">
      <w:lvlJc w:val="left"/>
      <w:lvlText w:val="%1."/>
      <w:numFmt w:val="decimal"/>
      <w:start w:val="12"/>
    </w:lvl>
  </w:abstractNum>
  <w:abstractNum w:abstractNumId="18">
    <w:nsid w:val="7C3DBD3D"/>
    <w:multiLevelType w:val="hybridMultilevel"/>
    <w:lvl w:ilvl="0">
      <w:lvlJc w:val="left"/>
      <w:lvlText w:val="%1."/>
      <w:numFmt w:val="decimal"/>
      <w:start w:val="13"/>
    </w:lvl>
  </w:abstractNum>
  <w:abstractNum w:abstractNumId="19">
    <w:nsid w:val="737B8DDC"/>
    <w:multiLevelType w:val="hybridMultilevel"/>
    <w:lvl w:ilvl="0">
      <w:lvlJc w:val="left"/>
      <w:lvlText w:val="%1."/>
      <w:numFmt w:val="decimal"/>
      <w:start w:val="14"/>
    </w:lvl>
  </w:abstractNum>
  <w:abstractNum w:abstractNumId="20">
    <w:nsid w:val="6CEAF087"/>
    <w:multiLevelType w:val="hybridMultilevel"/>
    <w:lvl w:ilvl="0">
      <w:lvlJc w:val="left"/>
      <w:lvlText w:val="%1."/>
      <w:numFmt w:val="decimal"/>
      <w:start w:val="15"/>
    </w:lvl>
  </w:abstractNum>
  <w:abstractNum w:abstractNumId="21">
    <w:nsid w:val="22221A70"/>
    <w:multiLevelType w:val="hybridMultilevel"/>
    <w:lvl w:ilvl="0">
      <w:lvlJc w:val="left"/>
      <w:lvlText w:val="%1."/>
      <w:numFmt w:val="decimal"/>
      <w:start w:val="16"/>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7"/>
    </w:lvl>
  </w:abstractNum>
  <w:abstractNum w:abstractNumId="24">
    <w:nsid w:val="614FD4A1"/>
    <w:multiLevelType w:val="hybridMultilevel"/>
    <w:lvl w:ilvl="0">
      <w:lvlJc w:val="left"/>
      <w:lvlText w:val="%1."/>
      <w:numFmt w:val="decimal"/>
      <w:start w:val="1"/>
    </w:lvl>
    <w:lvl w:ilvl="1">
      <w:lvlJc w:val="left"/>
      <w:lvlText w:val="%2."/>
      <w:numFmt w:val="lowerLetter"/>
      <w:start w:val="1"/>
    </w:lvl>
  </w:abstractNum>
  <w:abstractNum w:abstractNumId="25">
    <w:nsid w:val="419AC241"/>
    <w:multiLevelType w:val="hybridMultilevel"/>
    <w:lvl w:ilvl="0">
      <w:lvlJc w:val="left"/>
      <w:lvlText w:val="%1."/>
      <w:numFmt w:val="decimal"/>
      <w:start w:val="18"/>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decimal"/>
      <w:start w:val="19"/>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decimal"/>
      <w:start w:val="101"/>
    </w:lvl>
  </w:abstractNum>
  <w:abstractNum w:abstractNumId="35">
    <w:nsid w:val="51EAD36B"/>
    <w:multiLevelType w:val="hybridMultilevel"/>
    <w:lvl w:ilvl="0">
      <w:lvlJc w:val="left"/>
      <w:lvlText w:val="*"/>
      <w:numFmt w:val="bullet"/>
      <w:start w:val="1"/>
    </w:lvl>
    <w:lvl w:ilvl="1">
      <w:lvlJc w:val="left"/>
      <w:lvlText w:val="%2"/>
      <w:numFmt w:val="decimal"/>
      <w:start w:val="104"/>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lowerRoman"/>
      <w:start w:val="1"/>
    </w:lvl>
    <w:lvl w:ilvl="1">
      <w:lvlJc w:val="left"/>
      <w:lvlText w:val="*"/>
      <w:numFmt w:val="bullet"/>
      <w:start w:val="1"/>
    </w:lvl>
  </w:abstractNum>
  <w:abstractNum w:abstractNumId="38">
    <w:nsid w:val="153EA438"/>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2024-07-31T06:00:22Z</dcterms:created>
  <dcterms:modified xsi:type="dcterms:W3CDTF">2024-07-31T06:00:22Z</dcterms:modified>
</cp:coreProperties>
</file>