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n-20260630.htm"/>
      <w:bookmarkStart w:id="1" w:name="kspsn20260630"/>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Arial" w:hAnsi="Arial"/>
          <w:b/>
          <w:color w:val="000000"/>
          <w:sz w:val="20"/>
        </w:rPr>
      </w:pPr>
      <w:r>
        <w:rPr>
          <w:rFonts w:ascii="Arial" w:hAnsi="Arial"/>
          <w:b/>
          <w:color w:val="000000"/>
          <w:sz w:val="20"/>
        </w:rPr>
        <w:t>(Mark One)</w:t>
      </w:r>
    </w:p>
    <w:p>
      <w:pPr>
        <w:pStyle w:val="TextBody"/>
        <w:bidi w:val="0"/>
        <w:jc w:val="center"/>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80" w:after="283"/>
        <w:jc w:val="center"/>
        <w:rPr>
          <w:rFonts w:ascii="Arial" w:hAnsi="Arial"/>
          <w:b/>
          <w:color w:val="000000"/>
          <w:sz w:val="18"/>
        </w:rPr>
      </w:pPr>
      <w:r>
        <w:rPr>
          <w:rFonts w:ascii="Arial" w:hAnsi="Arial"/>
          <w:b/>
          <w:color w:val="000000"/>
          <w:sz w:val="18"/>
        </w:rPr>
        <w:t>For the quarterly period ended June 30, 2026</w:t>
      </w:r>
    </w:p>
    <w:p>
      <w:pPr>
        <w:pStyle w:val="TextBody"/>
        <w:bidi w:val="0"/>
        <w:spacing w:before="80" w:after="283"/>
        <w:jc w:val="center"/>
        <w:rPr>
          <w:rFonts w:ascii="Arial" w:hAnsi="Arial"/>
          <w:b/>
          <w:color w:val="000000"/>
          <w:sz w:val="18"/>
        </w:rPr>
      </w:pPr>
      <w:r>
        <w:rPr>
          <w:rFonts w:ascii="Arial" w:hAnsi="Arial"/>
          <w:b/>
          <w:color w:val="000000"/>
          <w:sz w:val="18"/>
        </w:rPr>
        <w:t>OR</w:t>
      </w:r>
    </w:p>
    <w:p>
      <w:pPr>
        <w:pStyle w:val="TextBody"/>
        <w:bidi w:val="0"/>
        <w:spacing w:before="80" w:after="283"/>
        <w:jc w:val="center"/>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Arial" w:hAnsi="Arial"/>
          <w:b/>
          <w:color w:val="000000"/>
          <w:sz w:val="20"/>
        </w:rPr>
      </w:pPr>
      <w:r>
        <w:rPr>
          <w:rFonts w:ascii="Arial" w:hAnsi="Arial"/>
          <w:b/>
          <w:color w:val="000000"/>
          <w:sz w:val="20"/>
        </w:rPr>
        <w:t>Commission File Number: 001-07782</w:t>
      </w:r>
    </w:p>
    <w:p>
      <w:pPr>
        <w:pStyle w:val="TextBody"/>
        <w:pBdr>
          <w:bottom w:val="single" w:sz="4" w:space="1" w:color="000000"/>
        </w:pBdr>
        <w:bidi w:val="0"/>
        <w:jc w:val="center"/>
        <w:rPr/>
      </w:pPr>
      <w:r>
        <w:rPr/>
        <w:t> </w:t>
      </w:r>
    </w:p>
    <w:p>
      <w:pPr>
        <w:pStyle w:val="TextBody"/>
        <w:bidi w:val="0"/>
        <w:spacing w:before="80" w:after="283"/>
        <w:jc w:val="center"/>
        <w:rPr/>
      </w:pPr>
      <w:r>
        <w:rPr/>
        <w:drawing>
          <wp:inline distT="0" distB="0" distL="0" distR="0">
            <wp:extent cx="26003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0325" cy="542925"/>
                    </a:xfrm>
                    <a:prstGeom prst="rect">
                      <a:avLst/>
                    </a:prstGeom>
                  </pic:spPr>
                </pic:pic>
              </a:graphicData>
            </a:graphic>
          </wp:inline>
        </w:drawing>
      </w:r>
    </w:p>
    <w:p>
      <w:pPr>
        <w:pStyle w:val="TextBody"/>
        <w:bidi w:val="0"/>
        <w:spacing w:before="80" w:after="283"/>
        <w:jc w:val="center"/>
        <w:rPr>
          <w:rFonts w:ascii="Arial" w:hAnsi="Arial"/>
          <w:b/>
          <w:color w:val="000000"/>
          <w:sz w:val="48"/>
        </w:rPr>
      </w:pPr>
      <w:r>
        <w:rPr>
          <w:rFonts w:ascii="Arial" w:hAnsi="Arial"/>
          <w:b/>
          <w:color w:val="000000"/>
          <w:sz w:val="48"/>
        </w:rPr>
        <w:t>Parsons Corporation</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3466"/>
        <w:gridCol w:w="1576"/>
      </w:tblGrid>
      <w:tr>
        <w:trPr/>
        <w:tc>
          <w:tcPr>
            <w:tcW w:w="346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95-3232481</w:t>
            </w:r>
          </w:p>
        </w:tc>
      </w:tr>
      <w:tr>
        <w:trPr/>
        <w:tc>
          <w:tcPr>
            <w:tcW w:w="346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14291 Park Meadow Drive, Suite 100</w:t>
            </w:r>
          </w:p>
          <w:p>
            <w:pPr>
              <w:pStyle w:val="TableContents"/>
              <w:bidi w:val="0"/>
              <w:spacing w:before="0" w:after="283"/>
              <w:jc w:val="center"/>
              <w:rPr>
                <w:rFonts w:ascii="Arial" w:hAnsi="Arial"/>
                <w:b/>
                <w:color w:val="000000"/>
                <w:sz w:val="20"/>
              </w:rPr>
            </w:pPr>
            <w:r>
              <w:rPr>
                <w:rFonts w:ascii="Arial" w:hAnsi="Arial"/>
                <w:b/>
                <w:color w:val="000000"/>
                <w:sz w:val="20"/>
              </w:rPr>
              <w:t>Chantilly, Virginia</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20151</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(Address of principal executive offices)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(703) 988-8500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spacing w:before="80" w:after="283"/>
        <w:jc w:val="left"/>
        <w:rPr>
          <w:rFonts w:ascii="Times New Roman" w:hAnsi="Times New Roman"/>
          <w:sz w:val="20"/>
        </w:rPr>
      </w:pPr>
      <w:r>
        <w:rPr>
          <w:rFonts w:ascii="Arial" w:hAnsi="Arial"/>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25" w:type="dxa"/>
        <w:jc w:val="left"/>
        <w:tblInd w:w="0" w:type="dxa"/>
        <w:tblLayout w:type="fixed"/>
        <w:tblCellMar>
          <w:top w:w="28" w:type="dxa"/>
          <w:left w:w="28" w:type="dxa"/>
          <w:bottom w:w="28" w:type="dxa"/>
          <w:right w:w="28" w:type="dxa"/>
        </w:tblCellMar>
      </w:tblPr>
      <w:tblGrid>
        <w:gridCol w:w="2656"/>
        <w:gridCol w:w="146"/>
        <w:gridCol w:w="916"/>
        <w:gridCol w:w="146"/>
        <w:gridCol w:w="366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PSN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New York Stock Exchange</w:t>
            </w:r>
          </w:p>
        </w:tc>
      </w:tr>
    </w:tbl>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9"/>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9"/>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9"/>
        </w:rPr>
      </w:pPr>
      <w:r>
        <w:rPr>
          <w:rFonts w:ascii="Arial" w:hAnsi="Arial"/>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685" w:type="dxa"/>
        <w:jc w:val="left"/>
        <w:tblInd w:w="0" w:type="dxa"/>
        <w:tblLayout w:type="fixed"/>
        <w:tblCellMar>
          <w:top w:w="28" w:type="dxa"/>
          <w:left w:w="28" w:type="dxa"/>
          <w:bottom w:w="28" w:type="dxa"/>
          <w:right w:w="28" w:type="dxa"/>
        </w:tblCellMar>
      </w:tblPr>
      <w:tblGrid>
        <w:gridCol w:w="2431"/>
        <w:gridCol w:w="316"/>
        <w:gridCol w:w="14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Arial" w:hAnsi="Arial"/>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9"/>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9"/>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9"/>
        </w:rPr>
        <w:t>As of July 21, 2026, the registrant had 106,805,394</w:t>
      </w:r>
      <w:r>
        <w:rPr>
          <w:rFonts w:ascii="Times New Roman" w:hAnsi="Times New Roman"/>
          <w:color w:val="000000"/>
          <w:sz w:val="20"/>
        </w:rPr>
        <w:t xml:space="preserve"> </w:t>
      </w:r>
      <w:r>
        <w:rPr>
          <w:rFonts w:ascii="Arial" w:hAnsi="Arial"/>
          <w:color w:val="000000"/>
          <w:sz w:val="19"/>
        </w:rPr>
        <w:t>shares of common stock, $1.00 par value per share, outstanding.</w:t>
      </w:r>
    </w:p>
    <w:p>
      <w:pPr>
        <w:pStyle w:val="TextBody"/>
        <w:pBdr>
          <w:bottom w:val="double" w:sz="6" w:space="1" w:color="000000"/>
        </w:pBdr>
        <w:bidi w:val="0"/>
        <w:spacing w:before="8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Table of Contents</w:t>
      </w:r>
    </w:p>
    <w:p>
      <w:pPr>
        <w:pStyle w:val="TextBody"/>
        <w:bidi w:val="0"/>
        <w:jc w:val="left"/>
        <w:rPr/>
      </w:pPr>
      <w:r>
        <w:rPr/>
        <w:t> </w:t>
      </w:r>
    </w:p>
    <w:tbl>
      <w:tblPr>
        <w:tblW w:w="9693" w:type="dxa"/>
        <w:jc w:val="left"/>
        <w:tblInd w:w="0" w:type="dxa"/>
        <w:tblLayout w:type="fixed"/>
        <w:tblCellMar>
          <w:top w:w="28" w:type="dxa"/>
          <w:left w:w="28" w:type="dxa"/>
          <w:bottom w:w="28" w:type="dxa"/>
          <w:right w:w="28" w:type="dxa"/>
        </w:tblCellMar>
      </w:tblPr>
      <w:tblGrid>
        <w:gridCol w:w="886"/>
        <w:gridCol w:w="7846"/>
        <w:gridCol w:w="283"/>
        <w:gridCol w:w="678"/>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67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Consolidated Balance Sheets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income">
              <w:r>
                <w:rPr>
                  <w:rStyle w:val="InternetLink"/>
                  <w:rFonts w:ascii="Arial" w:hAnsi="Arial"/>
                  <w:color w:val="0000FF"/>
                  <w:sz w:val="20"/>
                  <w:u w:val="single"/>
                </w:rPr>
                <w:t>Consolidated Statements of Income</w:t>
              </w:r>
            </w:hyperlink>
            <w:hyperlink w:anchor="consolidated_statements_income">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Arial" w:hAnsi="Arial"/>
                  <w:color w:val="0000FF"/>
                  <w:sz w:val="20"/>
                  <w:u w:val="single"/>
                </w:rPr>
                <w:t>Consolidated Statements of Comprehensive Income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Consolidated Statements of Cash Flows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hareholders_equ">
              <w:r>
                <w:rPr>
                  <w:rStyle w:val="InternetLink"/>
                  <w:rFonts w:ascii="Arial" w:hAnsi="Arial"/>
                  <w:color w:val="0000FF"/>
                  <w:sz w:val="20"/>
                  <w:u w:val="single"/>
                </w:rPr>
                <w:t>Consolidated Statements of Shareholders’ Equity</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FF"/>
                <w:sz w:val="20"/>
                <w:u w:val="single"/>
              </w:rPr>
            </w:pPr>
            <w:r>
              <w:rPr>
                <w:rFonts w:ascii="Arial" w:hAnsi="Arial"/>
                <w:color w:val="0000FF"/>
                <w:sz w:val="20"/>
                <w:u w:val="single"/>
              </w:rPr>
              <w:t>Notes to Unaudited Consolidated Financial Statements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Arial" w:hAnsi="Arial"/>
                  <w:color w:val="0000FF"/>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120" w:after="283"/>
        <w:jc w:val="left"/>
        <w:rPr>
          <w:rFonts w:ascii="Arial" w:hAnsi="Arial"/>
          <w:b/>
          <w:color w:val="000000"/>
          <w:sz w:val="20"/>
        </w:rPr>
      </w:pPr>
      <w:bookmarkStart w:id="3" w:name="item_1_financial_statements"/>
      <w:bookmarkEnd w:id="3"/>
      <w:r>
        <w:rPr>
          <w:rFonts w:ascii="Arial" w:hAnsi="Arial"/>
          <w:b/>
          <w:color w:val="000000"/>
          <w:sz w:val="20"/>
        </w:rPr>
        <w:t>Item 1. Financial Statements.</w:t>
      </w:r>
    </w:p>
    <w:p>
      <w:pPr>
        <w:pStyle w:val="TextBody"/>
        <w:bidi w:val="0"/>
        <w:spacing w:before="360" w:after="283"/>
        <w:jc w:val="center"/>
        <w:rPr>
          <w:rFonts w:ascii="Arial" w:hAnsi="Arial"/>
          <w:b/>
          <w:color w:val="000000"/>
          <w:sz w:val="20"/>
        </w:rPr>
      </w:pPr>
      <w:r>
        <w:rPr>
          <w:rFonts w:ascii="Arial" w:hAnsi="Arial"/>
          <w:b/>
          <w:color w:val="000000"/>
          <w:sz w:val="20"/>
        </w:rPr>
        <w:t>PARSONS CORPORATION AND SUBSIDIARIES</w:t>
      </w:r>
    </w:p>
    <w:p>
      <w:pPr>
        <w:pStyle w:val="TextBody"/>
        <w:bidi w:val="0"/>
        <w:jc w:val="center"/>
        <w:rPr>
          <w:rFonts w:ascii="Arial" w:hAnsi="Arial"/>
          <w:b/>
          <w:color w:val="000000"/>
          <w:sz w:val="20"/>
        </w:rPr>
      </w:pPr>
      <w:bookmarkStart w:id="4" w:name="consolidated_balance_sheets"/>
      <w:bookmarkEnd w:id="4"/>
      <w:r>
        <w:rPr>
          <w:rFonts w:ascii="Arial" w:hAnsi="Arial"/>
          <w:b/>
          <w:color w:val="000000"/>
          <w:sz w:val="20"/>
        </w:rPr>
        <w:t>Consolidated Balance Sheets</w:t>
      </w:r>
    </w:p>
    <w:p>
      <w:pPr>
        <w:pStyle w:val="TextBody"/>
        <w:bidi w:val="0"/>
        <w:jc w:val="center"/>
        <w:rPr>
          <w:rFonts w:ascii="Arial" w:hAnsi="Arial"/>
          <w:i/>
          <w:color w:val="000000"/>
          <w:sz w:val="20"/>
        </w:rPr>
      </w:pPr>
      <w:r>
        <w:rPr>
          <w:rFonts w:ascii="Arial" w:hAnsi="Arial"/>
          <w:i/>
          <w:color w:val="000000"/>
          <w:sz w:val="20"/>
        </w:rPr>
        <w:t>(in thousands, except share information)</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1"/>
        <w:gridCol w:w="6878"/>
        <w:gridCol w:w="146"/>
        <w:gridCol w:w="206"/>
        <w:gridCol w:w="869"/>
        <w:gridCol w:w="166"/>
        <w:gridCol w:w="146"/>
        <w:gridCol w:w="234"/>
        <w:gridCol w:w="986"/>
        <w:gridCol w:w="213"/>
      </w:tblGrid>
      <w:tr>
        <w:trPr/>
        <w:tc>
          <w:tcPr>
            <w:tcW w:w="361" w:type="dxa"/>
            <w:tcBorders/>
            <w:vAlign w:val="center"/>
          </w:tcPr>
          <w:p>
            <w:pPr>
              <w:pStyle w:val="TableContents"/>
              <w:bidi w:val="0"/>
              <w:spacing w:before="0" w:after="283"/>
              <w:jc w:val="left"/>
              <w:rPr>
                <w:sz w:val="4"/>
                <w:szCs w:val="4"/>
              </w:rPr>
            </w:pPr>
            <w:r>
              <w:rPr>
                <w:sz w:val="4"/>
                <w:szCs w:val="4"/>
              </w:rPr>
            </w:r>
          </w:p>
        </w:tc>
        <w:tc>
          <w:tcPr>
            <w:tcW w:w="6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16"/>
              </w:rPr>
              <w:t>Cash and cash equivalents (including $79,806</w:t>
            </w:r>
            <w:r>
              <w:rPr>
                <w:rFonts w:ascii="Times New Roman" w:hAnsi="Times New Roman"/>
                <w:color w:val="000000"/>
                <w:sz w:val="20"/>
              </w:rPr>
              <w:t> </w:t>
            </w:r>
            <w:r>
              <w:rPr>
                <w:rFonts w:ascii="Arial" w:hAnsi="Arial"/>
                <w:color w:val="000000"/>
                <w:sz w:val="16"/>
              </w:rPr>
              <w:t>and $153,144</w:t>
            </w:r>
            <w:r>
              <w:rPr>
                <w:rFonts w:ascii="Times New Roman" w:hAnsi="Times New Roman"/>
                <w:color w:val="000000"/>
                <w:sz w:val="20"/>
              </w:rPr>
              <w:t> </w:t>
            </w:r>
            <w:r>
              <w:rPr>
                <w:rFonts w:ascii="Arial" w:hAnsi="Arial"/>
                <w:color w:val="000000"/>
                <w:sz w:val="16"/>
              </w:rPr>
              <w:t>Cash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466,388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16"/>
              </w:rPr>
              <w:t>Accounts receivable, net (including $356,033</w:t>
            </w:r>
            <w:r>
              <w:rPr>
                <w:rFonts w:ascii="Times New Roman" w:hAnsi="Times New Roman"/>
                <w:color w:val="000000"/>
                <w:sz w:val="20"/>
              </w:rPr>
              <w:t> </w:t>
            </w:r>
            <w:r>
              <w:rPr>
                <w:rFonts w:ascii="Arial" w:hAnsi="Arial"/>
                <w:color w:val="000000"/>
                <w:sz w:val="16"/>
              </w:rPr>
              <w:t>and $337,270</w:t>
            </w:r>
            <w:r>
              <w:rPr>
                <w:rFonts w:ascii="Times New Roman" w:hAnsi="Times New Roman"/>
                <w:color w:val="000000"/>
                <w:sz w:val="20"/>
              </w:rPr>
              <w:t> </w:t>
            </w:r>
            <w:r>
              <w:rPr>
                <w:rFonts w:ascii="Arial" w:hAnsi="Arial"/>
                <w:color w:val="000000"/>
                <w:sz w:val="16"/>
              </w:rPr>
              <w:t>Accounts receivable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1,146,226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1,124,417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16"/>
              </w:rPr>
              <w:t>Contract assets (including $48,953</w:t>
            </w:r>
            <w:r>
              <w:rPr>
                <w:rFonts w:ascii="Times New Roman" w:hAnsi="Times New Roman"/>
                <w:color w:val="000000"/>
                <w:sz w:val="20"/>
              </w:rPr>
              <w:t> </w:t>
            </w:r>
            <w:r>
              <w:rPr>
                <w:rFonts w:ascii="Arial" w:hAnsi="Arial"/>
                <w:color w:val="000000"/>
                <w:sz w:val="16"/>
              </w:rPr>
              <w:t>and $41,318</w:t>
            </w:r>
            <w:r>
              <w:rPr>
                <w:rFonts w:ascii="Times New Roman" w:hAnsi="Times New Roman"/>
                <w:color w:val="000000"/>
                <w:sz w:val="20"/>
              </w:rPr>
              <w:t> </w:t>
            </w:r>
            <w:r>
              <w:rPr>
                <w:rFonts w:ascii="Arial" w:hAnsi="Arial"/>
                <w:color w:val="000000"/>
                <w:sz w:val="16"/>
              </w:rPr>
              <w:t>Contract assets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1,062,280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915,806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16"/>
              </w:rPr>
              <w:t>Prepaid expenses and other current assets (including $16,942</w:t>
            </w:r>
            <w:r>
              <w:rPr>
                <w:rFonts w:ascii="Times New Roman" w:hAnsi="Times New Roman"/>
                <w:color w:val="000000"/>
                <w:sz w:val="20"/>
              </w:rPr>
              <w:t> </w:t>
            </w:r>
            <w:r>
              <w:rPr>
                <w:rFonts w:ascii="Arial" w:hAnsi="Arial"/>
                <w:color w:val="000000"/>
                <w:sz w:val="16"/>
              </w:rPr>
              <w:t>and $11,145</w:t>
            </w:r>
            <w:r>
              <w:rPr>
                <w:rFonts w:ascii="Times New Roman" w:hAnsi="Times New Roman"/>
                <w:color w:val="000000"/>
                <w:sz w:val="20"/>
              </w:rPr>
              <w:t> </w:t>
            </w:r>
            <w:r>
              <w:rPr>
                <w:rFonts w:ascii="Arial" w:hAnsi="Arial"/>
                <w:color w:val="000000"/>
                <w:sz w:val="16"/>
              </w:rPr>
              <w:t>Prepaid expenses and other current assets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176,932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2,720,278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2,683,543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Property and Equipment, net (including $2,334</w:t>
            </w:r>
            <w:r>
              <w:rPr>
                <w:rFonts w:ascii="Times New Roman" w:hAnsi="Times New Roman"/>
                <w:color w:val="000000"/>
                <w:sz w:val="20"/>
              </w:rPr>
              <w:t> </w:t>
            </w:r>
            <w:r>
              <w:rPr>
                <w:rFonts w:ascii="Arial" w:hAnsi="Arial"/>
                <w:color w:val="000000"/>
                <w:sz w:val="16"/>
              </w:rPr>
              <w:t>and $2,488</w:t>
            </w:r>
            <w:r>
              <w:rPr>
                <w:rFonts w:ascii="Times New Roman" w:hAnsi="Times New Roman"/>
                <w:color w:val="000000"/>
                <w:sz w:val="20"/>
              </w:rPr>
              <w:t> </w:t>
            </w:r>
            <w:r>
              <w:rPr>
                <w:rFonts w:ascii="Arial" w:hAnsi="Arial"/>
                <w:color w:val="000000"/>
                <w:sz w:val="16"/>
              </w:rPr>
              <w:t>Property and equipment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151,061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Right of use assets, operating leases (including $3,744</w:t>
            </w:r>
            <w:r>
              <w:rPr>
                <w:rFonts w:ascii="Times New Roman" w:hAnsi="Times New Roman"/>
                <w:color w:val="000000"/>
                <w:sz w:val="20"/>
              </w:rPr>
              <w:t> </w:t>
            </w:r>
            <w:r>
              <w:rPr>
                <w:rFonts w:ascii="Arial" w:hAnsi="Arial"/>
                <w:color w:val="000000"/>
                <w:sz w:val="16"/>
              </w:rPr>
              <w:t>and $4,482</w:t>
            </w:r>
            <w:r>
              <w:rPr>
                <w:rFonts w:ascii="Times New Roman" w:hAnsi="Times New Roman"/>
                <w:color w:val="000000"/>
                <w:sz w:val="20"/>
              </w:rPr>
              <w:t> </w:t>
            </w:r>
            <w:r>
              <w:rPr>
                <w:rFonts w:ascii="Arial" w:hAnsi="Arial"/>
                <w:color w:val="000000"/>
                <w:sz w:val="16"/>
              </w:rPr>
              <w:t>Right of use assets, operating leases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126,770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2,186,650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Investments in and advances to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148,640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325,880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88,191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58,799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6,106,946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5,769,534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Accounts payable (including $49,525</w:t>
            </w:r>
            <w:r>
              <w:rPr>
                <w:rFonts w:ascii="Times New Roman" w:hAnsi="Times New Roman"/>
                <w:color w:val="000000"/>
                <w:sz w:val="20"/>
              </w:rPr>
              <w:t> </w:t>
            </w:r>
            <w:r>
              <w:rPr>
                <w:rFonts w:ascii="Arial" w:hAnsi="Arial"/>
                <w:color w:val="000000"/>
                <w:sz w:val="16"/>
              </w:rPr>
              <w:t>and $58,914</w:t>
            </w:r>
            <w:r>
              <w:rPr>
                <w:rFonts w:ascii="Times New Roman" w:hAnsi="Times New Roman"/>
                <w:color w:val="000000"/>
                <w:sz w:val="20"/>
              </w:rPr>
              <w:t> </w:t>
            </w:r>
            <w:r>
              <w:rPr>
                <w:rFonts w:ascii="Arial" w:hAnsi="Arial"/>
                <w:color w:val="000000"/>
                <w:sz w:val="16"/>
              </w:rPr>
              <w:t>Accounts payable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250,514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Accrued expenses and other current liabilities (including $184,251</w:t>
            </w:r>
            <w:r>
              <w:rPr>
                <w:rFonts w:ascii="Times New Roman" w:hAnsi="Times New Roman"/>
                <w:color w:val="000000"/>
                <w:sz w:val="20"/>
              </w:rPr>
              <w:t> </w:t>
            </w:r>
            <w:r>
              <w:rPr>
                <w:rFonts w:ascii="Arial" w:hAnsi="Arial"/>
                <w:color w:val="000000"/>
                <w:sz w:val="16"/>
              </w:rPr>
              <w:t>and $195,747</w:t>
            </w:r>
            <w:r>
              <w:rPr>
                <w:rFonts w:ascii="Times New Roman" w:hAnsi="Times New Roman"/>
                <w:color w:val="000000"/>
                <w:sz w:val="20"/>
              </w:rPr>
              <w:t> </w:t>
            </w:r>
            <w:r>
              <w:rPr>
                <w:rFonts w:ascii="Arial" w:hAnsi="Arial"/>
                <w:color w:val="000000"/>
                <w:sz w:val="16"/>
              </w:rPr>
              <w:t>Accrued expenses and other current liabilities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940,534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884,445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Contract liabilities (including $44,283</w:t>
            </w:r>
            <w:r>
              <w:rPr>
                <w:rFonts w:ascii="Times New Roman" w:hAnsi="Times New Roman"/>
                <w:color w:val="000000"/>
                <w:sz w:val="20"/>
              </w:rPr>
              <w:t> </w:t>
            </w:r>
            <w:r>
              <w:rPr>
                <w:rFonts w:ascii="Arial" w:hAnsi="Arial"/>
                <w:color w:val="000000"/>
                <w:sz w:val="16"/>
              </w:rPr>
              <w:t>and $44,802</w:t>
            </w:r>
            <w:r>
              <w:rPr>
                <w:rFonts w:ascii="Times New Roman" w:hAnsi="Times New Roman"/>
                <w:color w:val="000000"/>
                <w:sz w:val="20"/>
              </w:rPr>
              <w:t> </w:t>
            </w:r>
            <w:r>
              <w:rPr>
                <w:rFonts w:ascii="Arial" w:hAnsi="Arial"/>
                <w:color w:val="000000"/>
                <w:sz w:val="16"/>
              </w:rPr>
              <w:t>Contract liabilities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340,113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Short-term lease liabilities, operating leases (including $2,041</w:t>
            </w:r>
            <w:r>
              <w:rPr>
                <w:rFonts w:ascii="Times New Roman" w:hAnsi="Times New Roman"/>
                <w:color w:val="000000"/>
                <w:sz w:val="20"/>
              </w:rPr>
              <w:t> </w:t>
            </w:r>
            <w:r>
              <w:rPr>
                <w:rFonts w:ascii="Arial" w:hAnsi="Arial"/>
                <w:color w:val="000000"/>
                <w:sz w:val="16"/>
              </w:rPr>
              <w:t>and $2,395</w:t>
            </w:r>
            <w:r>
              <w:rPr>
                <w:rFonts w:ascii="Times New Roman" w:hAnsi="Times New Roman"/>
                <w:color w:val="000000"/>
                <w:sz w:val="20"/>
              </w:rPr>
              <w:t> </w:t>
            </w:r>
            <w:r>
              <w:rPr>
                <w:rFonts w:ascii="Arial" w:hAnsi="Arial"/>
                <w:color w:val="000000"/>
                <w:sz w:val="16"/>
              </w:rPr>
              <w:t>Short-term lease liabilities, operating leases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1,637,140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1,531,664</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employee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1,474,048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1,237,816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Long-term lease liabilities, operating leases (including $1,699</w:t>
            </w:r>
            <w:r>
              <w:rPr>
                <w:rFonts w:ascii="Times New Roman" w:hAnsi="Times New Roman"/>
                <w:color w:val="000000"/>
                <w:sz w:val="20"/>
              </w:rPr>
              <w:t> </w:t>
            </w:r>
            <w:r>
              <w:rPr>
                <w:rFonts w:ascii="Arial" w:hAnsi="Arial"/>
                <w:color w:val="000000"/>
                <w:sz w:val="16"/>
              </w:rPr>
              <w:t>and $2,083</w:t>
            </w:r>
            <w:r>
              <w:rPr>
                <w:rFonts w:ascii="Times New Roman" w:hAnsi="Times New Roman"/>
                <w:color w:val="000000"/>
                <w:sz w:val="20"/>
              </w:rPr>
              <w:t> </w:t>
            </w:r>
            <w:r>
              <w:rPr>
                <w:rFonts w:ascii="Arial" w:hAnsi="Arial"/>
                <w:color w:val="000000"/>
                <w:sz w:val="16"/>
              </w:rPr>
              <w:t>Long-term lease liabilities, operating leases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94,044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95,345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3,359,177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3,001,862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Common stock, $1</w:t>
            </w:r>
            <w:r>
              <w:rPr>
                <w:rFonts w:ascii="Times New Roman" w:hAnsi="Times New Roman"/>
                <w:color w:val="000000"/>
                <w:sz w:val="20"/>
              </w:rPr>
              <w:t> </w:t>
            </w:r>
            <w:r>
              <w:rPr>
                <w:rFonts w:ascii="Arial" w:hAnsi="Arial"/>
                <w:color w:val="000000"/>
                <w:sz w:val="16"/>
              </w:rPr>
              <w:t>par value; authorized 1,000,000,000</w:t>
            </w:r>
            <w:r>
              <w:rPr>
                <w:rFonts w:ascii="Times New Roman" w:hAnsi="Times New Roman"/>
                <w:color w:val="000000"/>
                <w:sz w:val="20"/>
              </w:rPr>
              <w:t> </w:t>
            </w:r>
            <w:r>
              <w:rPr>
                <w:rFonts w:ascii="Arial" w:hAnsi="Arial"/>
                <w:color w:val="000000"/>
                <w:sz w:val="16"/>
              </w:rPr>
              <w:t>shares; 145,506,001</w:t>
            </w:r>
            <w:r>
              <w:rPr>
                <w:rFonts w:ascii="Times New Roman" w:hAnsi="Times New Roman"/>
                <w:color w:val="000000"/>
                <w:sz w:val="20"/>
              </w:rPr>
              <w:t> </w:t>
            </w:r>
            <w:r>
              <w:rPr>
                <w:rFonts w:ascii="Arial" w:hAnsi="Arial"/>
                <w:color w:val="000000"/>
                <w:sz w:val="16"/>
              </w:rPr>
              <w:t>and 145,676,335</w:t>
            </w:r>
            <w:r>
              <w:rPr>
                <w:rFonts w:ascii="Times New Roman" w:hAnsi="Times New Roman"/>
                <w:color w:val="000000"/>
                <w:sz w:val="20"/>
              </w:rPr>
              <w:t> </w:t>
            </w:r>
            <w:r>
              <w:rPr>
                <w:rFonts w:ascii="Arial" w:hAnsi="Arial"/>
                <w:color w:val="000000"/>
                <w:sz w:val="16"/>
              </w:rPr>
              <w:t>shares issued; 57,556,643</w:t>
            </w:r>
            <w:r>
              <w:rPr>
                <w:rFonts w:ascii="Times New Roman" w:hAnsi="Times New Roman"/>
                <w:color w:val="000000"/>
                <w:sz w:val="20"/>
              </w:rPr>
              <w:t> </w:t>
            </w:r>
            <w:r>
              <w:rPr>
                <w:rFonts w:ascii="Arial" w:hAnsi="Arial"/>
                <w:color w:val="000000"/>
                <w:sz w:val="16"/>
              </w:rPr>
              <w:t>and 56,103,965</w:t>
            </w:r>
            <w:r>
              <w:rPr>
                <w:rFonts w:ascii="Times New Roman" w:hAnsi="Times New Roman"/>
                <w:color w:val="000000"/>
                <w:sz w:val="20"/>
              </w:rPr>
              <w:t> </w:t>
            </w:r>
            <w:r>
              <w:rPr>
                <w:rFonts w:ascii="Arial" w:hAnsi="Arial"/>
                <w:color w:val="000000"/>
                <w:sz w:val="16"/>
              </w:rPr>
              <w:t>public shares outstanding; 49,241,105</w:t>
            </w:r>
            <w:r>
              <w:rPr>
                <w:rFonts w:ascii="Times New Roman" w:hAnsi="Times New Roman"/>
                <w:color w:val="000000"/>
                <w:sz w:val="20"/>
              </w:rPr>
              <w:t> </w:t>
            </w:r>
            <w:r>
              <w:rPr>
                <w:rFonts w:ascii="Arial" w:hAnsi="Arial"/>
                <w:color w:val="000000"/>
                <w:sz w:val="16"/>
              </w:rPr>
              <w:t>and 50,864,117</w:t>
            </w:r>
            <w:r>
              <w:rPr>
                <w:rFonts w:ascii="Times New Roman" w:hAnsi="Times New Roman"/>
                <w:color w:val="000000"/>
                <w:sz w:val="20"/>
              </w:rPr>
              <w:t> </w:t>
            </w:r>
            <w:r>
              <w:rPr>
                <w:rFonts w:ascii="Arial" w:hAnsi="Arial"/>
                <w:color w:val="000000"/>
                <w:sz w:val="16"/>
              </w:rPr>
              <w:t>ESOP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145,676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Treasury stock, 38,708,253</w:t>
            </w:r>
            <w:r>
              <w:rPr>
                <w:rFonts w:ascii="Times New Roman" w:hAnsi="Times New Roman"/>
                <w:color w:val="000000"/>
                <w:sz w:val="20"/>
              </w:rPr>
              <w:t> </w:t>
            </w:r>
            <w:r>
              <w:rPr>
                <w:rFonts w:ascii="Arial" w:hAnsi="Arial"/>
                <w:color w:val="000000"/>
                <w:sz w:val="16"/>
              </w:rPr>
              <w:t>shares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(793,002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(792,638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2,611,828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2,648,730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661,173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(20,921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Parsons Corporation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2,631,419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2,642,020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125,652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2,747,769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2,767,672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6,106,946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5,769,534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PARSONS CORPORATION AND SUBSIDIARIES</w:t>
      </w:r>
    </w:p>
    <w:p>
      <w:pPr>
        <w:pStyle w:val="TextBody"/>
        <w:bidi w:val="0"/>
        <w:jc w:val="center"/>
        <w:rPr>
          <w:rFonts w:ascii="Arial" w:hAnsi="Arial"/>
          <w:b/>
          <w:color w:val="000000"/>
          <w:sz w:val="20"/>
        </w:rPr>
      </w:pPr>
      <w:bookmarkStart w:id="5" w:name="consolidated_statements_income"/>
      <w:bookmarkEnd w:id="5"/>
      <w:r>
        <w:rPr>
          <w:rFonts w:ascii="Arial" w:hAnsi="Arial"/>
          <w:b/>
          <w:color w:val="000000"/>
          <w:sz w:val="20"/>
        </w:rPr>
        <w:t>Consolidated Statements of Income</w:t>
      </w:r>
    </w:p>
    <w:p>
      <w:pPr>
        <w:pStyle w:val="TextBody"/>
        <w:bidi w:val="0"/>
        <w:jc w:val="center"/>
        <w:rPr>
          <w:rFonts w:ascii="Arial" w:hAnsi="Arial"/>
          <w:i/>
          <w:color w:val="000000"/>
          <w:sz w:val="20"/>
        </w:rPr>
      </w:pPr>
      <w:r>
        <w:rPr>
          <w:rFonts w:ascii="Arial" w:hAnsi="Arial"/>
          <w:i/>
          <w:color w:val="000000"/>
          <w:sz w:val="20"/>
        </w:rPr>
        <w:t>(In thousands, except per share information)</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61"/>
        <w:gridCol w:w="166"/>
        <w:gridCol w:w="146"/>
        <w:gridCol w:w="211"/>
        <w:gridCol w:w="961"/>
        <w:gridCol w:w="166"/>
        <w:gridCol w:w="146"/>
        <w:gridCol w:w="211"/>
        <w:gridCol w:w="961"/>
        <w:gridCol w:w="166"/>
        <w:gridCol w:w="146"/>
        <w:gridCol w:w="211"/>
        <w:gridCol w:w="961"/>
        <w:gridCol w:w="47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3,138,683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 of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2,414,385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2,436,347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losses of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496,113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204,894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(24,815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189,943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(37,667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152,276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121,433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6" w:name="comprehensive_income"/>
      <w:bookmarkEnd w:id="6"/>
      <w:r>
        <w:rPr>
          <w:rFonts w:ascii="Arial" w:hAnsi="Arial"/>
          <w:b/>
          <w:color w:val="000000"/>
          <w:sz w:val="20"/>
        </w:rPr>
        <w:t>PARSONS CORPORATION AND SUBSIDIARIES</w:t>
      </w:r>
    </w:p>
    <w:p>
      <w:pPr>
        <w:pStyle w:val="TextBody"/>
        <w:bidi w:val="0"/>
        <w:jc w:val="center"/>
        <w:rPr>
          <w:rFonts w:ascii="Arial" w:hAnsi="Arial"/>
          <w:b/>
          <w:color w:val="000000"/>
          <w:sz w:val="20"/>
        </w:rPr>
      </w:pPr>
      <w:bookmarkStart w:id="7" w:name="consolidated_statements_comprehensive_in"/>
      <w:bookmarkEnd w:id="7"/>
      <w:r>
        <w:rPr>
          <w:rFonts w:ascii="Arial" w:hAnsi="Arial"/>
          <w:b/>
          <w:color w:val="000000"/>
          <w:sz w:val="20"/>
        </w:rPr>
        <w:t>Consolidated Statements of Comprehensive Income</w:t>
      </w:r>
    </w:p>
    <w:p>
      <w:pPr>
        <w:pStyle w:val="TextBody"/>
        <w:bidi w:val="0"/>
        <w:jc w:val="center"/>
        <w:rPr>
          <w:rFonts w:ascii="Arial" w:hAnsi="Arial"/>
          <w:i/>
          <w:color w:val="000000"/>
          <w:sz w:val="20"/>
        </w:rPr>
      </w:pPr>
      <w:r>
        <w:rPr>
          <w:rFonts w:ascii="Arial" w:hAnsi="Arial"/>
          <w:i/>
          <w:color w:val="000000"/>
          <w:sz w:val="20"/>
        </w:rPr>
        <w:t>(In thousands)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38"/>
        <w:gridCol w:w="706"/>
        <w:gridCol w:w="146"/>
        <w:gridCol w:w="224"/>
        <w:gridCol w:w="799"/>
        <w:gridCol w:w="166"/>
        <w:gridCol w:w="146"/>
        <w:gridCol w:w="224"/>
        <w:gridCol w:w="799"/>
        <w:gridCol w:w="166"/>
        <w:gridCol w:w="146"/>
        <w:gridCol w:w="224"/>
        <w:gridCol w:w="799"/>
        <w:gridCol w:w="166"/>
        <w:gridCol w:w="146"/>
        <w:gridCol w:w="221"/>
        <w:gridCol w:w="834"/>
        <w:gridCol w:w="755"/>
      </w:tblGrid>
      <w:tr>
        <w:trPr/>
        <w:tc>
          <w:tcPr>
            <w:tcW w:w="353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including noncontrolling interests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152,276</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net of tax</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 net of tax</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8,468</w:t>
            </w:r>
          </w:p>
        </w:tc>
        <w:tc>
          <w:tcPr>
            <w:tcW w:w="7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adjustments, net of tax</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53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Comprehensive income (loss) including noncontrolling interests, net of tax</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160,813</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income attributable to noncontrolling interests, net of tax</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(30,853</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income attributable to Parsons Corporation, net of tax</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129,960</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8" w:name="cash_flow"/>
      <w:bookmarkEnd w:id="8"/>
      <w:r>
        <w:rPr>
          <w:rFonts w:ascii="Arial" w:hAnsi="Arial"/>
          <w:b/>
          <w:color w:val="000000"/>
          <w:sz w:val="20"/>
        </w:rPr>
        <w:t>PARSONS CORPORATION AND SUBSIDIARIES</w:t>
      </w:r>
    </w:p>
    <w:p>
      <w:pPr>
        <w:pStyle w:val="TextBody"/>
        <w:bidi w:val="0"/>
        <w:jc w:val="center"/>
        <w:rPr>
          <w:rFonts w:ascii="Arial" w:hAnsi="Arial"/>
          <w:b/>
          <w:color w:val="000000"/>
          <w:sz w:val="20"/>
        </w:rPr>
      </w:pPr>
      <w:bookmarkStart w:id="9" w:name="condensed_consolidated_statements_cash_f"/>
      <w:bookmarkEnd w:id="9"/>
      <w:r>
        <w:rPr>
          <w:rFonts w:ascii="Arial" w:hAnsi="Arial"/>
          <w:b/>
          <w:color w:val="000000"/>
          <w:sz w:val="20"/>
        </w:rPr>
        <w:t>Consolidated Statements of Cash Flows</w:t>
      </w:r>
    </w:p>
    <w:p>
      <w:pPr>
        <w:pStyle w:val="TextBody"/>
        <w:bidi w:val="0"/>
        <w:jc w:val="center"/>
        <w:rPr>
          <w:rFonts w:ascii="Arial" w:hAnsi="Arial"/>
          <w:i/>
          <w:color w:val="000000"/>
          <w:sz w:val="20"/>
        </w:rPr>
      </w:pPr>
      <w:r>
        <w:rPr>
          <w:rFonts w:ascii="Arial" w:hAnsi="Arial"/>
          <w:i/>
          <w:color w:val="000000"/>
          <w:sz w:val="20"/>
        </w:rPr>
        <w:t>(In thousands)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left"/>
        <w:rPr/>
      </w:pPr>
      <w:r>
        <w:rPr/>
        <w:t> </w:t>
      </w:r>
    </w:p>
    <w:tbl>
      <w:tblPr>
        <w:tblW w:w="8821" w:type="dxa"/>
        <w:jc w:val="left"/>
        <w:tblInd w:w="0" w:type="dxa"/>
        <w:tblLayout w:type="fixed"/>
        <w:tblCellMar>
          <w:top w:w="28" w:type="dxa"/>
          <w:left w:w="28" w:type="dxa"/>
          <w:bottom w:w="28" w:type="dxa"/>
          <w:right w:w="28" w:type="dxa"/>
        </w:tblCellMar>
      </w:tblPr>
      <w:tblGrid>
        <w:gridCol w:w="261"/>
        <w:gridCol w:w="5551"/>
        <w:gridCol w:w="146"/>
        <w:gridCol w:w="242"/>
        <w:gridCol w:w="928"/>
        <w:gridCol w:w="166"/>
        <w:gridCol w:w="146"/>
        <w:gridCol w:w="242"/>
        <w:gridCol w:w="928"/>
        <w:gridCol w:w="211"/>
      </w:tblGrid>
      <w:tr>
        <w:trPr/>
        <w:tc>
          <w:tcPr>
            <w:tcW w:w="261" w:type="dxa"/>
            <w:tcBorders/>
            <w:vAlign w:val="center"/>
          </w:tcPr>
          <w:p>
            <w:pPr>
              <w:pStyle w:val="TableContents"/>
              <w:bidi w:val="0"/>
              <w:spacing w:before="0" w:after="283"/>
              <w:jc w:val="left"/>
              <w:rPr>
                <w:sz w:val="4"/>
                <w:szCs w:val="4"/>
              </w:rPr>
            </w:pPr>
            <w:r>
              <w:rPr>
                <w:sz w:val="4"/>
                <w:szCs w:val="4"/>
              </w:rPr>
            </w:r>
          </w:p>
        </w:tc>
        <w:tc>
          <w:tcPr>
            <w:tcW w:w="5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55,995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Loss (gain)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Loss (gain) on sale of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Foreign currency transaction gains and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Equity in losses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Return on investments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Contributions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assets and liabilities, net of acquisitions and consolidated</w:t>
              <w:br/>
              <w:t>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62,462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(94,320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148,014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for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(117,858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Investments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Return of investments in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(386,491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(164,308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8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borrowings under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borrowings under credit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convertible notes due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 of delayed draw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for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Contributions by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Taxes paid on vested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Redemption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453,548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411,327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PARSONS CORPORATION AND SUBSIDIARIES</w:t>
      </w:r>
    </w:p>
    <w:p>
      <w:pPr>
        <w:pStyle w:val="TextBody"/>
        <w:bidi w:val="0"/>
        <w:jc w:val="center"/>
        <w:rPr>
          <w:rFonts w:ascii="Arial" w:hAnsi="Arial"/>
          <w:b/>
          <w:color w:val="000000"/>
          <w:sz w:val="20"/>
        </w:rPr>
      </w:pPr>
      <w:bookmarkStart w:id="10" w:name="consolidated_statements_shareholders_equ"/>
      <w:bookmarkEnd w:id="10"/>
      <w:r>
        <w:rPr>
          <w:rFonts w:ascii="Arial" w:hAnsi="Arial"/>
          <w:b/>
          <w:color w:val="000000"/>
          <w:sz w:val="20"/>
        </w:rPr>
        <w:t>Consolidated Statements of Shareholders’ Equity</w:t>
      </w:r>
    </w:p>
    <w:p>
      <w:pPr>
        <w:pStyle w:val="TextBody"/>
        <w:bidi w:val="0"/>
        <w:jc w:val="center"/>
        <w:rPr>
          <w:rFonts w:ascii="Arial" w:hAnsi="Arial"/>
          <w:b/>
          <w:color w:val="000000"/>
          <w:sz w:val="20"/>
        </w:rPr>
      </w:pPr>
      <w:r>
        <w:rPr>
          <w:rFonts w:ascii="Arial" w:hAnsi="Arial"/>
          <w:b/>
          <w:color w:val="000000"/>
          <w:sz w:val="20"/>
        </w:rPr>
        <w:t>For the Three Months Ended June 30, 2026 and June 30, 2025</w:t>
      </w:r>
    </w:p>
    <w:p>
      <w:pPr>
        <w:pStyle w:val="TextBody"/>
        <w:bidi w:val="0"/>
        <w:jc w:val="center"/>
        <w:rPr>
          <w:rFonts w:ascii="Arial" w:hAnsi="Arial"/>
          <w:i/>
          <w:color w:val="000000"/>
          <w:sz w:val="20"/>
        </w:rPr>
      </w:pPr>
      <w:r>
        <w:rPr>
          <w:rFonts w:ascii="Arial" w:hAnsi="Arial"/>
          <w:i/>
          <w:color w:val="000000"/>
          <w:sz w:val="20"/>
        </w:rPr>
        <w:t>(In thousands)</w:t>
      </w:r>
    </w:p>
    <w:p>
      <w:pPr>
        <w:pStyle w:val="TextBody"/>
        <w:bidi w:val="0"/>
        <w:jc w:val="center"/>
        <w:rPr>
          <w:rFonts w:ascii="Arial" w:hAnsi="Arial"/>
          <w:color w:val="000000"/>
          <w:sz w:val="20"/>
        </w:rPr>
      </w:pPr>
      <w:r>
        <w:rPr>
          <w:rFonts w:ascii="Arial" w:hAnsi="Arial"/>
          <w:color w:val="000000"/>
          <w:sz w:val="20"/>
        </w:rPr>
        <w:t>(Unaudited)</w:t>
      </w:r>
    </w:p>
    <w:tbl>
      <w:tblPr>
        <w:tblW w:w="12336" w:type="dxa"/>
        <w:jc w:val="left"/>
        <w:tblInd w:w="0" w:type="dxa"/>
        <w:tblLayout w:type="fixed"/>
        <w:tblCellMar>
          <w:top w:w="28" w:type="dxa"/>
          <w:left w:w="28" w:type="dxa"/>
          <w:bottom w:w="28" w:type="dxa"/>
          <w:right w:w="28" w:type="dxa"/>
        </w:tblCellMar>
      </w:tblPr>
      <w:tblGrid>
        <w:gridCol w:w="1151"/>
        <w:gridCol w:w="146"/>
        <w:gridCol w:w="196"/>
        <w:gridCol w:w="691"/>
        <w:gridCol w:w="166"/>
        <w:gridCol w:w="146"/>
        <w:gridCol w:w="196"/>
        <w:gridCol w:w="751"/>
        <w:gridCol w:w="166"/>
        <w:gridCol w:w="146"/>
        <w:gridCol w:w="196"/>
        <w:gridCol w:w="826"/>
        <w:gridCol w:w="166"/>
        <w:gridCol w:w="146"/>
        <w:gridCol w:w="196"/>
        <w:gridCol w:w="691"/>
        <w:gridCol w:w="166"/>
        <w:gridCol w:w="146"/>
        <w:gridCol w:w="308"/>
        <w:gridCol w:w="1043"/>
        <w:gridCol w:w="166"/>
        <w:gridCol w:w="146"/>
        <w:gridCol w:w="196"/>
        <w:gridCol w:w="826"/>
        <w:gridCol w:w="166"/>
        <w:gridCol w:w="146"/>
        <w:gridCol w:w="288"/>
        <w:gridCol w:w="1018"/>
        <w:gridCol w:w="166"/>
        <w:gridCol w:w="146"/>
        <w:gridCol w:w="196"/>
        <w:gridCol w:w="826"/>
        <w:gridCol w:w="411"/>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Parsons</w:t>
              <w:br/>
              <w:t>Equity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Noncontrolling</w:t>
              <w:b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145,678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(793,002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2,610,651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709,725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(23,439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18"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top w:val="single" w:sz="4" w:space="0" w:color="000000"/>
              <w:bottom w:val="single" w:sz="18"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2,649,613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104,544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2,754,157</w:t>
            </w:r>
          </w:p>
        </w:tc>
        <w:tc>
          <w:tcPr>
            <w:tcW w:w="41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Foreign currency translation</w:t>
              <w:br/>
              <w:t>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equity securities,</w:t>
              <w:br/>
              <w:t>  net of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(793,002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2,611,828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2,631,419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2,747,769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146,704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(815,282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2,660,487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487,625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(25,740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2,453,794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91,938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2,545,732</w:t>
            </w:r>
          </w:p>
        </w:tc>
        <w:tc>
          <w:tcPr>
            <w:tcW w:w="41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70,489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Foreign currency translation</w:t>
              <w:br/>
              <w:t>  gain,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6"/>
              </w:rPr>
              <w:t>Pension adjustments,</w:t>
              <w:br/>
              <w: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equity securities,</w:t>
              <w:br/>
              <w:t>  net of retirements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(815,282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2,660,579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2,515,871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2,621,611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PARSONS CORPORATION AND SUBSIDIARIES</w:t>
      </w:r>
    </w:p>
    <w:p>
      <w:pPr>
        <w:pStyle w:val="TextBody"/>
        <w:bidi w:val="0"/>
        <w:jc w:val="center"/>
        <w:rPr>
          <w:rFonts w:ascii="Arial" w:hAnsi="Arial"/>
          <w:b/>
          <w:color w:val="000000"/>
          <w:sz w:val="20"/>
        </w:rPr>
      </w:pPr>
      <w:r>
        <w:rPr>
          <w:rFonts w:ascii="Arial" w:hAnsi="Arial"/>
          <w:b/>
          <w:color w:val="000000"/>
          <w:sz w:val="20"/>
        </w:rPr>
        <w:t>Consolidated Statements of Shareholders’ Equity</w:t>
      </w:r>
    </w:p>
    <w:p>
      <w:pPr>
        <w:pStyle w:val="TextBody"/>
        <w:bidi w:val="0"/>
        <w:jc w:val="center"/>
        <w:rPr>
          <w:rFonts w:ascii="Arial" w:hAnsi="Arial"/>
          <w:b/>
          <w:color w:val="000000"/>
          <w:sz w:val="20"/>
        </w:rPr>
      </w:pPr>
      <w:r>
        <w:rPr>
          <w:rFonts w:ascii="Arial" w:hAnsi="Arial"/>
          <w:b/>
          <w:color w:val="000000"/>
          <w:sz w:val="20"/>
        </w:rPr>
        <w:t>For the Six Months Ended June 30, 2026 and June 30, 2025</w:t>
      </w:r>
    </w:p>
    <w:p>
      <w:pPr>
        <w:pStyle w:val="TextBody"/>
        <w:bidi w:val="0"/>
        <w:jc w:val="center"/>
        <w:rPr>
          <w:rFonts w:ascii="Arial" w:hAnsi="Arial"/>
          <w:i/>
          <w:color w:val="000000"/>
          <w:sz w:val="20"/>
        </w:rPr>
      </w:pPr>
      <w:r>
        <w:rPr>
          <w:rFonts w:ascii="Arial" w:hAnsi="Arial"/>
          <w:i/>
          <w:color w:val="000000"/>
          <w:sz w:val="20"/>
        </w:rPr>
        <w:t>(In thousands)</w:t>
      </w:r>
    </w:p>
    <w:p>
      <w:pPr>
        <w:pStyle w:val="TextBody"/>
        <w:bidi w:val="0"/>
        <w:jc w:val="center"/>
        <w:rPr>
          <w:rFonts w:ascii="Arial" w:hAnsi="Arial"/>
          <w:color w:val="000000"/>
          <w:sz w:val="20"/>
        </w:rPr>
      </w:pPr>
      <w:r>
        <w:rPr>
          <w:rFonts w:ascii="Arial" w:hAnsi="Arial"/>
          <w:color w:val="000000"/>
          <w:sz w:val="20"/>
        </w:rPr>
        <w:t>(Unaudited)</w:t>
      </w:r>
    </w:p>
    <w:tbl>
      <w:tblPr>
        <w:tblW w:w="12416" w:type="dxa"/>
        <w:jc w:val="left"/>
        <w:tblInd w:w="0" w:type="dxa"/>
        <w:tblLayout w:type="fixed"/>
        <w:tblCellMar>
          <w:top w:w="28" w:type="dxa"/>
          <w:left w:w="28" w:type="dxa"/>
          <w:bottom w:w="28" w:type="dxa"/>
          <w:right w:w="28" w:type="dxa"/>
        </w:tblCellMar>
      </w:tblPr>
      <w:tblGrid>
        <w:gridCol w:w="1251"/>
        <w:gridCol w:w="146"/>
        <w:gridCol w:w="196"/>
        <w:gridCol w:w="691"/>
        <w:gridCol w:w="166"/>
        <w:gridCol w:w="146"/>
        <w:gridCol w:w="196"/>
        <w:gridCol w:w="751"/>
        <w:gridCol w:w="166"/>
        <w:gridCol w:w="146"/>
        <w:gridCol w:w="196"/>
        <w:gridCol w:w="826"/>
        <w:gridCol w:w="166"/>
        <w:gridCol w:w="146"/>
        <w:gridCol w:w="196"/>
        <w:gridCol w:w="691"/>
        <w:gridCol w:w="166"/>
        <w:gridCol w:w="146"/>
        <w:gridCol w:w="308"/>
        <w:gridCol w:w="1043"/>
        <w:gridCol w:w="166"/>
        <w:gridCol w:w="146"/>
        <w:gridCol w:w="196"/>
        <w:gridCol w:w="826"/>
        <w:gridCol w:w="166"/>
        <w:gridCol w:w="146"/>
        <w:gridCol w:w="288"/>
        <w:gridCol w:w="1018"/>
        <w:gridCol w:w="166"/>
        <w:gridCol w:w="146"/>
        <w:gridCol w:w="196"/>
        <w:gridCol w:w="826"/>
        <w:gridCol w:w="391"/>
      </w:tblGrid>
      <w:tr>
        <w:trPr/>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Parsons</w:t>
              <w:b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Noncontrolling</w:t>
              <w:b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145,676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(792,638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2,648,730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661,173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(20,921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2,642,020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125,652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2,767,672</w:t>
            </w:r>
          </w:p>
        </w:tc>
        <w:tc>
          <w:tcPr>
            <w:tcW w:w="39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Foreign currency translation</w:t>
              <w:br/>
              <w:t>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Contributions of treasury stock to ESOP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Repurchase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equity securities,</w:t>
              <w:br/>
              <w:t>  net of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(793,002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2,611,828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2,631,419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2,747,769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(815,282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2,684,829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2,416,389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2,534,489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152,276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Foreign currency translation</w:t>
              <w:br/>
              <w:t>  gain,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Pension adjustments,</w:t>
              <w:br/>
              <w: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equity securities,</w:t>
              <w:br/>
              <w:t>  net of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(815,282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2,660,579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2,515,871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2,621,611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1" w:name="notes_to_consolidated_financial_stmnts"/>
      <w:bookmarkEnd w:id="11"/>
      <w:r>
        <w:rPr>
          <w:rFonts w:ascii="Arial" w:hAnsi="Arial"/>
          <w:b/>
          <w:color w:val="000000"/>
          <w:sz w:val="20"/>
        </w:rPr>
        <w:t>Parsons Corporation and Subsidiaries</w:t>
      </w:r>
    </w:p>
    <w:p>
      <w:pPr>
        <w:pStyle w:val="TextBody"/>
        <w:bidi w:val="0"/>
        <w:jc w:val="center"/>
        <w:rPr>
          <w:rFonts w:ascii="Arial" w:hAnsi="Arial"/>
          <w:b/>
          <w:color w:val="000000"/>
          <w:sz w:val="20"/>
        </w:rPr>
      </w:pPr>
      <w:r>
        <w:rPr>
          <w:rFonts w:ascii="Arial" w:hAnsi="Arial"/>
          <w:b/>
          <w:color w:val="000000"/>
          <w:sz w:val="20"/>
        </w:rPr>
        <w:t>Notes to Consolidated Financial Statements (Unaudited)</w:t>
      </w:r>
    </w:p>
    <w:p>
      <w:pPr>
        <w:pStyle w:val="TextBody"/>
        <w:bidi w:val="0"/>
        <w:jc w:val="center"/>
        <w:rPr/>
      </w:pPr>
      <w:r>
        <w:rPr/>
        <w:t> </w:t>
      </w:r>
    </w:p>
    <w:p>
      <w:pPr>
        <w:pStyle w:val="TextBody"/>
        <w:bidi w:val="0"/>
        <w:spacing w:before="240" w:after="283"/>
        <w:jc w:val="left"/>
        <w:rPr>
          <w:rFonts w:ascii="Arial" w:hAnsi="Arial"/>
          <w:b/>
          <w:color w:val="000000"/>
          <w:sz w:val="20"/>
        </w:rPr>
      </w:pPr>
      <w:r>
        <w:rPr>
          <w:rFonts w:ascii="Arial" w:hAnsi="Arial"/>
          <w:b/>
          <w:color w:val="000000"/>
          <w:sz w:val="20"/>
        </w:rPr>
        <w:t>1.</w:t>
      </w:r>
    </w:p>
    <w:p>
      <w:pPr>
        <w:pStyle w:val="TextBody"/>
        <w:bidi w:val="0"/>
        <w:spacing w:before="240" w:after="283"/>
        <w:jc w:val="left"/>
        <w:rPr>
          <w:rFonts w:ascii="Arial" w:hAnsi="Arial"/>
          <w:b/>
          <w:color w:val="000000"/>
          <w:sz w:val="20"/>
        </w:rPr>
      </w:pPr>
      <w:r>
        <w:rPr>
          <w:rFonts w:ascii="Arial" w:hAnsi="Arial"/>
          <w:b/>
          <w:color w:val="000000"/>
          <w:sz w:val="20"/>
        </w:rPr>
        <w:t>Description of Operations</w:t>
      </w:r>
    </w:p>
    <w:p>
      <w:pPr>
        <w:pStyle w:val="TextBody"/>
        <w:bidi w:val="0"/>
        <w:spacing w:before="240" w:after="283"/>
        <w:jc w:val="left"/>
        <w:rPr>
          <w:rFonts w:ascii="Arial" w:hAnsi="Arial"/>
          <w:b/>
          <w:color w:val="000000"/>
          <w:sz w:val="20"/>
        </w:rPr>
      </w:pPr>
      <w:r>
        <w:rPr>
          <w:rFonts w:ascii="Arial" w:hAnsi="Arial"/>
          <w:b/>
          <w:color w:val="000000"/>
          <w:sz w:val="20"/>
        </w:rPr>
        <w:t>Organization</w:t>
      </w:r>
    </w:p>
    <w:p>
      <w:pPr>
        <w:pStyle w:val="TextBody"/>
        <w:bidi w:val="0"/>
        <w:spacing w:before="240" w:after="283"/>
        <w:jc w:val="left"/>
        <w:rPr>
          <w:rFonts w:ascii="Arial" w:hAnsi="Arial"/>
          <w:color w:val="000000"/>
          <w:sz w:val="20"/>
        </w:rPr>
      </w:pPr>
      <w:r>
        <w:rPr>
          <w:rFonts w:ascii="Arial" w:hAnsi="Arial"/>
          <w:color w:val="000000"/>
          <w:sz w:val="20"/>
        </w:rPr>
        <w:t>Parsons Corporation, a Delaware corporation, and its subsidiaries (collectively, the “Company”) provide sophisticated design, engineering and technical solutions to the United States federal government and Critical Infrastructure customers worldwide. The Company performs work in various foreign countries through local subsidiaries, joint ventures and foreign offices maintained to carry out specific projects.</w:t>
      </w:r>
    </w:p>
    <w:p>
      <w:pPr>
        <w:pStyle w:val="TextBody"/>
        <w:bidi w:val="0"/>
        <w:spacing w:before="240" w:after="283"/>
        <w:jc w:val="left"/>
        <w:rPr>
          <w:rFonts w:ascii="Arial" w:hAnsi="Arial"/>
          <w:b/>
          <w:color w:val="000000"/>
          <w:sz w:val="20"/>
        </w:rPr>
      </w:pPr>
      <w:r>
        <w:rPr>
          <w:rFonts w:ascii="Arial" w:hAnsi="Arial"/>
          <w:b/>
          <w:color w:val="000000"/>
          <w:sz w:val="20"/>
        </w:rPr>
        <w:t>2.</w:t>
      </w:r>
    </w:p>
    <w:p>
      <w:pPr>
        <w:pStyle w:val="TextBody"/>
        <w:bidi w:val="0"/>
        <w:spacing w:before="240" w:after="283"/>
        <w:jc w:val="left"/>
        <w:rPr>
          <w:rFonts w:ascii="Arial" w:hAnsi="Arial"/>
          <w:b/>
          <w:color w:val="000000"/>
          <w:sz w:val="20"/>
        </w:rPr>
      </w:pPr>
      <w:r>
        <w:rPr>
          <w:rFonts w:ascii="Arial" w:hAnsi="Arial"/>
          <w:b/>
          <w:color w:val="000000"/>
          <w:sz w:val="20"/>
        </w:rPr>
        <w:t>Basis of Presentation and Principles of Consolidation</w:t>
      </w:r>
    </w:p>
    <w:p>
      <w:pPr>
        <w:pStyle w:val="TextBody"/>
        <w:bidi w:val="0"/>
        <w:spacing w:before="240" w:after="283"/>
        <w:jc w:val="left"/>
        <w:rPr>
          <w:rFonts w:ascii="Times New Roman" w:hAnsi="Times New Roman"/>
          <w:sz w:val="20"/>
        </w:rPr>
      </w:pPr>
      <w:r>
        <w:rPr>
          <w:rFonts w:ascii="Arial" w:hAnsi="Arial"/>
          <w:color w:val="000000"/>
          <w:sz w:val="20"/>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w:t>
      </w:r>
      <w:r>
        <w:rPr>
          <w:rFonts w:ascii="Times New Roman" w:hAnsi="Times New Roman"/>
          <w:color w:val="000000"/>
          <w:sz w:val="20"/>
        </w:rPr>
        <w:t xml:space="preserve"> </w:t>
      </w:r>
      <w:r>
        <w:rPr>
          <w:rFonts w:ascii="Arial" w:hAnsi="Arial"/>
          <w:color w:val="000000"/>
          <w:sz w:val="20"/>
        </w:rPr>
        <w:t>Investments in and Advances to Joint Ventures" for further discussion). Intercompany accounts and transactions are eliminated in consolidation. Certain amounts may not foot due to rounding.</w:t>
      </w:r>
    </w:p>
    <w:p>
      <w:pPr>
        <w:pStyle w:val="TextBody"/>
        <w:bidi w:val="0"/>
        <w:spacing w:before="240" w:after="283"/>
        <w:jc w:val="left"/>
        <w:rPr>
          <w:rFonts w:ascii="Arial" w:hAnsi="Arial"/>
          <w:b/>
          <w:color w:val="000000"/>
          <w:sz w:val="20"/>
        </w:rPr>
      </w:pPr>
      <w:r>
        <w:rPr>
          <w:rFonts w:ascii="Arial" w:hAnsi="Arial"/>
          <w:b/>
          <w:color w:val="000000"/>
          <w:sz w:val="20"/>
        </w:rPr>
        <w:t>Use of Estimates</w:t>
      </w:r>
    </w:p>
    <w:p>
      <w:pPr>
        <w:pStyle w:val="TextBody"/>
        <w:bidi w:val="0"/>
        <w:spacing w:before="120" w:after="283"/>
        <w:jc w:val="left"/>
        <w:rPr>
          <w:rFonts w:ascii="Times New Roman" w:hAnsi="Times New Roman"/>
          <w:sz w:val="20"/>
        </w:rPr>
      </w:pPr>
      <w:r>
        <w:rPr>
          <w:rFonts w:ascii="Arial" w:hAnsi="Arial"/>
          <w:color w:val="000000"/>
          <w:sz w:val="20"/>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3.</w:t>
      </w:r>
    </w:p>
    <w:p>
      <w:pPr>
        <w:pStyle w:val="TextBody"/>
        <w:bidi w:val="0"/>
        <w:spacing w:before="360" w:after="283"/>
        <w:jc w:val="left"/>
        <w:rPr>
          <w:rFonts w:ascii="Arial" w:hAnsi="Arial"/>
          <w:b/>
          <w:color w:val="000000"/>
          <w:sz w:val="20"/>
        </w:rPr>
      </w:pPr>
      <w:r>
        <w:rPr>
          <w:rFonts w:ascii="Arial" w:hAnsi="Arial"/>
          <w:b/>
          <w:color w:val="000000"/>
          <w:sz w:val="20"/>
        </w:rPr>
        <w:t>New Accounting Pronouncements</w:t>
      </w:r>
    </w:p>
    <w:p>
      <w:pPr>
        <w:pStyle w:val="TextBody"/>
        <w:bidi w:val="0"/>
        <w:spacing w:before="240" w:after="283"/>
        <w:jc w:val="left"/>
        <w:rPr>
          <w:rFonts w:ascii="Times New Roman" w:hAnsi="Times New Roman"/>
          <w:sz w:val="20"/>
        </w:rPr>
      </w:pPr>
      <w:r>
        <w:rPr>
          <w:rFonts w:ascii="Arial" w:hAnsi="Arial"/>
          <w:color w:val="000000"/>
          <w:sz w:val="20"/>
        </w:rPr>
        <w:t>In the fourth quarter of 2024, the FASB issued ASU 2024-03 "Income Statement—Reporting Comprehensive Income—Expense Disaggregation Disclosures (Subtopic 220-40): Disaggregation of Income Statement Expenses" ("ASU 2024-03"). ASU 2024-03 requires disclosure, in the notes to financial statements, of specified information about certain costs and expenses. ASU 2024-03 is effective for annual reporting periods beginning after December 15, 2026, and interim reporting periods beginning after December 15, 2027. Early adoption is permitted and this ASU should be applied prospectively; however, retrospective application is also permitted. The adoption</w:t>
      </w:r>
      <w:r>
        <w:rPr>
          <w:rFonts w:ascii="Times New Roman" w:hAnsi="Times New Roman"/>
          <w:color w:val="000000"/>
          <w:sz w:val="20"/>
        </w:rPr>
        <w:t xml:space="preserve"> </w:t>
      </w:r>
      <w:r>
        <w:rPr>
          <w:rFonts w:ascii="Arial" w:hAnsi="Arial"/>
          <w:color w:val="000000"/>
          <w:sz w:val="20"/>
        </w:rPr>
        <w:t>of this ASU will not have a material impact on the Company's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w:t>
      </w:r>
      <w:r>
        <w:rPr>
          <w:rFonts w:ascii="Arial" w:hAnsi="Arial"/>
          <w:color w:val="202124"/>
          <w:sz w:val="20"/>
        </w:rPr>
        <w:t>n December 2023, the FASB issued ASU No. 2023-09, Income Taxes (Topic 740): Improvements to Income Tax Disclosures (“ASU 2023-09”), to improve the transparency of income tax disclosures. ASU 2023-09 requires a public business entity (“PBE”) to disclose, on an annual basis, specific categories in its income tax rate reconciliation and provide additional information for reconciling items that meet a quantitative threshold. ASU 2023-09 also requires all entities to disclose its income taxes paid, net of refunds received, disaggregated by federal, state and foreign taxes, with further disaggregation required for significant individual jurisdictions. For public business entities, the new standard is effective for annual periods beginning after December 15, 2024. This ASU was adopted in the fourth quarter of 2025, prospectively. The adoption of this ASU only impacted disclosures and did not have a material impact on the Company's consolidated financial statements.</w:t>
      </w:r>
    </w:p>
    <w:p>
      <w:pPr>
        <w:pStyle w:val="TextBody"/>
        <w:bidi w:val="0"/>
        <w:spacing w:before="240" w:after="283"/>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4.</w:t>
      </w:r>
    </w:p>
    <w:p>
      <w:pPr>
        <w:pStyle w:val="TextBody"/>
        <w:bidi w:val="0"/>
        <w:spacing w:before="240" w:after="283"/>
        <w:jc w:val="left"/>
        <w:rPr/>
      </w:pPr>
      <w:r>
        <w:rPr>
          <w:rFonts w:ascii="Arial" w:hAnsi="Arial"/>
          <w:b/>
          <w:color w:val="000000"/>
          <w:sz w:val="20"/>
        </w:rPr>
        <w:t>Acquisitions</w:t>
      </w:r>
      <w:r>
        <w:rPr>
          <w:color w:val="000000"/>
        </w:rPr>
        <w:t xml:space="preserve"> </w:t>
      </w:r>
    </w:p>
    <w:p>
      <w:pPr>
        <w:pStyle w:val="TextBody"/>
        <w:bidi w:val="0"/>
        <w:spacing w:before="240" w:after="283"/>
        <w:jc w:val="left"/>
        <w:rPr>
          <w:rFonts w:ascii="Arial" w:hAnsi="Arial"/>
          <w:b/>
          <w:color w:val="202124"/>
          <w:sz w:val="20"/>
        </w:rPr>
      </w:pPr>
      <w:r>
        <w:rPr>
          <w:rFonts w:ascii="Arial" w:hAnsi="Arial"/>
          <w:b/>
          <w:color w:val="202124"/>
          <w:sz w:val="20"/>
        </w:rPr>
        <w:t>Altamira Technologies Corporation</w:t>
      </w:r>
    </w:p>
    <w:p>
      <w:pPr>
        <w:pStyle w:val="TextBody"/>
        <w:bidi w:val="0"/>
        <w:spacing w:before="240" w:after="283"/>
        <w:jc w:val="left"/>
        <w:rPr>
          <w:rFonts w:ascii="Times New Roman" w:hAnsi="Times New Roman"/>
          <w:sz w:val="20"/>
        </w:rPr>
      </w:pPr>
      <w:r>
        <w:rPr>
          <w:rFonts w:ascii="Arial" w:hAnsi="Arial"/>
          <w:color w:val="202124"/>
          <w:sz w:val="20"/>
        </w:rPr>
        <w:t>On January 14, 2026, the Company acquired a 100% ownership interest</w:t>
      </w:r>
      <w:r>
        <w:rPr>
          <w:rFonts w:ascii="Times New Roman" w:hAnsi="Times New Roman"/>
          <w:color w:val="000000"/>
          <w:sz w:val="20"/>
        </w:rPr>
        <w:t xml:space="preserve"> </w:t>
      </w:r>
      <w:r>
        <w:rPr>
          <w:rFonts w:ascii="Arial" w:hAnsi="Arial"/>
          <w:color w:val="000000"/>
          <w:sz w:val="20"/>
        </w:rPr>
        <w:t>in Altamira Technologies Corporation ("ATC"), a privately owned company, for approximately $339</w:t>
      </w:r>
      <w:r>
        <w:rPr>
          <w:rFonts w:ascii="Times New Roman" w:hAnsi="Times New Roman"/>
          <w:color w:val="000000"/>
          <w:sz w:val="20"/>
        </w:rPr>
        <w:t xml:space="preserve"> </w:t>
      </w:r>
      <w:r>
        <w:rPr>
          <w:rFonts w:ascii="Arial" w:hAnsi="Arial"/>
          <w:color w:val="000000"/>
          <w:sz w:val="20"/>
        </w:rPr>
        <w:t>million in cash and up to an additional $45</w:t>
      </w:r>
      <w:r>
        <w:rPr>
          <w:rFonts w:ascii="Times New Roman" w:hAnsi="Times New Roman"/>
          <w:color w:val="000000"/>
          <w:sz w:val="20"/>
        </w:rPr>
        <w:t xml:space="preserve"> </w:t>
      </w:r>
      <w:r>
        <w:rPr>
          <w:rFonts w:ascii="Arial" w:hAnsi="Arial"/>
          <w:color w:val="000000"/>
          <w:sz w:val="20"/>
        </w:rPr>
        <w:t>million in the event an earn out EBITDA target is exceeded. The Company borrowed $330.0</w:t>
      </w:r>
      <w:r>
        <w:rPr>
          <w:rFonts w:ascii="Times New Roman" w:hAnsi="Times New Roman"/>
          <w:color w:val="000000"/>
          <w:sz w:val="20"/>
        </w:rPr>
        <w:t xml:space="preserve"> </w:t>
      </w:r>
      <w:r>
        <w:rPr>
          <w:rFonts w:ascii="Arial" w:hAnsi="Arial"/>
          <w:color w:val="000000"/>
          <w:sz w:val="20"/>
        </w:rPr>
        <w:t>million under the Credit Agreement (as defined in "Note 10</w:t>
      </w:r>
      <w:r>
        <w:rPr>
          <w:rFonts w:ascii="Times New Roman" w:hAnsi="Times New Roman"/>
          <w:color w:val="202124"/>
          <w:sz w:val="20"/>
        </w:rPr>
        <w:t>—</w:t>
      </w:r>
      <w:r>
        <w:rPr>
          <w:rFonts w:ascii="Arial" w:hAnsi="Arial"/>
          <w:color w:val="000000"/>
          <w:sz w:val="20"/>
        </w:rPr>
        <w:t>Debt and Credit Facilities") to fund the acquisition. Headquartered in McLean, Virginia, ATC enhances Parsons’ defense and intelligence portfolio by delivering advanced analytics, signals intelligence (SIGINT), cyber, missile warning, and space capabilities, complementing the Company’s strengths in all</w:t>
        <w:noBreakHyphen/>
        <w:t>domain technology integration and Indo</w:t>
        <w:noBreakHyphen/>
        <w:t>Pacific operations, and expanding with intelligence community (IC) customers.</w:t>
      </w:r>
      <w:r>
        <w:rPr>
          <w:rFonts w:ascii="Times New Roman" w:hAnsi="Times New Roman"/>
          <w:color w:val="202124"/>
          <w:sz w:val="20"/>
        </w:rPr>
        <w:t xml:space="preserve"> </w:t>
      </w:r>
      <w:r>
        <w:rPr>
          <w:rFonts w:ascii="Arial" w:hAnsi="Arial"/>
          <w:color w:val="202124"/>
          <w:sz w:val="20"/>
        </w:rPr>
        <w:t>In connection with this acquisition, the Company recognized $5</w:t>
      </w:r>
      <w:r>
        <w:rPr>
          <w:rFonts w:ascii="Times New Roman" w:hAnsi="Times New Roman"/>
          <w:color w:val="202124"/>
          <w:sz w:val="20"/>
        </w:rPr>
        <w:t xml:space="preserve"> </w:t>
      </w:r>
      <w:r>
        <w:rPr>
          <w:rFonts w:ascii="Arial" w:hAnsi="Arial"/>
          <w:color w:val="202124"/>
          <w:sz w:val="20"/>
        </w:rPr>
        <w:t>million of acquisition-related expenses in “Selling, general and administrative expense” in the consolidated statements of income for the six months ended June 30, 2026, including legal fees, consulting fees, and other miscellaneous direct expenses associated with the acquisition. No</w:t>
      </w:r>
      <w:r>
        <w:rPr>
          <w:rFonts w:ascii="Times New Roman" w:hAnsi="Times New Roman"/>
          <w:color w:val="202124"/>
          <w:sz w:val="20"/>
        </w:rPr>
        <w:t xml:space="preserve"> </w:t>
      </w:r>
      <w:r>
        <w:rPr>
          <w:rFonts w:ascii="Arial" w:hAnsi="Arial"/>
          <w:color w:val="202124"/>
          <w:sz w:val="20"/>
        </w:rPr>
        <w:t>acquisition-related expenses were recognized for the three months ended June 30, 2026.</w:t>
      </w:r>
    </w:p>
    <w:p>
      <w:pPr>
        <w:pStyle w:val="TextBody"/>
        <w:bidi w:val="0"/>
        <w:spacing w:before="240" w:after="283"/>
        <w:jc w:val="left"/>
        <w:rPr>
          <w:rFonts w:ascii="Times New Roman" w:hAnsi="Times New Roman"/>
          <w:sz w:val="20"/>
        </w:rPr>
      </w:pPr>
      <w:r>
        <w:rPr>
          <w:rFonts w:ascii="Arial" w:hAnsi="Arial"/>
          <w:color w:val="202124"/>
          <w:sz w:val="20"/>
        </w:rPr>
        <w:t>The Company agreed to pay the selling shareholders up to an additional $45</w:t>
      </w:r>
      <w:r>
        <w:rPr>
          <w:rFonts w:ascii="Times New Roman" w:hAnsi="Times New Roman"/>
          <w:color w:val="202124"/>
          <w:sz w:val="20"/>
        </w:rPr>
        <w:t xml:space="preserve"> </w:t>
      </w:r>
      <w:r>
        <w:rPr>
          <w:rFonts w:ascii="Arial" w:hAnsi="Arial"/>
          <w:color w:val="202124"/>
          <w:sz w:val="20"/>
        </w:rPr>
        <w:t>million in the event an earn out EBITDA target is exceeded during the fiscal year ended December 31, 2026. In the event that the 2026 EBITDA is less than target, the earn out payment shall be zero. The fair value of the earn out (contingent consideration in the table below) was calculated using a Black-Scholes model. See "Note 16—Fair Value" for further information on how the fair value of contingent consideration is determined.</w:t>
      </w:r>
    </w:p>
    <w:p>
      <w:pPr>
        <w:pStyle w:val="TextBody"/>
        <w:bidi w:val="0"/>
        <w:spacing w:before="240" w:after="283"/>
        <w:jc w:val="left"/>
        <w:rPr>
          <w:rFonts w:ascii="Arial" w:hAnsi="Arial"/>
          <w:color w:val="202124"/>
          <w:sz w:val="20"/>
        </w:rPr>
      </w:pPr>
      <w:r>
        <w:rPr>
          <w:rFonts w:ascii="Arial" w:hAnsi="Arial"/>
          <w:color w:val="202124"/>
          <w:sz w:val="20"/>
        </w:rPr>
        <w:t>The following table summarizes the acquisition date fair value of the purchase consideration transferred (in thousands):</w:t>
      </w:r>
    </w:p>
    <w:p>
      <w:pPr>
        <w:pStyle w:val="TextBody"/>
        <w:bidi w:val="0"/>
        <w:jc w:val="left"/>
        <w:rPr/>
      </w:pPr>
      <w:r>
        <w:rPr/>
        <w:t> </w:t>
      </w:r>
    </w:p>
    <w:tbl>
      <w:tblPr>
        <w:tblW w:w="6055" w:type="dxa"/>
        <w:jc w:val="left"/>
        <w:tblInd w:w="0" w:type="dxa"/>
        <w:tblLayout w:type="fixed"/>
        <w:tblCellMar>
          <w:top w:w="28" w:type="dxa"/>
          <w:left w:w="28" w:type="dxa"/>
          <w:bottom w:w="28" w:type="dxa"/>
          <w:right w:w="28" w:type="dxa"/>
        </w:tblCellMar>
      </w:tblPr>
      <w:tblGrid>
        <w:gridCol w:w="4711"/>
        <w:gridCol w:w="146"/>
        <w:gridCol w:w="211"/>
        <w:gridCol w:w="796"/>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338,745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contingent consideration to be achieved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350,132</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202124"/>
          <w:sz w:val="20"/>
        </w:rPr>
        <w:t>The estimated fair value of the ATC contingent consideration as of June 30, 2026 is $0.9</w:t>
      </w:r>
      <w:r>
        <w:rPr>
          <w:rFonts w:ascii="Times New Roman" w:hAnsi="Times New Roman"/>
          <w:color w:val="202124"/>
          <w:sz w:val="20"/>
        </w:rPr>
        <w:t xml:space="preserve"> </w:t>
      </w:r>
      <w:r>
        <w:rPr>
          <w:rFonts w:ascii="Arial" w:hAnsi="Arial"/>
          <w:color w:val="202124"/>
          <w:sz w:val="20"/>
        </w:rPr>
        <w:t>million, a $10.5</w:t>
      </w:r>
      <w:r>
        <w:rPr>
          <w:rFonts w:ascii="Times New Roman" w:hAnsi="Times New Roman"/>
          <w:color w:val="202124"/>
          <w:sz w:val="20"/>
        </w:rPr>
        <w:t xml:space="preserve"> </w:t>
      </w:r>
      <w:r>
        <w:rPr>
          <w:rFonts w:ascii="Arial" w:hAnsi="Arial"/>
          <w:color w:val="202124"/>
          <w:sz w:val="20"/>
        </w:rPr>
        <w:t>million decrease from the quarter ended March 31, 2026. The change in the estimated fair value was recorded to "selling, general and administrative expenses" in the consolidated financial statements.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202124"/>
          <w:sz w:val="20"/>
        </w:rPr>
      </w:pPr>
      <w:r>
        <w:rPr>
          <w:rFonts w:ascii="Arial" w:hAnsi="Arial"/>
          <w:color w:val="202124"/>
          <w:sz w:val="20"/>
        </w:rPr>
        <w:t>The following table summarizes the estimated fair values of the assets acquired and liabilities assumed based on the purchase price allocation as of the date of acquisition (in thousands):</w:t>
      </w:r>
    </w:p>
    <w:p>
      <w:pPr>
        <w:pStyle w:val="TextBody"/>
        <w:bidi w:val="0"/>
        <w:jc w:val="left"/>
        <w:rPr/>
      </w:pPr>
      <w:r>
        <w:rPr/>
        <w:t> </w:t>
      </w:r>
    </w:p>
    <w:tbl>
      <w:tblPr>
        <w:tblW w:w="5725" w:type="dxa"/>
        <w:jc w:val="left"/>
        <w:tblInd w:w="0" w:type="dxa"/>
        <w:tblLayout w:type="fixed"/>
        <w:tblCellMar>
          <w:top w:w="28" w:type="dxa"/>
          <w:left w:w="28" w:type="dxa"/>
          <w:bottom w:w="28" w:type="dxa"/>
          <w:right w:w="28" w:type="dxa"/>
        </w:tblCellMar>
      </w:tblPr>
      <w:tblGrid>
        <w:gridCol w:w="4081"/>
        <w:gridCol w:w="146"/>
        <w:gridCol w:w="211"/>
        <w:gridCol w:w="796"/>
        <w:gridCol w:w="4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20,443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of use assets,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20,927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236,501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105,800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liabilities,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lease liabilities,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(18,937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(21,460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350,132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Of the total purchase price, the following values were preliminarily assigned to intangible assets (in thousands, except for years):</w:t>
      </w:r>
    </w:p>
    <w:p>
      <w:pPr>
        <w:pStyle w:val="TextBody"/>
        <w:bidi w:val="0"/>
        <w:jc w:val="left"/>
        <w:rPr/>
      </w:pPr>
      <w:r>
        <w:rPr/>
        <w:t> </w:t>
      </w:r>
    </w:p>
    <w:tbl>
      <w:tblPr>
        <w:tblW w:w="4882" w:type="dxa"/>
        <w:jc w:val="left"/>
        <w:tblInd w:w="0" w:type="dxa"/>
        <w:tblLayout w:type="fixed"/>
        <w:tblCellMar>
          <w:top w:w="28" w:type="dxa"/>
          <w:left w:w="28" w:type="dxa"/>
          <w:bottom w:w="28" w:type="dxa"/>
          <w:right w:w="28" w:type="dxa"/>
        </w:tblCellMar>
      </w:tblPr>
      <w:tblGrid>
        <w:gridCol w:w="2356"/>
        <w:gridCol w:w="146"/>
        <w:gridCol w:w="211"/>
        <w:gridCol w:w="691"/>
        <w:gridCol w:w="146"/>
        <w:gridCol w:w="146"/>
        <w:gridCol w:w="118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br/>
              <w:t>Period</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years)</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Non-compete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bl>
    <w:p>
      <w:pPr>
        <w:pStyle w:val="TextBody"/>
        <w:bidi w:val="0"/>
        <w:spacing w:before="240" w:after="283"/>
        <w:jc w:val="left"/>
        <w:rPr>
          <w:rFonts w:ascii="Times New Roman" w:hAnsi="Times New Roman"/>
          <w:sz w:val="20"/>
        </w:rPr>
      </w:pPr>
      <w:r>
        <w:rPr>
          <w:rFonts w:ascii="Arial" w:hAnsi="Arial"/>
          <w:color w:val="000000"/>
          <w:sz w:val="20"/>
        </w:rPr>
        <w:t>Amortization expense of $6.0</w:t>
      </w:r>
      <w:r>
        <w:rPr>
          <w:rFonts w:ascii="Times New Roman" w:hAnsi="Times New Roman"/>
          <w:color w:val="000000"/>
          <w:sz w:val="20"/>
        </w:rPr>
        <w:t xml:space="preserve"> </w:t>
      </w:r>
      <w:r>
        <w:rPr>
          <w:rFonts w:ascii="Arial" w:hAnsi="Arial"/>
          <w:color w:val="000000"/>
          <w:sz w:val="20"/>
        </w:rPr>
        <w:t>million and $12.1</w:t>
      </w:r>
      <w:r>
        <w:rPr>
          <w:rFonts w:ascii="Times New Roman" w:hAnsi="Times New Roman"/>
          <w:color w:val="000000"/>
          <w:sz w:val="20"/>
        </w:rPr>
        <w:t xml:space="preserve"> </w:t>
      </w:r>
      <w:r>
        <w:rPr>
          <w:rFonts w:ascii="Arial" w:hAnsi="Arial"/>
          <w:color w:val="000000"/>
          <w:sz w:val="20"/>
        </w:rPr>
        <w:t xml:space="preserve">million related to these intangible assets was recorded for the three </w:t>
      </w:r>
      <w:r>
        <w:rPr>
          <w:rFonts w:ascii="Arial" w:hAnsi="Arial"/>
          <w:color w:val="202124"/>
          <w:sz w:val="20"/>
        </w:rPr>
        <w:t>and six</w:t>
      </w:r>
      <w:r>
        <w:rPr>
          <w:rFonts w:ascii="Times New Roman" w:hAnsi="Times New Roman"/>
          <w:color w:val="000000"/>
          <w:sz w:val="20"/>
        </w:rPr>
        <w:t xml:space="preserve"> </w:t>
      </w:r>
      <w:r>
        <w:rPr>
          <w:rFonts w:ascii="Arial" w:hAnsi="Arial"/>
          <w:color w:val="000000"/>
          <w:sz w:val="20"/>
        </w:rPr>
        <w:t>months ended June 30, 2026, respectively. The entire value of goodwill was assigned to the Federal Solutions reporting unit and represents synergies expected to be realized from this business combination. $2.2</w:t>
      </w:r>
      <w:r>
        <w:rPr>
          <w:rFonts w:ascii="Times New Roman" w:hAnsi="Times New Roman"/>
          <w:color w:val="000000"/>
          <w:sz w:val="20"/>
        </w:rPr>
        <w:t xml:space="preserve"> </w:t>
      </w:r>
      <w:r>
        <w:rPr>
          <w:rFonts w:ascii="Arial" w:hAnsi="Arial"/>
          <w:color w:val="000000"/>
          <w:sz w:val="20"/>
        </w:rPr>
        <w:t>million of goodwill is deductible for tax purposes.</w:t>
      </w:r>
    </w:p>
    <w:p>
      <w:pPr>
        <w:pStyle w:val="TextBody"/>
        <w:bidi w:val="0"/>
        <w:spacing w:before="240" w:after="283"/>
        <w:jc w:val="left"/>
        <w:rPr>
          <w:rFonts w:ascii="Times New Roman" w:hAnsi="Times New Roman"/>
          <w:sz w:val="20"/>
        </w:rPr>
      </w:pPr>
      <w:r>
        <w:rPr>
          <w:rFonts w:ascii="Arial" w:hAnsi="Arial"/>
          <w:color w:val="000000"/>
          <w:sz w:val="20"/>
        </w:rPr>
        <w:t>The amount of revenue generated by ATC and included within consolidated revenue is $50.4</w:t>
      </w:r>
      <w:r>
        <w:rPr>
          <w:rFonts w:ascii="Times New Roman" w:hAnsi="Times New Roman"/>
          <w:color w:val="000000"/>
          <w:sz w:val="20"/>
        </w:rPr>
        <w:t xml:space="preserve"> </w:t>
      </w:r>
      <w:r>
        <w:rPr>
          <w:rFonts w:ascii="Arial" w:hAnsi="Arial"/>
          <w:color w:val="000000"/>
          <w:sz w:val="20"/>
        </w:rPr>
        <w:t>million and $90.2</w:t>
      </w:r>
      <w:r>
        <w:rPr>
          <w:rFonts w:ascii="Times New Roman" w:hAnsi="Times New Roman"/>
          <w:color w:val="000000"/>
          <w:sz w:val="20"/>
        </w:rPr>
        <w:t xml:space="preserve"> </w:t>
      </w:r>
      <w:r>
        <w:rPr>
          <w:rFonts w:ascii="Arial" w:hAnsi="Arial"/>
          <w:color w:val="000000"/>
          <w:sz w:val="20"/>
        </w:rPr>
        <w:t>million for the three and six months ended June 30, 2026, respectively. The Company has determined that the presentation of net income from the date of acquisition is impracticable due to the integration of general corporate functions upon acquisition.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Company is still in the process of finalizing its valuation of the assets and liabilities acquired.</w:t>
      </w:r>
    </w:p>
    <w:p>
      <w:pPr>
        <w:pStyle w:val="TextBody"/>
        <w:bidi w:val="0"/>
        <w:spacing w:before="240" w:after="283"/>
        <w:jc w:val="left"/>
        <w:rPr>
          <w:rFonts w:ascii="Arial" w:hAnsi="Arial"/>
          <w:b/>
          <w:color w:val="000000"/>
          <w:sz w:val="20"/>
        </w:rPr>
      </w:pPr>
      <w:r>
        <w:rPr>
          <w:rFonts w:ascii="Arial" w:hAnsi="Arial"/>
          <w:b/>
          <w:color w:val="000000"/>
          <w:sz w:val="20"/>
        </w:rPr>
        <w:t>Supplemental Pro Forma Information (Unaudited)</w:t>
      </w:r>
    </w:p>
    <w:p>
      <w:pPr>
        <w:pStyle w:val="TextBody"/>
        <w:bidi w:val="0"/>
        <w:spacing w:before="240" w:after="283"/>
        <w:jc w:val="left"/>
        <w:rPr>
          <w:rFonts w:ascii="Arial" w:hAnsi="Arial"/>
          <w:color w:val="000000"/>
          <w:sz w:val="20"/>
        </w:rPr>
      </w:pPr>
      <w:r>
        <w:rPr>
          <w:rFonts w:ascii="Arial" w:hAnsi="Arial"/>
          <w:color w:val="000000"/>
          <w:sz w:val="20"/>
        </w:rPr>
        <w:t>Supplemental information of unaudited pro forma operating results assuming the ATC acquisition had been consummated as of the beginning of fiscal year 2025 (in thousands)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04"/>
        <w:gridCol w:w="146"/>
        <w:gridCol w:w="211"/>
        <w:gridCol w:w="961"/>
        <w:gridCol w:w="146"/>
        <w:gridCol w:w="146"/>
        <w:gridCol w:w="211"/>
        <w:gridCol w:w="961"/>
        <w:gridCol w:w="146"/>
        <w:gridCol w:w="146"/>
        <w:gridCol w:w="211"/>
        <w:gridCol w:w="961"/>
        <w:gridCol w:w="146"/>
        <w:gridCol w:w="146"/>
        <w:gridCol w:w="211"/>
        <w:gridCol w:w="961"/>
        <w:gridCol w:w="191"/>
      </w:tblGrid>
      <w:tr>
        <w:trPr/>
        <w:tc>
          <w:tcPr>
            <w:tcW w:w="4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1,618,007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3,073,020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3,207,403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Net Income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132,015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unaudited pro forma supplemental information is based on estimates and assumptions which the Company believes are reasonable and reflects the pro forma impact of additional amortization related to the fair value of acquired intangible assets, the pro forma impact of interest expense on acquired debt,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pStyle w:val="TextBody"/>
        <w:bidi w:val="0"/>
        <w:spacing w:before="240" w:after="283"/>
        <w:jc w:val="left"/>
        <w:rPr>
          <w:rFonts w:ascii="Arial" w:hAnsi="Arial"/>
          <w:b/>
          <w:color w:val="202124"/>
          <w:sz w:val="20"/>
        </w:rPr>
      </w:pPr>
      <w:r>
        <w:rPr>
          <w:rFonts w:ascii="Arial" w:hAnsi="Arial"/>
          <w:b/>
          <w:color w:val="202124"/>
          <w:sz w:val="20"/>
        </w:rPr>
        <w:t>Applied Sciences Consulting, Inc.</w:t>
      </w:r>
    </w:p>
    <w:p>
      <w:pPr>
        <w:pStyle w:val="TextBody"/>
        <w:bidi w:val="0"/>
        <w:spacing w:before="240" w:after="283"/>
        <w:jc w:val="left"/>
        <w:rPr>
          <w:rFonts w:ascii="Times New Roman" w:hAnsi="Times New Roman"/>
          <w:sz w:val="20"/>
        </w:rPr>
      </w:pPr>
      <w:r>
        <w:rPr>
          <w:rFonts w:ascii="Arial" w:hAnsi="Arial"/>
          <w:color w:val="202124"/>
          <w:sz w:val="20"/>
        </w:rPr>
        <w:t>On October 1, 2025, the Company acquired a 100% ownership interest in Applied Sciences Consulting, Inc. ("ASC"), a privately owned company, for $28.2</w:t>
      </w:r>
      <w:r>
        <w:rPr>
          <w:rFonts w:ascii="Times New Roman" w:hAnsi="Times New Roman"/>
          <w:color w:val="202124"/>
          <w:sz w:val="20"/>
        </w:rPr>
        <w:t xml:space="preserve"> </w:t>
      </w:r>
      <w:r>
        <w:rPr>
          <w:rFonts w:ascii="Arial" w:hAnsi="Arial"/>
          <w:color w:val="202124"/>
          <w:sz w:val="20"/>
        </w:rPr>
        <w:t>million from cash on hand. ASC specializes in water and stormwater solutions for cities, counties, and water management districts across the state of Florida. ASC enhances our ability to partner with Florida communities on delivering innovative solutions for their resiliency challenges, while expanding those capabilities to new and existing clients around the world. In connection with this acquisition, the Company recognized $0.5</w:t>
      </w:r>
      <w:r>
        <w:rPr>
          <w:rFonts w:ascii="Times New Roman" w:hAnsi="Times New Roman"/>
          <w:color w:val="202124"/>
          <w:sz w:val="20"/>
        </w:rPr>
        <w:t xml:space="preserve"> </w:t>
      </w:r>
      <w:r>
        <w:rPr>
          <w:rFonts w:ascii="Arial" w:hAnsi="Arial"/>
          <w:color w:val="202124"/>
          <w:sz w:val="20"/>
        </w:rPr>
        <w:t>million of acquisition-related expenses in “Selling, general and administrative expense” in the consolidated statements of income for the year ended December 31, 2025, including legal fees, consulting fees, and other miscellaneous direct expenses associated with the acquisition.</w:t>
      </w:r>
    </w:p>
    <w:p>
      <w:pPr>
        <w:pStyle w:val="TextBody"/>
        <w:bidi w:val="0"/>
        <w:spacing w:before="240" w:after="240"/>
        <w:jc w:val="left"/>
        <w:rPr>
          <w:rFonts w:ascii="Arial" w:hAnsi="Arial"/>
          <w:color w:val="202124"/>
          <w:sz w:val="20"/>
        </w:rPr>
      </w:pPr>
      <w:r>
        <w:rPr>
          <w:rFonts w:ascii="Arial" w:hAnsi="Arial"/>
          <w:color w:val="202124"/>
          <w:sz w:val="20"/>
        </w:rPr>
        <w:t>The following table summarizes the acquisition date fair value of the purchase consideration transferred (in thousands):</w:t>
      </w:r>
    </w:p>
    <w:tbl>
      <w:tblPr>
        <w:tblW w:w="5620" w:type="dxa"/>
        <w:jc w:val="left"/>
        <w:tblInd w:w="0" w:type="dxa"/>
        <w:tblLayout w:type="fixed"/>
        <w:tblCellMar>
          <w:top w:w="28" w:type="dxa"/>
          <w:left w:w="28" w:type="dxa"/>
          <w:bottom w:w="28" w:type="dxa"/>
          <w:right w:w="28" w:type="dxa"/>
        </w:tblCellMar>
      </w:tblPr>
      <w:tblGrid>
        <w:gridCol w:w="4081"/>
        <w:gridCol w:w="146"/>
        <w:gridCol w:w="211"/>
        <w:gridCol w:w="691"/>
        <w:gridCol w:w="4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of use assets,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liabilities,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lease liabilities,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28,227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Of the total purchase price, the following values were preliminarily assigned to intangible assets (in thousands, except for years):</w:t>
      </w:r>
    </w:p>
    <w:p>
      <w:pPr>
        <w:pStyle w:val="TextBody"/>
        <w:bidi w:val="0"/>
        <w:jc w:val="left"/>
        <w:rPr/>
      </w:pPr>
      <w:r>
        <w:rPr/>
        <w:t> </w:t>
      </w:r>
    </w:p>
    <w:tbl>
      <w:tblPr>
        <w:tblW w:w="4777" w:type="dxa"/>
        <w:jc w:val="left"/>
        <w:tblInd w:w="0" w:type="dxa"/>
        <w:tblLayout w:type="fixed"/>
        <w:tblCellMar>
          <w:top w:w="28" w:type="dxa"/>
          <w:left w:w="28" w:type="dxa"/>
          <w:bottom w:w="28" w:type="dxa"/>
          <w:right w:w="28" w:type="dxa"/>
        </w:tblCellMar>
      </w:tblPr>
      <w:tblGrid>
        <w:gridCol w:w="2356"/>
        <w:gridCol w:w="146"/>
        <w:gridCol w:w="211"/>
        <w:gridCol w:w="586"/>
        <w:gridCol w:w="146"/>
        <w:gridCol w:w="146"/>
        <w:gridCol w:w="118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br/>
              <w:t>Period</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years)</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Non-compete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bl>
    <w:p>
      <w:pPr>
        <w:pStyle w:val="TextBody"/>
        <w:bidi w:val="0"/>
        <w:spacing w:before="240" w:after="283"/>
        <w:jc w:val="left"/>
        <w:rPr>
          <w:rFonts w:ascii="Times New Roman" w:hAnsi="Times New Roman"/>
          <w:sz w:val="20"/>
        </w:rPr>
      </w:pPr>
      <w:r>
        <w:rPr>
          <w:rFonts w:ascii="Arial" w:hAnsi="Arial"/>
          <w:color w:val="000000"/>
          <w:sz w:val="20"/>
        </w:rPr>
        <w:t>Amortization expense of $0.4</w:t>
      </w:r>
      <w:r>
        <w:rPr>
          <w:rFonts w:ascii="Times New Roman" w:hAnsi="Times New Roman"/>
          <w:color w:val="000000"/>
          <w:sz w:val="20"/>
        </w:rPr>
        <w:t xml:space="preserve"> </w:t>
      </w:r>
      <w:r>
        <w:rPr>
          <w:rFonts w:ascii="Arial" w:hAnsi="Arial"/>
          <w:color w:val="000000"/>
          <w:sz w:val="20"/>
        </w:rPr>
        <w:t>million and $0.8</w:t>
      </w:r>
      <w:r>
        <w:rPr>
          <w:rFonts w:ascii="Times New Roman" w:hAnsi="Times New Roman"/>
          <w:color w:val="000000"/>
          <w:sz w:val="20"/>
        </w:rPr>
        <w:t xml:space="preserve"> </w:t>
      </w:r>
      <w:r>
        <w:rPr>
          <w:rFonts w:ascii="Arial" w:hAnsi="Arial"/>
          <w:color w:val="000000"/>
          <w:sz w:val="20"/>
        </w:rPr>
        <w:t>million related to these intangible assets was recorded for the three and six months ended June 30, 2026, respectively. The entire value of goodwill was assigned to the Critical Infrastructure reporting unit and represents synergies expected to be realized from this business combination. The entire value of goodwill is deductible for tax purposes.</w:t>
      </w:r>
    </w:p>
    <w:p>
      <w:pPr>
        <w:pStyle w:val="TextBody"/>
        <w:bidi w:val="0"/>
        <w:spacing w:before="120" w:after="283"/>
        <w:jc w:val="left"/>
        <w:rPr>
          <w:rFonts w:ascii="Times New Roman" w:hAnsi="Times New Roman"/>
          <w:sz w:val="20"/>
        </w:rPr>
      </w:pPr>
      <w:r>
        <w:rPr>
          <w:rFonts w:ascii="Arial" w:hAnsi="Arial"/>
          <w:color w:val="000000"/>
          <w:sz w:val="20"/>
        </w:rPr>
        <w:t>The amount of revenue generated by ASC and included within consolidated revenue is $3.3</w:t>
      </w:r>
      <w:r>
        <w:rPr>
          <w:rFonts w:ascii="Times New Roman" w:hAnsi="Times New Roman"/>
          <w:color w:val="000000"/>
          <w:sz w:val="20"/>
        </w:rPr>
        <w:t xml:space="preserve"> </w:t>
      </w:r>
      <w:r>
        <w:rPr>
          <w:rFonts w:ascii="Arial" w:hAnsi="Arial"/>
          <w:color w:val="000000"/>
          <w:sz w:val="20"/>
        </w:rPr>
        <w:t>million and $5.7</w:t>
      </w:r>
      <w:r>
        <w:rPr>
          <w:rFonts w:ascii="Times New Roman" w:hAnsi="Times New Roman"/>
          <w:color w:val="000000"/>
          <w:sz w:val="20"/>
        </w:rPr>
        <w:t xml:space="preserve"> </w:t>
      </w:r>
      <w:r>
        <w:rPr>
          <w:rFonts w:ascii="Arial" w:hAnsi="Arial"/>
          <w:color w:val="000000"/>
          <w:sz w:val="20"/>
        </w:rPr>
        <w:t>million for the three and six months ended June 30, 2026, respectively. The Company has determined that the presentation of net income from the date of acquisition is impracticable due to the integration of general corporate functions upon acquisition.</w:t>
      </w:r>
    </w:p>
    <w:p>
      <w:pPr>
        <w:pStyle w:val="TextBody"/>
        <w:bidi w:val="0"/>
        <w:spacing w:before="120" w:after="283"/>
        <w:jc w:val="left"/>
        <w:rPr>
          <w:rFonts w:ascii="Arial" w:hAnsi="Arial"/>
          <w:color w:val="000000"/>
          <w:sz w:val="20"/>
        </w:rPr>
      </w:pPr>
      <w:r>
        <w:rPr>
          <w:rFonts w:ascii="Arial" w:hAnsi="Arial"/>
          <w:color w:val="000000"/>
          <w:sz w:val="20"/>
        </w:rPr>
        <w:t>The Company is still in the process of finalizing its valuation of the assets and liabilities acquired.</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Supplemental Pro Forma Information (Unaudited)</w:t>
      </w:r>
    </w:p>
    <w:p>
      <w:pPr>
        <w:pStyle w:val="TextBody"/>
        <w:bidi w:val="0"/>
        <w:spacing w:before="240" w:after="283"/>
        <w:jc w:val="left"/>
        <w:rPr>
          <w:rFonts w:ascii="Arial" w:hAnsi="Arial"/>
          <w:color w:val="000000"/>
          <w:sz w:val="20"/>
        </w:rPr>
      </w:pPr>
      <w:r>
        <w:rPr>
          <w:rFonts w:ascii="Arial" w:hAnsi="Arial"/>
          <w:color w:val="000000"/>
          <w:sz w:val="20"/>
        </w:rPr>
        <w:t>Supplemental information of unaudited pro forma operating results assuming the ASC acquisition had been consummated as of the beginning of fiscal year 2024 (in thousands) is as follows:</w:t>
      </w:r>
    </w:p>
    <w:p>
      <w:pPr>
        <w:pStyle w:val="TextBody"/>
        <w:bidi w:val="0"/>
        <w:jc w:val="left"/>
        <w:rPr/>
      </w:pPr>
      <w:r>
        <w:rPr/>
        <w:t> </w:t>
      </w:r>
    </w:p>
    <w:tbl>
      <w:tblPr>
        <w:tblW w:w="8573" w:type="dxa"/>
        <w:jc w:val="left"/>
        <w:tblInd w:w="0" w:type="dxa"/>
        <w:tblLayout w:type="fixed"/>
        <w:tblCellMar>
          <w:top w:w="28" w:type="dxa"/>
          <w:left w:w="28" w:type="dxa"/>
          <w:bottom w:w="28" w:type="dxa"/>
          <w:right w:w="28" w:type="dxa"/>
        </w:tblCellMar>
      </w:tblPr>
      <w:tblGrid>
        <w:gridCol w:w="4936"/>
        <w:gridCol w:w="316"/>
        <w:gridCol w:w="1439"/>
        <w:gridCol w:w="146"/>
        <w:gridCol w:w="171"/>
        <w:gridCol w:w="247"/>
        <w:gridCol w:w="1127"/>
        <w:gridCol w:w="191"/>
      </w:tblGrid>
      <w:tr>
        <w:trPr/>
        <w:tc>
          <w:tcPr>
            <w:tcW w:w="49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Revenue</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3,143,047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Net Income including noncontrolling interests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153,075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pStyle w:val="TextBody"/>
        <w:bidi w:val="0"/>
        <w:spacing w:before="240" w:after="283"/>
        <w:jc w:val="left"/>
        <w:rPr>
          <w:rFonts w:ascii="Arial" w:hAnsi="Arial"/>
          <w:b/>
          <w:color w:val="202124"/>
          <w:sz w:val="20"/>
        </w:rPr>
      </w:pPr>
      <w:r>
        <w:rPr>
          <w:rFonts w:ascii="Arial" w:hAnsi="Arial"/>
          <w:b/>
          <w:color w:val="202124"/>
          <w:sz w:val="20"/>
        </w:rPr>
        <w:t>Chesapeake Technology International, Corp</w:t>
      </w:r>
    </w:p>
    <w:p>
      <w:pPr>
        <w:pStyle w:val="TextBody"/>
        <w:bidi w:val="0"/>
        <w:spacing w:before="240" w:after="283"/>
        <w:jc w:val="left"/>
        <w:rPr>
          <w:rFonts w:ascii="Times New Roman" w:hAnsi="Times New Roman"/>
          <w:sz w:val="20"/>
        </w:rPr>
      </w:pPr>
      <w:r>
        <w:rPr>
          <w:rFonts w:ascii="Arial" w:hAnsi="Arial"/>
          <w:color w:val="202124"/>
          <w:sz w:val="20"/>
        </w:rPr>
        <w:t>On June 30, 2025, the Company acquired a 100% ownership interest in Chesapeake Technology International, Corp ("CTI"), a privately owned company, for $91.5</w:t>
      </w:r>
      <w:r>
        <w:rPr>
          <w:rFonts w:ascii="Times New Roman" w:hAnsi="Times New Roman"/>
          <w:color w:val="202124"/>
          <w:sz w:val="20"/>
        </w:rPr>
        <w:t xml:space="preserve"> </w:t>
      </w:r>
      <w:r>
        <w:rPr>
          <w:rFonts w:ascii="Arial" w:hAnsi="Arial"/>
          <w:color w:val="202124"/>
          <w:sz w:val="20"/>
        </w:rPr>
        <w:t>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War. In connection with this acquisition, the Company recognized $2.2</w:t>
      </w:r>
      <w:r>
        <w:rPr>
          <w:rFonts w:ascii="Times New Roman" w:hAnsi="Times New Roman"/>
          <w:color w:val="202124"/>
          <w:sz w:val="20"/>
        </w:rPr>
        <w:t xml:space="preserve"> </w:t>
      </w:r>
      <w:r>
        <w:rPr>
          <w:rFonts w:ascii="Arial" w:hAnsi="Arial"/>
          <w:color w:val="202124"/>
          <w:sz w:val="20"/>
        </w:rPr>
        <w:t>million of acquisition-related expenses in “Selling, general and administrative expense” in the consolidated statements of income for the year ended December 31, 2025, including legal fees, consulting fees, and other miscellaneous direct expenses associated with the acquisition.</w:t>
      </w:r>
    </w:p>
    <w:p>
      <w:pPr>
        <w:pStyle w:val="TextBody"/>
        <w:bidi w:val="0"/>
        <w:spacing w:before="240" w:after="283"/>
        <w:jc w:val="left"/>
        <w:rPr>
          <w:rFonts w:ascii="Arial" w:hAnsi="Arial"/>
          <w:color w:val="202124"/>
          <w:sz w:val="20"/>
        </w:rPr>
      </w:pPr>
      <w:r>
        <w:rPr>
          <w:rFonts w:ascii="Arial" w:hAnsi="Arial"/>
          <w:color w:val="202124"/>
          <w:sz w:val="20"/>
        </w:rPr>
        <w:t>The following table summarizes the acquisition date fair value of the purchase consideration transferred (in thousands):</w:t>
      </w:r>
    </w:p>
    <w:p>
      <w:pPr>
        <w:pStyle w:val="TextBody"/>
        <w:bidi w:val="0"/>
        <w:jc w:val="left"/>
        <w:rPr/>
      </w:pPr>
      <w:r>
        <w:rPr/>
        <w:t> </w:t>
      </w:r>
    </w:p>
    <w:tbl>
      <w:tblPr>
        <w:tblW w:w="5680" w:type="dxa"/>
        <w:jc w:val="left"/>
        <w:tblInd w:w="0" w:type="dxa"/>
        <w:tblLayout w:type="fixed"/>
        <w:tblCellMar>
          <w:top w:w="28" w:type="dxa"/>
          <w:left w:w="28" w:type="dxa"/>
          <w:bottom w:w="28" w:type="dxa"/>
          <w:right w:w="28" w:type="dxa"/>
        </w:tblCellMar>
      </w:tblPr>
      <w:tblGrid>
        <w:gridCol w:w="4081"/>
        <w:gridCol w:w="146"/>
        <w:gridCol w:w="211"/>
        <w:gridCol w:w="751"/>
        <w:gridCol w:w="4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28,145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of use assets,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57,468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34,820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(17,818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liabilities,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(8,079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lease liabilities,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91,534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Of the total purchase price, the following values were preliminarily assigned to intangible assets (in thousands, except for years):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82" w:type="dxa"/>
        <w:jc w:val="left"/>
        <w:tblInd w:w="0" w:type="dxa"/>
        <w:tblLayout w:type="fixed"/>
        <w:tblCellMar>
          <w:top w:w="28" w:type="dxa"/>
          <w:left w:w="28" w:type="dxa"/>
          <w:bottom w:w="28" w:type="dxa"/>
          <w:right w:w="28" w:type="dxa"/>
        </w:tblCellMar>
      </w:tblPr>
      <w:tblGrid>
        <w:gridCol w:w="2356"/>
        <w:gridCol w:w="146"/>
        <w:gridCol w:w="211"/>
        <w:gridCol w:w="691"/>
        <w:gridCol w:w="146"/>
        <w:gridCol w:w="146"/>
        <w:gridCol w:w="118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br/>
              <w:t>Period</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years)</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Non-compete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Amortization expense of $1.4</w:t>
      </w:r>
      <w:r>
        <w:rPr>
          <w:rFonts w:ascii="Times New Roman" w:hAnsi="Times New Roman"/>
          <w:color w:val="000000"/>
          <w:sz w:val="20"/>
        </w:rPr>
        <w:t xml:space="preserve"> </w:t>
      </w:r>
      <w:r>
        <w:rPr>
          <w:rFonts w:ascii="Arial" w:hAnsi="Arial"/>
          <w:color w:val="000000"/>
          <w:sz w:val="20"/>
        </w:rPr>
        <w:t>million and $2.7</w:t>
      </w:r>
      <w:r>
        <w:rPr>
          <w:rFonts w:ascii="Times New Roman" w:hAnsi="Times New Roman"/>
          <w:color w:val="000000"/>
          <w:sz w:val="20"/>
        </w:rPr>
        <w:t xml:space="preserve"> </w:t>
      </w:r>
      <w:r>
        <w:rPr>
          <w:rFonts w:ascii="Arial" w:hAnsi="Arial"/>
          <w:color w:val="000000"/>
          <w:sz w:val="20"/>
        </w:rPr>
        <w:t>million related to these intangible assets was recorded for the</w:t>
      </w:r>
      <w:r>
        <w:rPr>
          <w:rFonts w:ascii="Times New Roman" w:hAnsi="Times New Roman"/>
          <w:color w:val="202124"/>
          <w:sz w:val="20"/>
        </w:rPr>
        <w:t xml:space="preserve"> </w:t>
      </w:r>
      <w:r>
        <w:rPr>
          <w:rFonts w:ascii="Arial" w:hAnsi="Arial"/>
          <w:color w:val="202124"/>
          <w:sz w:val="20"/>
        </w:rPr>
        <w:t xml:space="preserve">three and six months ended </w:t>
      </w:r>
      <w:r>
        <w:rPr>
          <w:rFonts w:ascii="Arial" w:hAnsi="Arial"/>
          <w:color w:val="000000"/>
          <w:sz w:val="20"/>
        </w:rPr>
        <w:t>June 30, 2026, respectively. The entire value of goodwill was assigned to the Federal Solutions reporting unit and represents synergies expected to be realized from this business combination. $8.8</w:t>
      </w:r>
      <w:r>
        <w:rPr>
          <w:rFonts w:ascii="Times New Roman" w:hAnsi="Times New Roman"/>
          <w:color w:val="000000"/>
          <w:sz w:val="20"/>
        </w:rPr>
        <w:t xml:space="preserve"> </w:t>
      </w:r>
      <w:r>
        <w:rPr>
          <w:rFonts w:ascii="Arial" w:hAnsi="Arial"/>
          <w:color w:val="000000"/>
          <w:sz w:val="20"/>
        </w:rPr>
        <w:t>million of goodwill is deductible for tax purposes.</w:t>
      </w:r>
    </w:p>
    <w:p>
      <w:pPr>
        <w:pStyle w:val="TextBody"/>
        <w:bidi w:val="0"/>
        <w:spacing w:before="120" w:after="283"/>
        <w:jc w:val="left"/>
        <w:rPr>
          <w:rFonts w:ascii="Times New Roman" w:hAnsi="Times New Roman"/>
          <w:sz w:val="20"/>
        </w:rPr>
      </w:pPr>
      <w:r>
        <w:rPr>
          <w:rFonts w:ascii="Arial" w:hAnsi="Arial"/>
          <w:color w:val="000000"/>
          <w:sz w:val="20"/>
        </w:rPr>
        <w:t>The amount of revenue generated by CTI and included within consolidated revenue is $18.8</w:t>
      </w:r>
      <w:r>
        <w:rPr>
          <w:rFonts w:ascii="Times New Roman" w:hAnsi="Times New Roman"/>
          <w:color w:val="000000"/>
          <w:sz w:val="20"/>
        </w:rPr>
        <w:t xml:space="preserve"> </w:t>
      </w:r>
      <w:r>
        <w:rPr>
          <w:rFonts w:ascii="Arial" w:hAnsi="Arial"/>
          <w:color w:val="000000"/>
          <w:sz w:val="20"/>
        </w:rPr>
        <w:t>million and $36.5</w:t>
      </w:r>
      <w:r>
        <w:rPr>
          <w:rFonts w:ascii="Times New Roman" w:hAnsi="Times New Roman"/>
          <w:color w:val="000000"/>
          <w:sz w:val="20"/>
        </w:rPr>
        <w:t xml:space="preserve"> </w:t>
      </w:r>
      <w:r>
        <w:rPr>
          <w:rFonts w:ascii="Arial" w:hAnsi="Arial"/>
          <w:color w:val="000000"/>
          <w:sz w:val="20"/>
        </w:rPr>
        <w:t>million for the</w:t>
      </w:r>
      <w:r>
        <w:rPr>
          <w:rFonts w:ascii="Times New Roman" w:hAnsi="Times New Roman"/>
          <w:color w:val="202124"/>
          <w:sz w:val="20"/>
        </w:rPr>
        <w:t xml:space="preserve"> </w:t>
      </w:r>
      <w:r>
        <w:rPr>
          <w:rFonts w:ascii="Arial" w:hAnsi="Arial"/>
          <w:color w:val="202124"/>
          <w:sz w:val="20"/>
        </w:rPr>
        <w:t>three and six months ended</w:t>
      </w:r>
      <w:r>
        <w:rPr>
          <w:rFonts w:ascii="Times New Roman" w:hAnsi="Times New Roman"/>
          <w:color w:val="000000"/>
          <w:sz w:val="20"/>
        </w:rPr>
        <w:t xml:space="preserve"> </w:t>
      </w:r>
      <w:r>
        <w:rPr>
          <w:rFonts w:ascii="Arial" w:hAnsi="Arial"/>
          <w:color w:val="000000"/>
          <w:sz w:val="20"/>
        </w:rPr>
        <w:t>June 30, 2026, respectively. The Company has determined that the presentation of net income from the date of acquisition is impracticable due to the integration of general corporate functions upon acquisition.</w:t>
      </w:r>
    </w:p>
    <w:p>
      <w:pPr>
        <w:pStyle w:val="TextBody"/>
        <w:bidi w:val="0"/>
        <w:spacing w:before="240" w:after="283"/>
        <w:jc w:val="left"/>
        <w:rPr>
          <w:rFonts w:ascii="Arial" w:hAnsi="Arial"/>
          <w:b/>
          <w:color w:val="000000"/>
          <w:sz w:val="20"/>
        </w:rPr>
      </w:pPr>
      <w:r>
        <w:rPr>
          <w:rFonts w:ascii="Arial" w:hAnsi="Arial"/>
          <w:b/>
          <w:color w:val="000000"/>
          <w:sz w:val="20"/>
        </w:rPr>
        <w:t>Supplemental Pro Forma Information (Unaudited)</w:t>
      </w:r>
    </w:p>
    <w:p>
      <w:pPr>
        <w:pStyle w:val="TextBody"/>
        <w:bidi w:val="0"/>
        <w:spacing w:before="240" w:after="283"/>
        <w:jc w:val="left"/>
        <w:rPr>
          <w:rFonts w:ascii="Arial" w:hAnsi="Arial"/>
          <w:color w:val="000000"/>
          <w:sz w:val="20"/>
        </w:rPr>
      </w:pPr>
      <w:r>
        <w:rPr>
          <w:rFonts w:ascii="Arial" w:hAnsi="Arial"/>
          <w:color w:val="000000"/>
          <w:sz w:val="20"/>
        </w:rPr>
        <w:t>Supplemental information of unaudited pro forma operating results assuming the CTI acquisition had been consummated as of the beginning of fiscal year 2024 (in thousands) is as follows:</w:t>
      </w:r>
    </w:p>
    <w:p>
      <w:pPr>
        <w:pStyle w:val="TextBody"/>
        <w:bidi w:val="0"/>
        <w:jc w:val="left"/>
        <w:rPr/>
      </w:pPr>
      <w:r>
        <w:rPr/>
        <w:t> </w:t>
      </w:r>
    </w:p>
    <w:tbl>
      <w:tblPr>
        <w:tblW w:w="8573" w:type="dxa"/>
        <w:jc w:val="left"/>
        <w:tblInd w:w="0" w:type="dxa"/>
        <w:tblLayout w:type="fixed"/>
        <w:tblCellMar>
          <w:top w:w="28" w:type="dxa"/>
          <w:left w:w="28" w:type="dxa"/>
          <w:bottom w:w="28" w:type="dxa"/>
          <w:right w:w="28" w:type="dxa"/>
        </w:tblCellMar>
      </w:tblPr>
      <w:tblGrid>
        <w:gridCol w:w="4936"/>
        <w:gridCol w:w="316"/>
        <w:gridCol w:w="1439"/>
        <w:gridCol w:w="146"/>
        <w:gridCol w:w="171"/>
        <w:gridCol w:w="247"/>
        <w:gridCol w:w="1127"/>
        <w:gridCol w:w="191"/>
      </w:tblGrid>
      <w:tr>
        <w:trPr/>
        <w:tc>
          <w:tcPr>
            <w:tcW w:w="49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Revenue</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1,604,441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3,194,243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Net Income including noncontrolling interests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pStyle w:val="TextBody"/>
        <w:bidi w:val="0"/>
        <w:spacing w:before="240" w:after="283"/>
        <w:jc w:val="left"/>
        <w:rPr>
          <w:rFonts w:ascii="Arial" w:hAnsi="Arial"/>
          <w:b/>
          <w:color w:val="202124"/>
          <w:sz w:val="20"/>
        </w:rPr>
      </w:pPr>
      <w:r>
        <w:rPr>
          <w:rFonts w:ascii="Arial" w:hAnsi="Arial"/>
          <w:b/>
          <w:color w:val="202124"/>
          <w:sz w:val="20"/>
        </w:rPr>
        <w:t>TRS Group, Inc.</w:t>
      </w:r>
    </w:p>
    <w:p>
      <w:pPr>
        <w:pStyle w:val="TextBody"/>
        <w:bidi w:val="0"/>
        <w:spacing w:before="240" w:after="283"/>
        <w:jc w:val="left"/>
        <w:rPr>
          <w:rFonts w:ascii="Times New Roman" w:hAnsi="Times New Roman"/>
          <w:sz w:val="20"/>
        </w:rPr>
      </w:pPr>
      <w:r>
        <w:rPr>
          <w:rFonts w:ascii="Arial" w:hAnsi="Arial"/>
          <w:color w:val="202124"/>
          <w:sz w:val="20"/>
        </w:rPr>
        <w:t>On January 31, 2025, the Company acquired a 100% ownership interest in TRS Group, Inc. ("TRS"), a privately owned company, for $36.6</w:t>
      </w:r>
      <w:r>
        <w:rPr>
          <w:rFonts w:ascii="Times New Roman" w:hAnsi="Times New Roman"/>
          <w:color w:val="202124"/>
          <w:sz w:val="20"/>
        </w:rPr>
        <w:t xml:space="preserve"> </w:t>
      </w:r>
      <w:r>
        <w:rPr>
          <w:rFonts w:ascii="Arial" w:hAnsi="Arial"/>
          <w:color w:val="202124"/>
          <w:sz w:val="20"/>
        </w:rPr>
        <w:t>million from cash on hand (of which $3.8</w:t>
      </w:r>
      <w:r>
        <w:rPr>
          <w:rFonts w:ascii="Times New Roman" w:hAnsi="Times New Roman"/>
          <w:color w:val="202124"/>
          <w:sz w:val="20"/>
        </w:rPr>
        <w:t xml:space="preserve"> </w:t>
      </w:r>
      <w:r>
        <w:rPr>
          <w:rFonts w:ascii="Arial" w:hAnsi="Arial"/>
          <w:color w:val="202124"/>
          <w:sz w:val="20"/>
        </w:rPr>
        <w:t>million will be paid in July 2026). TRS is an environmental solutions firm that specializes in remediation technology. In connection with this acquisition, the Company recognized $0.5</w:t>
      </w:r>
      <w:r>
        <w:rPr>
          <w:rFonts w:ascii="Times New Roman" w:hAnsi="Times New Roman"/>
          <w:color w:val="202124"/>
          <w:sz w:val="20"/>
        </w:rPr>
        <w:t xml:space="preserve"> </w:t>
      </w:r>
      <w:r>
        <w:rPr>
          <w:rFonts w:ascii="Arial" w:hAnsi="Arial"/>
          <w:color w:val="202124"/>
          <w:sz w:val="20"/>
        </w:rPr>
        <w:t>million of acquisition-related expenses in “Selling, general and administrative expense” in the</w:t>
      </w:r>
      <w:r>
        <w:rPr>
          <w:rFonts w:ascii="Times New Roman" w:hAnsi="Times New Roman"/>
          <w:color w:val="202124"/>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202124"/>
          <w:sz w:val="20"/>
        </w:rPr>
      </w:pPr>
      <w:r>
        <w:rPr>
          <w:rFonts w:ascii="Arial" w:hAnsi="Arial"/>
          <w:color w:val="202124"/>
          <w:sz w:val="20"/>
        </w:rPr>
        <w:t>consolidated statements of income for the year ended December 31, 2025, including legal fees, consulting fees, and other miscellaneous direct expenses associated with the acquisition.</w:t>
      </w:r>
    </w:p>
    <w:p>
      <w:pPr>
        <w:pStyle w:val="TextBody"/>
        <w:bidi w:val="0"/>
        <w:spacing w:before="240" w:after="283"/>
        <w:jc w:val="left"/>
        <w:rPr>
          <w:rFonts w:ascii="Times New Roman" w:hAnsi="Times New Roman"/>
          <w:sz w:val="20"/>
        </w:rPr>
      </w:pPr>
      <w:r>
        <w:rPr>
          <w:rFonts w:ascii="Arial" w:hAnsi="Arial"/>
          <w:color w:val="202124"/>
          <w:sz w:val="20"/>
        </w:rPr>
        <w:t xml:space="preserve">The following table summarizes the acquisition date fair value of the purchase consideration transferred (in </w:t>
      </w:r>
      <w:r>
        <w:rPr>
          <w:rFonts w:ascii="Arial" w:hAnsi="Arial"/>
          <w:color w:val="000000"/>
          <w:sz w:val="20"/>
        </w:rPr>
        <w:t>thousands):</w:t>
      </w:r>
    </w:p>
    <w:p>
      <w:pPr>
        <w:pStyle w:val="TextBody"/>
        <w:bidi w:val="0"/>
        <w:jc w:val="left"/>
        <w:rPr/>
      </w:pPr>
      <w:r>
        <w:rPr/>
        <w:t> </w:t>
      </w:r>
    </w:p>
    <w:tbl>
      <w:tblPr>
        <w:tblW w:w="5620" w:type="dxa"/>
        <w:jc w:val="left"/>
        <w:tblInd w:w="0" w:type="dxa"/>
        <w:tblLayout w:type="fixed"/>
        <w:tblCellMar>
          <w:top w:w="28" w:type="dxa"/>
          <w:left w:w="28" w:type="dxa"/>
          <w:bottom w:w="28" w:type="dxa"/>
          <w:right w:w="28" w:type="dxa"/>
        </w:tblCellMar>
      </w:tblPr>
      <w:tblGrid>
        <w:gridCol w:w="4081"/>
        <w:gridCol w:w="146"/>
        <w:gridCol w:w="211"/>
        <w:gridCol w:w="691"/>
        <w:gridCol w:w="4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22,972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liabilities,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lease liabilities,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36,566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Of the total purchase price, the following values were preliminarily assigned to intangible assets (in thousands, except for years):</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2191"/>
        <w:gridCol w:w="146"/>
        <w:gridCol w:w="211"/>
        <w:gridCol w:w="586"/>
        <w:gridCol w:w="146"/>
        <w:gridCol w:w="146"/>
        <w:gridCol w:w="1186"/>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br/>
              <w:t>Period</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years)</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bl>
    <w:p>
      <w:pPr>
        <w:pStyle w:val="TextBody"/>
        <w:bidi w:val="0"/>
        <w:spacing w:before="240" w:after="283"/>
        <w:jc w:val="left"/>
        <w:rPr>
          <w:rFonts w:ascii="Times New Roman" w:hAnsi="Times New Roman"/>
          <w:sz w:val="20"/>
        </w:rPr>
      </w:pPr>
      <w:r>
        <w:rPr>
          <w:rFonts w:ascii="Arial" w:hAnsi="Arial"/>
          <w:color w:val="000000"/>
          <w:sz w:val="20"/>
        </w:rPr>
        <w:t>Amortization expense of $0.4</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related to these intangible assets was recorded for the</w:t>
      </w:r>
      <w:r>
        <w:rPr>
          <w:rFonts w:ascii="Times New Roman" w:hAnsi="Times New Roman"/>
          <w:color w:val="202124"/>
          <w:sz w:val="20"/>
        </w:rPr>
        <w:t xml:space="preserve"> </w:t>
      </w:r>
      <w:r>
        <w:rPr>
          <w:rFonts w:ascii="Arial" w:hAnsi="Arial"/>
          <w:color w:val="202124"/>
          <w:sz w:val="20"/>
        </w:rPr>
        <w:t>three and six months ended June 30, 2026, respectively and $0.4</w:t>
      </w:r>
      <w:r>
        <w:rPr>
          <w:rFonts w:ascii="Times New Roman" w:hAnsi="Times New Roman"/>
          <w:color w:val="202124"/>
          <w:sz w:val="20"/>
        </w:rPr>
        <w:t xml:space="preserve"> </w:t>
      </w:r>
      <w:r>
        <w:rPr>
          <w:rFonts w:ascii="Arial" w:hAnsi="Arial"/>
          <w:color w:val="202124"/>
          <w:sz w:val="20"/>
        </w:rPr>
        <w:t>million and $0.7</w:t>
      </w:r>
      <w:r>
        <w:rPr>
          <w:rFonts w:ascii="Times New Roman" w:hAnsi="Times New Roman"/>
          <w:color w:val="202124"/>
          <w:sz w:val="20"/>
        </w:rPr>
        <w:t xml:space="preserve"> </w:t>
      </w:r>
      <w:r>
        <w:rPr>
          <w:rFonts w:ascii="Arial" w:hAnsi="Arial"/>
          <w:color w:val="202124"/>
          <w:sz w:val="20"/>
        </w:rPr>
        <w:t>million for the three and six months ended June 30, 2025, respectively</w:t>
      </w:r>
      <w:r>
        <w:rPr>
          <w:rFonts w:ascii="Arial" w:hAnsi="Arial"/>
          <w:color w:val="000000"/>
          <w:sz w:val="20"/>
        </w:rPr>
        <w:t>. The entire value of goodwill was assigned to the Critical Infrastructure reporting unit and represents synergies expected to be realized from this business combination. The entire value of goodwill is deductible for tax purposes.</w:t>
      </w:r>
    </w:p>
    <w:p>
      <w:pPr>
        <w:pStyle w:val="TextBody"/>
        <w:bidi w:val="0"/>
        <w:spacing w:before="240" w:after="283"/>
        <w:jc w:val="left"/>
        <w:rPr>
          <w:rFonts w:ascii="Times New Roman" w:hAnsi="Times New Roman"/>
          <w:sz w:val="20"/>
        </w:rPr>
      </w:pPr>
      <w:r>
        <w:rPr>
          <w:rFonts w:ascii="Arial" w:hAnsi="Arial"/>
          <w:color w:val="000000"/>
          <w:sz w:val="20"/>
        </w:rPr>
        <w:t>The amount of revenue generated by TRS and included within consolidated revenue is $7.4</w:t>
      </w:r>
      <w:r>
        <w:rPr>
          <w:rFonts w:ascii="Times New Roman" w:hAnsi="Times New Roman"/>
          <w:color w:val="000000"/>
          <w:sz w:val="20"/>
        </w:rPr>
        <w:t xml:space="preserve"> </w:t>
      </w:r>
      <w:r>
        <w:rPr>
          <w:rFonts w:ascii="Arial" w:hAnsi="Arial"/>
          <w:color w:val="000000"/>
          <w:sz w:val="20"/>
        </w:rPr>
        <w:t>million and $11.5</w:t>
      </w:r>
      <w:r>
        <w:rPr>
          <w:rFonts w:ascii="Times New Roman" w:hAnsi="Times New Roman"/>
          <w:color w:val="000000"/>
          <w:sz w:val="20"/>
        </w:rPr>
        <w:t xml:space="preserve"> </w:t>
      </w:r>
      <w:r>
        <w:rPr>
          <w:rFonts w:ascii="Arial" w:hAnsi="Arial"/>
          <w:color w:val="000000"/>
          <w:sz w:val="20"/>
        </w:rPr>
        <w:t>million for the three and six months</w:t>
      </w:r>
      <w:r>
        <w:rPr>
          <w:rFonts w:ascii="Times New Roman" w:hAnsi="Times New Roman"/>
          <w:color w:val="202124"/>
          <w:sz w:val="20"/>
        </w:rPr>
        <w:t xml:space="preserve"> </w:t>
      </w:r>
      <w:r>
        <w:rPr>
          <w:rFonts w:ascii="Arial" w:hAnsi="Arial"/>
          <w:color w:val="202124"/>
          <w:sz w:val="20"/>
        </w:rPr>
        <w:t>ended June 30, 2025, respectively</w:t>
      </w:r>
      <w:r>
        <w:rPr>
          <w:rFonts w:ascii="Arial" w:hAnsi="Arial"/>
          <w:color w:val="000000"/>
          <w:sz w:val="20"/>
        </w:rPr>
        <w:t>. The Company has determined that the presentation of net income from the date of acquisition is impracticable due to the integration of general corporate functions upon acquisition.</w:t>
      </w:r>
    </w:p>
    <w:p>
      <w:pPr>
        <w:pStyle w:val="TextBody"/>
        <w:bidi w:val="0"/>
        <w:spacing w:before="240" w:after="283"/>
        <w:jc w:val="left"/>
        <w:rPr>
          <w:rFonts w:ascii="Arial" w:hAnsi="Arial"/>
          <w:b/>
          <w:color w:val="000000"/>
          <w:sz w:val="20"/>
        </w:rPr>
      </w:pPr>
      <w:r>
        <w:rPr>
          <w:rFonts w:ascii="Arial" w:hAnsi="Arial"/>
          <w:b/>
          <w:color w:val="000000"/>
          <w:sz w:val="20"/>
        </w:rPr>
        <w:t>Supplemental Pro Forma Information (Unaudited)</w:t>
      </w:r>
    </w:p>
    <w:p>
      <w:pPr>
        <w:pStyle w:val="TextBody"/>
        <w:bidi w:val="0"/>
        <w:spacing w:before="240" w:after="283"/>
        <w:jc w:val="left"/>
        <w:rPr>
          <w:rFonts w:ascii="Arial" w:hAnsi="Arial"/>
          <w:color w:val="000000"/>
          <w:sz w:val="20"/>
        </w:rPr>
      </w:pPr>
      <w:r>
        <w:rPr>
          <w:rFonts w:ascii="Arial" w:hAnsi="Arial"/>
          <w:color w:val="000000"/>
          <w:sz w:val="20"/>
        </w:rPr>
        <w:t>Supplemental information of unaudited pro forma operating results assuming the TRS acquisition had been consummated as of the beginning of fiscal year 2024 (in thousands) is as follows:</w:t>
      </w:r>
    </w:p>
    <w:p>
      <w:pPr>
        <w:pStyle w:val="TextBody"/>
        <w:bidi w:val="0"/>
        <w:jc w:val="left"/>
        <w:rPr/>
      </w:pPr>
      <w:r>
        <w:rPr/>
        <w:t> </w:t>
      </w:r>
    </w:p>
    <w:tbl>
      <w:tblPr>
        <w:tblW w:w="8573" w:type="dxa"/>
        <w:jc w:val="left"/>
        <w:tblInd w:w="0" w:type="dxa"/>
        <w:tblLayout w:type="fixed"/>
        <w:tblCellMar>
          <w:top w:w="28" w:type="dxa"/>
          <w:left w:w="28" w:type="dxa"/>
          <w:bottom w:w="28" w:type="dxa"/>
          <w:right w:w="28" w:type="dxa"/>
        </w:tblCellMar>
      </w:tblPr>
      <w:tblGrid>
        <w:gridCol w:w="4936"/>
        <w:gridCol w:w="316"/>
        <w:gridCol w:w="1439"/>
        <w:gridCol w:w="146"/>
        <w:gridCol w:w="171"/>
        <w:gridCol w:w="247"/>
        <w:gridCol w:w="1127"/>
        <w:gridCol w:w="191"/>
      </w:tblGrid>
      <w:tr>
        <w:trPr/>
        <w:tc>
          <w:tcPr>
            <w:tcW w:w="49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Revenue</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 forma Net Income including noncontrolling interests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152,799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has been prepared for comparative purposes and does not purport to be indicative of what would have occurred had the acquisition been consummated during the periods for which pro forma information is presented.</w:t>
      </w:r>
    </w:p>
    <w:p>
      <w:pPr>
        <w:pStyle w:val="TextBody"/>
        <w:bidi w:val="0"/>
        <w:spacing w:before="120" w:after="283"/>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5.</w:t>
      </w:r>
    </w:p>
    <w:p>
      <w:pPr>
        <w:pStyle w:val="TextBody"/>
        <w:bidi w:val="0"/>
        <w:spacing w:before="120" w:after="283"/>
        <w:jc w:val="left"/>
        <w:rPr>
          <w:rFonts w:ascii="Arial" w:hAnsi="Arial"/>
          <w:b/>
          <w:color w:val="000000"/>
          <w:sz w:val="20"/>
        </w:rPr>
      </w:pPr>
      <w:r>
        <w:rPr>
          <w:rFonts w:ascii="Arial" w:hAnsi="Arial"/>
          <w:b/>
          <w:color w:val="000000"/>
          <w:sz w:val="20"/>
        </w:rPr>
        <w:t xml:space="preserve">Contracts with Customers </w:t>
      </w:r>
    </w:p>
    <w:p>
      <w:pPr>
        <w:pStyle w:val="TextBody"/>
        <w:bidi w:val="0"/>
        <w:spacing w:before="120" w:after="283"/>
        <w:jc w:val="left"/>
        <w:rPr>
          <w:rFonts w:ascii="Times New Roman" w:hAnsi="Times New Roman"/>
          <w:sz w:val="20"/>
        </w:rPr>
      </w:pPr>
      <w:r>
        <w:rPr>
          <w:rFonts w:ascii="Arial" w:hAnsi="Arial"/>
          <w:b/>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Company’s contracts contain both fixed-price and cost reimbursable components. Contract types are based on the component that represents the majority of the contract. The following table presents revenue disaggregated by contract type (in thousands):</w:t>
      </w:r>
      <w:r>
        <w:rPr>
          <w:rFonts w:ascii="Times New Roman" w:hAnsi="Times New Roman"/>
          <w:color w:val="000000"/>
          <w:sz w:val="20"/>
        </w:rPr>
        <w:t xml:space="preserve"> </w:t>
      </w:r>
    </w:p>
    <w:p>
      <w:pPr>
        <w:pStyle w:val="TextBody"/>
        <w:bidi w:val="0"/>
        <w:jc w:val="left"/>
        <w:rPr/>
      </w:pPr>
      <w:r>
        <w:rPr/>
        <w:t> </w:t>
      </w:r>
    </w:p>
    <w:tbl>
      <w:tblPr>
        <w:tblW w:w="7967" w:type="dxa"/>
        <w:jc w:val="left"/>
        <w:tblInd w:w="0" w:type="dxa"/>
        <w:tblLayout w:type="fixed"/>
        <w:tblCellMar>
          <w:top w:w="28" w:type="dxa"/>
          <w:left w:w="28" w:type="dxa"/>
          <w:bottom w:w="28" w:type="dxa"/>
          <w:right w:w="28" w:type="dxa"/>
        </w:tblCellMar>
      </w:tblPr>
      <w:tblGrid>
        <w:gridCol w:w="1786"/>
        <w:gridCol w:w="146"/>
        <w:gridCol w:w="211"/>
        <w:gridCol w:w="961"/>
        <w:gridCol w:w="146"/>
        <w:gridCol w:w="146"/>
        <w:gridCol w:w="211"/>
        <w:gridCol w:w="961"/>
        <w:gridCol w:w="146"/>
        <w:gridCol w:w="146"/>
        <w:gridCol w:w="211"/>
        <w:gridCol w:w="961"/>
        <w:gridCol w:w="146"/>
        <w:gridCol w:w="146"/>
        <w:gridCol w:w="211"/>
        <w:gridCol w:w="961"/>
        <w:gridCol w:w="47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1,106,708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Time-and-Materials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720,035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706,816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1,354,244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1,311,940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3,138,683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See “Note 18 – Segments Information” for the Company’s revenues by business lines.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Contract Assets and 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Contract assets and contract liabilities balances at June 30, 2026 and December 31, 2025 were as follows (in thousands):</w:t>
      </w:r>
      <w:r>
        <w:rPr>
          <w:rFonts w:ascii="Times New Roman" w:hAnsi="Times New Roman"/>
          <w:color w:val="000000"/>
          <w:sz w:val="20"/>
        </w:rPr>
        <w:t xml:space="preserve"> </w:t>
      </w:r>
    </w:p>
    <w:p>
      <w:pPr>
        <w:pStyle w:val="TextBody"/>
        <w:bidi w:val="0"/>
        <w:jc w:val="left"/>
        <w:rPr/>
      </w:pPr>
      <w:r>
        <w:rPr/>
        <w:t> </w:t>
      </w:r>
    </w:p>
    <w:tbl>
      <w:tblPr>
        <w:tblW w:w="9039" w:type="dxa"/>
        <w:jc w:val="left"/>
        <w:tblInd w:w="0" w:type="dxa"/>
        <w:tblLayout w:type="fixed"/>
        <w:tblCellMar>
          <w:top w:w="28" w:type="dxa"/>
          <w:left w:w="28" w:type="dxa"/>
          <w:bottom w:w="28" w:type="dxa"/>
          <w:right w:w="28" w:type="dxa"/>
        </w:tblCellMar>
      </w:tblPr>
      <w:tblGrid>
        <w:gridCol w:w="3046"/>
        <w:gridCol w:w="146"/>
        <w:gridCol w:w="211"/>
        <w:gridCol w:w="961"/>
        <w:gridCol w:w="146"/>
        <w:gridCol w:w="146"/>
        <w:gridCol w:w="330"/>
        <w:gridCol w:w="1245"/>
        <w:gridCol w:w="146"/>
        <w:gridCol w:w="146"/>
        <w:gridCol w:w="211"/>
        <w:gridCol w:w="796"/>
        <w:gridCol w:w="146"/>
        <w:gridCol w:w="146"/>
        <w:gridCol w:w="206"/>
        <w:gridCol w:w="680"/>
        <w:gridCol w:w="33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assets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contract assets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spacing w:before="0" w:after="0"/>
        <w:jc w:val="left"/>
        <w:rPr>
          <w:rFonts w:ascii="Arial" w:hAnsi="Arial"/>
          <w:sz w:val="24"/>
        </w:rPr>
      </w:pPr>
      <w:r>
        <w:rPr>
          <w:rFonts w:ascii="Arial" w:hAnsi="Arial"/>
          <w:color w:val="000000"/>
          <w:sz w:val="20"/>
        </w:rPr>
        <w:t>Contract assets includes $14.8</w:t>
      </w:r>
      <w:r>
        <w:rPr>
          <w:rFonts w:ascii="Arial" w:hAnsi="Arial"/>
          <w:color w:val="000000"/>
          <w:sz w:val="24"/>
        </w:rPr>
        <w:t xml:space="preserve"> </w:t>
      </w:r>
      <w:r>
        <w:rPr>
          <w:rFonts w:ascii="Arial" w:hAnsi="Arial"/>
          <w:color w:val="000000"/>
          <w:sz w:val="20"/>
        </w:rPr>
        <w:t>million and $0</w:t>
      </w:r>
      <w:r>
        <w:rPr>
          <w:rFonts w:ascii="Arial" w:hAnsi="Arial"/>
          <w:color w:val="000000"/>
          <w:sz w:val="24"/>
        </w:rPr>
        <w:t xml:space="preserve"> </w:t>
      </w:r>
      <w:r>
        <w:rPr>
          <w:rFonts w:ascii="Arial" w:hAnsi="Arial"/>
          <w:color w:val="000000"/>
          <w:sz w:val="20"/>
        </w:rPr>
        <w:t>of assets held for sale as of June 30, 2026 and December 31, 2025, respectively, and is reported in assets held for sale on the consolidated balance sheets. Refer to contracts held for sale section below.</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spacing w:before="0" w:after="0"/>
        <w:jc w:val="left"/>
        <w:rPr>
          <w:rFonts w:ascii="Arial" w:hAnsi="Arial"/>
          <w:sz w:val="24"/>
        </w:rPr>
      </w:pPr>
      <w:r>
        <w:rPr>
          <w:rFonts w:ascii="Arial" w:hAnsi="Arial"/>
          <w:color w:val="000000"/>
          <w:sz w:val="20"/>
        </w:rPr>
        <w:t>Contract liabilities includes $60.7</w:t>
      </w:r>
      <w:r>
        <w:rPr>
          <w:rFonts w:ascii="Arial" w:hAnsi="Arial"/>
          <w:color w:val="000000"/>
          <w:sz w:val="24"/>
        </w:rPr>
        <w:t xml:space="preserve"> </w:t>
      </w:r>
      <w:r>
        <w:rPr>
          <w:rFonts w:ascii="Arial" w:hAnsi="Arial"/>
          <w:color w:val="000000"/>
          <w:sz w:val="20"/>
        </w:rPr>
        <w:t>million and $0</w:t>
      </w:r>
      <w:r>
        <w:rPr>
          <w:rFonts w:ascii="Arial" w:hAnsi="Arial"/>
          <w:color w:val="000000"/>
          <w:sz w:val="24"/>
        </w:rPr>
        <w:t xml:space="preserve"> </w:t>
      </w:r>
      <w:r>
        <w:rPr>
          <w:rFonts w:ascii="Arial" w:hAnsi="Arial"/>
          <w:color w:val="000000"/>
          <w:sz w:val="20"/>
        </w:rPr>
        <w:t>of liabilities held for sale as of June 30, 2026 and December 31, 2025, respectively, and is reported in liabilities held for sale on the consolidated balance sheets. Refer to contracts held for sale section below.</w:t>
      </w:r>
    </w:p>
    <w:p>
      <w:pPr>
        <w:pStyle w:val="TextBody"/>
        <w:bidi w:val="0"/>
        <w:spacing w:before="0" w:after="0"/>
        <w:jc w:val="left"/>
        <w:rPr>
          <w:rFonts w:ascii="Arial" w:hAnsi="Arial"/>
          <w:color w:val="000000"/>
          <w:sz w:val="20"/>
        </w:rPr>
      </w:pPr>
      <w:r>
        <w:rPr>
          <w:rFonts w:ascii="Arial" w:hAnsi="Arial"/>
          <w:color w:val="000000"/>
          <w:sz w:val="20"/>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Fonts w:ascii="Arial" w:hAnsi="Arial"/>
          <w:color w:val="000000"/>
          <w:sz w:val="20"/>
        </w:rPr>
        <w:t>Total contract retentions included in net contract assets (liabilities) were $117.8</w:t>
      </w:r>
      <w:r>
        <w:rPr>
          <w:color w:val="000000"/>
        </w:rPr>
        <w:t xml:space="preserve"> </w:t>
      </w:r>
      <w:r>
        <w:rPr>
          <w:rFonts w:ascii="Arial" w:hAnsi="Arial"/>
          <w:color w:val="000000"/>
          <w:sz w:val="20"/>
        </w:rPr>
        <w:t>million</w:t>
      </w:r>
      <w:r>
        <w:rPr>
          <w:color w:val="000000"/>
        </w:rPr>
        <w:t xml:space="preserve"> </w:t>
      </w:r>
      <w:r>
        <w:rPr>
          <w:rFonts w:ascii="Arial" w:hAnsi="Arial"/>
          <w:color w:val="000000"/>
          <w:sz w:val="20"/>
        </w:rPr>
        <w:t>as of June 30, 2026, of which $55.6</w:t>
      </w:r>
      <w:r>
        <w:rPr>
          <w:color w:val="000000"/>
        </w:rPr>
        <w:t xml:space="preserve"> </w:t>
      </w:r>
      <w:r>
        <w:rPr>
          <w:rFonts w:ascii="Arial" w:hAnsi="Arial"/>
          <w:color w:val="000000"/>
          <w:sz w:val="20"/>
        </w:rPr>
        <w:t>million</w:t>
      </w:r>
      <w:r>
        <w:rPr>
          <w:color w:val="000000"/>
        </w:rPr>
        <w:t xml:space="preserve"> </w:t>
      </w:r>
      <w:r>
        <w:rPr>
          <w:rFonts w:ascii="Arial" w:hAnsi="Arial"/>
          <w:color w:val="000000"/>
          <w:sz w:val="20"/>
        </w:rPr>
        <w:t>are not expected to be paid in the next 12 months. Total contract retentions included in net contract assets (liabilities) were $114.6</w:t>
      </w:r>
      <w:r>
        <w:rPr>
          <w:color w:val="000000"/>
        </w:rPr>
        <w:t xml:space="preserve"> </w:t>
      </w:r>
      <w:r>
        <w:rPr>
          <w:rFonts w:ascii="Arial" w:hAnsi="Arial"/>
          <w:color w:val="000000"/>
          <w:sz w:val="20"/>
        </w:rPr>
        <w:t>million</w:t>
      </w:r>
      <w:r>
        <w:rPr>
          <w:color w:val="000000"/>
        </w:rPr>
        <w:t xml:space="preserve"> </w:t>
      </w:r>
      <w:r>
        <w:rPr>
          <w:rFonts w:ascii="Arial" w:hAnsi="Arial"/>
          <w:color w:val="000000"/>
          <w:sz w:val="20"/>
        </w:rPr>
        <w:t>as of December 31, 2025. Contract assets as of June 30, 2026 and December 31, 2025 include $58.9</w:t>
      </w:r>
      <w:r>
        <w:rPr>
          <w:color w:val="000000"/>
        </w:rPr>
        <w:t xml:space="preserve"> </w:t>
      </w:r>
      <w:r>
        <w:rPr>
          <w:rFonts w:ascii="Arial" w:hAnsi="Arial"/>
          <w:color w:val="000000"/>
          <w:sz w:val="20"/>
        </w:rPr>
        <w:t>million</w:t>
      </w:r>
      <w:r>
        <w:rPr>
          <w:color w:val="000000"/>
        </w:rPr>
        <w:t xml:space="preserve"> </w:t>
      </w:r>
      <w:r>
        <w:rPr>
          <w:rFonts w:ascii="Arial" w:hAnsi="Arial"/>
          <w:color w:val="000000"/>
          <w:sz w:val="20"/>
        </w:rPr>
        <w:t>and $58.9</w:t>
      </w:r>
      <w:r>
        <w:rPr>
          <w:color w:val="000000"/>
        </w:rPr>
        <w:t xml:space="preserve"> </w:t>
      </w:r>
      <w:r>
        <w:rPr>
          <w:rFonts w:ascii="Arial" w:hAnsi="Arial"/>
          <w:color w:val="000000"/>
          <w:sz w:val="20"/>
        </w:rPr>
        <w:t xml:space="preserve">million, respectively, related to net claim recoveries. For the three and six months ended June 30, 2026 and June 30, 2025, there were no material losses recognized related to the collectability of claims, unapproved change orders, and requests for equitable adjustment.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sz w:val="20"/>
        </w:rPr>
      </w:pPr>
      <w:r>
        <w:rPr>
          <w:rFonts w:ascii="Arial" w:hAnsi="Arial"/>
          <w:color w:val="000000"/>
          <w:sz w:val="20"/>
        </w:rPr>
        <w:t>During the three months ended June 30, 2026 and June 30, 2025, the Company recognized revenue of $37.7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$47.8</w:t>
      </w:r>
      <w:r>
        <w:rPr>
          <w:rFonts w:ascii="Times New Roman" w:hAnsi="Times New Roman"/>
          <w:color w:val="000000"/>
          <w:sz w:val="20"/>
        </w:rPr>
        <w:t xml:space="preserve"> </w:t>
      </w:r>
      <w:r>
        <w:rPr>
          <w:rFonts w:ascii="Arial" w:hAnsi="Arial"/>
          <w:color w:val="000000"/>
          <w:sz w:val="20"/>
        </w:rPr>
        <w:t>million, respectively and $170.9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$165.1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six months ended June 30, 2026 and June 30, 2025, respectively, that was included in the corresponding contract liability balances at December 31, 2025 and December 31, 2024,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Certain changes in contract assets and contract liabilities consisted of the following (in thousands):</w:t>
      </w:r>
    </w:p>
    <w:p>
      <w:pPr>
        <w:pStyle w:val="TextBody"/>
        <w:bidi w:val="0"/>
        <w:jc w:val="left"/>
        <w:rPr/>
      </w:pPr>
      <w:r>
        <w:rPr/>
        <w:t> </w:t>
      </w:r>
    </w:p>
    <w:tbl>
      <w:tblPr>
        <w:tblW w:w="5835" w:type="dxa"/>
        <w:jc w:val="left"/>
        <w:tblInd w:w="0" w:type="dxa"/>
        <w:tblLayout w:type="fixed"/>
        <w:tblCellMar>
          <w:top w:w="28" w:type="dxa"/>
          <w:left w:w="28" w:type="dxa"/>
          <w:bottom w:w="28" w:type="dxa"/>
          <w:right w:w="28" w:type="dxa"/>
        </w:tblCellMar>
      </w:tblPr>
      <w:tblGrid>
        <w:gridCol w:w="2461"/>
        <w:gridCol w:w="146"/>
        <w:gridCol w:w="273"/>
        <w:gridCol w:w="897"/>
        <w:gridCol w:w="146"/>
        <w:gridCol w:w="146"/>
        <w:gridCol w:w="368"/>
        <w:gridCol w:w="1207"/>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three and six months ended June 30, 2026, the Company recognized a reduction to contract assets of $16.8</w:t>
      </w:r>
      <w:r>
        <w:rPr>
          <w:rFonts w:ascii="Times New Roman" w:hAnsi="Times New Roman"/>
          <w:color w:val="000000"/>
          <w:sz w:val="20"/>
        </w:rPr>
        <w:t xml:space="preserve"> </w:t>
      </w:r>
      <w:r>
        <w:rPr>
          <w:rFonts w:ascii="Arial" w:hAnsi="Arial"/>
          <w:color w:val="000000"/>
          <w:sz w:val="20"/>
        </w:rPr>
        <w:t>million and an increase to contract liabilities of $60.7</w:t>
      </w:r>
      <w:r>
        <w:rPr>
          <w:rFonts w:ascii="Times New Roman" w:hAnsi="Times New Roman"/>
          <w:color w:val="000000"/>
          <w:sz w:val="20"/>
        </w:rPr>
        <w:t xml:space="preserve"> </w:t>
      </w:r>
      <w:r>
        <w:rPr>
          <w:rFonts w:ascii="Arial" w:hAnsi="Arial"/>
          <w:color w:val="000000"/>
          <w:sz w:val="20"/>
        </w:rPr>
        <w:t>million due to two loss position contracts and related cumulative catch-up reductions to revenue. These contracts and related contract assets and liabilities are classified as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held for sale as of June 30, 2026. Refer to the Contracts Held for Sale section below. There was no</w:t>
      </w:r>
      <w:r>
        <w:rPr>
          <w:rFonts w:ascii="Times New Roman" w:hAnsi="Times New Roman"/>
          <w:color w:val="000000"/>
          <w:sz w:val="20"/>
        </w:rPr>
        <w:t xml:space="preserve"> </w:t>
      </w:r>
      <w:r>
        <w:rPr>
          <w:rFonts w:ascii="Arial" w:hAnsi="Arial"/>
          <w:color w:val="000000"/>
          <w:sz w:val="20"/>
        </w:rPr>
        <w:t>significant write-down of contract assets recognized during the three and six months ended June 30, 2025.</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Revisions in estimates, such as changes in estimated claims or incentives, related to performance obligations partially satisfied in previous periods that individually had an impact of $5</w:t>
      </w:r>
      <w:r>
        <w:rPr>
          <w:rFonts w:ascii="Times New Roman" w:hAnsi="Times New Roman"/>
          <w:color w:val="000000"/>
          <w:sz w:val="20"/>
        </w:rPr>
        <w:t xml:space="preserve"> </w:t>
      </w:r>
      <w:r>
        <w:rPr>
          <w:rFonts w:ascii="Arial" w:hAnsi="Arial"/>
          <w:color w:val="000000"/>
          <w:sz w:val="20"/>
        </w:rPr>
        <w:t>million or more on revenue:</w:t>
      </w:r>
    </w:p>
    <w:p>
      <w:pPr>
        <w:pStyle w:val="TextBody"/>
        <w:bidi w:val="0"/>
        <w:jc w:val="left"/>
        <w:rPr/>
      </w:pPr>
      <w:r>
        <w:rPr/>
        <w:t> </w:t>
      </w:r>
    </w:p>
    <w:tbl>
      <w:tblPr>
        <w:tblW w:w="8143" w:type="dxa"/>
        <w:jc w:val="left"/>
        <w:tblInd w:w="0" w:type="dxa"/>
        <w:tblLayout w:type="fixed"/>
        <w:tblCellMar>
          <w:top w:w="28" w:type="dxa"/>
          <w:left w:w="28" w:type="dxa"/>
          <w:bottom w:w="28" w:type="dxa"/>
          <w:right w:w="28" w:type="dxa"/>
        </w:tblCellMar>
      </w:tblPr>
      <w:tblGrid>
        <w:gridCol w:w="2191"/>
        <w:gridCol w:w="146"/>
        <w:gridCol w:w="256"/>
        <w:gridCol w:w="914"/>
        <w:gridCol w:w="176"/>
        <w:gridCol w:w="155"/>
        <w:gridCol w:w="653"/>
        <w:gridCol w:w="517"/>
        <w:gridCol w:w="146"/>
        <w:gridCol w:w="146"/>
        <w:gridCol w:w="256"/>
        <w:gridCol w:w="914"/>
        <w:gridCol w:w="166"/>
        <w:gridCol w:w="146"/>
        <w:gridCol w:w="653"/>
        <w:gridCol w:w="517"/>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impact,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(77,535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b/>
          <w:i/>
          <w:color w:val="000000"/>
          <w:sz w:val="20"/>
        </w:rPr>
      </w:pPr>
      <w:r>
        <w:rPr>
          <w:rFonts w:ascii="Arial" w:hAnsi="Arial"/>
          <w:b/>
          <w:i/>
          <w:color w:val="000000"/>
          <w:sz w:val="20"/>
        </w:rPr>
        <w:t>Contracts Held for Sale</w:t>
      </w:r>
    </w:p>
    <w:p>
      <w:pPr>
        <w:pStyle w:val="TextBody"/>
        <w:bidi w:val="0"/>
        <w:spacing w:before="120" w:after="283"/>
        <w:jc w:val="left"/>
        <w:rPr>
          <w:rFonts w:ascii="Times New Roman" w:hAnsi="Times New Roman"/>
          <w:sz w:val="20"/>
        </w:rPr>
      </w:pPr>
      <w:r>
        <w:rPr>
          <w:rFonts w:ascii="Arial" w:hAnsi="Arial"/>
          <w:color w:val="000000"/>
          <w:sz w:val="20"/>
        </w:rPr>
        <w:t>During the second quarter of 2026 management committed to a plan to sell two Remote Programs within the Federal Solutions segment as part of its strategy to transfer the remaining contractual obligations to a third party. Management expects the sale to be completed by the end of 2026. The assets and liabilities are classified as held for sale, reported at fair value less cost to sell and consist primarily of property and equipment, net of $2.4</w:t>
      </w:r>
      <w:r>
        <w:rPr>
          <w:rFonts w:ascii="Times New Roman" w:hAnsi="Times New Roman"/>
          <w:color w:val="000000"/>
          <w:sz w:val="20"/>
        </w:rPr>
        <w:t xml:space="preserve"> </w:t>
      </w:r>
      <w:r>
        <w:rPr>
          <w:rFonts w:ascii="Arial" w:hAnsi="Arial"/>
          <w:color w:val="000000"/>
          <w:sz w:val="20"/>
        </w:rPr>
        <w:t>million, contract assets of $14.8</w:t>
      </w:r>
      <w:r>
        <w:rPr>
          <w:rFonts w:ascii="Times New Roman" w:hAnsi="Times New Roman"/>
          <w:color w:val="000000"/>
          <w:sz w:val="20"/>
        </w:rPr>
        <w:t xml:space="preserve"> </w:t>
      </w:r>
      <w:r>
        <w:rPr>
          <w:rFonts w:ascii="Arial" w:hAnsi="Arial"/>
          <w:color w:val="000000"/>
          <w:sz w:val="20"/>
        </w:rPr>
        <w:t>million and contract liabilities of $60.7</w:t>
      </w:r>
      <w:r>
        <w:rPr>
          <w:rFonts w:ascii="Times New Roman" w:hAnsi="Times New Roman"/>
          <w:color w:val="000000"/>
          <w:sz w:val="20"/>
        </w:rPr>
        <w:t xml:space="preserve"> </w:t>
      </w:r>
      <w:r>
        <w:rPr>
          <w:rFonts w:ascii="Arial" w:hAnsi="Arial"/>
          <w:color w:val="000000"/>
          <w:sz w:val="20"/>
        </w:rPr>
        <w:t>million. These balances are reported as assets held for sale and liabilities held for sale on the consolidated balance sheet.</w:t>
      </w:r>
    </w:p>
    <w:p>
      <w:pPr>
        <w:pStyle w:val="TextBody"/>
        <w:bidi w:val="0"/>
        <w:spacing w:before="240" w:after="283"/>
        <w:jc w:val="left"/>
        <w:rPr>
          <w:rFonts w:ascii="Arial" w:hAnsi="Arial"/>
          <w:b/>
          <w:i/>
          <w:color w:val="000000"/>
          <w:sz w:val="20"/>
        </w:rPr>
      </w:pPr>
      <w:r>
        <w:rPr>
          <w:rFonts w:ascii="Arial" w:hAnsi="Arial"/>
          <w:b/>
          <w:i/>
          <w:color w:val="000000"/>
          <w:sz w:val="20"/>
        </w:rPr>
        <w:t>Accounts Receivable, net</w:t>
      </w:r>
    </w:p>
    <w:p>
      <w:pPr>
        <w:pStyle w:val="TextBody"/>
        <w:bidi w:val="0"/>
        <w:spacing w:before="120" w:after="283"/>
        <w:jc w:val="left"/>
        <w:rPr>
          <w:rFonts w:ascii="Arial" w:hAnsi="Arial"/>
          <w:color w:val="000000"/>
          <w:sz w:val="20"/>
        </w:rPr>
      </w:pPr>
      <w:r>
        <w:rPr>
          <w:rFonts w:ascii="Arial" w:hAnsi="Arial"/>
          <w:color w:val="000000"/>
          <w:sz w:val="20"/>
        </w:rPr>
        <w:t>Accounts receivable, net consisted of the following as of June 30, 2026 and December 31, 2025 (in thousands):</w:t>
      </w:r>
    </w:p>
    <w:tbl>
      <w:tblPr>
        <w:tblW w:w="6149" w:type="dxa"/>
        <w:jc w:val="left"/>
        <w:tblInd w:w="0" w:type="dxa"/>
        <w:tblLayout w:type="fixed"/>
        <w:tblCellMar>
          <w:top w:w="28" w:type="dxa"/>
          <w:left w:w="28" w:type="dxa"/>
          <w:bottom w:w="28" w:type="dxa"/>
          <w:right w:w="28" w:type="dxa"/>
        </w:tblCellMar>
      </w:tblPr>
      <w:tblGrid>
        <w:gridCol w:w="3136"/>
        <w:gridCol w:w="146"/>
        <w:gridCol w:w="211"/>
        <w:gridCol w:w="961"/>
        <w:gridCol w:w="166"/>
        <w:gridCol w:w="146"/>
        <w:gridCol w:w="211"/>
        <w:gridCol w:w="961"/>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736,354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732,414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395,889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1,146,226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1,124,417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16%</w:t>
      </w:r>
      <w:r>
        <w:rPr>
          <w:rFonts w:ascii="Times New Roman" w:hAnsi="Times New Roman"/>
          <w:color w:val="000000"/>
          <w:sz w:val="20"/>
        </w:rPr>
        <w:t xml:space="preserve"> </w:t>
      </w:r>
      <w:r>
        <w:rPr>
          <w:rFonts w:ascii="Arial" w:hAnsi="Arial"/>
          <w:color w:val="000000"/>
          <w:sz w:val="20"/>
        </w:rPr>
        <w:t>and 19% as of June 30, 2026 and December 31, 2025, respectively.</w:t>
      </w:r>
    </w:p>
    <w:p>
      <w:pPr>
        <w:pStyle w:val="TextBody"/>
        <w:bidi w:val="0"/>
        <w:spacing w:before="240" w:after="283"/>
        <w:jc w:val="left"/>
        <w:rPr>
          <w:rFonts w:ascii="Times New Roman" w:hAnsi="Times New Roman"/>
          <w:sz w:val="20"/>
        </w:rPr>
      </w:pPr>
      <w:r>
        <w:rPr>
          <w:rFonts w:ascii="Arial" w:hAnsi="Arial"/>
          <w:color w:val="000000"/>
          <w:sz w:val="20"/>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Transaction Price Allocated to the Remaining Unsatisfied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Company’s remaining unsatisfied performance obligations (“RUPO”) as of June 30, 2026 represent a measure of the total dollar value of work to be performed on contracts awarded and in-progress. The Company had $6.9</w:t>
      </w:r>
      <w:r>
        <w:rPr>
          <w:rFonts w:ascii="Times New Roman" w:hAnsi="Times New Roman"/>
          <w:color w:val="000000"/>
          <w:sz w:val="20"/>
        </w:rPr>
        <w:t xml:space="preserve"> </w:t>
      </w:r>
      <w:r>
        <w:rPr>
          <w:rFonts w:ascii="Arial" w:hAnsi="Arial"/>
          <w:color w:val="000000"/>
          <w:sz w:val="20"/>
        </w:rPr>
        <w:t>billion</w:t>
      </w:r>
      <w:r>
        <w:rPr>
          <w:rFonts w:ascii="Times New Roman" w:hAnsi="Times New Roman"/>
          <w:color w:val="000000"/>
          <w:sz w:val="20"/>
        </w:rPr>
        <w:t xml:space="preserve"> </w:t>
      </w:r>
      <w:r>
        <w:rPr>
          <w:rFonts w:ascii="Arial" w:hAnsi="Arial"/>
          <w:color w:val="000000"/>
          <w:sz w:val="20"/>
        </w:rPr>
        <w:t>in RUPO as of June 30, 2026.</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RUPO will increase with awards of new contracts and decrease as the Company performs work and recognizes revenue on existing contracts. Projects are included within RUPO at such time the project is awarded and agreement on contract terms has been reached.</w:t>
      </w:r>
    </w:p>
    <w:p>
      <w:pPr>
        <w:pStyle w:val="TextBody"/>
        <w:bidi w:val="0"/>
        <w:spacing w:before="240" w:after="283"/>
        <w:jc w:val="left"/>
        <w:rPr>
          <w:rFonts w:ascii="Times New Roman" w:hAnsi="Times New Roman"/>
          <w:sz w:val="20"/>
        </w:rPr>
      </w:pPr>
      <w:r>
        <w:rPr>
          <w:rFonts w:ascii="Arial" w:hAnsi="Arial"/>
          <w:color w:val="000000"/>
          <w:sz w:val="20"/>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Company expects to satisfy its RUPO as of June 30, 2026 over the following periods (in thousands):</w:t>
      </w:r>
      <w:r>
        <w:rPr>
          <w:rFonts w:ascii="Times New Roman" w:hAnsi="Times New Roman"/>
          <w:color w:val="000000"/>
          <w:sz w:val="20"/>
        </w:rPr>
        <w:t xml:space="preserve"> </w:t>
      </w:r>
    </w:p>
    <w:p>
      <w:pPr>
        <w:pStyle w:val="TextBody"/>
        <w:bidi w:val="0"/>
        <w:jc w:val="left"/>
        <w:rPr/>
      </w:pPr>
      <w:r>
        <w:rPr/>
        <w:t> </w:t>
      </w:r>
    </w:p>
    <w:tbl>
      <w:tblPr>
        <w:tblW w:w="7209" w:type="dxa"/>
        <w:jc w:val="left"/>
        <w:tblInd w:w="0" w:type="dxa"/>
        <w:tblLayout w:type="fixed"/>
        <w:tblCellMar>
          <w:top w:w="28" w:type="dxa"/>
          <w:left w:w="28" w:type="dxa"/>
          <w:bottom w:w="28" w:type="dxa"/>
          <w:right w:w="28" w:type="dxa"/>
        </w:tblCellMar>
      </w:tblPr>
      <w:tblGrid>
        <w:gridCol w:w="2536"/>
        <w:gridCol w:w="146"/>
        <w:gridCol w:w="248"/>
        <w:gridCol w:w="1132"/>
        <w:gridCol w:w="146"/>
        <w:gridCol w:w="146"/>
        <w:gridCol w:w="216"/>
        <w:gridCol w:w="984"/>
        <w:gridCol w:w="146"/>
        <w:gridCol w:w="146"/>
        <w:gridCol w:w="211"/>
        <w:gridCol w:w="96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6"/>
              </w:rPr>
              <w:t>Period RUPO Will Be Satisfied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Within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16"/>
              </w:rPr>
              <w:t>Within</w:t>
            </w:r>
            <w:r>
              <w:rPr>
                <w:rFonts w:ascii="Times New Roman" w:hAnsi="Times New Roman"/>
                <w:color w:val="000000"/>
                <w:sz w:val="20"/>
              </w:rPr>
              <w:t xml:space="preserve"> </w:t>
            </w:r>
            <w:r>
              <w:rPr>
                <w:rFonts w:ascii="Arial" w:hAnsi="Arial"/>
                <w:b/>
                <w:color w:val="000000"/>
                <w:sz w:val="16"/>
              </w:rPr>
              <w:t>One</w:t>
            </w:r>
            <w:r>
              <w:rPr>
                <w:rFonts w:ascii="Times New Roman" w:hAnsi="Times New Roman"/>
                <w:color w:val="000000"/>
                <w:sz w:val="20"/>
              </w:rPr>
              <w:t> </w:t>
            </w:r>
            <w:r>
              <w:rPr>
                <w:rFonts w:ascii="Arial" w:hAnsi="Arial"/>
                <w:b/>
                <w:color w:val="000000"/>
                <w:sz w:val="16"/>
              </w:rPr>
              <w:t>to</w:t>
              <w:br/>
              <w:t>Two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Federal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1,522,751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78,555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Critical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2,313,893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1,268,367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3,836,644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1,715,894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1,346,922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6.</w:t>
      </w:r>
    </w:p>
    <w:p>
      <w:pPr>
        <w:pStyle w:val="TextBody"/>
        <w:bidi w:val="0"/>
        <w:spacing w:before="120" w:after="283"/>
        <w:jc w:val="left"/>
        <w:rPr>
          <w:rFonts w:ascii="Arial" w:hAnsi="Arial"/>
          <w:b/>
          <w:color w:val="000000"/>
          <w:sz w:val="20"/>
        </w:rPr>
      </w:pPr>
      <w:r>
        <w:rPr>
          <w:rFonts w:ascii="Arial" w:hAnsi="Arial"/>
          <w:b/>
          <w:color w:val="000000"/>
          <w:sz w:val="20"/>
        </w:rPr>
        <w:t>Leases</w:t>
      </w:r>
    </w:p>
    <w:p>
      <w:pPr>
        <w:pStyle w:val="TextBody"/>
        <w:bidi w:val="0"/>
        <w:spacing w:before="120" w:after="283"/>
        <w:jc w:val="left"/>
        <w:rPr>
          <w:rFonts w:ascii="Times New Roman" w:hAnsi="Times New Roman"/>
          <w:sz w:val="20"/>
        </w:rPr>
      </w:pPr>
      <w:r>
        <w:rPr>
          <w:rFonts w:ascii="Arial" w:hAnsi="Arial"/>
          <w:color w:val="000000"/>
          <w:sz w:val="20"/>
        </w:rPr>
        <w:t>The Company has operating and finance leases for corporate and project office spaces, vehicles, heavy machinery and office equipment. Our leases have remaining lease terms of one year</w:t>
      </w:r>
      <w:r>
        <w:rPr>
          <w:rFonts w:ascii="Times New Roman" w:hAnsi="Times New Roman"/>
          <w:color w:val="000000"/>
          <w:sz w:val="20"/>
        </w:rPr>
        <w:t xml:space="preserve"> </w:t>
      </w:r>
      <w:r>
        <w:rPr>
          <w:rFonts w:ascii="Arial" w:hAnsi="Arial"/>
          <w:color w:val="000000"/>
          <w:sz w:val="20"/>
        </w:rPr>
        <w:t>to eleven years, some of which may include options to extend</w:t>
      </w:r>
      <w:r>
        <w:rPr>
          <w:rFonts w:ascii="Times New Roman" w:hAnsi="Times New Roman"/>
          <w:color w:val="000000"/>
          <w:sz w:val="20"/>
        </w:rPr>
        <w:t xml:space="preserve"> </w:t>
      </w:r>
      <w:r>
        <w:rPr>
          <w:rFonts w:ascii="Arial" w:hAnsi="Arial"/>
          <w:color w:val="000000"/>
          <w:sz w:val="20"/>
        </w:rPr>
        <w:t>the leases for up to five years, and some of which may include options to terminate</w:t>
      </w:r>
      <w:r>
        <w:rPr>
          <w:rFonts w:ascii="Times New Roman" w:hAnsi="Times New Roman"/>
          <w:color w:val="000000"/>
          <w:sz w:val="20"/>
        </w:rPr>
        <w:t xml:space="preserve"> </w:t>
      </w:r>
      <w:r>
        <w:rPr>
          <w:rFonts w:ascii="Arial" w:hAnsi="Arial"/>
          <w:color w:val="000000"/>
          <w:sz w:val="20"/>
        </w:rPr>
        <w:t>the leases after the third</w:t>
      </w:r>
      <w:r>
        <w:rPr>
          <w:rFonts w:ascii="Times New Roman" w:hAnsi="Times New Roman"/>
          <w:color w:val="000000"/>
          <w:sz w:val="20"/>
        </w:rPr>
        <w:t xml:space="preserve"> </w:t>
      </w:r>
      <w:r>
        <w:rPr>
          <w:rFonts w:ascii="Arial" w:hAnsi="Arial"/>
          <w:color w:val="000000"/>
          <w:sz w:val="20"/>
        </w:rPr>
        <w:t>year.</w:t>
      </w:r>
    </w:p>
    <w:p>
      <w:pPr>
        <w:pStyle w:val="TextBody"/>
        <w:bidi w:val="0"/>
        <w:spacing w:before="240" w:after="283"/>
        <w:jc w:val="left"/>
        <w:rPr>
          <w:rFonts w:ascii="Arial" w:hAnsi="Arial"/>
          <w:color w:val="000000"/>
          <w:sz w:val="20"/>
        </w:rPr>
      </w:pPr>
      <w:r>
        <w:rPr>
          <w:rFonts w:ascii="Arial" w:hAnsi="Arial"/>
          <w:color w:val="000000"/>
          <w:sz w:val="20"/>
        </w:rPr>
        <w:t>The components of lease costs for the three and six months ended June 30, 2026 and June 30, 2025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9"/>
        <w:gridCol w:w="146"/>
        <w:gridCol w:w="261"/>
        <w:gridCol w:w="859"/>
        <w:gridCol w:w="446"/>
        <w:gridCol w:w="426"/>
        <w:gridCol w:w="261"/>
        <w:gridCol w:w="859"/>
        <w:gridCol w:w="166"/>
        <w:gridCol w:w="146"/>
        <w:gridCol w:w="261"/>
        <w:gridCol w:w="859"/>
        <w:gridCol w:w="446"/>
        <w:gridCol w:w="426"/>
        <w:gridCol w:w="261"/>
        <w:gridCol w:w="859"/>
        <w:gridCol w:w="474"/>
      </w:tblGrid>
      <w:tr>
        <w:trPr/>
        <w:tc>
          <w:tcPr>
            <w:tcW w:w="3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0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304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15,843</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32,376</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33,264</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4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9,748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6,667</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4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2,332</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2,277</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4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4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21,041</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43,225</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40,647</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Supplemental cash flow information related to leases for the six months ended June 30, 2026 and June 30, 2025 is as follows (in thousands):</w:t>
      </w:r>
      <w:r>
        <w:rPr>
          <w:rFonts w:ascii="Times New Roman" w:hAnsi="Times New Roman"/>
          <w:color w:val="000000"/>
          <w:sz w:val="20"/>
        </w:rPr>
        <w:t xml:space="preserve"> </w:t>
      </w:r>
    </w:p>
    <w:p>
      <w:pPr>
        <w:pStyle w:val="TextBody"/>
        <w:bidi w:val="0"/>
        <w:jc w:val="left"/>
        <w:rPr/>
      </w:pPr>
      <w:r>
        <w:rPr/>
        <w:t> </w:t>
      </w:r>
    </w:p>
    <w:tbl>
      <w:tblPr>
        <w:tblW w:w="9570" w:type="dxa"/>
        <w:jc w:val="left"/>
        <w:tblInd w:w="0" w:type="dxa"/>
        <w:tblLayout w:type="fixed"/>
        <w:tblCellMar>
          <w:top w:w="28" w:type="dxa"/>
          <w:left w:w="28" w:type="dxa"/>
          <w:bottom w:w="28" w:type="dxa"/>
          <w:right w:w="28" w:type="dxa"/>
        </w:tblCellMar>
      </w:tblPr>
      <w:tblGrid>
        <w:gridCol w:w="6601"/>
        <w:gridCol w:w="146"/>
        <w:gridCol w:w="273"/>
        <w:gridCol w:w="897"/>
        <w:gridCol w:w="146"/>
        <w:gridCol w:w="146"/>
        <w:gridCol w:w="273"/>
        <w:gridCol w:w="897"/>
        <w:gridCol w:w="191"/>
      </w:tblGrid>
      <w:tr>
        <w:trPr/>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cash flows for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cash flows for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obtained in exchange for new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Supplemental balance sheet and other information related to leases as of June 30, 2026 and December 31, 2025 are as follows (in thousands):</w:t>
      </w:r>
    </w:p>
    <w:p>
      <w:pPr>
        <w:pStyle w:val="TextBody"/>
        <w:bidi w:val="0"/>
        <w:jc w:val="left"/>
        <w:rPr/>
      </w:pPr>
      <w:r>
        <w:rPr/>
        <w:t> </w:t>
      </w:r>
    </w:p>
    <w:tbl>
      <w:tblPr>
        <w:tblW w:w="7875" w:type="dxa"/>
        <w:jc w:val="left"/>
        <w:tblInd w:w="0" w:type="dxa"/>
        <w:tblLayout w:type="fixed"/>
        <w:tblCellMar>
          <w:top w:w="28" w:type="dxa"/>
          <w:left w:w="28" w:type="dxa"/>
          <w:bottom w:w="28" w:type="dxa"/>
          <w:right w:w="28" w:type="dxa"/>
        </w:tblCellMar>
      </w:tblPr>
      <w:tblGrid>
        <w:gridCol w:w="4081"/>
        <w:gridCol w:w="146"/>
        <w:gridCol w:w="245"/>
        <w:gridCol w:w="925"/>
        <w:gridCol w:w="286"/>
        <w:gridCol w:w="146"/>
        <w:gridCol w:w="330"/>
        <w:gridCol w:w="1245"/>
        <w:gridCol w:w="47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147,854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126,770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45,353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120,296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94,044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160,604</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139,397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8,990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4.5</w:t>
            </w:r>
            <w:r>
              <w:rPr>
                <w:rFonts w:ascii="Times New Roman" w:hAnsi="Times New Roman"/>
                <w:color w:val="000000"/>
                <w:sz w:val="20"/>
              </w:rPr>
              <w:t> </w:t>
            </w:r>
            <w:r>
              <w:rPr>
                <w:rFonts w:ascii="Arial" w:hAnsi="Arial"/>
                <w:color w:val="000000"/>
                <w:sz w:val="20"/>
              </w:rPr>
              <w:t>Years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3.7</w:t>
            </w:r>
            <w:r>
              <w:rPr>
                <w:rFonts w:ascii="Times New Roman" w:hAnsi="Times New Roman"/>
                <w:color w:val="000000"/>
                <w:sz w:val="20"/>
              </w:rPr>
              <w:t> </w:t>
            </w:r>
            <w:r>
              <w:rPr>
                <w:rFonts w:ascii="Arial" w:hAnsi="Arial"/>
                <w:color w:val="000000"/>
                <w:sz w:val="20"/>
              </w:rPr>
              <w:t>Years</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2.7</w:t>
            </w:r>
            <w:r>
              <w:rPr>
                <w:rFonts w:ascii="Times New Roman" w:hAnsi="Times New Roman"/>
                <w:color w:val="000000"/>
                <w:sz w:val="20"/>
              </w:rPr>
              <w:t> </w:t>
            </w:r>
            <w:r>
              <w:rPr>
                <w:rFonts w:ascii="Arial" w:hAnsi="Arial"/>
                <w:color w:val="000000"/>
                <w:sz w:val="20"/>
              </w:rPr>
              <w:t>Years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2.6</w:t>
            </w:r>
            <w:r>
              <w:rPr>
                <w:rFonts w:ascii="Times New Roman" w:hAnsi="Times New Roman"/>
                <w:color w:val="000000"/>
                <w:sz w:val="20"/>
              </w:rPr>
              <w:t> </w:t>
            </w:r>
            <w:r>
              <w:rPr>
                <w:rFonts w:ascii="Arial" w:hAnsi="Arial"/>
                <w:color w:val="000000"/>
                <w:sz w:val="20"/>
              </w:rPr>
              <w:t>Years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the Company has no</w:t>
      </w:r>
      <w:r>
        <w:rPr>
          <w:rFonts w:ascii="Times New Roman" w:hAnsi="Times New Roman"/>
          <w:color w:val="000000"/>
          <w:sz w:val="20"/>
        </w:rPr>
        <w:t xml:space="preserve"> </w:t>
      </w:r>
      <w:r>
        <w:rPr>
          <w:rFonts w:ascii="Arial" w:hAnsi="Arial"/>
          <w:color w:val="000000"/>
          <w:sz w:val="20"/>
        </w:rPr>
        <w:t>material leases that have not yet commenced.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maturity analysis of the future undiscounted cash flows associated with the Company’s operating and finance lease liabilities as of June 30, 2026 is as follows (in thousands):</w:t>
      </w:r>
    </w:p>
    <w:p>
      <w:pPr>
        <w:pStyle w:val="TextBody"/>
        <w:bidi w:val="0"/>
        <w:jc w:val="left"/>
        <w:rPr/>
      </w:pPr>
      <w:r>
        <w:rPr/>
        <w:t> </w:t>
      </w:r>
    </w:p>
    <w:tbl>
      <w:tblPr>
        <w:tblW w:w="6850" w:type="dxa"/>
        <w:jc w:val="left"/>
        <w:tblInd w:w="0" w:type="dxa"/>
        <w:tblLayout w:type="fixed"/>
        <w:tblCellMar>
          <w:top w:w="28" w:type="dxa"/>
          <w:left w:w="28" w:type="dxa"/>
          <w:bottom w:w="28" w:type="dxa"/>
          <w:right w:w="28" w:type="dxa"/>
        </w:tblCellMar>
      </w:tblPr>
      <w:tblGrid>
        <w:gridCol w:w="3346"/>
        <w:gridCol w:w="146"/>
        <w:gridCol w:w="314"/>
        <w:gridCol w:w="1186"/>
        <w:gridCol w:w="166"/>
        <w:gridCol w:w="146"/>
        <w:gridCol w:w="312"/>
        <w:gridCol w:w="1023"/>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rPr>
      </w:pPr>
      <w:r>
        <w:rPr>
          <w:rFonts w:ascii="Arial" w:hAnsi="Arial"/>
          <w:b/>
          <w:color w:val="000000"/>
          <w:sz w:val="20"/>
        </w:rPr>
        <w:t>7.</w:t>
      </w:r>
    </w:p>
    <w:p>
      <w:pPr>
        <w:pStyle w:val="TextBody"/>
        <w:bidi w:val="0"/>
        <w:spacing w:before="360" w:after="283"/>
        <w:jc w:val="left"/>
        <w:rPr>
          <w:rFonts w:ascii="Arial" w:hAnsi="Arial"/>
          <w:b/>
          <w:color w:val="000000"/>
          <w:sz w:val="20"/>
        </w:rPr>
      </w:pPr>
      <w:r>
        <w:rPr>
          <w:rFonts w:ascii="Arial" w:hAnsi="Arial"/>
          <w:b/>
          <w:color w:val="000000"/>
          <w:sz w:val="20"/>
        </w:rPr>
        <w:t>Goodwill</w:t>
      </w:r>
    </w:p>
    <w:p>
      <w:pPr>
        <w:pStyle w:val="TextBody"/>
        <w:bidi w:val="0"/>
        <w:spacing w:before="120" w:after="283"/>
        <w:jc w:val="left"/>
        <w:rPr>
          <w:rFonts w:ascii="Arial" w:hAnsi="Arial"/>
          <w:color w:val="000000"/>
          <w:sz w:val="20"/>
        </w:rPr>
      </w:pPr>
      <w:r>
        <w:rPr>
          <w:rFonts w:ascii="Arial" w:hAnsi="Arial"/>
          <w:color w:val="000000"/>
          <w:sz w:val="20"/>
        </w:rPr>
        <w:t>The following table summarizes the changes in the carrying value of goodwill by reporting segment from December 31, 2025 to June 30, 2026 (in thousands):</w:t>
      </w:r>
    </w:p>
    <w:p>
      <w:pPr>
        <w:pStyle w:val="TextBody"/>
        <w:bidi w:val="0"/>
        <w:jc w:val="left"/>
        <w:rPr/>
      </w:pPr>
      <w:r>
        <w:rPr/>
        <w:t> </w:t>
      </w:r>
    </w:p>
    <w:tbl>
      <w:tblPr>
        <w:tblW w:w="8572" w:type="dxa"/>
        <w:jc w:val="left"/>
        <w:tblInd w:w="0" w:type="dxa"/>
        <w:tblLayout w:type="fixed"/>
        <w:tblCellMar>
          <w:top w:w="28" w:type="dxa"/>
          <w:left w:w="28" w:type="dxa"/>
          <w:bottom w:w="28" w:type="dxa"/>
          <w:right w:w="28" w:type="dxa"/>
        </w:tblCellMar>
      </w:tblPr>
      <w:tblGrid>
        <w:gridCol w:w="1936"/>
        <w:gridCol w:w="146"/>
        <w:gridCol w:w="283"/>
        <w:gridCol w:w="1292"/>
        <w:gridCol w:w="146"/>
        <w:gridCol w:w="146"/>
        <w:gridCol w:w="232"/>
        <w:gridCol w:w="879"/>
        <w:gridCol w:w="146"/>
        <w:gridCol w:w="146"/>
        <w:gridCol w:w="380"/>
        <w:gridCol w:w="1165"/>
        <w:gridCol w:w="166"/>
        <w:gridCol w:w="146"/>
        <w:gridCol w:w="211"/>
        <w:gridCol w:w="961"/>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Acquisitions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Foreign Exchange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1,861,218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2,097,759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323,668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2,186,650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2,421,427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Company performed a qualitative triggering analysis and determined there was no triggering event indicating a potential impairment to the carrying value of its goodwill at June 30, 2026</w:t>
      </w:r>
      <w:r>
        <w:rPr>
          <w:rFonts w:ascii="Times New Roman" w:hAnsi="Times New Roman"/>
          <w:color w:val="000000"/>
          <w:sz w:val="20"/>
        </w:rPr>
        <w:t xml:space="preserve"> </w:t>
      </w:r>
      <w:r>
        <w:rPr>
          <w:rFonts w:ascii="Arial" w:hAnsi="Arial"/>
          <w:color w:val="000000"/>
          <w:sz w:val="20"/>
        </w:rPr>
        <w:t>and concluded there has not been an impairment.</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8.</w:t>
      </w:r>
    </w:p>
    <w:p>
      <w:pPr>
        <w:pStyle w:val="TextBody"/>
        <w:bidi w:val="0"/>
        <w:spacing w:before="360" w:after="283"/>
        <w:jc w:val="left"/>
        <w:rPr>
          <w:rFonts w:ascii="Arial" w:hAnsi="Arial"/>
          <w:b/>
          <w:color w:val="000000"/>
          <w:sz w:val="20"/>
        </w:rPr>
      </w:pPr>
      <w:r>
        <w:rPr>
          <w:rFonts w:ascii="Arial" w:hAnsi="Arial"/>
          <w:b/>
          <w:color w:val="000000"/>
          <w:sz w:val="20"/>
        </w:rPr>
        <w:t>Intangible Assets</w:t>
      </w:r>
    </w:p>
    <w:p>
      <w:pPr>
        <w:pStyle w:val="TextBody"/>
        <w:bidi w:val="0"/>
        <w:spacing w:before="120" w:after="283"/>
        <w:jc w:val="left"/>
        <w:rPr>
          <w:rFonts w:ascii="Times New Roman" w:hAnsi="Times New Roman"/>
          <w:sz w:val="20"/>
        </w:rPr>
      </w:pPr>
      <w:r>
        <w:rPr>
          <w:rFonts w:ascii="Arial" w:hAnsi="Arial"/>
          <w:color w:val="000000"/>
          <w:sz w:val="20"/>
        </w:rPr>
        <w:t>The gross amount and accumulated amortization of intangible assets with finite useful lives included in “Intangible assets, net” on the consolidated balance sheets are as follows (in thousands except for years):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3"/>
        <w:gridCol w:w="146"/>
        <w:gridCol w:w="196"/>
        <w:gridCol w:w="691"/>
        <w:gridCol w:w="146"/>
        <w:gridCol w:w="146"/>
        <w:gridCol w:w="196"/>
        <w:gridCol w:w="751"/>
        <w:gridCol w:w="166"/>
        <w:gridCol w:w="146"/>
        <w:gridCol w:w="196"/>
        <w:gridCol w:w="691"/>
        <w:gridCol w:w="146"/>
        <w:gridCol w:w="146"/>
        <w:gridCol w:w="196"/>
        <w:gridCol w:w="691"/>
        <w:gridCol w:w="146"/>
        <w:gridCol w:w="146"/>
        <w:gridCol w:w="196"/>
        <w:gridCol w:w="751"/>
        <w:gridCol w:w="166"/>
        <w:gridCol w:w="146"/>
        <w:gridCol w:w="196"/>
        <w:gridCol w:w="691"/>
        <w:gridCol w:w="146"/>
        <w:gridCol w:w="146"/>
        <w:gridCol w:w="238"/>
        <w:gridCol w:w="693"/>
        <w:gridCol w:w="391"/>
      </w:tblGrid>
      <w:tr>
        <w:trPr/>
        <w:tc>
          <w:tcPr>
            <w:tcW w:w="1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Weighted</w:t>
              <w:b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Amortization</w:t>
              <w:br/>
              <w:t>Period</w:t>
              <w:br/>
            </w:r>
            <w:r>
              <w:rPr>
                <w:rFonts w:ascii="Arial" w:hAnsi="Arial"/>
                <w:b/>
                <w:i/>
                <w:color w:val="000000"/>
                <w:sz w:val="14"/>
              </w:rPr>
              <w:t>(in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Non-compete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(269,484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sz w:val="20"/>
        </w:rPr>
      </w:pPr>
      <w:r>
        <w:rPr>
          <w:rFonts w:ascii="Arial" w:hAnsi="Arial"/>
          <w:color w:val="000000"/>
          <w:sz w:val="20"/>
        </w:rPr>
        <w:t>The aggregate amortization expense of intangible assets for the three months ended June 30, 2026 and June 30, 2025 was $23.7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$17.1</w:t>
      </w:r>
      <w:r>
        <w:rPr>
          <w:rFonts w:ascii="Times New Roman" w:hAnsi="Times New Roman"/>
          <w:color w:val="000000"/>
          <w:sz w:val="20"/>
        </w:rPr>
        <w:t xml:space="preserve"> </w:t>
      </w:r>
      <w:r>
        <w:rPr>
          <w:rFonts w:ascii="Arial" w:hAnsi="Arial"/>
          <w:color w:val="000000"/>
          <w:sz w:val="20"/>
        </w:rPr>
        <w:t>million, respectively and for the six months ended June 30, 2026 and June 30, 2025 was $47.5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$33.4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left"/>
        <w:rPr>
          <w:rFonts w:ascii="Times New Roman" w:hAnsi="Times New Roman"/>
          <w:sz w:val="20"/>
        </w:rPr>
      </w:pPr>
      <w:r>
        <w:rPr>
          <w:rFonts w:ascii="Arial" w:hAnsi="Arial"/>
          <w:color w:val="000000"/>
          <w:sz w:val="20"/>
        </w:rPr>
        <w:t>Estimated amortization expense for the remainder of the current fiscal year and in each of the next four years and beyond is as follows (in thousands):</w:t>
      </w:r>
      <w:r>
        <w:rPr>
          <w:rFonts w:ascii="Times New Roman" w:hAnsi="Times New Roman"/>
          <w:color w:val="000000"/>
          <w:sz w:val="20"/>
        </w:rPr>
        <w:t xml:space="preserve"> </w:t>
      </w:r>
    </w:p>
    <w:p>
      <w:pPr>
        <w:pStyle w:val="TextBody"/>
        <w:bidi w:val="0"/>
        <w:jc w:val="left"/>
        <w:rPr/>
      </w:pPr>
      <w:r>
        <w:rPr/>
        <w:t> </w:t>
      </w:r>
    </w:p>
    <w:tbl>
      <w:tblPr>
        <w:tblW w:w="2513" w:type="dxa"/>
        <w:jc w:val="left"/>
        <w:tblInd w:w="0" w:type="dxa"/>
        <w:tblLayout w:type="fixed"/>
        <w:tblCellMar>
          <w:top w:w="28" w:type="dxa"/>
          <w:left w:w="28" w:type="dxa"/>
          <w:bottom w:w="28" w:type="dxa"/>
          <w:right w:w="28" w:type="dxa"/>
        </w:tblCellMar>
      </w:tblPr>
      <w:tblGrid>
        <w:gridCol w:w="1006"/>
        <w:gridCol w:w="146"/>
        <w:gridCol w:w="245"/>
        <w:gridCol w:w="925"/>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165,150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382,378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9.</w:t>
      </w:r>
    </w:p>
    <w:p>
      <w:pPr>
        <w:pStyle w:val="TextBody"/>
        <w:bidi w:val="0"/>
        <w:spacing w:before="120" w:after="283"/>
        <w:jc w:val="left"/>
        <w:rPr>
          <w:rFonts w:ascii="Arial" w:hAnsi="Arial"/>
          <w:b/>
          <w:color w:val="000000"/>
          <w:sz w:val="20"/>
        </w:rPr>
      </w:pPr>
      <w:r>
        <w:rPr>
          <w:rFonts w:ascii="Arial" w:hAnsi="Arial"/>
          <w:b/>
          <w:color w:val="000000"/>
          <w:sz w:val="20"/>
        </w:rPr>
        <w:t>Property and Equipment, Net</w:t>
      </w:r>
    </w:p>
    <w:p>
      <w:pPr>
        <w:pStyle w:val="TextBody"/>
        <w:bidi w:val="0"/>
        <w:spacing w:before="120" w:after="283"/>
        <w:jc w:val="left"/>
        <w:rPr>
          <w:rFonts w:ascii="Times New Roman" w:hAnsi="Times New Roman"/>
          <w:sz w:val="20"/>
        </w:rPr>
      </w:pPr>
      <w:r>
        <w:rPr>
          <w:rFonts w:ascii="Arial" w:hAnsi="Arial"/>
          <w:color w:val="000000"/>
          <w:sz w:val="20"/>
        </w:rPr>
        <w:t>Property and equipment consisted of the following at June 30, 2026 and December 31, 2025 (in thousands):</w:t>
      </w:r>
      <w:r>
        <w:rPr>
          <w:rFonts w:ascii="Times New Roman" w:hAnsi="Times New Roman"/>
          <w:color w:val="000000"/>
          <w:sz w:val="20"/>
        </w:rPr>
        <w:t xml:space="preserve"> </w:t>
      </w:r>
    </w:p>
    <w:p>
      <w:pPr>
        <w:pStyle w:val="TextBody"/>
        <w:bidi w:val="0"/>
        <w:jc w:val="left"/>
        <w:rPr/>
      </w:pPr>
      <w:r>
        <w:rPr/>
        <w:t> </w:t>
      </w:r>
    </w:p>
    <w:tbl>
      <w:tblPr>
        <w:tblW w:w="7987" w:type="dxa"/>
        <w:jc w:val="left"/>
        <w:tblInd w:w="0" w:type="dxa"/>
        <w:tblLayout w:type="fixed"/>
        <w:tblCellMar>
          <w:top w:w="28" w:type="dxa"/>
          <w:left w:w="28" w:type="dxa"/>
          <w:bottom w:w="28" w:type="dxa"/>
          <w:right w:w="28" w:type="dxa"/>
        </w:tblCellMar>
      </w:tblPr>
      <w:tblGrid>
        <w:gridCol w:w="3466"/>
        <w:gridCol w:w="146"/>
        <w:gridCol w:w="231"/>
        <w:gridCol w:w="939"/>
        <w:gridCol w:w="166"/>
        <w:gridCol w:w="146"/>
        <w:gridCol w:w="311"/>
        <w:gridCol w:w="1264"/>
        <w:gridCol w:w="166"/>
        <w:gridCol w:w="146"/>
        <w:gridCol w:w="100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Useful Life</w:t>
              <w:br/>
              <w:t>(years)</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Buildings and 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systems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Construction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Depreciation expense for the three months ended June 30, 2026 and June 30, 2025 was $10.6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$9.5</w:t>
      </w:r>
      <w:r>
        <w:rPr>
          <w:rFonts w:ascii="Times New Roman" w:hAnsi="Times New Roman"/>
          <w:color w:val="000000"/>
          <w:sz w:val="20"/>
        </w:rPr>
        <w:t xml:space="preserve"> </w:t>
      </w:r>
      <w:r>
        <w:rPr>
          <w:rFonts w:ascii="Arial" w:hAnsi="Arial"/>
          <w:color w:val="000000"/>
          <w:sz w:val="20"/>
        </w:rPr>
        <w:t>million, respectively and for the six months ended June 30, 2026 and June 30, 2025 was $20.8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$18.6</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10.</w:t>
      </w:r>
    </w:p>
    <w:p>
      <w:pPr>
        <w:pStyle w:val="TextBody"/>
        <w:bidi w:val="0"/>
        <w:spacing w:before="120" w:after="283"/>
        <w:jc w:val="left"/>
        <w:rPr>
          <w:rFonts w:ascii="Arial" w:hAnsi="Arial"/>
          <w:b/>
          <w:color w:val="000000"/>
          <w:sz w:val="20"/>
        </w:rPr>
      </w:pPr>
      <w:r>
        <w:rPr>
          <w:rFonts w:ascii="Arial" w:hAnsi="Arial"/>
          <w:b/>
          <w:color w:val="000000"/>
          <w:sz w:val="20"/>
        </w:rPr>
        <w:t xml:space="preserve">Debt and Credit Facilities </w:t>
      </w:r>
    </w:p>
    <w:p>
      <w:pPr>
        <w:pStyle w:val="TextBody"/>
        <w:bidi w:val="0"/>
        <w:spacing w:before="120" w:after="283"/>
        <w:jc w:val="left"/>
        <w:rPr>
          <w:rFonts w:ascii="Times New Roman" w:hAnsi="Times New Roman"/>
          <w:sz w:val="20"/>
        </w:rPr>
      </w:pPr>
      <w:r>
        <w:rPr>
          <w:rFonts w:ascii="Arial" w:hAnsi="Arial"/>
          <w:color w:val="000000"/>
          <w:sz w:val="20"/>
        </w:rPr>
        <w:t>Debt consisted of the following (in thousands):</w:t>
      </w:r>
      <w:r>
        <w:rPr>
          <w:rFonts w:ascii="Times New Roman" w:hAnsi="Times New Roman"/>
          <w:color w:val="000000"/>
          <w:sz w:val="20"/>
        </w:rPr>
        <w:t xml:space="preserve"> </w:t>
      </w:r>
    </w:p>
    <w:p>
      <w:pPr>
        <w:pStyle w:val="TextBody"/>
        <w:bidi w:val="0"/>
        <w:jc w:val="left"/>
        <w:rPr/>
      </w:pPr>
      <w:r>
        <w:rPr/>
        <w:t> </w:t>
      </w:r>
    </w:p>
    <w:tbl>
      <w:tblPr>
        <w:tblW w:w="6752" w:type="dxa"/>
        <w:jc w:val="left"/>
        <w:tblInd w:w="0" w:type="dxa"/>
        <w:tblLayout w:type="fixed"/>
        <w:tblCellMar>
          <w:top w:w="28" w:type="dxa"/>
          <w:left w:w="28" w:type="dxa"/>
          <w:bottom w:w="28" w:type="dxa"/>
          <w:right w:w="28" w:type="dxa"/>
        </w:tblCellMar>
      </w:tblPr>
      <w:tblGrid>
        <w:gridCol w:w="3216"/>
        <w:gridCol w:w="146"/>
        <w:gridCol w:w="211"/>
        <w:gridCol w:w="961"/>
        <w:gridCol w:w="166"/>
        <w:gridCol w:w="146"/>
        <w:gridCol w:w="283"/>
        <w:gridCol w:w="1292"/>
        <w:gridCol w:w="33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Convertible senior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800,000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Term loan due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(12,184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1,474,048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1,237,816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1,474,048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1,237,816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Arial" w:hAnsi="Arial"/>
          <w:color w:val="000000"/>
          <w:sz w:val="20"/>
        </w:rPr>
        <w:t>In June 2025, the Company terminated its $350</w:t>
      </w:r>
      <w:r>
        <w:rPr>
          <w:rFonts w:ascii="Times New Roman" w:hAnsi="Times New Roman"/>
          <w:color w:val="000000"/>
          <w:sz w:val="20"/>
        </w:rPr>
        <w:t xml:space="preserve"> </w:t>
      </w:r>
      <w:r>
        <w:rPr>
          <w:rFonts w:ascii="Arial" w:hAnsi="Arial"/>
          <w:color w:val="000000"/>
          <w:sz w:val="20"/>
        </w:rPr>
        <w:t>million Delayed Draw Term Loan due 2025 and its $650</w:t>
      </w:r>
      <w:r>
        <w:rPr>
          <w:rFonts w:ascii="Times New Roman" w:hAnsi="Times New Roman"/>
          <w:color w:val="000000"/>
          <w:sz w:val="20"/>
        </w:rPr>
        <w:t xml:space="preserve"> </w:t>
      </w:r>
      <w:r>
        <w:rPr>
          <w:rFonts w:ascii="Arial" w:hAnsi="Arial"/>
          <w:color w:val="000000"/>
          <w:sz w:val="20"/>
        </w:rPr>
        <w:t>million Revolving Credit Facility due 2026 and replaced these credit facilities with a $450</w:t>
      </w:r>
      <w:r>
        <w:rPr>
          <w:rFonts w:ascii="Times New Roman" w:hAnsi="Times New Roman"/>
          <w:color w:val="000000"/>
          <w:sz w:val="20"/>
        </w:rPr>
        <w:t xml:space="preserve"> </w:t>
      </w:r>
      <w:r>
        <w:rPr>
          <w:rFonts w:ascii="Arial" w:hAnsi="Arial"/>
          <w:color w:val="000000"/>
          <w:sz w:val="20"/>
        </w:rPr>
        <w:t>million Term Loan due 2028 and a $750</w:t>
      </w:r>
      <w:r>
        <w:rPr>
          <w:rFonts w:ascii="Times New Roman" w:hAnsi="Times New Roman"/>
          <w:color w:val="000000"/>
          <w:sz w:val="20"/>
        </w:rPr>
        <w:t xml:space="preserve"> </w:t>
      </w:r>
      <w:r>
        <w:rPr>
          <w:rFonts w:ascii="Arial" w:hAnsi="Arial"/>
          <w:color w:val="000000"/>
          <w:sz w:val="20"/>
        </w:rPr>
        <w:t>million Revolving Credit Facility due 2030. Proceeds from the Term Loan were used to pay off the outstanding balance of the Delayed Draw Term Loan.</w:t>
      </w:r>
    </w:p>
    <w:p>
      <w:pPr>
        <w:pStyle w:val="TextBody"/>
        <w:bidi w:val="0"/>
        <w:jc w:val="left"/>
        <w:rPr>
          <w:rFonts w:ascii="Arial" w:hAnsi="Arial"/>
          <w:b/>
          <w:i/>
          <w:color w:val="000000"/>
          <w:sz w:val="20"/>
        </w:rPr>
      </w:pPr>
      <w:r>
        <w:rPr>
          <w:rFonts w:ascii="Arial" w:hAnsi="Arial"/>
          <w:b/>
          <w:i/>
          <w:color w:val="000000"/>
          <w:sz w:val="20"/>
        </w:rPr>
        <w:t>Term Loan</w:t>
      </w:r>
    </w:p>
    <w:p>
      <w:pPr>
        <w:pStyle w:val="TextBody"/>
        <w:bidi w:val="0"/>
        <w:spacing w:before="240" w:after="283"/>
        <w:jc w:val="left"/>
        <w:rPr>
          <w:rFonts w:ascii="Times New Roman" w:hAnsi="Times New Roman"/>
          <w:sz w:val="20"/>
        </w:rPr>
      </w:pPr>
      <w:r>
        <w:rPr>
          <w:rFonts w:ascii="Arial" w:hAnsi="Arial"/>
          <w:color w:val="000000"/>
          <w:sz w:val="20"/>
        </w:rPr>
        <w:t>In June 2025, the Company entered into a $450</w:t>
      </w:r>
      <w:r>
        <w:rPr>
          <w:rFonts w:ascii="Times New Roman" w:hAnsi="Times New Roman"/>
          <w:color w:val="000000"/>
          <w:sz w:val="20"/>
        </w:rPr>
        <w:t xml:space="preserve"> </w:t>
      </w:r>
      <w:r>
        <w:rPr>
          <w:rFonts w:ascii="Arial" w:hAnsi="Arial"/>
          <w:color w:val="000000"/>
          <w:sz w:val="20"/>
        </w:rPr>
        <w:t>million unsecured Term Loan with an increase option of up to $150</w:t>
      </w:r>
      <w:r>
        <w:rPr>
          <w:rFonts w:ascii="Times New Roman" w:hAnsi="Times New Roman"/>
          <w:color w:val="000000"/>
          <w:sz w:val="20"/>
        </w:rPr>
        <w:t xml:space="preserve"> </w:t>
      </w:r>
      <w:r>
        <w:rPr>
          <w:rFonts w:ascii="Arial" w:hAnsi="Arial"/>
          <w:color w:val="000000"/>
          <w:sz w:val="20"/>
        </w:rPr>
        <w:t>million. Proceeds of the Term Loan Agreement may be used (a) to pay off in full, or partially pay off, the Company’s existing Convertible Senior Notes, (b) to prepay revolving loans outstanding under the Revolving Credit Agreement (as defined below), or (c) for working capital, capital expenditures and other lawful corporate purposes. The Company incurred $0.9</w:t>
      </w:r>
      <w:r>
        <w:rPr>
          <w:rFonts w:ascii="Times New Roman" w:hAnsi="Times New Roman"/>
          <w:color w:val="000000"/>
          <w:sz w:val="20"/>
        </w:rPr>
        <w:t xml:space="preserve"> </w:t>
      </w:r>
      <w:r>
        <w:rPr>
          <w:rFonts w:ascii="Arial" w:hAnsi="Arial"/>
          <w:color w:val="000000"/>
          <w:sz w:val="20"/>
        </w:rPr>
        <w:t>million of debt issuance costs in connection with the Term Loan. These costs are presented as a direct deduction from long-term debt on the face of the balance sheet. Interest expense related to the Term Loan for the three and six months ended June 30, 2026</w:t>
      </w:r>
      <w:r>
        <w:rPr>
          <w:rFonts w:ascii="Times New Roman" w:hAnsi="Times New Roman"/>
          <w:color w:val="000000"/>
          <w:sz w:val="20"/>
        </w:rPr>
        <w:t xml:space="preserve"> </w:t>
      </w:r>
      <w:r>
        <w:rPr>
          <w:rFonts w:ascii="Arial" w:hAnsi="Arial"/>
          <w:color w:val="000000"/>
          <w:sz w:val="20"/>
        </w:rPr>
        <w:t>was $5.6</w:t>
      </w:r>
      <w:r>
        <w:rPr>
          <w:rFonts w:ascii="Times New Roman" w:hAnsi="Times New Roman"/>
          <w:color w:val="000000"/>
          <w:sz w:val="20"/>
        </w:rPr>
        <w:t xml:space="preserve"> </w:t>
      </w:r>
      <w:r>
        <w:rPr>
          <w:rFonts w:ascii="Arial" w:hAnsi="Arial"/>
          <w:color w:val="000000"/>
          <w:sz w:val="20"/>
        </w:rPr>
        <w:t>million and $11.1</w:t>
      </w:r>
      <w:r>
        <w:rPr>
          <w:rFonts w:ascii="Times New Roman" w:hAnsi="Times New Roman"/>
          <w:color w:val="000000"/>
          <w:sz w:val="20"/>
        </w:rPr>
        <w:t xml:space="preserve"> </w:t>
      </w:r>
      <w:r>
        <w:rPr>
          <w:rFonts w:ascii="Arial" w:hAnsi="Arial"/>
          <w:color w:val="000000"/>
          <w:sz w:val="20"/>
        </w:rPr>
        <w:t>million, respectively and $1.7</w:t>
      </w:r>
      <w:r>
        <w:rPr>
          <w:rFonts w:ascii="Times New Roman" w:hAnsi="Times New Roman"/>
          <w:color w:val="000000"/>
          <w:sz w:val="20"/>
        </w:rPr>
        <w:t xml:space="preserve"> </w:t>
      </w:r>
      <w:r>
        <w:rPr>
          <w:rFonts w:ascii="Arial" w:hAnsi="Arial"/>
          <w:color w:val="000000"/>
          <w:sz w:val="20"/>
        </w:rPr>
        <w:t>million for the three and six months ended June 30, 2025. Included in these amounts were amortization of debt fees of $0.1</w:t>
      </w:r>
      <w:r>
        <w:rPr>
          <w:rFonts w:ascii="Times New Roman" w:hAnsi="Times New Roman"/>
          <w:color w:val="000000"/>
          <w:sz w:val="20"/>
        </w:rPr>
        <w:t xml:space="preserve"> </w:t>
      </w:r>
      <w:r>
        <w:rPr>
          <w:rFonts w:ascii="Arial" w:hAnsi="Arial"/>
          <w:color w:val="000000"/>
          <w:sz w:val="20"/>
        </w:rPr>
        <w:t>million for the three and six months ended June 30, 2026</w:t>
      </w:r>
      <w:r>
        <w:rPr>
          <w:rFonts w:ascii="Times New Roman" w:hAnsi="Times New Roman"/>
          <w:color w:val="000000"/>
          <w:sz w:val="20"/>
        </w:rPr>
        <w:t xml:space="preserve"> </w:t>
      </w:r>
      <w:r>
        <w:rPr>
          <w:rFonts w:ascii="Arial" w:hAnsi="Arial"/>
          <w:color w:val="000000"/>
          <w:sz w:val="20"/>
        </w:rPr>
        <w:t>and $0.1</w:t>
      </w:r>
      <w:r>
        <w:rPr>
          <w:rFonts w:ascii="Times New Roman" w:hAnsi="Times New Roman"/>
          <w:color w:val="000000"/>
          <w:sz w:val="20"/>
        </w:rPr>
        <w:t xml:space="preserve"> </w:t>
      </w:r>
      <w:r>
        <w:rPr>
          <w:rFonts w:ascii="Arial" w:hAnsi="Arial"/>
          <w:color w:val="000000"/>
          <w:sz w:val="20"/>
        </w:rPr>
        <w:t>million for the three and six months ended June 30, 2025. The amortization of debt issuance costs and interest expense is recorded in “Interest expense” on the consolidated statements of income. As of June 30, 2026 and December 31, 2025, the net carrying value of the Term Loan was $449.4</w:t>
      </w:r>
      <w:r>
        <w:rPr>
          <w:rFonts w:ascii="Times New Roman" w:hAnsi="Times New Roman"/>
          <w:color w:val="000000"/>
          <w:sz w:val="20"/>
        </w:rPr>
        <w:t xml:space="preserve"> </w:t>
      </w:r>
      <w:r>
        <w:rPr>
          <w:rFonts w:ascii="Arial" w:hAnsi="Arial"/>
          <w:color w:val="000000"/>
          <w:sz w:val="20"/>
        </w:rPr>
        <w:t>million and $449.3</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40"/>
        <w:jc w:val="left"/>
        <w:rPr>
          <w:rFonts w:ascii="Times New Roman" w:hAnsi="Times New Roman"/>
          <w:sz w:val="20"/>
        </w:rPr>
      </w:pPr>
      <w:r>
        <w:rPr>
          <w:rFonts w:ascii="Arial" w:hAnsi="Arial"/>
          <w:color w:val="000000"/>
          <w:sz w:val="20"/>
        </w:rPr>
        <w:t>The Term Loan has a three-year</w:t>
      </w:r>
      <w:r>
        <w:rPr>
          <w:rFonts w:ascii="Times New Roman" w:hAnsi="Times New Roman"/>
          <w:color w:val="000000"/>
          <w:sz w:val="20"/>
        </w:rPr>
        <w:t xml:space="preserve"> </w:t>
      </w:r>
      <w:r>
        <w:rPr>
          <w:rFonts w:ascii="Arial" w:hAnsi="Arial"/>
          <w:color w:val="000000"/>
          <w:sz w:val="20"/>
        </w:rPr>
        <w:t>maturity and permits the Company to borrow in U.S. dollars. The Term Loan does not require any amortization payments by the Company. Depending on the Company’s consolidated leverage ratio (or debt rating after such time as the Company has such rating), borrowings under the Term Loan Agreement will bear interest at either an adjusted Term SOFR benchmark rate plus a margin between 0.875% and 1.500% or a base rate plus a margin of between 0% and 0.500% and will initially bear interest at the middle of this range. Amounts outstanding under the Term Loan Agreement may be prepaid at the option of the Company without premium or penalty, subject to customary breakage fees in connection with the prepayment of benchmark rate loans. The rates on June 30, 2026 and December 31, 2025</w:t>
      </w:r>
      <w:r>
        <w:rPr>
          <w:rFonts w:ascii="Times New Roman" w:hAnsi="Times New Roman"/>
          <w:color w:val="000000"/>
          <w:sz w:val="20"/>
        </w:rPr>
        <w:t xml:space="preserve"> </w:t>
      </w:r>
      <w:r>
        <w:rPr>
          <w:rFonts w:ascii="Arial" w:hAnsi="Arial"/>
          <w:color w:val="000000"/>
          <w:sz w:val="20"/>
        </w:rPr>
        <w:t>were 4.9% and 4.8%, respectively.</w:t>
      </w:r>
    </w:p>
    <w:p>
      <w:pPr>
        <w:pStyle w:val="TextBody"/>
        <w:bidi w:val="0"/>
        <w:jc w:val="left"/>
        <w:rPr>
          <w:rFonts w:ascii="Arial" w:hAnsi="Arial"/>
          <w:b/>
          <w:i/>
          <w:color w:val="000000"/>
          <w:sz w:val="20"/>
        </w:rPr>
      </w:pPr>
      <w:r>
        <w:rPr>
          <w:rFonts w:ascii="Arial" w:hAnsi="Arial"/>
          <w:b/>
          <w:i/>
          <w:color w:val="000000"/>
          <w:sz w:val="20"/>
        </w:rPr>
        <w:t>Delayed Draw Term Loan (Terminated June 2025)</w:t>
      </w:r>
    </w:p>
    <w:p>
      <w:pPr>
        <w:pStyle w:val="TextBody"/>
        <w:bidi w:val="0"/>
        <w:spacing w:before="240" w:after="160"/>
        <w:jc w:val="left"/>
        <w:rPr>
          <w:rFonts w:ascii="Times New Roman" w:hAnsi="Times New Roman"/>
          <w:sz w:val="20"/>
        </w:rPr>
      </w:pPr>
      <w:r>
        <w:rPr>
          <w:rFonts w:ascii="Arial" w:hAnsi="Arial"/>
          <w:color w:val="000000"/>
          <w:sz w:val="20"/>
        </w:rPr>
        <w:t>In September 2022, the Company entered into a $350</w:t>
      </w:r>
      <w:r>
        <w:rPr>
          <w:rFonts w:ascii="Times New Roman" w:hAnsi="Times New Roman"/>
          <w:color w:val="000000"/>
          <w:sz w:val="20"/>
        </w:rPr>
        <w:t xml:space="preserve"> </w:t>
      </w:r>
      <w:r>
        <w:rPr>
          <w:rFonts w:ascii="Arial" w:hAnsi="Arial"/>
          <w:color w:val="000000"/>
          <w:sz w:val="20"/>
        </w:rPr>
        <w:t>million unsecured Delayed Draw Term Loan with an increase option of up to $150</w:t>
      </w:r>
      <w:r>
        <w:rPr>
          <w:rFonts w:ascii="Times New Roman" w:hAnsi="Times New Roman"/>
          <w:color w:val="000000"/>
          <w:sz w:val="20"/>
        </w:rPr>
        <w:t xml:space="preserve"> </w:t>
      </w:r>
      <w:r>
        <w:rPr>
          <w:rFonts w:ascii="Arial" w:hAnsi="Arial"/>
          <w:color w:val="000000"/>
          <w:sz w:val="20"/>
        </w:rPr>
        <w:t>million (the “2022 Delayed Draw Term Loan”). Proceeds of the 2022 Delayed Draw Term Loan Agreement may be used (a) to pay off in full, or partially pay off, the Company’s existing Senior Notes, (b) to prepay revolving loans outstanding under the Revolving Credit Agreement (as defined below), or (c) for working capital, capital expenditures and other lawful corporate purposes. The Company incurred $0.9</w:t>
      </w:r>
      <w:r>
        <w:rPr>
          <w:rFonts w:ascii="Times New Roman" w:hAnsi="Times New Roman"/>
          <w:color w:val="000000"/>
          <w:sz w:val="20"/>
        </w:rPr>
        <w:t xml:space="preserve"> </w:t>
      </w:r>
      <w:r>
        <w:rPr>
          <w:rFonts w:ascii="Arial" w:hAnsi="Arial"/>
          <w:color w:val="000000"/>
          <w:sz w:val="20"/>
        </w:rPr>
        <w:t>million of debt issuance costs in connection with the delayed draw term loan. These costs are presented as a direct deduction from long-term debt on the face of the balance sheet. Interest expense related to the Delayed Draw Term Loan for the three and six months ended June 30, 2025</w:t>
      </w:r>
      <w:r>
        <w:rPr>
          <w:rFonts w:ascii="Times New Roman" w:hAnsi="Times New Roman"/>
          <w:color w:val="000000"/>
          <w:sz w:val="20"/>
        </w:rPr>
        <w:t xml:space="preserve"> </w:t>
      </w:r>
      <w:r>
        <w:rPr>
          <w:rFonts w:ascii="Arial" w:hAnsi="Arial"/>
          <w:color w:val="000000"/>
          <w:sz w:val="20"/>
        </w:rPr>
        <w:t>were $3.3</w:t>
      </w:r>
      <w:r>
        <w:rPr>
          <w:rFonts w:ascii="Times New Roman" w:hAnsi="Times New Roman"/>
          <w:color w:val="000000"/>
          <w:sz w:val="20"/>
        </w:rPr>
        <w:t xml:space="preserve"> </w:t>
      </w:r>
      <w:r>
        <w:rPr>
          <w:rFonts w:ascii="Arial" w:hAnsi="Arial"/>
          <w:color w:val="000000"/>
          <w:sz w:val="20"/>
        </w:rPr>
        <w:t>million and $8.2</w:t>
      </w:r>
      <w:r>
        <w:rPr>
          <w:rFonts w:ascii="Times New Roman" w:hAnsi="Times New Roman"/>
          <w:color w:val="000000"/>
          <w:sz w:val="20"/>
        </w:rPr>
        <w:t xml:space="preserve"> </w:t>
      </w:r>
      <w:r>
        <w:rPr>
          <w:rFonts w:ascii="Arial" w:hAnsi="Arial"/>
          <w:color w:val="000000"/>
          <w:sz w:val="20"/>
        </w:rPr>
        <w:t>million, respectively. Included in these amounts were amortization of debt fees of $0.1</w:t>
      </w:r>
      <w:r>
        <w:rPr>
          <w:rFonts w:ascii="Times New Roman" w:hAnsi="Times New Roman"/>
          <w:color w:val="000000"/>
          <w:sz w:val="20"/>
        </w:rPr>
        <w:t xml:space="preserve"> </w:t>
      </w:r>
      <w:r>
        <w:rPr>
          <w:rFonts w:ascii="Arial" w:hAnsi="Arial"/>
          <w:color w:val="000000"/>
          <w:sz w:val="20"/>
        </w:rPr>
        <w:t>million for the three and six months ended June 30, 2025. The amortization of debt issuance costs and interest expense is recorded in “Interest expense” on the consolidated statements of income.</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i/>
          <w:color w:val="000000"/>
          <w:sz w:val="20"/>
        </w:rPr>
      </w:pPr>
      <w:r>
        <w:rPr>
          <w:rFonts w:ascii="Arial" w:hAnsi="Arial"/>
          <w:b/>
          <w:i/>
          <w:color w:val="000000"/>
          <w:sz w:val="20"/>
        </w:rPr>
        <w:t>Convertible Senior Notes due 2025</w:t>
      </w:r>
    </w:p>
    <w:p>
      <w:pPr>
        <w:pStyle w:val="TextBody"/>
        <w:bidi w:val="0"/>
        <w:spacing w:before="240" w:after="283"/>
        <w:jc w:val="left"/>
        <w:rPr>
          <w:rFonts w:ascii="Times New Roman" w:hAnsi="Times New Roman"/>
          <w:sz w:val="20"/>
        </w:rPr>
      </w:pPr>
      <w:r>
        <w:rPr>
          <w:rFonts w:ascii="Arial" w:hAnsi="Arial"/>
          <w:color w:val="000000"/>
          <w:sz w:val="20"/>
        </w:rPr>
        <w:t>In August 2020, the</w:t>
      </w:r>
      <w:r>
        <w:rPr>
          <w:rFonts w:ascii="Times New Roman" w:hAnsi="Times New Roman"/>
          <w:color w:val="000000"/>
          <w:sz w:val="20"/>
        </w:rPr>
        <w:t xml:space="preserve"> </w:t>
      </w:r>
      <w:r>
        <w:rPr>
          <w:rFonts w:ascii="Arial" w:hAnsi="Arial"/>
          <w:color w:val="000000"/>
          <w:sz w:val="20"/>
        </w:rPr>
        <w:t>Company issued an aggregate $400.0</w:t>
      </w:r>
      <w:r>
        <w:rPr>
          <w:rFonts w:ascii="Times New Roman" w:hAnsi="Times New Roman"/>
          <w:color w:val="000000"/>
          <w:sz w:val="20"/>
        </w:rPr>
        <w:t xml:space="preserve"> </w:t>
      </w:r>
      <w:r>
        <w:rPr>
          <w:rFonts w:ascii="Arial" w:hAnsi="Arial"/>
          <w:color w:val="000000"/>
          <w:sz w:val="20"/>
        </w:rPr>
        <w:t>million of 0.25% Convertible Senior Notes due 2025, including the exercise of a $50.0</w:t>
      </w:r>
      <w:r>
        <w:rPr>
          <w:rFonts w:ascii="Times New Roman" w:hAnsi="Times New Roman"/>
          <w:color w:val="000000"/>
          <w:sz w:val="20"/>
        </w:rPr>
        <w:t xml:space="preserve"> </w:t>
      </w:r>
      <w:r>
        <w:rPr>
          <w:rFonts w:ascii="Arial" w:hAnsi="Arial"/>
          <w:color w:val="000000"/>
          <w:sz w:val="20"/>
        </w:rPr>
        <w:t>million initial purchasers’ option. The Company received proceeds from the issuance and sale of the Convertible Senior Notes of $389.7</w:t>
      </w:r>
      <w:r>
        <w:rPr>
          <w:rFonts w:ascii="Times New Roman" w:hAnsi="Times New Roman"/>
          <w:color w:val="000000"/>
          <w:sz w:val="20"/>
        </w:rPr>
        <w:t xml:space="preserve"> </w:t>
      </w:r>
      <w:r>
        <w:rPr>
          <w:rFonts w:ascii="Arial" w:hAnsi="Arial"/>
          <w:color w:val="000000"/>
          <w:sz w:val="20"/>
        </w:rPr>
        <w:t>million, net of $10.3</w:t>
      </w:r>
      <w:r>
        <w:rPr>
          <w:rFonts w:ascii="Times New Roman" w:hAnsi="Times New Roman"/>
          <w:color w:val="000000"/>
          <w:sz w:val="20"/>
        </w:rPr>
        <w:t xml:space="preserve"> </w:t>
      </w:r>
      <w:r>
        <w:rPr>
          <w:rFonts w:ascii="Arial" w:hAnsi="Arial"/>
          <w:color w:val="000000"/>
          <w:sz w:val="20"/>
        </w:rPr>
        <w:t>million of transaction fees and other third-party offering expenses. The Convertible Senior Notes accrued interest at a rate of 0.25% per annum, payable semi-annually on February 15 and August 15 of each year beginning on February 15, 2021. The Convertible Senior Notes due 2025 matured August 15, 2025.</w:t>
      </w:r>
    </w:p>
    <w:p>
      <w:pPr>
        <w:pStyle w:val="TextBody"/>
        <w:bidi w:val="0"/>
        <w:spacing w:before="240" w:after="240"/>
        <w:jc w:val="left"/>
        <w:rPr>
          <w:rFonts w:ascii="Times New Roman" w:hAnsi="Times New Roman"/>
          <w:sz w:val="20"/>
        </w:rPr>
      </w:pPr>
      <w:r>
        <w:rPr>
          <w:rFonts w:ascii="Arial" w:hAnsi="Arial"/>
          <w:color w:val="000000"/>
          <w:sz w:val="20"/>
        </w:rPr>
        <w:t>The Company recognized interest expense of $0.1</w:t>
      </w:r>
      <w:r>
        <w:rPr>
          <w:rFonts w:ascii="Times New Roman" w:hAnsi="Times New Roman"/>
          <w:color w:val="000000"/>
          <w:sz w:val="20"/>
        </w:rPr>
        <w:t xml:space="preserve"> </w:t>
      </w:r>
      <w:r>
        <w:rPr>
          <w:rFonts w:ascii="Arial" w:hAnsi="Arial"/>
          <w:color w:val="000000"/>
          <w:sz w:val="20"/>
        </w:rPr>
        <w:t>million for the three and six months</w:t>
      </w:r>
      <w:r>
        <w:rPr>
          <w:rFonts w:ascii="Times New Roman" w:hAnsi="Times New Roman"/>
          <w:color w:val="000000"/>
          <w:sz w:val="20"/>
        </w:rPr>
        <w:t xml:space="preserve"> </w:t>
      </w:r>
      <w:r>
        <w:rPr>
          <w:rFonts w:ascii="Arial" w:hAnsi="Arial"/>
          <w:color w:val="000000"/>
          <w:sz w:val="20"/>
        </w:rPr>
        <w:t>ended June 30, 2025.</w:t>
      </w:r>
    </w:p>
    <w:p>
      <w:pPr>
        <w:pStyle w:val="TextBody"/>
        <w:bidi w:val="0"/>
        <w:jc w:val="left"/>
        <w:rPr>
          <w:rFonts w:ascii="Arial" w:hAnsi="Arial"/>
          <w:b/>
          <w:i/>
          <w:color w:val="000000"/>
          <w:sz w:val="20"/>
        </w:rPr>
      </w:pPr>
      <w:r>
        <w:rPr>
          <w:rFonts w:ascii="Arial" w:hAnsi="Arial"/>
          <w:b/>
          <w:i/>
          <w:color w:val="000000"/>
          <w:sz w:val="20"/>
        </w:rPr>
        <w:t>Convertible Senior Notes due 2029</w:t>
      </w:r>
    </w:p>
    <w:p>
      <w:pPr>
        <w:pStyle w:val="TextBody"/>
        <w:bidi w:val="0"/>
        <w:spacing w:before="240" w:after="283"/>
        <w:jc w:val="left"/>
        <w:rPr>
          <w:rFonts w:ascii="Times New Roman" w:hAnsi="Times New Roman"/>
          <w:sz w:val="20"/>
        </w:rPr>
      </w:pPr>
      <w:r>
        <w:rPr>
          <w:rFonts w:ascii="Arial" w:hAnsi="Arial"/>
          <w:color w:val="000000"/>
          <w:sz w:val="20"/>
        </w:rPr>
        <w:t>In February 2024, the Company issued an aggregate $800.0</w:t>
      </w:r>
      <w:r>
        <w:rPr>
          <w:rFonts w:ascii="Times New Roman" w:hAnsi="Times New Roman"/>
          <w:color w:val="000000"/>
          <w:sz w:val="20"/>
        </w:rPr>
        <w:t xml:space="preserve"> </w:t>
      </w:r>
      <w:r>
        <w:rPr>
          <w:rFonts w:ascii="Arial" w:hAnsi="Arial"/>
          <w:color w:val="000000"/>
          <w:sz w:val="20"/>
        </w:rPr>
        <w:t>million of 2.625% Convertible Senior Notes due 2029 (the “2029 Convertible Notes”), including the exercise of a $100.0</w:t>
      </w:r>
      <w:r>
        <w:rPr>
          <w:rFonts w:ascii="Times New Roman" w:hAnsi="Times New Roman"/>
          <w:color w:val="000000"/>
          <w:sz w:val="20"/>
        </w:rPr>
        <w:t xml:space="preserve"> </w:t>
      </w:r>
      <w:r>
        <w:rPr>
          <w:rFonts w:ascii="Arial" w:hAnsi="Arial"/>
          <w:color w:val="000000"/>
          <w:sz w:val="20"/>
        </w:rPr>
        <w:t>million initial purchasers’ option in full. The Company received proceeds from the issuance and sale of the 2029 Convertible Notes of $781.1</w:t>
      </w:r>
      <w:r>
        <w:rPr>
          <w:rFonts w:ascii="Times New Roman" w:hAnsi="Times New Roman"/>
          <w:color w:val="000000"/>
          <w:sz w:val="20"/>
        </w:rPr>
        <w:t xml:space="preserve"> </w:t>
      </w:r>
      <w:r>
        <w:rPr>
          <w:rFonts w:ascii="Arial" w:hAnsi="Arial"/>
          <w:color w:val="000000"/>
          <w:sz w:val="20"/>
        </w:rPr>
        <w:t>million, net of $18.9</w:t>
      </w:r>
      <w:r>
        <w:rPr>
          <w:rFonts w:ascii="Times New Roman" w:hAnsi="Times New Roman"/>
          <w:color w:val="000000"/>
          <w:sz w:val="20"/>
        </w:rPr>
        <w:t xml:space="preserve"> </w:t>
      </w:r>
      <w:r>
        <w:rPr>
          <w:rFonts w:ascii="Arial" w:hAnsi="Arial"/>
          <w:color w:val="000000"/>
          <w:sz w:val="20"/>
        </w:rPr>
        <w:t>million of transaction fees and other third-party offering expenses. The 2029 Convertible Notes accrue interest at a rate of 2.625% per annum, payable semi-annually on March 1 and September 1 of each year beginning on September 1, 2024, and will mature on March 1, 2029, unless earlier repurchased, redeemed or converted.</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term loan credit facility, to the extent of the value of the assets securing such indebtedness; and structurally junior to all indebtedness and other liabilities (including trade payables) of the Company’s subsidiaries.</w:t>
      </w:r>
    </w:p>
    <w:p>
      <w:pPr>
        <w:pStyle w:val="TextBody"/>
        <w:bidi w:val="0"/>
        <w:spacing w:before="240" w:after="283"/>
        <w:jc w:val="left"/>
        <w:rPr>
          <w:rFonts w:ascii="Times New Roman" w:hAnsi="Times New Roman"/>
          <w:sz w:val="20"/>
        </w:rPr>
      </w:pPr>
      <w:r>
        <w:rPr>
          <w:rFonts w:ascii="Arial" w:hAnsi="Arial"/>
          <w:color w:val="000000"/>
          <w:sz w:val="20"/>
        </w:rPr>
        <w:t>Each $1,000</w:t>
      </w:r>
      <w:r>
        <w:rPr>
          <w:rFonts w:ascii="Times New Roman" w:hAnsi="Times New Roman"/>
          <w:color w:val="000000"/>
          <w:sz w:val="20"/>
        </w:rPr>
        <w:t xml:space="preserve"> </w:t>
      </w:r>
      <w:r>
        <w:rPr>
          <w:rFonts w:ascii="Arial" w:hAnsi="Arial"/>
          <w:color w:val="000000"/>
          <w:sz w:val="20"/>
        </w:rPr>
        <w:t>of principal of the 2029 Convertible Notes will initially be convertible into 10.6256</w:t>
      </w:r>
      <w:r>
        <w:rPr>
          <w:rFonts w:ascii="Times New Roman" w:hAnsi="Times New Roman"/>
          <w:color w:val="000000"/>
          <w:sz w:val="20"/>
        </w:rPr>
        <w:t xml:space="preserve"> </w:t>
      </w:r>
      <w:r>
        <w:rPr>
          <w:rFonts w:ascii="Arial" w:hAnsi="Arial"/>
          <w:color w:val="000000"/>
          <w:sz w:val="20"/>
        </w:rPr>
        <w:t>shares of our common stock, which is equivalent to an initial conversion price of approximately $94.11</w:t>
      </w:r>
      <w:r>
        <w:rPr>
          <w:rFonts w:ascii="Times New Roman" w:hAnsi="Times New Roman"/>
          <w:color w:val="000000"/>
          <w:sz w:val="20"/>
        </w:rPr>
        <w:t xml:space="preserve"> </w:t>
      </w:r>
      <w:r>
        <w:rPr>
          <w:rFonts w:ascii="Arial" w:hAnsi="Arial"/>
          <w:color w:val="000000"/>
          <w:sz w:val="20"/>
        </w:rPr>
        <w:t>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Prior to the close of business on the business day immediately preceding October 1, 2028, the 2029 Convertible Notes will be convertible at the option of the holders thereof only under the following circumstances: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color w:val="000000"/>
          <w:sz w:val="20"/>
        </w:rPr>
        <w:t>during any calendar quarter commencing after the calendar quarter ending on June 30, 2024, if the last reported sale price of the Company’s common stock for at least 20</w:t>
      </w:r>
      <w:r>
        <w:rPr>
          <w:color w:val="000000"/>
        </w:rPr>
        <w:t xml:space="preserve"> </w:t>
      </w:r>
      <w:r>
        <w:rPr>
          <w:rFonts w:ascii="Arial" w:hAnsi="Arial"/>
          <w:color w:val="000000"/>
          <w:sz w:val="20"/>
        </w:rPr>
        <w:t>trading days, whether or not consecutive, during a period of 30</w:t>
      </w:r>
      <w:r>
        <w:rPr>
          <w:color w:val="000000"/>
        </w:rPr>
        <w:t xml:space="preserve"> </w:t>
      </w:r>
      <w:r>
        <w:rPr>
          <w:rFonts w:ascii="Arial" w:hAnsi="Arial"/>
          <w:color w:val="000000"/>
          <w:sz w:val="20"/>
        </w:rPr>
        <w:t xml:space="preserve">consecutive trading days ending on, and including the last trading day of the immediately preceding calendar quarter, is greater than or equal to 130% of the conversion price on each applicable trading day;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color w:val="000000"/>
          <w:sz w:val="20"/>
        </w:rPr>
        <w:t>during the five</w:t>
      </w:r>
      <w:r>
        <w:rPr>
          <w:color w:val="000000"/>
        </w:rPr>
        <w:t xml:space="preserve"> </w:t>
      </w:r>
      <w:r>
        <w:rPr>
          <w:rFonts w:ascii="Arial" w:hAnsi="Arial"/>
          <w:color w:val="000000"/>
          <w:sz w:val="20"/>
        </w:rPr>
        <w:t>business day period after any ten</w:t>
      </w:r>
      <w:r>
        <w:rPr>
          <w:color w:val="000000"/>
        </w:rPr>
        <w:t xml:space="preserve"> </w:t>
      </w:r>
      <w:r>
        <w:rPr>
          <w:rFonts w:ascii="Arial" w:hAnsi="Arial"/>
          <w:color w:val="000000"/>
          <w:sz w:val="20"/>
        </w:rPr>
        <w:t>consecutive trading day period in which, for each trading day of that period, the trading price per $1,000</w:t>
      </w:r>
      <w:r>
        <w:rPr>
          <w:color w:val="000000"/>
        </w:rPr>
        <w:t xml:space="preserve"> </w:t>
      </w:r>
      <w:r>
        <w:rPr>
          <w:rFonts w:ascii="Arial" w:hAnsi="Arial"/>
          <w:color w:val="000000"/>
          <w:sz w:val="20"/>
        </w:rPr>
        <w:t xml:space="preserve">principal amount of 2029 Convertible Notes for such trading day was less than 98% of the product of the last reported sale price of the Company’s common stock and the conversion rate on each such trading day;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if the Company calls such 2029 Convertible Notes for redemption; or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upon the occurrence of specified corporate events described in the Indenture. </w:t>
      </w:r>
    </w:p>
    <w:p>
      <w:pPr>
        <w:pStyle w:val="TextBody"/>
        <w:bidi w:val="0"/>
        <w:spacing w:before="240" w:after="283"/>
        <w:jc w:val="left"/>
        <w:rPr>
          <w:rFonts w:ascii="Times New Roman" w:hAnsi="Times New Roman"/>
          <w:sz w:val="20"/>
        </w:rPr>
      </w:pPr>
      <w:r>
        <w:rPr>
          <w:rFonts w:ascii="Arial" w:hAnsi="Arial"/>
          <w:color w:val="000000"/>
          <w:sz w:val="20"/>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conversion of that 2029 Convertible Notes will be increased in certain circumstances if it is converted after it is called for redemption.</w:t>
      </w:r>
    </w:p>
    <w:p>
      <w:pPr>
        <w:pStyle w:val="TextBody"/>
        <w:bidi w:val="0"/>
        <w:spacing w:before="240" w:after="283"/>
        <w:jc w:val="left"/>
        <w:rPr>
          <w:rFonts w:ascii="Arial" w:hAnsi="Arial"/>
          <w:color w:val="000000"/>
          <w:sz w:val="20"/>
        </w:rPr>
      </w:pPr>
      <w:r>
        <w:rPr>
          <w:rFonts w:ascii="Arial" w:hAnsi="Arial"/>
          <w:color w:val="000000"/>
          <w:sz w:val="20"/>
        </w:rPr>
        <w:t>Upon the occurrence of a Make-Whole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pStyle w:val="TextBody"/>
        <w:bidi w:val="0"/>
        <w:spacing w:before="240" w:after="283"/>
        <w:jc w:val="left"/>
        <w:rPr>
          <w:rFonts w:ascii="Arial" w:hAnsi="Arial"/>
          <w:color w:val="000000"/>
          <w:sz w:val="20"/>
        </w:rPr>
      </w:pPr>
      <w:r>
        <w:rPr>
          <w:rFonts w:ascii="Arial" w:hAnsi="Arial"/>
          <w:color w:val="000000"/>
          <w:sz w:val="20"/>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 due upon conversion based on a daily conversion value calculated on a proportionate basis for each trading day in a 50-trading day observation period.</w:t>
      </w:r>
    </w:p>
    <w:p>
      <w:pPr>
        <w:pStyle w:val="TextBody"/>
        <w:bidi w:val="0"/>
        <w:spacing w:before="240" w:after="240"/>
        <w:jc w:val="left"/>
        <w:rPr>
          <w:rFonts w:ascii="Times New Roman" w:hAnsi="Times New Roman"/>
          <w:sz w:val="20"/>
        </w:rPr>
      </w:pPr>
      <w:r>
        <w:rPr>
          <w:rFonts w:ascii="Arial" w:hAnsi="Arial"/>
          <w:color w:val="000000"/>
          <w:sz w:val="20"/>
        </w:rPr>
        <w:t>The Company recognized interest expense with respect to the Convertible Senior Notes Due 2029 of $6.3</w:t>
      </w:r>
      <w:r>
        <w:rPr>
          <w:rFonts w:ascii="Times New Roman" w:hAnsi="Times New Roman"/>
          <w:color w:val="000000"/>
          <w:sz w:val="20"/>
        </w:rPr>
        <w:t xml:space="preserve"> </w:t>
      </w:r>
      <w:r>
        <w:rPr>
          <w:rFonts w:ascii="Arial" w:hAnsi="Arial"/>
          <w:color w:val="000000"/>
          <w:sz w:val="20"/>
        </w:rPr>
        <w:t>million for the three months ended June 30, 2026 and June 30, 2025</w:t>
      </w:r>
      <w:r>
        <w:rPr>
          <w:rFonts w:ascii="Times New Roman" w:hAnsi="Times New Roman"/>
          <w:color w:val="000000"/>
          <w:sz w:val="20"/>
        </w:rPr>
        <w:t xml:space="preserve"> </w:t>
      </w:r>
      <w:r>
        <w:rPr>
          <w:rFonts w:ascii="Arial" w:hAnsi="Arial"/>
          <w:color w:val="000000"/>
          <w:sz w:val="20"/>
        </w:rPr>
        <w:t>and $12.6</w:t>
      </w:r>
      <w:r>
        <w:rPr>
          <w:rFonts w:ascii="Times New Roman" w:hAnsi="Times New Roman"/>
          <w:color w:val="000000"/>
          <w:sz w:val="20"/>
        </w:rPr>
        <w:t xml:space="preserve"> </w:t>
      </w:r>
      <w:r>
        <w:rPr>
          <w:rFonts w:ascii="Arial" w:hAnsi="Arial"/>
          <w:color w:val="000000"/>
          <w:sz w:val="20"/>
        </w:rPr>
        <w:t>million for the six months ended June 30, 2026 and June 30, 2025. Included in these amounts were amortization of debt fees of $1.1</w:t>
      </w:r>
      <w:r>
        <w:rPr>
          <w:rFonts w:ascii="Times New Roman" w:hAnsi="Times New Roman"/>
          <w:color w:val="000000"/>
          <w:sz w:val="20"/>
        </w:rPr>
        <w:t xml:space="preserve"> </w:t>
      </w:r>
      <w:r>
        <w:rPr>
          <w:rFonts w:ascii="Arial" w:hAnsi="Arial"/>
          <w:color w:val="000000"/>
          <w:sz w:val="20"/>
        </w:rPr>
        <w:t>million for the three months ended June 30, 2026 and June 30, 2025</w:t>
      </w:r>
      <w:r>
        <w:rPr>
          <w:rFonts w:ascii="Times New Roman" w:hAnsi="Times New Roman"/>
          <w:color w:val="000000"/>
          <w:sz w:val="20"/>
        </w:rPr>
        <w:t xml:space="preserve"> </w:t>
      </w:r>
      <w:r>
        <w:rPr>
          <w:rFonts w:ascii="Arial" w:hAnsi="Arial"/>
          <w:color w:val="000000"/>
          <w:sz w:val="20"/>
        </w:rPr>
        <w:t>and $2.1</w:t>
      </w:r>
      <w:r>
        <w:rPr>
          <w:rFonts w:ascii="Times New Roman" w:hAnsi="Times New Roman"/>
          <w:color w:val="000000"/>
          <w:sz w:val="20"/>
        </w:rPr>
        <w:t xml:space="preserve"> </w:t>
      </w:r>
      <w:r>
        <w:rPr>
          <w:rFonts w:ascii="Arial" w:hAnsi="Arial"/>
          <w:color w:val="000000"/>
          <w:sz w:val="20"/>
        </w:rPr>
        <w:t>million for the six months ended June 30, 2026 and June 30, 2025. As of June 30, 2026 and December 31, 2025, the net carrying value of the Convertible Senior Notes Due 2029 were $790.6</w:t>
      </w:r>
      <w:r>
        <w:rPr>
          <w:rFonts w:ascii="Times New Roman" w:hAnsi="Times New Roman"/>
          <w:color w:val="000000"/>
          <w:sz w:val="20"/>
        </w:rPr>
        <w:t xml:space="preserve"> </w:t>
      </w:r>
      <w:r>
        <w:rPr>
          <w:rFonts w:ascii="Arial" w:hAnsi="Arial"/>
          <w:color w:val="000000"/>
          <w:sz w:val="20"/>
        </w:rPr>
        <w:t>million and $788.5</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jc w:val="left"/>
        <w:rPr>
          <w:rFonts w:ascii="Arial" w:hAnsi="Arial"/>
          <w:b/>
          <w:i/>
          <w:color w:val="000000"/>
          <w:sz w:val="20"/>
        </w:rPr>
      </w:pPr>
      <w:r>
        <w:rPr>
          <w:rFonts w:ascii="Arial" w:hAnsi="Arial"/>
          <w:b/>
          <w:i/>
          <w:color w:val="000000"/>
          <w:sz w:val="20"/>
        </w:rPr>
        <w:t>Capped Call Transactions - Convertible Senior Notes due 2029</w:t>
      </w:r>
    </w:p>
    <w:p>
      <w:pPr>
        <w:pStyle w:val="TextBody"/>
        <w:bidi w:val="0"/>
        <w:spacing w:before="240" w:after="283"/>
        <w:jc w:val="left"/>
        <w:rPr>
          <w:rFonts w:ascii="Arial" w:hAnsi="Arial"/>
          <w:color w:val="000000"/>
          <w:sz w:val="20"/>
        </w:rPr>
      </w:pPr>
      <w:r>
        <w:rPr>
          <w:rFonts w:ascii="Arial" w:hAnsi="Arial"/>
          <w:color w:val="000000"/>
          <w:sz w:val="20"/>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pStyle w:val="TextBody"/>
        <w:bidi w:val="0"/>
        <w:spacing w:before="240" w:after="283"/>
        <w:jc w:val="left"/>
        <w:rPr>
          <w:rFonts w:ascii="Times New Roman" w:hAnsi="Times New Roman"/>
          <w:sz w:val="20"/>
        </w:rPr>
      </w:pPr>
      <w:r>
        <w:rPr>
          <w:rFonts w:ascii="Arial" w:hAnsi="Arial"/>
          <w:color w:val="000000"/>
          <w:sz w:val="20"/>
        </w:rPr>
        <w:t>The cap price of the Capped Call Transactions is initially $131.7575</w:t>
      </w:r>
      <w:r>
        <w:rPr>
          <w:rFonts w:ascii="Times New Roman" w:hAnsi="Times New Roman"/>
          <w:color w:val="000000"/>
          <w:sz w:val="20"/>
        </w:rPr>
        <w:t xml:space="preserve"> </w:t>
      </w:r>
      <w:r>
        <w:rPr>
          <w:rFonts w:ascii="Arial" w:hAnsi="Arial"/>
          <w:color w:val="000000"/>
          <w:sz w:val="20"/>
        </w:rPr>
        <w:t>per share, which represents a premium of 75% over the last reported sale price of the Company’s common stock of $75.29</w:t>
      </w:r>
      <w:r>
        <w:rPr>
          <w:rFonts w:ascii="Times New Roman" w:hAnsi="Times New Roman"/>
          <w:color w:val="000000"/>
          <w:sz w:val="20"/>
        </w:rPr>
        <w:t xml:space="preserve"> </w:t>
      </w:r>
      <w:r>
        <w:rPr>
          <w:rFonts w:ascii="Arial" w:hAnsi="Arial"/>
          <w:color w:val="000000"/>
          <w:sz w:val="20"/>
        </w:rPr>
        <w:t>per share on the New York Stock Exchange on February 21, 2024, and is subject to certain adjustments under the terms of the Capped Call Transactions. The cost of $88.4</w:t>
      </w:r>
      <w:r>
        <w:rPr>
          <w:rFonts w:ascii="Times New Roman" w:hAnsi="Times New Roman"/>
          <w:color w:val="000000"/>
          <w:sz w:val="20"/>
        </w:rPr>
        <w:t xml:space="preserve"> </w:t>
      </w:r>
      <w:r>
        <w:rPr>
          <w:rFonts w:ascii="Arial" w:hAnsi="Arial"/>
          <w:color w:val="000000"/>
          <w:sz w:val="20"/>
        </w:rPr>
        <w:t>million for the Capped Call Transactions was recorded as a reduction to additional paid-in capital in the consolidated balance sheets.</w:t>
      </w:r>
    </w:p>
    <w:p>
      <w:pPr>
        <w:pStyle w:val="TextBody"/>
        <w:bidi w:val="0"/>
        <w:spacing w:before="240" w:after="240"/>
        <w:jc w:val="left"/>
        <w:rPr>
          <w:rFonts w:ascii="Times New Roman" w:hAnsi="Times New Roman"/>
          <w:sz w:val="20"/>
        </w:rPr>
      </w:pPr>
      <w:r>
        <w:rPr>
          <w:rFonts w:ascii="Arial" w:hAnsi="Arial"/>
          <w:color w:val="000000"/>
          <w:sz w:val="20"/>
        </w:rPr>
        <w:t>At issuance, the Company recorded a deferred tax asset of $22.3</w:t>
      </w:r>
      <w:r>
        <w:rPr>
          <w:rFonts w:ascii="Times New Roman" w:hAnsi="Times New Roman"/>
          <w:color w:val="000000"/>
          <w:sz w:val="20"/>
        </w:rPr>
        <w:t xml:space="preserve"> </w:t>
      </w:r>
      <w:r>
        <w:rPr>
          <w:rFonts w:ascii="Arial" w:hAnsi="Arial"/>
          <w:color w:val="000000"/>
          <w:sz w:val="20"/>
        </w:rPr>
        <w:t>million related to the Capped Call Transactions costs through additional paid-in capital. The deferred tax asset was included in Deferred tax assets in the consolidated balance sheets.</w:t>
      </w:r>
      <w:r>
        <w:rPr>
          <w:rFonts w:ascii="Times New Roman" w:hAnsi="Times New Roman"/>
          <w:color w:val="000000"/>
          <w:sz w:val="20"/>
        </w:rPr>
        <w:t xml:space="preserve"> </w:t>
      </w:r>
    </w:p>
    <w:p>
      <w:pPr>
        <w:pStyle w:val="TextBody"/>
        <w:bidi w:val="0"/>
        <w:jc w:val="left"/>
        <w:rPr>
          <w:rFonts w:ascii="Arial" w:hAnsi="Arial"/>
          <w:b/>
          <w:i/>
          <w:color w:val="000000"/>
          <w:sz w:val="20"/>
        </w:rPr>
      </w:pPr>
      <w:r>
        <w:rPr>
          <w:rFonts w:ascii="Arial" w:hAnsi="Arial"/>
          <w:b/>
          <w:i/>
          <w:color w:val="000000"/>
          <w:sz w:val="20"/>
        </w:rPr>
        <w:t>Revolving Credit Facility due 2030</w:t>
      </w:r>
    </w:p>
    <w:p>
      <w:pPr>
        <w:pStyle w:val="TextBody"/>
        <w:bidi w:val="0"/>
        <w:spacing w:before="240" w:after="283"/>
        <w:jc w:val="left"/>
        <w:rPr>
          <w:rFonts w:ascii="Times New Roman" w:hAnsi="Times New Roman"/>
          <w:sz w:val="20"/>
        </w:rPr>
      </w:pPr>
      <w:r>
        <w:rPr>
          <w:rFonts w:ascii="Arial" w:hAnsi="Arial"/>
          <w:color w:val="000000"/>
          <w:sz w:val="20"/>
        </w:rPr>
        <w:t>In June 2025, the Company entered into a $750</w:t>
      </w:r>
      <w:r>
        <w:rPr>
          <w:rFonts w:ascii="Times New Roman" w:hAnsi="Times New Roman"/>
          <w:color w:val="000000"/>
          <w:sz w:val="20"/>
        </w:rPr>
        <w:t xml:space="preserve"> </w:t>
      </w:r>
      <w:r>
        <w:rPr>
          <w:rFonts w:ascii="Arial" w:hAnsi="Arial"/>
          <w:color w:val="000000"/>
          <w:sz w:val="20"/>
        </w:rPr>
        <w:t>million unsecured revolving credit facility (the “Credit Agreement”). The Company incurred $1.7</w:t>
      </w:r>
      <w:r>
        <w:rPr>
          <w:rFonts w:ascii="Times New Roman" w:hAnsi="Times New Roman"/>
          <w:color w:val="000000"/>
          <w:sz w:val="20"/>
        </w:rPr>
        <w:t xml:space="preserve"> </w:t>
      </w:r>
      <w:r>
        <w:rPr>
          <w:rFonts w:ascii="Arial" w:hAnsi="Arial"/>
          <w:color w:val="000000"/>
          <w:sz w:val="20"/>
        </w:rPr>
        <w:t>million of costs in connection with this Credit Agreement. The 2025 Credit Agreement replaced an existing Credit Agreement dated as of June 25, 2021. Under the new agreement, the Company’s revolving credit facility was increased from $650</w:t>
      </w:r>
      <w:r>
        <w:rPr>
          <w:rFonts w:ascii="Times New Roman" w:hAnsi="Times New Roman"/>
          <w:color w:val="000000"/>
          <w:sz w:val="20"/>
        </w:rPr>
        <w:t xml:space="preserve"> </w:t>
      </w:r>
      <w:r>
        <w:rPr>
          <w:rFonts w:ascii="Arial" w:hAnsi="Arial"/>
          <w:color w:val="000000"/>
          <w:sz w:val="20"/>
        </w:rPr>
        <w:t>million to $750</w:t>
      </w:r>
      <w:r>
        <w:rPr>
          <w:rFonts w:ascii="Times New Roman" w:hAnsi="Times New Roman"/>
          <w:color w:val="000000"/>
          <w:sz w:val="20"/>
        </w:rPr>
        <w:t xml:space="preserve"> </w:t>
      </w:r>
      <w:r>
        <w:rPr>
          <w:rFonts w:ascii="Arial" w:hAnsi="Arial"/>
          <w:color w:val="000000"/>
          <w:sz w:val="20"/>
        </w:rPr>
        <w:t>million. The credit facility has a five-year</w:t>
      </w:r>
      <w:r>
        <w:rPr>
          <w:rFonts w:ascii="Times New Roman" w:hAnsi="Times New Roman"/>
          <w:color w:val="000000"/>
          <w:sz w:val="20"/>
        </w:rPr>
        <w:t xml:space="preserve"> </w:t>
      </w:r>
      <w:r>
        <w:rPr>
          <w:rFonts w:ascii="Arial" w:hAnsi="Arial"/>
          <w:color w:val="000000"/>
          <w:sz w:val="20"/>
        </w:rPr>
        <w:t>maturity, which may be extended up to two</w:t>
      </w:r>
      <w:r>
        <w:rPr>
          <w:rFonts w:ascii="Times New Roman" w:hAnsi="Times New Roman"/>
          <w:color w:val="000000"/>
          <w:sz w:val="20"/>
        </w:rPr>
        <w:t xml:space="preserve"> </w:t>
      </w:r>
      <w:r>
        <w:rPr>
          <w:rFonts w:ascii="Arial" w:hAnsi="Arial"/>
          <w:color w:val="000000"/>
          <w:sz w:val="20"/>
        </w:rPr>
        <w:t>times for periods determined by the Company and the applicable extending lenders, and permits the Company to borrow in U.S. dollars, certain specified foreign currencies, and each other currency that may be approved in accordance with the 2025 Facility. The borrowings under the Credit Agreement bear interest at either the Term SOFR rate plus a margin between 1.0% and 1.625% or a base rate (as defined in the Credit Agreement) plus a margin of between 0% and 0.625%. The interest rate was 5.0% for all periods presented. Letters of credit commitments outstanding under this agreement aggregated to $40.9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at June 30, 2026 which reduced borrowing limits available to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Interest expenses related to the Credit Agreements (due 2030 and due 2026) were $3.9</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for the three months ended June 30, 2026 and June 30, 2025, respectively and were $7.7</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for the six months ended June 30, 2026 and June 30, 2025, respectively. Included in these amounts were amortization of debt fees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of $0.1</w:t>
      </w:r>
      <w:r>
        <w:rPr>
          <w:rFonts w:ascii="Times New Roman" w:hAnsi="Times New Roman"/>
          <w:color w:val="000000"/>
          <w:sz w:val="20"/>
        </w:rPr>
        <w:t xml:space="preserve"> </w:t>
      </w:r>
      <w:r>
        <w:rPr>
          <w:rFonts w:ascii="Arial" w:hAnsi="Arial"/>
          <w:color w:val="000000"/>
          <w:sz w:val="20"/>
        </w:rPr>
        <w:t>million for the three months ended June 30, 2026 and June 30, 2025</w:t>
      </w:r>
      <w:r>
        <w:rPr>
          <w:rFonts w:ascii="Times New Roman" w:hAnsi="Times New Roman"/>
          <w:color w:val="000000"/>
          <w:sz w:val="20"/>
        </w:rPr>
        <w:t xml:space="preserve"> </w:t>
      </w:r>
      <w:r>
        <w:rPr>
          <w:rFonts w:ascii="Arial" w:hAnsi="Arial"/>
          <w:color w:val="000000"/>
          <w:sz w:val="20"/>
        </w:rPr>
        <w:t>and $0.2</w:t>
      </w:r>
      <w:r>
        <w:rPr>
          <w:rFonts w:ascii="Times New Roman" w:hAnsi="Times New Roman"/>
          <w:color w:val="000000"/>
          <w:sz w:val="20"/>
        </w:rPr>
        <w:t xml:space="preserve"> </w:t>
      </w:r>
      <w:r>
        <w:rPr>
          <w:rFonts w:ascii="Arial" w:hAnsi="Arial"/>
          <w:color w:val="000000"/>
          <w:sz w:val="20"/>
        </w:rPr>
        <w:t>million for the six months ended June 30, 2026 and June 30, 2025. The net carrying value of the Credit Agreement was $234.0</w:t>
      </w:r>
      <w:r>
        <w:rPr>
          <w:rFonts w:ascii="Times New Roman" w:hAnsi="Times New Roman"/>
          <w:color w:val="000000"/>
          <w:sz w:val="20"/>
        </w:rPr>
        <w:t xml:space="preserve"> </w:t>
      </w:r>
      <w:r>
        <w:rPr>
          <w:rFonts w:ascii="Arial" w:hAnsi="Arial"/>
          <w:color w:val="000000"/>
          <w:sz w:val="20"/>
        </w:rPr>
        <w:t>million as of June 30, 2026</w:t>
      </w:r>
      <w:r>
        <w:rPr>
          <w:rFonts w:ascii="Times New Roman" w:hAnsi="Times New Roman"/>
          <w:color w:val="000000"/>
          <w:sz w:val="20"/>
        </w:rPr>
        <w:t xml:space="preserve"> </w:t>
      </w:r>
      <w:r>
        <w:rPr>
          <w:rFonts w:ascii="Arial" w:hAnsi="Arial"/>
          <w:color w:val="000000"/>
          <w:sz w:val="20"/>
        </w:rPr>
        <w:t>and there was no</w:t>
      </w:r>
      <w:r>
        <w:rPr>
          <w:rFonts w:ascii="Times New Roman" w:hAnsi="Times New Roman"/>
          <w:color w:val="000000"/>
          <w:sz w:val="20"/>
        </w:rPr>
        <w:t xml:space="preserve"> </w:t>
      </w:r>
      <w:r>
        <w:rPr>
          <w:rFonts w:ascii="Arial" w:hAnsi="Arial"/>
          <w:color w:val="000000"/>
          <w:sz w:val="20"/>
        </w:rPr>
        <w:t>amount outstanding as of December 31, 2025.</w:t>
      </w:r>
    </w:p>
    <w:p>
      <w:pPr>
        <w:pStyle w:val="TextBody"/>
        <w:bidi w:val="0"/>
        <w:spacing w:before="240" w:after="240"/>
        <w:jc w:val="left"/>
        <w:rPr>
          <w:rFonts w:ascii="Times New Roman" w:hAnsi="Times New Roman"/>
          <w:sz w:val="20"/>
        </w:rPr>
      </w:pPr>
      <w:r>
        <w:rPr>
          <w:rFonts w:ascii="Arial" w:hAnsi="Arial"/>
          <w:color w:val="000000"/>
          <w:sz w:val="20"/>
        </w:rPr>
        <w:t>The Credit Agreement includes various covenants, including restrictions on indebtedness, liens, acquisitions, investments or dispositions, payment of dividends and maintenance of certain financial ratios and conditions. The Company was in compliance with these covenants at June 30, 2026.</w:t>
      </w:r>
      <w:r>
        <w:rPr>
          <w:rFonts w:ascii="Times New Roman" w:hAnsi="Times New Roman"/>
          <w:color w:val="000000"/>
          <w:sz w:val="20"/>
        </w:rPr>
        <w:t xml:space="preserve"> </w:t>
      </w:r>
    </w:p>
    <w:p>
      <w:pPr>
        <w:pStyle w:val="TextBody"/>
        <w:bidi w:val="0"/>
        <w:jc w:val="left"/>
        <w:rPr>
          <w:rFonts w:ascii="Arial" w:hAnsi="Arial"/>
          <w:b/>
          <w:i/>
          <w:color w:val="000000"/>
          <w:sz w:val="20"/>
        </w:rPr>
      </w:pPr>
      <w:r>
        <w:rPr>
          <w:rFonts w:ascii="Arial" w:hAnsi="Arial"/>
          <w:b/>
          <w:i/>
          <w:color w:val="000000"/>
          <w:sz w:val="20"/>
        </w:rPr>
        <w:t>Letters of Credit</w:t>
      </w:r>
    </w:p>
    <w:p>
      <w:pPr>
        <w:pStyle w:val="TextBody"/>
        <w:bidi w:val="0"/>
        <w:spacing w:before="240" w:after="283"/>
        <w:jc w:val="left"/>
        <w:rPr>
          <w:rFonts w:ascii="Times New Roman" w:hAnsi="Times New Roman"/>
          <w:sz w:val="20"/>
        </w:rPr>
      </w:pPr>
      <w:r>
        <w:rPr>
          <w:rFonts w:ascii="Arial" w:hAnsi="Arial"/>
          <w:color w:val="000000"/>
          <w:sz w:val="20"/>
        </w:rPr>
        <w:t>The Company also has in place several secondary bank credit lines for issuing letters of credit, principally for foreign contracts, to support performance and completion guarantees. Letters of credit commitments outstanding under these bank lines aggregated approximately $338.7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$356.2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at June 30, 2026 and December 31, 2025, respectively.</w:t>
      </w:r>
    </w:p>
    <w:p>
      <w:pPr>
        <w:pStyle w:val="TextBody"/>
        <w:bidi w:val="0"/>
        <w:spacing w:before="360" w:after="283"/>
        <w:jc w:val="left"/>
        <w:rPr>
          <w:rFonts w:ascii="Arial" w:hAnsi="Arial"/>
          <w:b/>
          <w:color w:val="000000"/>
          <w:sz w:val="20"/>
        </w:rPr>
      </w:pPr>
      <w:r>
        <w:rPr>
          <w:rFonts w:ascii="Arial" w:hAnsi="Arial"/>
          <w:b/>
          <w:color w:val="000000"/>
          <w:sz w:val="20"/>
        </w:rPr>
        <w:t>11.</w:t>
      </w:r>
    </w:p>
    <w:p>
      <w:pPr>
        <w:pStyle w:val="TextBody"/>
        <w:bidi w:val="0"/>
        <w:spacing w:before="360" w:after="283"/>
        <w:jc w:val="left"/>
        <w:rPr>
          <w:rFonts w:ascii="Arial" w:hAnsi="Arial"/>
          <w:b/>
          <w:color w:val="000000"/>
          <w:sz w:val="20"/>
        </w:rPr>
      </w:pPr>
      <w:r>
        <w:rPr>
          <w:rFonts w:ascii="Arial" w:hAnsi="Arial"/>
          <w:b/>
          <w:color w:val="000000"/>
          <w:sz w:val="20"/>
        </w:rPr>
        <w:t>Income Taxes</w:t>
      </w:r>
    </w:p>
    <w:p>
      <w:pPr>
        <w:pStyle w:val="TextBody"/>
        <w:bidi w:val="0"/>
        <w:spacing w:before="240" w:after="160"/>
        <w:jc w:val="left"/>
        <w:rPr>
          <w:rFonts w:ascii="Arial" w:hAnsi="Arial"/>
          <w:color w:val="000000"/>
          <w:sz w:val="20"/>
        </w:rPr>
      </w:pPr>
      <w:r>
        <w:rPr>
          <w:rFonts w:ascii="Arial" w:hAnsi="Arial"/>
          <w:color w:val="000000"/>
          <w:sz w:val="20"/>
        </w:rPr>
        <w:t>The Company’s effective tax rate was 112.4% and 21.0% for the three months ended June 30, 2026 and June 30, 2025, respectively. The increase in the effective tax rate was due primarily to the Company’s lower pre-tax quarterly income relative to the impact of increased valuation allowances against deferred tax assets related to foreign net operating loss carryforwards (NOLs) and foreign tax credit carryforwards (FTCs), partially offset by a change in jurisdictional mix of earnings. The Company’s effective tax rate was 23.9% and 19.8% for the six months ended June 30, 2026 and June 30, 2025, respectively. The change in effective tax rate was due primarily to increased valuation allowances against deferred tax assets related to NOLs and FTCs, partially offset by a change in jurisdictional mix of earnings.</w:t>
      </w:r>
    </w:p>
    <w:p>
      <w:pPr>
        <w:pStyle w:val="TextBody"/>
        <w:bidi w:val="0"/>
        <w:spacing w:before="80" w:after="160"/>
        <w:jc w:val="left"/>
        <w:rPr>
          <w:rFonts w:ascii="Arial" w:hAnsi="Arial"/>
          <w:color w:val="000000"/>
          <w:sz w:val="20"/>
        </w:rPr>
      </w:pPr>
      <w:r>
        <w:rPr>
          <w:rFonts w:ascii="Arial" w:hAnsi="Arial"/>
          <w:color w:val="000000"/>
          <w:sz w:val="20"/>
        </w:rPr>
        <w:t>The difference between the effective tax rate and the statutory U.S. Federal income tax rate of 21% for the three months ended June 30, 2026 primarily relates to increased valuation allowances relative to lower pre-tax quarterly earnings, state income taxes and executive compensation subject to Section 162(m) of the Internal Revenue Code, partially offset by earnings subject to lower tax in foreign jurisdictions, untaxed income attributable to noncontrolling interests, and federal tax credits. The difference between the effective tax rate and the statutory U.S. Federal income tax rate of 21% for the six months ended June 30, 2026 primarily relates to increased valuation allowances, state income taxes, and executive compensation subject to Section 162(m), partially offset by earnings subject to lower tax in foreign jurisdictions, untaxed income attributable to noncontrolling interests, federal tax credits, and the windfall equity-based compensation deduction.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the Company’s deferred tax assets were subject to a valuation allowance of $61.6</w:t>
      </w:r>
      <w:r>
        <w:rPr>
          <w:rFonts w:ascii="Times New Roman" w:hAnsi="Times New Roman"/>
          <w:color w:val="000000"/>
          <w:sz w:val="20"/>
        </w:rPr>
        <w:t xml:space="preserve"> </w:t>
      </w:r>
      <w:r>
        <w:rPr>
          <w:rFonts w:ascii="Arial" w:hAnsi="Arial"/>
          <w:color w:val="000000"/>
          <w:sz w:val="20"/>
        </w:rPr>
        <w:t>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and December 31, 2025, the liability for income taxes associated with uncertain tax positions was $32.1</w:t>
      </w:r>
      <w:r>
        <w:rPr>
          <w:rFonts w:ascii="Times New Roman" w:hAnsi="Times New Roman"/>
          <w:color w:val="000000"/>
          <w:sz w:val="20"/>
        </w:rPr>
        <w:t xml:space="preserve"> </w:t>
      </w:r>
      <w:r>
        <w:rPr>
          <w:rFonts w:ascii="Arial" w:hAnsi="Arial"/>
          <w:color w:val="000000"/>
          <w:sz w:val="20"/>
        </w:rPr>
        <w:t>million and $32.4</w:t>
      </w:r>
      <w:r>
        <w:rPr>
          <w:rFonts w:ascii="Times New Roman" w:hAnsi="Times New Roman"/>
          <w:color w:val="000000"/>
          <w:sz w:val="20"/>
        </w:rPr>
        <w:t xml:space="preserve"> </w:t>
      </w:r>
      <w:r>
        <w:rPr>
          <w:rFonts w:ascii="Arial" w:hAnsi="Arial"/>
          <w:color w:val="000000"/>
          <w:sz w:val="20"/>
        </w:rPr>
        <w:t>million, respectively.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Although the Company believes its reserves for its tax positions are reasonable, the final outcome of tax audits could be materially different, both favorably and unfavorably.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Different non-US tax jurisdictions continue to enact legislation to adopt components of the Organization for Economic Co-operation and Development (OECD) Base Erosion and Profit Shifting (BEPS) Pillar Two Model Rules. In April 2026, the OECD released additional administrative guidance regarding central Global Anti-Base Erosion (GloBE) Information Return (GIR) filing and leniency on enforcement of penalties for jurisdictions transitioning into the fifteen percent global minimum tax. The Company has evaluated the impact of the enacted legislation to date and has determined there is no material impact to the Company’s income tax provision. We are continuing to evaluate the potential impact on future periods of the Pillar Two Framework, pending enactment of legislation by individual countries.</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12.</w:t>
      </w:r>
    </w:p>
    <w:p>
      <w:pPr>
        <w:pStyle w:val="TextBody"/>
        <w:bidi w:val="0"/>
        <w:spacing w:before="360" w:after="283"/>
        <w:jc w:val="left"/>
        <w:rPr>
          <w:rFonts w:ascii="Arial" w:hAnsi="Arial"/>
          <w:b/>
          <w:color w:val="000000"/>
          <w:sz w:val="20"/>
        </w:rPr>
      </w:pPr>
      <w:r>
        <w:rPr>
          <w:rFonts w:ascii="Arial" w:hAnsi="Arial"/>
          <w:b/>
          <w:color w:val="000000"/>
          <w:sz w:val="20"/>
        </w:rPr>
        <w:t xml:space="preserve">Contingencies </w:t>
      </w:r>
    </w:p>
    <w:p>
      <w:pPr>
        <w:pStyle w:val="TextBody"/>
        <w:bidi w:val="0"/>
        <w:spacing w:before="240" w:after="283"/>
        <w:jc w:val="left"/>
        <w:rPr>
          <w:rFonts w:ascii="Times New Roman" w:hAnsi="Times New Roman"/>
          <w:sz w:val="20"/>
        </w:rPr>
      </w:pPr>
      <w:r>
        <w:rPr>
          <w:rFonts w:ascii="Arial" w:hAnsi="Arial"/>
          <w:color w:val="000000"/>
          <w:sz w:val="20"/>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w:t>
      </w:r>
      <w:r>
        <w:rPr>
          <w:rFonts w:ascii="Times New Roman" w:hAnsi="Times New Roman"/>
          <w:color w:val="000000"/>
          <w:sz w:val="20"/>
        </w:rPr>
        <w:t xml:space="preserve"> </w:t>
      </w:r>
      <w:r>
        <w:rPr>
          <w:rFonts w:ascii="Arial" w:hAnsi="Arial"/>
          <w:color w:val="000000"/>
          <w:sz w:val="20"/>
        </w:rPr>
        <w:t>claims or assessments outstanding which would materially affect the consolidated results of operations or the Company’s financial position.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w:t>
      </w:r>
      <w:r>
        <w:rPr>
          <w:rFonts w:ascii="Times New Roman" w:hAnsi="Times New Roman"/>
          <w:color w:val="000000"/>
          <w:sz w:val="20"/>
        </w:rPr>
        <w:t xml:space="preserve"> </w:t>
      </w:r>
      <w:r>
        <w:rPr>
          <w:rFonts w:ascii="Arial" w:hAnsi="Arial"/>
          <w:color w:val="000000"/>
          <w:sz w:val="20"/>
        </w:rPr>
        <w:t>million per month between February and September 2006 that it should have paid to another contractor, plus $2.9</w:t>
      </w:r>
      <w:r>
        <w:rPr>
          <w:rFonts w:ascii="Times New Roman" w:hAnsi="Times New Roman"/>
          <w:color w:val="000000"/>
          <w:sz w:val="20"/>
        </w:rPr>
        <w:t xml:space="preserve"> </w:t>
      </w:r>
      <w:r>
        <w:rPr>
          <w:rFonts w:ascii="Arial" w:hAnsi="Arial"/>
          <w:color w:val="000000"/>
          <w:sz w:val="20"/>
        </w:rPr>
        <w:t>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w:t>
      </w:r>
      <w:r>
        <w:rPr>
          <w:rFonts w:ascii="Times New Roman" w:hAnsi="Times New Roman"/>
          <w:color w:val="000000"/>
          <w:sz w:val="20"/>
        </w:rPr>
        <w:t xml:space="preserve"> </w:t>
      </w:r>
      <w:r>
        <w:rPr>
          <w:rFonts w:ascii="Arial" w:hAnsi="Arial"/>
          <w:color w:val="000000"/>
          <w:sz w:val="20"/>
        </w:rPr>
        <w:t>and not more than $11,000</w:t>
      </w:r>
      <w:r>
        <w:rPr>
          <w:rFonts w:ascii="Times New Roman" w:hAnsi="Times New Roman"/>
          <w:color w:val="000000"/>
          <w:sz w:val="20"/>
        </w:rPr>
        <w:t xml:space="preserve"> </w:t>
      </w:r>
      <w:r>
        <w:rPr>
          <w:rFonts w:ascii="Arial" w:hAnsi="Arial"/>
          <w:color w:val="000000"/>
          <w:sz w:val="20"/>
        </w:rPr>
        <w:t>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In March 2025, the court granted Parsons’ motion for summary judgment. The Relator has appealed this decision. Oral argument was held before the appellate court on May 6, 2026.</w:t>
      </w:r>
    </w:p>
    <w:p>
      <w:pPr>
        <w:pStyle w:val="TextBody"/>
        <w:bidi w:val="0"/>
        <w:spacing w:before="240" w:after="283"/>
        <w:jc w:val="left"/>
        <w:rPr>
          <w:rFonts w:ascii="Times New Roman" w:hAnsi="Times New Roman"/>
          <w:sz w:val="20"/>
        </w:rPr>
      </w:pPr>
      <w:r>
        <w:rPr>
          <w:rFonts w:ascii="Arial" w:hAnsi="Arial"/>
          <w:color w:val="000000"/>
          <w:sz w:val="20"/>
        </w:rPr>
        <w:t>On July 1, 2024, a final judgment was filed with the clerk of the Superior Court of the State of California In and For the County of San Mateo with an award of damages in the total amount of approximately $102.5</w:t>
      </w:r>
      <w:r>
        <w:rPr>
          <w:rFonts w:ascii="Times New Roman" w:hAnsi="Times New Roman"/>
          <w:color w:val="000000"/>
          <w:sz w:val="20"/>
        </w:rPr>
        <w:t xml:space="preserve"> </w:t>
      </w:r>
      <w:r>
        <w:rPr>
          <w:rFonts w:ascii="Arial" w:hAnsi="Arial"/>
          <w:color w:val="000000"/>
          <w:sz w:val="20"/>
        </w:rPr>
        <w:t>million in favor of Parsons Transportation Group, Inc. ("PTG") and against Alstom Signaling Operations LLC ("Alstom"). This proposed award relates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PTG pre-judgment interest in the amount of $34.0</w:t>
      </w:r>
      <w:r>
        <w:rPr>
          <w:rFonts w:ascii="Times New Roman" w:hAnsi="Times New Roman"/>
          <w:color w:val="000000"/>
          <w:sz w:val="20"/>
        </w:rPr>
        <w:t xml:space="preserve"> </w:t>
      </w:r>
      <w:r>
        <w:rPr>
          <w:rFonts w:ascii="Arial" w:hAnsi="Arial"/>
          <w:color w:val="000000"/>
          <w:sz w:val="20"/>
        </w:rPr>
        <w:t>million and amended the judgment accordingly to include such interest. Alstom filed a Notice of Appeal and has posted a bond as required under California law. The appellate briefs have been filed and both parties have requested oral argument. A date for oral argument has not been set, however, we anticipate that oral argument may occur in late 2026. In the interim, Parsons and Alstom are exploring opportunities for resolution.</w:t>
      </w:r>
    </w:p>
    <w:p>
      <w:pPr>
        <w:pStyle w:val="TextBody"/>
        <w:bidi w:val="0"/>
        <w:spacing w:before="240" w:after="283"/>
        <w:jc w:val="left"/>
        <w:rPr>
          <w:rFonts w:ascii="Arial" w:hAnsi="Arial"/>
          <w:color w:val="000000"/>
          <w:sz w:val="20"/>
        </w:rPr>
      </w:pPr>
      <w:r>
        <w:rPr>
          <w:rFonts w:ascii="Arial" w:hAnsi="Arial"/>
          <w:color w:val="000000"/>
          <w:sz w:val="20"/>
        </w:rPr>
        <w:t>At this time, the Company is unable to determine the probability of the outcome of the Alstom litigation.</w:t>
      </w:r>
    </w:p>
    <w:p>
      <w:pPr>
        <w:pStyle w:val="TextBody"/>
        <w:bidi w:val="0"/>
        <w:spacing w:before="240" w:after="283"/>
        <w:jc w:val="left"/>
        <w:rPr>
          <w:rFonts w:ascii="Arial" w:hAnsi="Arial"/>
          <w:color w:val="000000"/>
          <w:sz w:val="20"/>
        </w:rPr>
      </w:pPr>
      <w:r>
        <w:rPr>
          <w:rFonts w:ascii="Arial" w:hAnsi="Arial"/>
          <w:color w:val="000000"/>
          <w:sz w:val="20"/>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Federal Acquisition Regulations (“FAR”). If the DCAA determines we have not accounted for such costs in accordance with the FAR,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2023 have been closed, and years thereafter remain open.</w:t>
      </w:r>
    </w:p>
    <w:p>
      <w:pPr>
        <w:pStyle w:val="TextBody"/>
        <w:bidi w:val="0"/>
        <w:spacing w:before="240" w:after="283"/>
        <w:jc w:val="left"/>
        <w:rPr>
          <w:rFonts w:ascii="Arial" w:hAnsi="Arial"/>
          <w:color w:val="000000"/>
          <w:sz w:val="20"/>
        </w:rPr>
      </w:pPr>
      <w:r>
        <w:rPr>
          <w:rFonts w:ascii="Arial" w:hAnsi="Arial"/>
          <w:color w:val="000000"/>
          <w:sz w:val="20"/>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13.</w:t>
      </w:r>
    </w:p>
    <w:p>
      <w:pPr>
        <w:pStyle w:val="TextBody"/>
        <w:bidi w:val="0"/>
        <w:spacing w:before="360" w:after="283"/>
        <w:jc w:val="left"/>
        <w:rPr>
          <w:rFonts w:ascii="Arial" w:hAnsi="Arial"/>
          <w:b/>
          <w:color w:val="000000"/>
          <w:sz w:val="20"/>
        </w:rPr>
      </w:pPr>
      <w:r>
        <w:rPr>
          <w:rFonts w:ascii="Arial" w:hAnsi="Arial"/>
          <w:b/>
          <w:color w:val="000000"/>
          <w:sz w:val="20"/>
        </w:rPr>
        <w:t xml:space="preserve">Retirement Benefit Plan </w:t>
      </w:r>
    </w:p>
    <w:p>
      <w:pPr>
        <w:pStyle w:val="TextBody"/>
        <w:bidi w:val="0"/>
        <w:spacing w:before="120" w:after="283"/>
        <w:jc w:val="left"/>
        <w:rPr>
          <w:rFonts w:ascii="Times New Roman" w:hAnsi="Times New Roman"/>
          <w:sz w:val="20"/>
        </w:rPr>
      </w:pPr>
      <w:r>
        <w:rPr>
          <w:rFonts w:ascii="Arial" w:hAnsi="Arial"/>
          <w:color w:val="000000"/>
          <w:sz w:val="20"/>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w:t>
      </w:r>
      <w:r>
        <w:rPr>
          <w:rFonts w:ascii="Times New Roman" w:hAnsi="Times New Roman"/>
          <w:color w:val="000000"/>
          <w:sz w:val="20"/>
        </w:rPr>
        <w:t xml:space="preserve"> </w:t>
      </w:r>
      <w:r>
        <w:rPr>
          <w:rFonts w:ascii="Arial" w:hAnsi="Arial"/>
          <w:color w:val="000000"/>
          <w:sz w:val="20"/>
        </w:rPr>
        <w:t>As of June 30, 2026 and December 31, 2025, total shares of the Company’s common stock outstanding were 106,797,748</w:t>
      </w:r>
      <w:r>
        <w:rPr>
          <w:rFonts w:ascii="Times New Roman" w:hAnsi="Times New Roman"/>
          <w:color w:val="000000"/>
          <w:sz w:val="20"/>
        </w:rPr>
        <w:t xml:space="preserve"> </w:t>
      </w:r>
      <w:r>
        <w:rPr>
          <w:rFonts w:ascii="Arial" w:hAnsi="Arial"/>
          <w:color w:val="000000"/>
          <w:sz w:val="20"/>
        </w:rPr>
        <w:t>and 106,968,082, respectively, of which 49,241,105</w:t>
      </w:r>
      <w:r>
        <w:rPr>
          <w:rFonts w:ascii="Times New Roman" w:hAnsi="Times New Roman"/>
          <w:color w:val="000000"/>
          <w:sz w:val="20"/>
        </w:rPr>
        <w:t xml:space="preserve"> </w:t>
      </w:r>
      <w:r>
        <w:rPr>
          <w:rFonts w:ascii="Arial" w:hAnsi="Arial"/>
          <w:color w:val="000000"/>
          <w:sz w:val="20"/>
        </w:rPr>
        <w:t>and 50,864,117, respectively, were held by the ESOP.</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pStyle w:val="TextBody"/>
        <w:bidi w:val="0"/>
        <w:spacing w:before="240" w:after="283"/>
        <w:jc w:val="left"/>
        <w:rPr>
          <w:rFonts w:ascii="Times New Roman" w:hAnsi="Times New Roman"/>
          <w:sz w:val="20"/>
        </w:rPr>
      </w:pPr>
      <w:r>
        <w:rPr>
          <w:rFonts w:ascii="Arial" w:hAnsi="Arial"/>
          <w:color w:val="000000"/>
          <w:sz w:val="20"/>
        </w:rPr>
        <w:t>Total ESOP contribution expense was $19.8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$17.6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three months ended June 30, 2026 and June 30, 2025, respectively and $39.1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$35.4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six months ended June 30, 2026 and June 30, 2025, respectively.</w:t>
      </w:r>
      <w:r>
        <w:rPr>
          <w:rFonts w:ascii="Times New Roman" w:hAnsi="Times New Roman"/>
          <w:color w:val="000000"/>
          <w:sz w:val="20"/>
        </w:rPr>
        <w:t xml:space="preserve"> </w:t>
      </w:r>
      <w:r>
        <w:rPr>
          <w:rFonts w:ascii="Arial" w:hAnsi="Arial"/>
          <w:color w:val="000000"/>
          <w:sz w:val="20"/>
        </w:rPr>
        <w:t>The expense is recorded in “Direct costs of contracts” and “Selling, general and administrative expense” in the consolidated statements of income.</w:t>
      </w:r>
      <w:r>
        <w:rPr>
          <w:rFonts w:ascii="Times New Roman" w:hAnsi="Times New Roman"/>
          <w:color w:val="000000"/>
          <w:sz w:val="20"/>
        </w:rPr>
        <w:t xml:space="preserve"> </w:t>
      </w:r>
      <w:r>
        <w:rPr>
          <w:rFonts w:ascii="Arial" w:hAnsi="Arial"/>
          <w:color w:val="000000"/>
          <w:sz w:val="20"/>
        </w:rPr>
        <w:t>The fiscal 2026 ESOP contribution has not yet been made. The amount is currently included in accrued liabilities.</w:t>
      </w:r>
    </w:p>
    <w:p>
      <w:pPr>
        <w:pStyle w:val="TextBody"/>
        <w:bidi w:val="0"/>
        <w:spacing w:before="360" w:after="283"/>
        <w:jc w:val="left"/>
        <w:rPr>
          <w:rFonts w:ascii="Arial" w:hAnsi="Arial"/>
          <w:b/>
          <w:color w:val="000000"/>
          <w:sz w:val="20"/>
        </w:rPr>
      </w:pPr>
      <w:r>
        <w:rPr>
          <w:rFonts w:ascii="Arial" w:hAnsi="Arial"/>
          <w:b/>
          <w:color w:val="000000"/>
          <w:sz w:val="20"/>
        </w:rPr>
        <w:t>14.</w:t>
      </w:r>
    </w:p>
    <w:p>
      <w:pPr>
        <w:pStyle w:val="TextBody"/>
        <w:bidi w:val="0"/>
        <w:spacing w:before="360" w:after="283"/>
        <w:jc w:val="left"/>
        <w:rPr>
          <w:rFonts w:ascii="Arial" w:hAnsi="Arial"/>
          <w:b/>
          <w:color w:val="000000"/>
          <w:sz w:val="20"/>
        </w:rPr>
      </w:pPr>
      <w:r>
        <w:rPr>
          <w:rFonts w:ascii="Arial" w:hAnsi="Arial"/>
          <w:b/>
          <w:color w:val="000000"/>
          <w:sz w:val="20"/>
        </w:rPr>
        <w:t xml:space="preserve">Investments in and Advances to Joint Ventures </w:t>
      </w:r>
    </w:p>
    <w:p>
      <w:pPr>
        <w:pStyle w:val="TextBody"/>
        <w:bidi w:val="0"/>
        <w:spacing w:before="120" w:after="283"/>
        <w:jc w:val="left"/>
        <w:rPr>
          <w:rFonts w:ascii="Times New Roman" w:hAnsi="Times New Roman"/>
          <w:sz w:val="20"/>
        </w:rPr>
      </w:pPr>
      <w:r>
        <w:rPr>
          <w:rFonts w:ascii="Arial" w:hAnsi="Arial"/>
          <w:color w:val="000000"/>
          <w:sz w:val="20"/>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Many of the Company’s joint venture agreements provide for capital calls to fund operations, as necessary; however, such funding is infrequent and is not anticipated to be material.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Letters of credit outstanding described in “Note 10 – Debt and Credit Facilities” that relate to project ventures are</w:t>
      </w:r>
      <w:r>
        <w:rPr>
          <w:rFonts w:ascii="Times New Roman" w:hAnsi="Times New Roman"/>
          <w:color w:val="000000"/>
          <w:sz w:val="20"/>
        </w:rPr>
        <w:t xml:space="preserve"> </w:t>
      </w:r>
      <w:r>
        <w:rPr>
          <w:rFonts w:ascii="Arial" w:hAnsi="Arial"/>
          <w:color w:val="000000"/>
          <w:sz w:val="20"/>
        </w:rPr>
        <w:t>$168.2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$184.4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at June 30, 2026 and December 31, 2025, respectively.</w:t>
      </w:r>
    </w:p>
    <w:p>
      <w:pPr>
        <w:pStyle w:val="TextBody"/>
        <w:bidi w:val="0"/>
        <w:spacing w:before="240" w:after="283"/>
        <w:jc w:val="left"/>
        <w:rPr>
          <w:rFonts w:ascii="Times New Roman" w:hAnsi="Times New Roman"/>
          <w:sz w:val="20"/>
        </w:rPr>
      </w:pPr>
      <w:r>
        <w:rPr>
          <w:rFonts w:ascii="Arial" w:hAnsi="Arial"/>
          <w:color w:val="000000"/>
          <w:sz w:val="20"/>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Consolidated Joint Ventures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following represents financial information for consolidated joint ventures included in the consolidated financial statements (in thousands):</w:t>
      </w:r>
      <w:r>
        <w:rPr>
          <w:rFonts w:ascii="Times New Roman" w:hAnsi="Times New Roman"/>
          <w:color w:val="000000"/>
          <w:sz w:val="20"/>
        </w:rPr>
        <w:t xml:space="preserve"> </w:t>
      </w:r>
    </w:p>
    <w:p>
      <w:pPr>
        <w:pStyle w:val="TextBody"/>
        <w:bidi w:val="0"/>
        <w:jc w:val="left"/>
        <w:rPr/>
      </w:pPr>
      <w:r>
        <w:rPr/>
        <w:t> </w:t>
      </w:r>
    </w:p>
    <w:tbl>
      <w:tblPr>
        <w:tblW w:w="6200" w:type="dxa"/>
        <w:jc w:val="left"/>
        <w:tblInd w:w="0" w:type="dxa"/>
        <w:tblLayout w:type="fixed"/>
        <w:tblCellMar>
          <w:top w:w="28" w:type="dxa"/>
          <w:left w:w="28" w:type="dxa"/>
          <w:bottom w:w="28" w:type="dxa"/>
          <w:right w:w="28" w:type="dxa"/>
        </w:tblCellMar>
      </w:tblPr>
      <w:tblGrid>
        <w:gridCol w:w="2546"/>
        <w:gridCol w:w="146"/>
        <w:gridCol w:w="245"/>
        <w:gridCol w:w="925"/>
        <w:gridCol w:w="146"/>
        <w:gridCol w:w="146"/>
        <w:gridCol w:w="330"/>
        <w:gridCol w:w="1245"/>
        <w:gridCol w:w="471"/>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542,877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550,838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301,891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305,308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joint venture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245,530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31"/>
        <w:gridCol w:w="146"/>
        <w:gridCol w:w="243"/>
        <w:gridCol w:w="921"/>
        <w:gridCol w:w="146"/>
        <w:gridCol w:w="146"/>
        <w:gridCol w:w="243"/>
        <w:gridCol w:w="921"/>
        <w:gridCol w:w="146"/>
        <w:gridCol w:w="146"/>
        <w:gridCol w:w="243"/>
        <w:gridCol w:w="921"/>
        <w:gridCol w:w="146"/>
        <w:gridCol w:w="146"/>
        <w:gridCol w:w="243"/>
        <w:gridCol w:w="921"/>
        <w:gridCol w:w="196"/>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389,153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327,022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62,131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assets of the consolidated joint ventures are restricted for use only by the particular joint venture and are not available for the Company’s general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Unconsolidated Joint Ventures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represents the financial information of the Company’s unconsolidated joint ventures as presented in their unaudited financial statements (in thousands):</w:t>
      </w:r>
      <w:r>
        <w:rPr>
          <w:rFonts w:ascii="Times New Roman" w:hAnsi="Times New Roman"/>
          <w:color w:val="000000"/>
          <w:sz w:val="20"/>
        </w:rPr>
        <w:t xml:space="preserve"> </w:t>
      </w:r>
    </w:p>
    <w:p>
      <w:pPr>
        <w:pStyle w:val="TextBody"/>
        <w:bidi w:val="0"/>
        <w:jc w:val="left"/>
        <w:rPr/>
      </w:pPr>
      <w:r>
        <w:rPr/>
        <w:t> </w:t>
      </w:r>
    </w:p>
    <w:tbl>
      <w:tblPr>
        <w:tblW w:w="9162" w:type="dxa"/>
        <w:jc w:val="left"/>
        <w:tblInd w:w="0" w:type="dxa"/>
        <w:tblLayout w:type="fixed"/>
        <w:tblCellMar>
          <w:top w:w="28" w:type="dxa"/>
          <w:left w:w="28" w:type="dxa"/>
          <w:bottom w:w="28" w:type="dxa"/>
          <w:right w:w="28" w:type="dxa"/>
        </w:tblCellMar>
      </w:tblPr>
      <w:tblGrid>
        <w:gridCol w:w="5506"/>
        <w:gridCol w:w="146"/>
        <w:gridCol w:w="211"/>
        <w:gridCol w:w="961"/>
        <w:gridCol w:w="146"/>
        <w:gridCol w:w="146"/>
        <w:gridCol w:w="283"/>
        <w:gridCol w:w="1292"/>
        <w:gridCol w:w="47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1,351,657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1,549,367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439,496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1,767,858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1,988,863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1,046,970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469,833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1,319,861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1,516,803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joint venture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472,060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Investments in and advances to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148,640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51"/>
        <w:gridCol w:w="146"/>
        <w:gridCol w:w="244"/>
        <w:gridCol w:w="921"/>
        <w:gridCol w:w="166"/>
        <w:gridCol w:w="146"/>
        <w:gridCol w:w="244"/>
        <w:gridCol w:w="921"/>
        <w:gridCol w:w="166"/>
        <w:gridCol w:w="146"/>
        <w:gridCol w:w="244"/>
        <w:gridCol w:w="921"/>
        <w:gridCol w:w="166"/>
        <w:gridCol w:w="146"/>
        <w:gridCol w:w="244"/>
        <w:gridCol w:w="921"/>
        <w:gridCol w:w="212"/>
      </w:tblGrid>
      <w:tr>
        <w:trPr/>
        <w:tc>
          <w:tcPr>
            <w:tcW w:w="4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950,351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912,177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38,174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losses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had net contributions to its unconsolidated joint ventures of $27.3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$4.0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three months ended June 30, 2026 and June 30, 2025, respectively and $36.2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$7.7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six months ended June 30, 2026 and June 30, 2025, respectively.</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certain financial statement impacts from changes in estimates on an unconsolidated joint venture in the Critical Infrastructure segment, driven by increases in costs to complete. In certain instances, revisions in estimates on unconsolidated joint ventures do not exceed the threshold in any particular quarter but exceed the threshold on a year-to-date basis (in thousands):</w:t>
      </w:r>
    </w:p>
    <w:p>
      <w:pPr>
        <w:pStyle w:val="TextBody"/>
        <w:bidi w:val="0"/>
        <w:jc w:val="left"/>
        <w:rPr/>
      </w:pPr>
      <w:r>
        <w:rPr/>
        <w:t> </w:t>
      </w:r>
    </w:p>
    <w:tbl>
      <w:tblPr>
        <w:tblW w:w="7964" w:type="dxa"/>
        <w:jc w:val="left"/>
        <w:tblInd w:w="0" w:type="dxa"/>
        <w:tblLayout w:type="fixed"/>
        <w:tblCellMar>
          <w:top w:w="28" w:type="dxa"/>
          <w:left w:w="28" w:type="dxa"/>
          <w:bottom w:w="28" w:type="dxa"/>
          <w:right w:w="28" w:type="dxa"/>
        </w:tblCellMar>
      </w:tblPr>
      <w:tblGrid>
        <w:gridCol w:w="2011"/>
        <w:gridCol w:w="146"/>
        <w:gridCol w:w="256"/>
        <w:gridCol w:w="914"/>
        <w:gridCol w:w="166"/>
        <w:gridCol w:w="146"/>
        <w:gridCol w:w="443"/>
        <w:gridCol w:w="727"/>
        <w:gridCol w:w="146"/>
        <w:gridCol w:w="146"/>
        <w:gridCol w:w="256"/>
        <w:gridCol w:w="914"/>
        <w:gridCol w:w="166"/>
        <w:gridCol w:w="146"/>
        <w:gridCol w:w="256"/>
        <w:gridCol w:w="914"/>
        <w:gridCol w:w="21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15.</w:t>
      </w:r>
    </w:p>
    <w:p>
      <w:pPr>
        <w:pStyle w:val="TextBody"/>
        <w:bidi w:val="0"/>
        <w:spacing w:before="360" w:after="283"/>
        <w:jc w:val="left"/>
        <w:rPr>
          <w:rFonts w:ascii="Arial" w:hAnsi="Arial"/>
          <w:b/>
          <w:color w:val="000000"/>
          <w:sz w:val="20"/>
        </w:rPr>
      </w:pPr>
      <w:r>
        <w:rPr>
          <w:rFonts w:ascii="Arial" w:hAnsi="Arial"/>
          <w:b/>
          <w:color w:val="000000"/>
          <w:sz w:val="20"/>
        </w:rPr>
        <w:t>Related Party Transactions</w:t>
      </w:r>
    </w:p>
    <w:p>
      <w:pPr>
        <w:pStyle w:val="TextBody"/>
        <w:bidi w:val="0"/>
        <w:spacing w:before="120" w:after="283"/>
        <w:jc w:val="left"/>
        <w:rPr>
          <w:rFonts w:ascii="Times New Roman" w:hAnsi="Times New Roman"/>
          <w:sz w:val="20"/>
        </w:rPr>
      </w:pPr>
      <w:r>
        <w:rPr>
          <w:rFonts w:ascii="Arial" w:hAnsi="Arial"/>
          <w:color w:val="000000"/>
          <w:sz w:val="20"/>
        </w:rPr>
        <w:t>The Company often provides services to unconsolidated joint ventures and revenues include amounts related to recovering costs for these services. Revenues related to services the Company provided to unconsolidated joint ventures for the three months ended June 30, 2026 and June 30, 2025 were $46.7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$42.0</w:t>
      </w:r>
      <w:r>
        <w:rPr>
          <w:rFonts w:ascii="Times New Roman" w:hAnsi="Times New Roman"/>
          <w:color w:val="000000"/>
          <w:sz w:val="20"/>
        </w:rPr>
        <w:t xml:space="preserve"> </w:t>
      </w:r>
      <w:r>
        <w:rPr>
          <w:rFonts w:ascii="Arial" w:hAnsi="Arial"/>
          <w:color w:val="000000"/>
          <w:sz w:val="20"/>
        </w:rPr>
        <w:t>million, respectively and for the six months ended June 30, 2026 and June 30, 2025 were $96.3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$87.5</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20" w:after="283"/>
        <w:jc w:val="left"/>
        <w:rPr>
          <w:rFonts w:ascii="Times New Roman" w:hAnsi="Times New Roman"/>
          <w:sz w:val="20"/>
        </w:rPr>
      </w:pPr>
      <w:r>
        <w:rPr>
          <w:rFonts w:ascii="Arial" w:hAnsi="Arial"/>
          <w:color w:val="000000"/>
          <w:sz w:val="20"/>
        </w:rPr>
        <w:t>For the three months ended June 30, 2026 and June 30, 2025, the Company incurred reimbursable costs of $34.9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$34.0</w:t>
      </w:r>
      <w:r>
        <w:rPr>
          <w:rFonts w:ascii="Times New Roman" w:hAnsi="Times New Roman"/>
          <w:color w:val="000000"/>
          <w:sz w:val="20"/>
        </w:rPr>
        <w:t xml:space="preserve"> </w:t>
      </w:r>
      <w:r>
        <w:rPr>
          <w:rFonts w:ascii="Arial" w:hAnsi="Arial"/>
          <w:color w:val="000000"/>
          <w:sz w:val="20"/>
        </w:rPr>
        <w:t>million, respectively and for the six months ended June 30, 2026 and June 30, 2025 were $67.2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$67.8</w:t>
      </w:r>
      <w:r>
        <w:rPr>
          <w:rFonts w:ascii="Times New Roman" w:hAnsi="Times New Roman"/>
          <w:color w:val="000000"/>
          <w:sz w:val="20"/>
        </w:rPr>
        <w:t xml:space="preserve"> </w:t>
      </w:r>
      <w:r>
        <w:rPr>
          <w:rFonts w:ascii="Arial" w:hAnsi="Arial"/>
          <w:color w:val="000000"/>
          <w:sz w:val="20"/>
        </w:rPr>
        <w:t>million, respectively.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Amounts included in the consolidated balance sheets related to services the Company provided to unconsolidated joint ventures are as follows (in thousands):</w:t>
      </w:r>
      <w:r>
        <w:rPr>
          <w:rFonts w:ascii="Times New Roman" w:hAnsi="Times New Roman"/>
          <w:color w:val="000000"/>
          <w:sz w:val="20"/>
        </w:rPr>
        <w:t xml:space="preserve"> </w:t>
      </w:r>
    </w:p>
    <w:p>
      <w:pPr>
        <w:pStyle w:val="TextBody"/>
        <w:bidi w:val="0"/>
        <w:jc w:val="left"/>
        <w:rPr/>
      </w:pPr>
      <w:r>
        <w:rPr/>
        <w:t> </w:t>
      </w:r>
    </w:p>
    <w:tbl>
      <w:tblPr>
        <w:tblW w:w="5265" w:type="dxa"/>
        <w:jc w:val="left"/>
        <w:tblInd w:w="0" w:type="dxa"/>
        <w:tblLayout w:type="fixed"/>
        <w:tblCellMar>
          <w:top w:w="28" w:type="dxa"/>
          <w:left w:w="28" w:type="dxa"/>
          <w:bottom w:w="28" w:type="dxa"/>
          <w:right w:w="28" w:type="dxa"/>
        </w:tblCellMar>
      </w:tblPr>
      <w:tblGrid>
        <w:gridCol w:w="1891"/>
        <w:gridCol w:w="146"/>
        <w:gridCol w:w="273"/>
        <w:gridCol w:w="897"/>
        <w:gridCol w:w="146"/>
        <w:gridCol w:w="146"/>
        <w:gridCol w:w="368"/>
        <w:gridCol w:w="1207"/>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16.</w:t>
      </w:r>
    </w:p>
    <w:p>
      <w:pPr>
        <w:pStyle w:val="TextBody"/>
        <w:bidi w:val="0"/>
        <w:spacing w:before="360" w:after="283"/>
        <w:jc w:val="left"/>
        <w:rPr>
          <w:rFonts w:ascii="Arial" w:hAnsi="Arial"/>
          <w:b/>
          <w:color w:val="000000"/>
          <w:sz w:val="20"/>
        </w:rPr>
      </w:pPr>
      <w:r>
        <w:rPr>
          <w:rFonts w:ascii="Arial" w:hAnsi="Arial"/>
          <w:b/>
          <w:color w:val="000000"/>
          <w:sz w:val="20"/>
        </w:rPr>
        <w:t>Fair Value of Financial Instruments</w:t>
      </w:r>
    </w:p>
    <w:p>
      <w:pPr>
        <w:pStyle w:val="TextBody"/>
        <w:bidi w:val="0"/>
        <w:spacing w:before="120" w:after="283"/>
        <w:jc w:val="left"/>
        <w:rPr>
          <w:rFonts w:ascii="Arial" w:hAnsi="Arial"/>
          <w:color w:val="000000"/>
          <w:sz w:val="20"/>
        </w:rPr>
      </w:pPr>
      <w:r>
        <w:rPr>
          <w:rFonts w:ascii="Arial" w:hAnsi="Arial"/>
          <w:color w:val="000000"/>
          <w:sz w:val="20"/>
        </w:rPr>
        <w:t>The authoritative guidance on fair value measurement defines fair value as the price that would be received to sell an asset or paid to transfer a liability in an orderly transaction between market participants at the measurement date (referred to as an “exit price”). At June 30, 2026 and December 31, 2025, the Company’s financial instruments include cash, cash equivalents, accounts receivable, accounts payable, and other liabilities. The fair values of these financial instruments approximate their carrying values due to their short-term maturities.</w:t>
      </w:r>
    </w:p>
    <w:p>
      <w:pPr>
        <w:pStyle w:val="TextBody"/>
        <w:bidi w:val="0"/>
        <w:spacing w:before="240" w:after="283"/>
        <w:jc w:val="left"/>
        <w:rPr>
          <w:rFonts w:ascii="Times New Roman" w:hAnsi="Times New Roman"/>
          <w:sz w:val="20"/>
        </w:rPr>
      </w:pPr>
      <w:r>
        <w:rPr>
          <w:rFonts w:ascii="Arial" w:hAnsi="Arial"/>
          <w:color w:val="000000"/>
          <w:sz w:val="20"/>
        </w:rPr>
        <w:t>Fair value is determined by using one or more of the following valuation techniques: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Market approach</w:t>
      </w:r>
      <w:r>
        <w:rPr>
          <w:color w:val="000000"/>
        </w:rPr>
        <w:t>—</w:t>
      </w:r>
      <w:r>
        <w:rPr>
          <w:rFonts w:ascii="Arial" w:hAnsi="Arial"/>
          <w:color w:val="000000"/>
          <w:sz w:val="20"/>
        </w:rPr>
        <w:t xml:space="preserve">Prices and other relevant information generated by market transactions involving identical or comparable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Cost approach</w:t>
      </w:r>
      <w:r>
        <w:rPr>
          <w:color w:val="000000"/>
        </w:rPr>
        <w:t>—</w:t>
      </w:r>
      <w:r>
        <w:rPr>
          <w:rFonts w:ascii="Arial" w:hAnsi="Arial"/>
          <w:color w:val="000000"/>
          <w:sz w:val="20"/>
        </w:rPr>
        <w:t xml:space="preserve">Amount that would be required to replace the service capacity of an asset (i.e., replacement cost);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Income approach</w:t>
      </w:r>
      <w:r>
        <w:rPr>
          <w:color w:val="000000"/>
        </w:rPr>
        <w:t>—</w:t>
      </w:r>
      <w:r>
        <w:rPr>
          <w:rFonts w:ascii="Arial" w:hAnsi="Arial"/>
          <w:color w:val="000000"/>
          <w:sz w:val="20"/>
        </w:rPr>
        <w:t xml:space="preserve">Techniques to convert future amounts to a single present amount based on market expectations (including present value techniques, option-pricing models and lattice models). </w:t>
      </w:r>
    </w:p>
    <w:p>
      <w:pPr>
        <w:pStyle w:val="TextBody"/>
        <w:bidi w:val="0"/>
        <w:spacing w:before="240" w:after="283"/>
        <w:jc w:val="left"/>
        <w:rPr>
          <w:rFonts w:ascii="Times New Roman" w:hAnsi="Times New Roman"/>
          <w:sz w:val="20"/>
        </w:rPr>
      </w:pPr>
      <w:r>
        <w:rPr>
          <w:rFonts w:ascii="Arial" w:hAnsi="Arial"/>
          <w:color w:val="000000"/>
          <w:sz w:val="20"/>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Level 1 Unadjusted quoted prices in active markets that are accessible at the measurement date for identical assets and liabilities;</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Level 2 Pricing inputs that include quoted prices for similar assets and liabilities in active markets and inputs that are observable for the asset or liability, either directly or indirectly, for substantially the full term of the instrument; and</w:t>
      </w:r>
    </w:p>
    <w:p>
      <w:pPr>
        <w:pStyle w:val="TextBody"/>
        <w:bidi w:val="0"/>
        <w:spacing w:before="120" w:after="283"/>
        <w:jc w:val="left"/>
        <w:rPr>
          <w:rFonts w:ascii="Arial" w:hAnsi="Arial"/>
          <w:color w:val="000000"/>
          <w:sz w:val="20"/>
        </w:rPr>
      </w:pPr>
      <w:r>
        <w:rPr>
          <w:rFonts w:ascii="Arial" w:hAnsi="Arial"/>
          <w:color w:val="000000"/>
          <w:sz w:val="20"/>
        </w:rPr>
        <w:t>Level 3 Prices or valuations that require inputs that are both significant to the fair value measurements and unobservable.</w:t>
      </w:r>
    </w:p>
    <w:p>
      <w:pPr>
        <w:pStyle w:val="TextBody"/>
        <w:bidi w:val="0"/>
        <w:spacing w:before="240" w:after="283"/>
        <w:jc w:val="left"/>
        <w:rPr>
          <w:rFonts w:ascii="Arial" w:hAnsi="Arial"/>
          <w:color w:val="000000"/>
          <w:sz w:val="20"/>
        </w:rPr>
      </w:pPr>
      <w:r>
        <w:rPr>
          <w:rFonts w:ascii="Arial" w:hAnsi="Arial"/>
          <w:color w:val="000000"/>
          <w:sz w:val="20"/>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before="240" w:after="283"/>
        <w:jc w:val="left"/>
        <w:rPr>
          <w:rFonts w:ascii="Arial" w:hAnsi="Arial"/>
          <w:color w:val="000000"/>
          <w:sz w:val="20"/>
        </w:rPr>
      </w:pPr>
      <w:r>
        <w:rPr>
          <w:rFonts w:ascii="Arial" w:hAnsi="Arial"/>
          <w:color w:val="000000"/>
          <w:sz w:val="20"/>
        </w:rPr>
        <w:t>Financial assets and liabilities measured at fair value on a quarterly basis are as follows:</w:t>
      </w:r>
    </w:p>
    <w:p>
      <w:pPr>
        <w:pStyle w:val="TextBody"/>
        <w:bidi w:val="0"/>
        <w:spacing w:before="240" w:after="240"/>
        <w:jc w:val="left"/>
        <w:rPr>
          <w:rFonts w:ascii="Arial" w:hAnsi="Arial"/>
          <w:color w:val="000000"/>
          <w:sz w:val="20"/>
        </w:rPr>
      </w:pPr>
      <w:r>
        <w:rPr>
          <w:rFonts w:ascii="Arial" w:hAnsi="Arial"/>
          <w:color w:val="000000"/>
          <w:sz w:val="20"/>
        </w:rPr>
        <w:t>Fair value as of June 30, 2026 (in thousands):</w:t>
      </w:r>
    </w:p>
    <w:tbl>
      <w:tblPr>
        <w:tblW w:w="6411" w:type="dxa"/>
        <w:jc w:val="left"/>
        <w:tblInd w:w="0" w:type="dxa"/>
        <w:tblLayout w:type="fixed"/>
        <w:tblCellMar>
          <w:top w:w="28" w:type="dxa"/>
          <w:left w:w="28" w:type="dxa"/>
          <w:bottom w:w="28" w:type="dxa"/>
          <w:right w:w="28" w:type="dxa"/>
        </w:tblCellMar>
      </w:tblPr>
      <w:tblGrid>
        <w:gridCol w:w="2446"/>
        <w:gridCol w:w="146"/>
        <w:gridCol w:w="369"/>
        <w:gridCol w:w="291"/>
        <w:gridCol w:w="146"/>
        <w:gridCol w:w="146"/>
        <w:gridCol w:w="369"/>
        <w:gridCol w:w="291"/>
        <w:gridCol w:w="146"/>
        <w:gridCol w:w="146"/>
        <w:gridCol w:w="220"/>
        <w:gridCol w:w="440"/>
        <w:gridCol w:w="146"/>
        <w:gridCol w:w="146"/>
        <w:gridCol w:w="211"/>
        <w:gridCol w:w="421"/>
        <w:gridCol w:w="33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Arial" w:hAnsi="Arial"/>
          <w:color w:val="000000"/>
          <w:sz w:val="20"/>
        </w:rPr>
      </w:pPr>
      <w:r>
        <w:rPr>
          <w:rFonts w:ascii="Arial" w:hAnsi="Arial"/>
          <w:color w:val="000000"/>
          <w:sz w:val="20"/>
        </w:rPr>
        <w:t>The carrying values and estimated fair values of our financial instruments that are not required to be recorded at fair value in our consolidated balance sheets, on the basis of Level 2 inputs, were as follows (in thousands):</w:t>
      </w:r>
    </w:p>
    <w:tbl>
      <w:tblPr>
        <w:tblW w:w="9153" w:type="dxa"/>
        <w:jc w:val="left"/>
        <w:tblInd w:w="0" w:type="dxa"/>
        <w:tblLayout w:type="fixed"/>
        <w:tblCellMar>
          <w:top w:w="28" w:type="dxa"/>
          <w:left w:w="28" w:type="dxa"/>
          <w:bottom w:w="28" w:type="dxa"/>
          <w:right w:w="28" w:type="dxa"/>
        </w:tblCellMar>
      </w:tblPr>
      <w:tblGrid>
        <w:gridCol w:w="3076"/>
        <w:gridCol w:w="146"/>
        <w:gridCol w:w="227"/>
        <w:gridCol w:w="1033"/>
        <w:gridCol w:w="146"/>
        <w:gridCol w:w="146"/>
        <w:gridCol w:w="211"/>
        <w:gridCol w:w="961"/>
        <w:gridCol w:w="146"/>
        <w:gridCol w:w="146"/>
        <w:gridCol w:w="227"/>
        <w:gridCol w:w="1033"/>
        <w:gridCol w:w="146"/>
        <w:gridCol w:w="146"/>
        <w:gridCol w:w="211"/>
        <w:gridCol w:w="96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senior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825,680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Term loan due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1,484,000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1,466,320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1,275,680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17.</w:t>
      </w:r>
    </w:p>
    <w:p>
      <w:pPr>
        <w:pStyle w:val="TextBody"/>
        <w:bidi w:val="0"/>
        <w:spacing w:before="360" w:after="283"/>
        <w:jc w:val="left"/>
        <w:rPr>
          <w:rFonts w:ascii="Arial" w:hAnsi="Arial"/>
          <w:b/>
          <w:color w:val="000000"/>
          <w:sz w:val="20"/>
        </w:rPr>
      </w:pPr>
      <w:r>
        <w:rPr>
          <w:rFonts w:ascii="Arial" w:hAnsi="Arial"/>
          <w:b/>
          <w:color w:val="000000"/>
          <w:sz w:val="20"/>
        </w:rPr>
        <w:t>Earnings Per Share</w:t>
      </w:r>
    </w:p>
    <w:p>
      <w:pPr>
        <w:pStyle w:val="TextBody"/>
        <w:bidi w:val="0"/>
        <w:spacing w:before="120" w:after="283"/>
        <w:jc w:val="left"/>
        <w:rPr>
          <w:rFonts w:ascii="Times New Roman" w:hAnsi="Times New Roman"/>
          <w:sz w:val="20"/>
        </w:rPr>
      </w:pPr>
      <w:r>
        <w:rPr>
          <w:rFonts w:ascii="Arial" w:hAnsi="Arial"/>
          <w:color w:val="000000"/>
          <w:sz w:val="20"/>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Under the treasury stock method, the weighted average number of shares outstanding is adjusted to reflect the dilutive effects of stock-based awards.</w:t>
      </w:r>
    </w:p>
    <w:p>
      <w:pPr>
        <w:pStyle w:val="TextBody"/>
        <w:bidi w:val="0"/>
        <w:spacing w:before="120" w:after="283"/>
        <w:jc w:val="left"/>
        <w:rPr>
          <w:rFonts w:ascii="Arial" w:hAnsi="Arial"/>
          <w:color w:val="000000"/>
          <w:sz w:val="20"/>
        </w:rPr>
      </w:pPr>
      <w:r>
        <w:rPr>
          <w:rFonts w:ascii="Arial" w:hAnsi="Arial"/>
          <w:color w:val="000000"/>
          <w:sz w:val="20"/>
        </w:rPr>
        <w:t>Under the if-converted method:</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Convertible Senior Notes due 2025:</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Income available to shareholders is adjusted to add back interest expense, after tax (unless antidilutive).</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Weighted average number of shares outstanding is adjusted to include the shares underlying the convertible debt (unless antidilutive).</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Shares underlying the bond hedge (unless antidilutive).</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Shares underlying the warrants (unless antidilutive).</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Convertible Senior Notes due 2029:</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No shares have been included in the denominator of diluted EPS, as the principal amount of convertible debt will be settled in cash with any excess conversion value settled in cash or shares of common stock.</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Excludes shares underlying the capped call as the shares are antidilutive.</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following tables reconcile the denominator and numerator used to compute basic EPS to the denominator and numerator used to compute diluted EPS for the three and six months ended June 30, 2026 and June 30, 2025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7"/>
        <w:gridCol w:w="146"/>
        <w:gridCol w:w="235"/>
        <w:gridCol w:w="888"/>
        <w:gridCol w:w="166"/>
        <w:gridCol w:w="146"/>
        <w:gridCol w:w="235"/>
        <w:gridCol w:w="888"/>
        <w:gridCol w:w="146"/>
        <w:gridCol w:w="146"/>
        <w:gridCol w:w="235"/>
        <w:gridCol w:w="888"/>
        <w:gridCol w:w="146"/>
        <w:gridCol w:w="146"/>
        <w:gridCol w:w="235"/>
        <w:gridCol w:w="888"/>
        <w:gridCol w:w="194"/>
      </w:tblGrid>
      <w:tr>
        <w:trPr/>
        <w:tc>
          <w:tcPr>
            <w:tcW w:w="4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 for Basic and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Parsons Corporation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121,433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senior notes if-converted method interest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Parsons Corporation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121,541</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 for Basic and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weighted 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Dilutive effect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Dilutive effect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Dilutive effect of convertible senior notes due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weighted 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110,557</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Anti-dilutive stock-based awards excluded from the calculation of earnings per share for the three months ended June 30, 2026 and June 30, 2025</w:t>
      </w:r>
      <w:r>
        <w:rPr>
          <w:rFonts w:ascii="Times New Roman" w:hAnsi="Times New Roman"/>
          <w:color w:val="000000"/>
          <w:sz w:val="20"/>
        </w:rPr>
        <w:t xml:space="preserve"> </w:t>
      </w:r>
      <w:r>
        <w:rPr>
          <w:rFonts w:ascii="Arial" w:hAnsi="Arial"/>
          <w:color w:val="000000"/>
          <w:sz w:val="20"/>
        </w:rPr>
        <w:t>were 99,960</w:t>
      </w:r>
      <w:r>
        <w:rPr>
          <w:rFonts w:ascii="Times New Roman" w:hAnsi="Times New Roman"/>
          <w:color w:val="000000"/>
          <w:sz w:val="20"/>
        </w:rPr>
        <w:t xml:space="preserve"> </w:t>
      </w:r>
      <w:r>
        <w:rPr>
          <w:rFonts w:ascii="Arial" w:hAnsi="Arial"/>
          <w:color w:val="000000"/>
          <w:sz w:val="20"/>
        </w:rPr>
        <w:t>and 22,554, respectively and for the six months ended June 30, 2026 and June 30, 2025</w:t>
      </w:r>
      <w:r>
        <w:rPr>
          <w:rFonts w:ascii="Times New Roman" w:hAnsi="Times New Roman"/>
          <w:color w:val="000000"/>
          <w:sz w:val="20"/>
        </w:rPr>
        <w:t xml:space="preserve"> </w:t>
      </w:r>
      <w:r>
        <w:rPr>
          <w:rFonts w:ascii="Arial" w:hAnsi="Arial"/>
          <w:color w:val="000000"/>
          <w:sz w:val="20"/>
        </w:rPr>
        <w:t>were 38,338</w:t>
      </w:r>
      <w:r>
        <w:rPr>
          <w:rFonts w:ascii="Times New Roman" w:hAnsi="Times New Roman"/>
          <w:color w:val="000000"/>
          <w:sz w:val="20"/>
        </w:rPr>
        <w:t xml:space="preserve"> </w:t>
      </w:r>
      <w:r>
        <w:rPr>
          <w:rFonts w:ascii="Arial" w:hAnsi="Arial"/>
          <w:color w:val="000000"/>
          <w:sz w:val="20"/>
        </w:rPr>
        <w:t>and 16,689, respectively.</w:t>
      </w:r>
    </w:p>
    <w:p>
      <w:pPr>
        <w:pStyle w:val="TextBody"/>
        <w:bidi w:val="0"/>
        <w:spacing w:before="240" w:after="283"/>
        <w:jc w:val="left"/>
        <w:rPr>
          <w:rFonts w:ascii="Arial" w:hAnsi="Arial"/>
          <w:b/>
          <w:i/>
          <w:color w:val="000000"/>
          <w:sz w:val="20"/>
        </w:rPr>
      </w:pPr>
      <w:r>
        <w:rPr>
          <w:rFonts w:ascii="Arial" w:hAnsi="Arial"/>
          <w:b/>
          <w:i/>
          <w:color w:val="000000"/>
          <w:sz w:val="20"/>
        </w:rPr>
        <w:t>Share Repurchases</w:t>
      </w:r>
    </w:p>
    <w:p>
      <w:pPr>
        <w:pStyle w:val="TextBody"/>
        <w:bidi w:val="0"/>
        <w:spacing w:before="120" w:after="283"/>
        <w:jc w:val="left"/>
        <w:rPr>
          <w:rFonts w:ascii="Times New Roman" w:hAnsi="Times New Roman"/>
          <w:sz w:val="20"/>
        </w:rPr>
      </w:pPr>
      <w:r>
        <w:rPr>
          <w:rFonts w:ascii="Arial" w:hAnsi="Arial"/>
          <w:color w:val="000000"/>
          <w:sz w:val="20"/>
        </w:rPr>
        <w:t>On August 9, 2021, the Company’s Board of Directors authorized the Company to acquire a number of shares of its common stock having an aggregate market value of not greater than $100</w:t>
      </w:r>
      <w:r>
        <w:rPr>
          <w:rFonts w:ascii="Times New Roman" w:hAnsi="Times New Roman"/>
          <w:color w:val="000000"/>
          <w:sz w:val="20"/>
        </w:rPr>
        <w:t xml:space="preserve"> </w:t>
      </w:r>
      <w:r>
        <w:rPr>
          <w:rFonts w:ascii="Arial" w:hAnsi="Arial"/>
          <w:color w:val="000000"/>
          <w:sz w:val="20"/>
        </w:rPr>
        <w:t>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w:t>
      </w:r>
      <w:r>
        <w:rPr>
          <w:rFonts w:ascii="Times New Roman" w:hAnsi="Times New Roman"/>
          <w:color w:val="000000"/>
          <w:sz w:val="20"/>
        </w:rPr>
        <w:t xml:space="preserve"> </w:t>
      </w:r>
      <w:r>
        <w:rPr>
          <w:rFonts w:ascii="Arial" w:hAnsi="Arial"/>
          <w:color w:val="000000"/>
          <w:sz w:val="20"/>
        </w:rPr>
        <w:t>million and removed the $25</w:t>
      </w:r>
      <w:r>
        <w:rPr>
          <w:rFonts w:ascii="Times New Roman" w:hAnsi="Times New Roman"/>
          <w:color w:val="000000"/>
          <w:sz w:val="20"/>
        </w:rPr>
        <w:t xml:space="preserve"> </w:t>
      </w:r>
      <w:r>
        <w:rPr>
          <w:rFonts w:ascii="Arial" w:hAnsi="Arial"/>
          <w:color w:val="000000"/>
          <w:sz w:val="20"/>
        </w:rPr>
        <w:t>million quarterly cap on such repurchases. The Board further amended this authorization in March 2025 to increase and reset the repurchase capacity to $250</w:t>
      </w:r>
      <w:r>
        <w:rPr>
          <w:rFonts w:ascii="Times New Roman" w:hAnsi="Times New Roman"/>
          <w:color w:val="000000"/>
          <w:sz w:val="20"/>
        </w:rPr>
        <w:t xml:space="preserve"> </w:t>
      </w:r>
      <w:r>
        <w:rPr>
          <w:rFonts w:ascii="Arial" w:hAnsi="Arial"/>
          <w:color w:val="000000"/>
          <w:sz w:val="20"/>
        </w:rPr>
        <w:t>million. Repurchases made by the Company during the first quarter of 2025 were deducted from the reset capacity.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Under prior authorizations, the Company had repurchased shares with an aggregate market value of $79.7</w:t>
      </w:r>
      <w:r>
        <w:rPr>
          <w:rFonts w:ascii="Times New Roman" w:hAnsi="Times New Roman"/>
          <w:color w:val="000000"/>
          <w:sz w:val="20"/>
        </w:rPr>
        <w:t xml:space="preserve"> </w:t>
      </w:r>
      <w:r>
        <w:rPr>
          <w:rFonts w:ascii="Arial" w:hAnsi="Arial"/>
          <w:color w:val="000000"/>
          <w:sz w:val="20"/>
        </w:rPr>
        <w:t>million. The aggregate market value of shares of common stock the Company is authorized to acquire from prior authorizations and the March 2025 authorization as of June 30, 2026 was not greater than $329.7</w:t>
      </w:r>
      <w:r>
        <w:rPr>
          <w:rFonts w:ascii="Times New Roman" w:hAnsi="Times New Roman"/>
          <w:color w:val="000000"/>
          <w:sz w:val="20"/>
        </w:rPr>
        <w:t xml:space="preserve"> </w:t>
      </w:r>
      <w:r>
        <w:rPr>
          <w:rFonts w:ascii="Arial" w:hAnsi="Arial"/>
          <w:color w:val="000000"/>
          <w:sz w:val="20"/>
        </w:rPr>
        <w:t>million. Effective, July 24, 2026, the Board authorized additional Common Stock repurchase capacity of up to $250</w:t>
      </w:r>
      <w:r>
        <w:rPr>
          <w:rFonts w:ascii="Times New Roman" w:hAnsi="Times New Roman"/>
          <w:color w:val="000000"/>
          <w:sz w:val="20"/>
        </w:rPr>
        <w:t xml:space="preserve"> </w:t>
      </w:r>
      <w:r>
        <w:rPr>
          <w:rFonts w:ascii="Arial" w:hAnsi="Arial"/>
          <w:color w:val="000000"/>
          <w:sz w:val="20"/>
        </w:rPr>
        <w:t>million, and following such authorization, the current maximum buyback authority is not greater than 579.7</w:t>
      </w:r>
      <w:r>
        <w:rPr>
          <w:rFonts w:ascii="Times New Roman" w:hAnsi="Times New Roman"/>
          <w:color w:val="000000"/>
          <w:sz w:val="20"/>
        </w:rPr>
        <w:t xml:space="preserve"> </w:t>
      </w:r>
      <w:r>
        <w:rPr>
          <w:rFonts w:ascii="Arial" w:hAnsi="Arial"/>
          <w:color w:val="000000"/>
          <w:sz w:val="20"/>
        </w:rPr>
        <w:t>million.</w:t>
      </w:r>
    </w:p>
    <w:p>
      <w:pPr>
        <w:pStyle w:val="TextBody"/>
        <w:bidi w:val="0"/>
        <w:spacing w:before="120" w:after="283"/>
        <w:jc w:val="left"/>
        <w:rPr>
          <w:rFonts w:ascii="Times New Roman" w:hAnsi="Times New Roman"/>
          <w:sz w:val="20"/>
        </w:rPr>
      </w:pPr>
      <w:r>
        <w:rPr>
          <w:rFonts w:ascii="Arial" w:hAnsi="Arial"/>
          <w:color w:val="000000"/>
          <w:sz w:val="20"/>
        </w:rPr>
        <w:t>As of June 30, 2026, the Company has spent $254.7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(which includes commissions paid of $0.1</w:t>
      </w:r>
      <w:r>
        <w:rPr>
          <w:rFonts w:ascii="Times New Roman" w:hAnsi="Times New Roman"/>
          <w:color w:val="000000"/>
          <w:sz w:val="20"/>
        </w:rPr>
        <w:t xml:space="preserve"> </w:t>
      </w:r>
      <w:r>
        <w:rPr>
          <w:rFonts w:ascii="Arial" w:hAnsi="Arial"/>
          <w:color w:val="000000"/>
          <w:sz w:val="20"/>
        </w:rPr>
        <w:t>million) repurchasing 4,414,509</w:t>
      </w:r>
      <w:r>
        <w:rPr>
          <w:rFonts w:ascii="Times New Roman" w:hAnsi="Times New Roman"/>
          <w:color w:val="000000"/>
          <w:sz w:val="20"/>
        </w:rPr>
        <w:t xml:space="preserve"> </w:t>
      </w:r>
      <w:r>
        <w:rPr>
          <w:rFonts w:ascii="Arial" w:hAnsi="Arial"/>
          <w:color w:val="000000"/>
          <w:sz w:val="20"/>
        </w:rPr>
        <w:t>shares of common stock at an average price of $57.69</w:t>
      </w:r>
      <w:r>
        <w:rPr>
          <w:rFonts w:ascii="Times New Roman" w:hAnsi="Times New Roman"/>
          <w:color w:val="000000"/>
          <w:sz w:val="20"/>
        </w:rPr>
        <w:t xml:space="preserve"> </w:t>
      </w:r>
      <w:r>
        <w:rPr>
          <w:rFonts w:ascii="Arial" w:hAnsi="Arial"/>
          <w:color w:val="000000"/>
          <w:sz w:val="20"/>
        </w:rPr>
        <w:t>per share.</w:t>
      </w:r>
    </w:p>
    <w:p>
      <w:pPr>
        <w:pStyle w:val="TextBody"/>
        <w:bidi w:val="0"/>
        <w:spacing w:before="120" w:after="283"/>
        <w:jc w:val="left"/>
        <w:rPr>
          <w:rFonts w:ascii="Times New Roman" w:hAnsi="Times New Roman"/>
          <w:sz w:val="20"/>
        </w:rPr>
      </w:pPr>
      <w:r>
        <w:rPr>
          <w:rFonts w:ascii="Arial" w:hAnsi="Arial"/>
          <w:color w:val="000000"/>
          <w:sz w:val="20"/>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circumstances, availability of investment opportunities, the availability and costs of financing, the market price of the Company's common stock, other uses of capital and other factors.</w:t>
      </w:r>
    </w:p>
    <w:p>
      <w:pPr>
        <w:pStyle w:val="TextBody"/>
        <w:bidi w:val="0"/>
        <w:spacing w:before="120" w:after="283"/>
        <w:jc w:val="left"/>
        <w:rPr>
          <w:rFonts w:ascii="Arial" w:hAnsi="Arial"/>
          <w:color w:val="000000"/>
          <w:sz w:val="20"/>
        </w:rPr>
      </w:pPr>
      <w:r>
        <w:rPr>
          <w:rFonts w:ascii="Arial" w:hAnsi="Arial"/>
          <w:color w:val="000000"/>
          <w:sz w:val="20"/>
        </w:rPr>
        <w:t>The following table summarizes the repurchase activity under the stock repurchase program:</w:t>
      </w:r>
    </w:p>
    <w:p>
      <w:pPr>
        <w:pStyle w:val="TextBody"/>
        <w:bidi w:val="0"/>
        <w:jc w:val="left"/>
        <w:rPr/>
      </w:pPr>
      <w:r>
        <w:rPr/>
        <w:t> </w:t>
      </w:r>
    </w:p>
    <w:tbl>
      <w:tblPr>
        <w:tblW w:w="8789" w:type="dxa"/>
        <w:jc w:val="left"/>
        <w:tblInd w:w="0" w:type="dxa"/>
        <w:tblLayout w:type="fixed"/>
        <w:tblCellMar>
          <w:top w:w="28" w:type="dxa"/>
          <w:left w:w="28" w:type="dxa"/>
          <w:bottom w:w="28" w:type="dxa"/>
          <w:right w:w="28" w:type="dxa"/>
        </w:tblCellMar>
      </w:tblPr>
      <w:tblGrid>
        <w:gridCol w:w="2896"/>
        <w:gridCol w:w="146"/>
        <w:gridCol w:w="245"/>
        <w:gridCol w:w="925"/>
        <w:gridCol w:w="146"/>
        <w:gridCol w:w="146"/>
        <w:gridCol w:w="245"/>
        <w:gridCol w:w="925"/>
        <w:gridCol w:w="146"/>
        <w:gridCol w:w="146"/>
        <w:gridCol w:w="245"/>
        <w:gridCol w:w="925"/>
        <w:gridCol w:w="146"/>
        <w:gridCol w:w="146"/>
        <w:gridCol w:w="245"/>
        <w:gridCol w:w="925"/>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shares retired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642,765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Average price paid per share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8"/>
        </w:rPr>
      </w:pPr>
      <w:r>
        <w:rPr>
          <w:rFonts w:ascii="Arial" w:hAnsi="Arial"/>
          <w:color w:val="000000"/>
          <w:sz w:val="18"/>
        </w:rPr>
        <w:t>(1) Includes commissions in the calculation of average price per share</w:t>
      </w:r>
    </w:p>
    <w:p>
      <w:pPr>
        <w:pStyle w:val="TextBody"/>
        <w:bidi w:val="0"/>
        <w:spacing w:before="360" w:after="283"/>
        <w:jc w:val="left"/>
        <w:rPr>
          <w:rFonts w:ascii="Arial" w:hAnsi="Arial"/>
          <w:b/>
          <w:color w:val="000000"/>
          <w:sz w:val="20"/>
        </w:rPr>
      </w:pPr>
      <w:r>
        <w:rPr>
          <w:rFonts w:ascii="Arial" w:hAnsi="Arial"/>
          <w:b/>
          <w:color w:val="000000"/>
          <w:sz w:val="20"/>
        </w:rPr>
        <w:t>18.</w:t>
      </w:r>
    </w:p>
    <w:p>
      <w:pPr>
        <w:pStyle w:val="TextBody"/>
        <w:bidi w:val="0"/>
        <w:spacing w:before="360" w:after="283"/>
        <w:jc w:val="left"/>
        <w:rPr>
          <w:rFonts w:ascii="Arial" w:hAnsi="Arial"/>
          <w:b/>
          <w:color w:val="000000"/>
          <w:sz w:val="20"/>
        </w:rPr>
      </w:pPr>
      <w:r>
        <w:rPr>
          <w:rFonts w:ascii="Arial" w:hAnsi="Arial"/>
          <w:b/>
          <w:color w:val="000000"/>
          <w:sz w:val="20"/>
        </w:rPr>
        <w:t xml:space="preserve">Segment Information </w:t>
      </w:r>
    </w:p>
    <w:p>
      <w:pPr>
        <w:pStyle w:val="TextBody"/>
        <w:bidi w:val="0"/>
        <w:spacing w:before="120" w:after="283"/>
        <w:jc w:val="left"/>
        <w:rPr>
          <w:rFonts w:ascii="Times New Roman" w:hAnsi="Times New Roman"/>
          <w:sz w:val="20"/>
        </w:rPr>
      </w:pPr>
      <w:r>
        <w:rPr>
          <w:rFonts w:ascii="Arial" w:hAnsi="Arial"/>
          <w:color w:val="000000"/>
          <w:sz w:val="20"/>
        </w:rPr>
        <w:t>The Company operates in two</w:t>
      </w:r>
      <w:r>
        <w:rPr>
          <w:rFonts w:ascii="Times New Roman" w:hAnsi="Times New Roman"/>
          <w:color w:val="000000"/>
          <w:sz w:val="20"/>
        </w:rPr>
        <w:t xml:space="preserve"> </w:t>
      </w:r>
      <w:r>
        <w:rPr>
          <w:rFonts w:ascii="Arial" w:hAnsi="Arial"/>
          <w:color w:val="000000"/>
          <w:sz w:val="20"/>
        </w:rPr>
        <w:t>reportable segments: Federal Solutions and Critical Infrastructure.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Federal Solutions segment provides advanced technical solutions to the U.S. government, delivering timely, cost-effective hardware, software and solutions for mission-critical projects. The segment provides advanced technologies, supporting national security missions in cyber operations, missile defense, space, electronic warfare and facility modernization, hazardous material remediation, and engineering services.</w:t>
      </w:r>
    </w:p>
    <w:p>
      <w:pPr>
        <w:pStyle w:val="TextBody"/>
        <w:bidi w:val="0"/>
        <w:spacing w:before="240" w:after="283"/>
        <w:jc w:val="left"/>
        <w:rPr>
          <w:rFonts w:ascii="Arial" w:hAnsi="Arial"/>
          <w:color w:val="000000"/>
          <w:sz w:val="20"/>
        </w:rPr>
      </w:pPr>
      <w:r>
        <w:rPr>
          <w:rFonts w:ascii="Arial" w:hAnsi="Arial"/>
          <w:color w:val="000000"/>
          <w:sz w:val="20"/>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design and project management allow the Company to deliver significant value to customers by employing cutting-edge technologies, improving timelines and reducing costs.</w:t>
      </w:r>
    </w:p>
    <w:p>
      <w:pPr>
        <w:pStyle w:val="TextBody"/>
        <w:bidi w:val="0"/>
        <w:spacing w:before="240" w:after="283"/>
        <w:jc w:val="left"/>
        <w:rPr>
          <w:rFonts w:ascii="Arial" w:hAnsi="Arial"/>
          <w:color w:val="000000"/>
          <w:sz w:val="20"/>
        </w:rPr>
      </w:pPr>
      <w:r>
        <w:rPr>
          <w:rFonts w:ascii="Arial" w:hAnsi="Arial"/>
          <w:color w:val="000000"/>
          <w:sz w:val="20"/>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segment direct cost of contracts, segment Selling, General and Administrative expense and segment Adjusted EBITDA attributable to Parsons Corporation.</w:t>
      </w:r>
    </w:p>
    <w:p>
      <w:pPr>
        <w:pStyle w:val="TextBody"/>
        <w:bidi w:val="0"/>
        <w:spacing w:before="240" w:after="283"/>
        <w:jc w:val="left"/>
        <w:rPr>
          <w:rFonts w:ascii="Arial" w:hAnsi="Arial"/>
          <w:color w:val="000000"/>
          <w:sz w:val="20"/>
        </w:rPr>
      </w:pPr>
      <w:r>
        <w:rPr>
          <w:rFonts w:ascii="Arial" w:hAnsi="Arial"/>
          <w:color w:val="000000"/>
          <w:sz w:val="20"/>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w:t>
      </w:r>
    </w:p>
    <w:p>
      <w:pPr>
        <w:pStyle w:val="TextBody"/>
        <w:bidi w:val="0"/>
        <w:spacing w:before="240" w:after="283"/>
        <w:jc w:val="left"/>
        <w:rPr>
          <w:rFonts w:ascii="Arial" w:hAnsi="Arial"/>
          <w:color w:val="000000"/>
          <w:sz w:val="20"/>
        </w:rPr>
      </w:pPr>
      <w:r>
        <w:rPr>
          <w:rFonts w:ascii="Arial" w:hAnsi="Arial"/>
          <w:color w:val="000000"/>
          <w:sz w:val="20"/>
        </w:rPr>
        <w:t>Adjusted EBITDA is the measure of our operating performance used by the CODM to assess our segments’ financial performance. The CODM uses Adjusted EBITDA for business planning purposes, including to manage our segments against internal projected results of operations and measure the performance of our segments generally.</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following tables present segment information provided to the CODM, as of each period presented, along with a reconciliation of segment adjusted EBITDA attributable to Parsons Corporation to net income attributable to Parsons Corporation for the periods presented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9"/>
        <w:gridCol w:w="146"/>
        <w:gridCol w:w="211"/>
        <w:gridCol w:w="856"/>
        <w:gridCol w:w="166"/>
        <w:gridCol w:w="146"/>
        <w:gridCol w:w="234"/>
        <w:gridCol w:w="952"/>
        <w:gridCol w:w="166"/>
        <w:gridCol w:w="146"/>
        <w:gridCol w:w="211"/>
        <w:gridCol w:w="1021"/>
        <w:gridCol w:w="211"/>
      </w:tblGrid>
      <w:tr>
        <w:trPr/>
        <w:tc>
          <w:tcPr>
            <w:tcW w:w="5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Federal</w:t>
              <w:b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Critical</w:t>
              <w:br/>
              <w:t>Infrastructure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1,575,867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 of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(1,280,629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(losses)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segment items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Reconciliation: Segment Adjusted EBITDA to Net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 related costs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including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9"/>
        <w:gridCol w:w="146"/>
        <w:gridCol w:w="211"/>
        <w:gridCol w:w="856"/>
        <w:gridCol w:w="166"/>
        <w:gridCol w:w="146"/>
        <w:gridCol w:w="234"/>
        <w:gridCol w:w="952"/>
        <w:gridCol w:w="166"/>
        <w:gridCol w:w="146"/>
        <w:gridCol w:w="211"/>
        <w:gridCol w:w="1021"/>
        <w:gridCol w:w="211"/>
      </w:tblGrid>
      <w:tr>
        <w:trPr/>
        <w:tc>
          <w:tcPr>
            <w:tcW w:w="5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Federal</w:t>
              <w:b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Critical</w:t>
              <w:br/>
              <w:t>Infrastructure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 of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(1,235,970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(losses)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segment items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(122,675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Reconciliation: Segment Adjusted EBITDA to Net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 related costs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expense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28"/>
        <w:gridCol w:w="146"/>
        <w:gridCol w:w="211"/>
        <w:gridCol w:w="1021"/>
        <w:gridCol w:w="166"/>
        <w:gridCol w:w="146"/>
        <w:gridCol w:w="211"/>
        <w:gridCol w:w="1021"/>
        <w:gridCol w:w="166"/>
        <w:gridCol w:w="146"/>
        <w:gridCol w:w="211"/>
        <w:gridCol w:w="1021"/>
        <w:gridCol w:w="211"/>
      </w:tblGrid>
      <w:tr>
        <w:trPr/>
        <w:tc>
          <w:tcPr>
            <w:tcW w:w="5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Federal</w:t>
              <w:b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Critical</w:t>
              <w:br/>
              <w:t>Infrastructure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1,519,216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 of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(1,253,083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(2,414,385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(191,515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(losses)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segment items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(267,876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165,675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Reconciliation: Segment Adjusted EBITDA to Net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 related costs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expense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28"/>
        <w:gridCol w:w="146"/>
        <w:gridCol w:w="211"/>
        <w:gridCol w:w="1021"/>
        <w:gridCol w:w="166"/>
        <w:gridCol w:w="146"/>
        <w:gridCol w:w="211"/>
        <w:gridCol w:w="1021"/>
        <w:gridCol w:w="166"/>
        <w:gridCol w:w="146"/>
        <w:gridCol w:w="211"/>
        <w:gridCol w:w="1021"/>
        <w:gridCol w:w="211"/>
      </w:tblGrid>
      <w:tr>
        <w:trPr/>
        <w:tc>
          <w:tcPr>
            <w:tcW w:w="5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Federal</w:t>
              <w:b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Critical</w:t>
              <w:br/>
              <w:t>Infrastructure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1,490,662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3,138,683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 of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(1,131,628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(2,436,347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(losses)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segment items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(250,760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Reconciliation: Segment Adjusted EBITDA to Net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 related costs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expense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The amount of selling, general and administrative expenses (“SG&amp;A”) is total SG&amp;A excluding allocations.</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spacing w:before="0" w:after="0"/>
        <w:jc w:val="left"/>
        <w:rPr>
          <w:rFonts w:ascii="Arial" w:hAnsi="Arial"/>
          <w:color w:val="000000"/>
          <w:sz w:val="20"/>
        </w:rPr>
      </w:pPr>
      <w:r>
        <w:rPr>
          <w:rFonts w:ascii="Arial" w:hAnsi="Arial"/>
          <w:color w:val="000000"/>
          <w:sz w:val="20"/>
        </w:rPr>
        <w:t>The amount of other segment items is the difference between segment revenue less direct cost of contracts, segment SG&amp;A expenses, equity in earnings (losses) of unconsolidated joint ventures, and Adjusted EBITDA attributable to Parsons Corporation. Other segment items primarily include:</w:t>
      </w:r>
    </w:p>
    <w:p>
      <w:pPr>
        <w:pStyle w:val="TextBody"/>
        <w:bidi w:val="0"/>
        <w:spacing w:before="0" w:after="0"/>
        <w:jc w:val="left"/>
        <w:rPr>
          <w:rFonts w:ascii="Arial" w:hAnsi="Arial"/>
          <w:color w:val="000000"/>
          <w:sz w:val="20"/>
        </w:rPr>
      </w:pPr>
      <w:r>
        <w:rPr>
          <w:rFonts w:ascii="Arial" w:hAnsi="Arial"/>
          <w:color w:val="000000"/>
          <w:sz w:val="20"/>
        </w:rPr>
        <w:t>i.</w:t>
      </w:r>
    </w:p>
    <w:p>
      <w:pPr>
        <w:pStyle w:val="TextBody"/>
        <w:bidi w:val="0"/>
        <w:spacing w:before="0" w:after="0"/>
        <w:jc w:val="left"/>
        <w:rPr>
          <w:rFonts w:ascii="Arial" w:hAnsi="Arial"/>
          <w:color w:val="000000"/>
          <w:sz w:val="20"/>
        </w:rPr>
      </w:pPr>
      <w:r>
        <w:rPr>
          <w:rFonts w:ascii="Arial" w:hAnsi="Arial"/>
          <w:color w:val="000000"/>
          <w:sz w:val="20"/>
        </w:rPr>
        <w:t>Corporate and shared segment SG&amp;A (excluding Adjusted EBITDA items)</w:t>
      </w:r>
    </w:p>
    <w:p>
      <w:pPr>
        <w:pStyle w:val="TextBody"/>
        <w:bidi w:val="0"/>
        <w:spacing w:before="0" w:after="0"/>
        <w:jc w:val="left"/>
        <w:rPr>
          <w:rFonts w:ascii="Arial" w:hAnsi="Arial"/>
          <w:color w:val="000000"/>
          <w:sz w:val="20"/>
        </w:rPr>
      </w:pPr>
      <w:r>
        <w:rPr>
          <w:rFonts w:ascii="Arial" w:hAnsi="Arial"/>
          <w:color w:val="000000"/>
          <w:sz w:val="20"/>
        </w:rPr>
        <w:t>ii.</w:t>
      </w:r>
    </w:p>
    <w:p>
      <w:pPr>
        <w:pStyle w:val="TextBody"/>
        <w:bidi w:val="0"/>
        <w:spacing w:before="0" w:after="0"/>
        <w:jc w:val="left"/>
        <w:rPr>
          <w:rFonts w:ascii="Arial" w:hAnsi="Arial"/>
          <w:color w:val="000000"/>
          <w:sz w:val="20"/>
        </w:rPr>
      </w:pPr>
      <w:r>
        <w:rPr>
          <w:rFonts w:ascii="Arial" w:hAnsi="Arial"/>
          <w:color w:val="000000"/>
          <w:sz w:val="20"/>
        </w:rPr>
        <w:t>Noncontrolling interests attributable to operating income and other income/expense</w:t>
      </w:r>
    </w:p>
    <w:p>
      <w:pPr>
        <w:pStyle w:val="TextBody"/>
        <w:bidi w:val="0"/>
        <w:spacing w:before="0" w:after="0"/>
        <w:jc w:val="left"/>
        <w:rPr>
          <w:rFonts w:ascii="Arial" w:hAnsi="Arial"/>
          <w:color w:val="000000"/>
          <w:sz w:val="20"/>
        </w:rPr>
      </w:pPr>
      <w:r>
        <w:rPr>
          <w:rFonts w:ascii="Arial" w:hAnsi="Arial"/>
          <w:color w:val="000000"/>
          <w:sz w:val="20"/>
        </w:rPr>
        <w:t>iii.</w:t>
      </w:r>
    </w:p>
    <w:p>
      <w:pPr>
        <w:pStyle w:val="TextBody"/>
        <w:bidi w:val="0"/>
        <w:spacing w:before="0" w:after="0"/>
        <w:jc w:val="left"/>
        <w:rPr>
          <w:rFonts w:ascii="Arial" w:hAnsi="Arial"/>
          <w:color w:val="000000"/>
          <w:sz w:val="20"/>
        </w:rPr>
      </w:pPr>
      <w:r>
        <w:rPr>
          <w:rFonts w:ascii="Arial" w:hAnsi="Arial"/>
          <w:color w:val="000000"/>
          <w:sz w:val="20"/>
        </w:rPr>
        <w:t>Bad debt expense</w:t>
      </w:r>
    </w:p>
    <w:p>
      <w:pPr>
        <w:pStyle w:val="TextBody"/>
        <w:bidi w:val="0"/>
        <w:spacing w:before="0" w:after="0"/>
        <w:jc w:val="left"/>
        <w:rPr>
          <w:rFonts w:ascii="Arial" w:hAnsi="Arial"/>
          <w:color w:val="000000"/>
          <w:sz w:val="20"/>
        </w:rPr>
      </w:pPr>
      <w:r>
        <w:rPr>
          <w:rFonts w:ascii="Arial" w:hAnsi="Arial"/>
          <w:color w:val="000000"/>
          <w:sz w:val="20"/>
        </w:rPr>
        <w:t>iv.</w:t>
      </w:r>
    </w:p>
    <w:p>
      <w:pPr>
        <w:pStyle w:val="TextBody"/>
        <w:bidi w:val="0"/>
        <w:spacing w:before="0" w:after="0"/>
        <w:jc w:val="left"/>
        <w:rPr>
          <w:rFonts w:ascii="Arial" w:hAnsi="Arial"/>
          <w:color w:val="000000"/>
          <w:sz w:val="20"/>
        </w:rPr>
      </w:pPr>
      <w:r>
        <w:rPr>
          <w:rFonts w:ascii="Arial" w:hAnsi="Arial"/>
          <w:color w:val="000000"/>
          <w:sz w:val="20"/>
        </w:rPr>
        <w:t>Sublease income</w:t>
      </w:r>
    </w:p>
    <w:p>
      <w:pPr>
        <w:pStyle w:val="TextBody"/>
        <w:bidi w:val="0"/>
        <w:spacing w:before="0" w:after="0"/>
        <w:jc w:val="left"/>
        <w:rPr>
          <w:rFonts w:ascii="Arial" w:hAnsi="Arial"/>
          <w:color w:val="000000"/>
          <w:sz w:val="20"/>
        </w:rPr>
      </w:pPr>
      <w:r>
        <w:rPr>
          <w:rFonts w:ascii="Arial" w:hAnsi="Arial"/>
          <w:color w:val="000000"/>
          <w:sz w:val="20"/>
        </w:rPr>
        <w:t>v.</w:t>
      </w:r>
    </w:p>
    <w:p>
      <w:pPr>
        <w:pStyle w:val="TextBody"/>
        <w:bidi w:val="0"/>
        <w:spacing w:before="0" w:after="0"/>
        <w:jc w:val="left"/>
        <w:rPr>
          <w:rFonts w:ascii="Arial" w:hAnsi="Arial"/>
          <w:color w:val="000000"/>
          <w:sz w:val="20"/>
        </w:rPr>
      </w:pPr>
      <w:r>
        <w:rPr>
          <w:rFonts w:ascii="Arial" w:hAnsi="Arial"/>
          <w:color w:val="000000"/>
          <w:sz w:val="20"/>
        </w:rPr>
        <w:t>Foreign currency gain/loss, and</w:t>
      </w:r>
    </w:p>
    <w:p>
      <w:pPr>
        <w:pStyle w:val="TextBody"/>
        <w:bidi w:val="0"/>
        <w:spacing w:before="0" w:after="0"/>
        <w:jc w:val="left"/>
        <w:rPr>
          <w:rFonts w:ascii="Arial" w:hAnsi="Arial"/>
          <w:color w:val="000000"/>
          <w:sz w:val="20"/>
        </w:rPr>
      </w:pPr>
      <w:r>
        <w:rPr>
          <w:rFonts w:ascii="Arial" w:hAnsi="Arial"/>
          <w:color w:val="000000"/>
          <w:sz w:val="20"/>
        </w:rPr>
        <w:t>vi.</w:t>
      </w:r>
    </w:p>
    <w:p>
      <w:pPr>
        <w:pStyle w:val="TextBody"/>
        <w:bidi w:val="0"/>
        <w:spacing w:before="0" w:after="0"/>
        <w:jc w:val="left"/>
        <w:rPr>
          <w:rFonts w:ascii="Arial" w:hAnsi="Arial"/>
          <w:color w:val="000000"/>
          <w:sz w:val="20"/>
        </w:rPr>
      </w:pPr>
      <w:r>
        <w:rPr>
          <w:rFonts w:ascii="Arial" w:hAnsi="Arial"/>
          <w:color w:val="000000"/>
          <w:sz w:val="20"/>
        </w:rPr>
        <w:t>Certain other income/expense items</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spacing w:before="0" w:after="0"/>
        <w:jc w:val="left"/>
        <w:rPr>
          <w:rFonts w:ascii="Arial" w:hAnsi="Arial"/>
          <w:color w:val="000000"/>
          <w:sz w:val="20"/>
        </w:rPr>
      </w:pPr>
      <w:r>
        <w:rPr>
          <w:rFonts w:ascii="Arial" w:hAnsi="Arial"/>
          <w:color w:val="000000"/>
          <w:sz w:val="20"/>
        </w:rPr>
        <w:t>Reflects costs incurred in connection with acquisitions, and other non-recurring transaction costs, primarily fees paid for professional services and employee retention.</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spacing w:before="0" w:after="0"/>
        <w:jc w:val="left"/>
        <w:rPr>
          <w:rFonts w:ascii="Arial" w:hAnsi="Arial"/>
          <w:color w:val="000000"/>
          <w:sz w:val="20"/>
        </w:rPr>
      </w:pPr>
      <w:r>
        <w:rPr>
          <w:rFonts w:ascii="Arial" w:hAnsi="Arial"/>
          <w:color w:val="000000"/>
          <w:sz w:val="20"/>
        </w:rPr>
        <w:t>Includes a combination of gain/loss related to sale of businesses and sale of fixed assets, software implementation costs, and other individually insignificant items that are non-recurring in nature.</w:t>
      </w:r>
    </w:p>
    <w:p>
      <w:pPr>
        <w:pStyle w:val="TextBody"/>
        <w:bidi w:val="0"/>
        <w:spacing w:before="0" w:after="0"/>
        <w:jc w:val="left"/>
        <w:rPr>
          <w:rFonts w:ascii="Arial" w:hAnsi="Arial"/>
          <w:color w:val="000000"/>
          <w:sz w:val="20"/>
        </w:rPr>
      </w:pPr>
      <w:r>
        <w:rPr>
          <w:rFonts w:ascii="Arial" w:hAnsi="Arial"/>
          <w:color w:val="000000"/>
          <w:sz w:val="20"/>
        </w:rPr>
        <w:t>(e)</w:t>
      </w:r>
    </w:p>
    <w:p>
      <w:pPr>
        <w:pStyle w:val="TextBody"/>
        <w:bidi w:val="0"/>
        <w:jc w:val="left"/>
        <w:rPr>
          <w:rFonts w:ascii="Arial" w:hAnsi="Arial"/>
          <w:color w:val="000000"/>
          <w:sz w:val="20"/>
        </w:rPr>
      </w:pPr>
      <w:r>
        <w:rPr>
          <w:rFonts w:ascii="Arial" w:hAnsi="Arial"/>
          <w:color w:val="000000"/>
          <w:sz w:val="20"/>
        </w:rPr>
        <w:t>Reflects costs associated with and related to our corporate restructuring in initiatives.</w:t>
        <w:br/>
        <w:t> </w:t>
      </w:r>
    </w:p>
    <w:p>
      <w:pPr>
        <w:pStyle w:val="TextBody"/>
        <w:bidi w:val="0"/>
        <w:spacing w:before="240" w:after="283"/>
        <w:jc w:val="left"/>
        <w:rPr>
          <w:rFonts w:ascii="Times New Roman" w:hAnsi="Times New Roman"/>
          <w:sz w:val="20"/>
        </w:rPr>
      </w:pPr>
      <w:r>
        <w:rPr>
          <w:rFonts w:ascii="Arial" w:hAnsi="Arial"/>
          <w:color w:val="000000"/>
          <w:sz w:val="20"/>
        </w:rPr>
        <w:t>Asset information by segment is not a key measure of performance used by the CODM.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tables present revenues and property and equipment, net by geographic area (in thousands):</w:t>
      </w:r>
      <w:r>
        <w:rPr>
          <w:rFonts w:ascii="Times New Roman" w:hAnsi="Times New Roman"/>
          <w:color w:val="000000"/>
          <w:sz w:val="20"/>
        </w:rPr>
        <w:t xml:space="preserve"> </w:t>
      </w:r>
    </w:p>
    <w:p>
      <w:pPr>
        <w:pStyle w:val="TextBody"/>
        <w:bidi w:val="0"/>
        <w:jc w:val="left"/>
        <w:rPr/>
      </w:pPr>
      <w:r>
        <w:rPr/>
        <w:t> </w:t>
      </w:r>
    </w:p>
    <w:tbl>
      <w:tblPr>
        <w:tblW w:w="7827" w:type="dxa"/>
        <w:jc w:val="left"/>
        <w:tblInd w:w="0" w:type="dxa"/>
        <w:tblLayout w:type="fixed"/>
        <w:tblCellMar>
          <w:top w:w="28" w:type="dxa"/>
          <w:left w:w="28" w:type="dxa"/>
          <w:bottom w:w="28" w:type="dxa"/>
          <w:right w:w="28" w:type="dxa"/>
        </w:tblCellMar>
      </w:tblPr>
      <w:tblGrid>
        <w:gridCol w:w="1646"/>
        <w:gridCol w:w="146"/>
        <w:gridCol w:w="211"/>
        <w:gridCol w:w="961"/>
        <w:gridCol w:w="146"/>
        <w:gridCol w:w="146"/>
        <w:gridCol w:w="211"/>
        <w:gridCol w:w="961"/>
        <w:gridCol w:w="146"/>
        <w:gridCol w:w="146"/>
        <w:gridCol w:w="211"/>
        <w:gridCol w:w="961"/>
        <w:gridCol w:w="146"/>
        <w:gridCol w:w="146"/>
        <w:gridCol w:w="211"/>
        <w:gridCol w:w="961"/>
        <w:gridCol w:w="471"/>
      </w:tblGrid>
      <w:tr>
        <w:trPr/>
        <w:tc>
          <w:tcPr>
            <w:tcW w:w="1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1,275,127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1,309,098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2,487,711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2,593,330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Middle 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535,770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9,583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3,138,683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geographic location of revenue is determined by the location of the customer.</w:t>
      </w:r>
    </w:p>
    <w:p>
      <w:pPr>
        <w:pStyle w:val="TextBody"/>
        <w:bidi w:val="0"/>
        <w:jc w:val="left"/>
        <w:rPr/>
      </w:pPr>
      <w:r>
        <w:rPr/>
        <w:t> </w:t>
      </w:r>
    </w:p>
    <w:tbl>
      <w:tblPr>
        <w:tblW w:w="6790" w:type="dxa"/>
        <w:jc w:val="left"/>
        <w:tblInd w:w="0" w:type="dxa"/>
        <w:tblLayout w:type="fixed"/>
        <w:tblCellMar>
          <w:top w:w="28" w:type="dxa"/>
          <w:left w:w="28" w:type="dxa"/>
          <w:bottom w:w="28" w:type="dxa"/>
          <w:right w:w="28" w:type="dxa"/>
        </w:tblCellMar>
      </w:tblPr>
      <w:tblGrid>
        <w:gridCol w:w="3136"/>
        <w:gridCol w:w="146"/>
        <w:gridCol w:w="245"/>
        <w:gridCol w:w="925"/>
        <w:gridCol w:w="146"/>
        <w:gridCol w:w="146"/>
        <w:gridCol w:w="330"/>
        <w:gridCol w:w="1245"/>
        <w:gridCol w:w="47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137,894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Middle 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13,167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151,061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North America includes revenue in the United States for the three months ended June 30, 2026 and June 30, 2025</w:t>
      </w:r>
      <w:r>
        <w:rPr>
          <w:rFonts w:ascii="Times New Roman" w:hAnsi="Times New Roman"/>
          <w:color w:val="000000"/>
          <w:sz w:val="20"/>
        </w:rPr>
        <w:t xml:space="preserve"> </w:t>
      </w:r>
      <w:r>
        <w:rPr>
          <w:rFonts w:ascii="Arial" w:hAnsi="Arial"/>
          <w:color w:val="000000"/>
          <w:sz w:val="20"/>
        </w:rPr>
        <w:t>of $1.2</w:t>
      </w:r>
      <w:r>
        <w:rPr>
          <w:rFonts w:ascii="Times New Roman" w:hAnsi="Times New Roman"/>
          <w:color w:val="000000"/>
          <w:sz w:val="20"/>
        </w:rPr>
        <w:t xml:space="preserve"> </w:t>
      </w:r>
      <w:r>
        <w:rPr>
          <w:rFonts w:ascii="Arial" w:hAnsi="Arial"/>
          <w:color w:val="000000"/>
          <w:sz w:val="20"/>
        </w:rPr>
        <w:t>billion and $1.2</w:t>
      </w:r>
      <w:r>
        <w:rPr>
          <w:rFonts w:ascii="Times New Roman" w:hAnsi="Times New Roman"/>
          <w:color w:val="000000"/>
          <w:sz w:val="20"/>
        </w:rPr>
        <w:t xml:space="preserve"> </w:t>
      </w:r>
      <w:r>
        <w:rPr>
          <w:rFonts w:ascii="Arial" w:hAnsi="Arial"/>
          <w:color w:val="000000"/>
          <w:sz w:val="20"/>
        </w:rPr>
        <w:t>billion, respectively and $2.3</w:t>
      </w:r>
      <w:r>
        <w:rPr>
          <w:rFonts w:ascii="Times New Roman" w:hAnsi="Times New Roman"/>
          <w:color w:val="000000"/>
          <w:sz w:val="20"/>
        </w:rPr>
        <w:t xml:space="preserve"> </w:t>
      </w:r>
      <w:r>
        <w:rPr>
          <w:rFonts w:ascii="Arial" w:hAnsi="Arial"/>
          <w:color w:val="000000"/>
          <w:sz w:val="20"/>
        </w:rPr>
        <w:t>billion and $2.4</w:t>
      </w:r>
      <w:r>
        <w:rPr>
          <w:rFonts w:ascii="Times New Roman" w:hAnsi="Times New Roman"/>
          <w:color w:val="000000"/>
          <w:sz w:val="20"/>
        </w:rPr>
        <w:t xml:space="preserve"> </w:t>
      </w:r>
      <w:r>
        <w:rPr>
          <w:rFonts w:ascii="Arial" w:hAnsi="Arial"/>
          <w:color w:val="000000"/>
          <w:sz w:val="20"/>
        </w:rPr>
        <w:t>billion for the six months ended June 30, 2026 and June 30, 2025, respectively.</w:t>
      </w:r>
      <w:r>
        <w:rPr>
          <w:rFonts w:ascii="Times New Roman" w:hAnsi="Times New Roman"/>
          <w:color w:val="000000"/>
          <w:sz w:val="20"/>
        </w:rPr>
        <w:t xml:space="preserve"> </w:t>
      </w:r>
      <w:r>
        <w:rPr>
          <w:rFonts w:ascii="Arial" w:hAnsi="Arial"/>
          <w:color w:val="000000"/>
          <w:sz w:val="20"/>
        </w:rPr>
        <w:t>North America property and equipment, net includes $139.4</w:t>
      </w:r>
      <w:r>
        <w:rPr>
          <w:rFonts w:ascii="Times New Roman" w:hAnsi="Times New Roman"/>
          <w:color w:val="000000"/>
          <w:sz w:val="20"/>
        </w:rPr>
        <w:t xml:space="preserve"> </w:t>
      </w:r>
      <w:r>
        <w:rPr>
          <w:rFonts w:ascii="Arial" w:hAnsi="Arial"/>
          <w:color w:val="000000"/>
          <w:sz w:val="20"/>
        </w:rPr>
        <w:t>million and $130.5</w:t>
      </w:r>
      <w:r>
        <w:rPr>
          <w:rFonts w:ascii="Times New Roman" w:hAnsi="Times New Roman"/>
          <w:color w:val="000000"/>
          <w:sz w:val="20"/>
        </w:rPr>
        <w:t xml:space="preserve"> </w:t>
      </w:r>
      <w:r>
        <w:rPr>
          <w:rFonts w:ascii="Arial" w:hAnsi="Arial"/>
          <w:color w:val="000000"/>
          <w:sz w:val="20"/>
        </w:rPr>
        <w:t>million of property and equipment, net in the United States as of June 30, 2026 and December 31, 2025, respectively.</w:t>
      </w:r>
    </w:p>
    <w:p>
      <w:pPr>
        <w:pStyle w:val="TextBody"/>
        <w:bidi w:val="0"/>
        <w:spacing w:before="240" w:after="283"/>
        <w:jc w:val="left"/>
        <w:rPr>
          <w:rFonts w:ascii="Times New Roman" w:hAnsi="Times New Roman"/>
          <w:sz w:val="20"/>
        </w:rPr>
      </w:pPr>
      <w:r>
        <w:rPr>
          <w:rFonts w:ascii="Arial" w:hAnsi="Arial"/>
          <w:color w:val="000000"/>
          <w:sz w:val="20"/>
        </w:rPr>
        <w:t>The following table presents revenues by business units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4"/>
        <w:gridCol w:w="426"/>
        <w:gridCol w:w="211"/>
        <w:gridCol w:w="961"/>
        <w:gridCol w:w="146"/>
        <w:gridCol w:w="146"/>
        <w:gridCol w:w="211"/>
        <w:gridCol w:w="961"/>
        <w:gridCol w:w="146"/>
        <w:gridCol w:w="146"/>
        <w:gridCol w:w="211"/>
        <w:gridCol w:w="961"/>
        <w:gridCol w:w="146"/>
        <w:gridCol w:w="146"/>
        <w:gridCol w:w="211"/>
        <w:gridCol w:w="961"/>
        <w:gridCol w:w="751"/>
      </w:tblGrid>
      <w:tr>
        <w:trPr/>
        <w:tc>
          <w:tcPr>
            <w:tcW w:w="346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Defense and Intelligence</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900,897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Engineered Systems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747,124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Federal Solutions revenues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1,519,216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1,648,021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Infrastructure – North America</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974,096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951,156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Infrastructure – Europe, Middle East and Africa</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539,506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Critical Infrastructure revenues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1,490,662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3,138,683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19.</w:t>
      </w:r>
    </w:p>
    <w:p>
      <w:pPr>
        <w:pStyle w:val="TextBody"/>
        <w:bidi w:val="0"/>
        <w:spacing w:before="360" w:after="283"/>
        <w:jc w:val="left"/>
        <w:rPr>
          <w:rFonts w:ascii="Arial" w:hAnsi="Arial"/>
          <w:b/>
          <w:color w:val="000000"/>
          <w:sz w:val="20"/>
        </w:rPr>
      </w:pPr>
      <w:r>
        <w:rPr>
          <w:rFonts w:ascii="Arial" w:hAnsi="Arial"/>
          <w:b/>
          <w:color w:val="000000"/>
          <w:sz w:val="20"/>
        </w:rPr>
        <w:t>Subsequent Events</w:t>
      </w:r>
    </w:p>
    <w:p>
      <w:pPr>
        <w:pStyle w:val="TextBody"/>
        <w:bidi w:val="0"/>
        <w:spacing w:before="240" w:after="283"/>
        <w:jc w:val="left"/>
        <w:rPr>
          <w:rFonts w:ascii="Arial" w:hAnsi="Arial"/>
          <w:color w:val="000000"/>
          <w:sz w:val="20"/>
        </w:rPr>
      </w:pPr>
      <w:r>
        <w:rPr>
          <w:rFonts w:ascii="Arial" w:hAnsi="Arial"/>
          <w:color w:val="000000"/>
          <w:sz w:val="20"/>
        </w:rPr>
        <w:t>None.</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2" w:name="i_item2"/>
      <w:bookmarkEnd w:id="12"/>
      <w:r>
        <w:rPr>
          <w:rFonts w:ascii="Arial" w:hAnsi="Arial"/>
          <w:b/>
          <w:color w:val="000000"/>
          <w:sz w:val="20"/>
        </w:rPr>
        <w:t>Item 2. Management’s Discussion and Analysis of Financial Condition and Results of Operations.</w:t>
      </w:r>
    </w:p>
    <w:p>
      <w:pPr>
        <w:pStyle w:val="TextBody"/>
        <w:bidi w:val="0"/>
        <w:spacing w:before="120" w:after="283"/>
        <w:jc w:val="left"/>
        <w:rPr>
          <w:rFonts w:ascii="Arial" w:hAnsi="Arial"/>
          <w:i/>
          <w:color w:val="000000"/>
          <w:sz w:val="20"/>
        </w:rPr>
      </w:pPr>
      <w:r>
        <w:rPr>
          <w:rFonts w:ascii="Arial" w:hAnsi="Arial"/>
          <w:i/>
          <w:color w:val="000000"/>
          <w:sz w:val="20"/>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2025. Certain amounts may not foot due to rounding.</w:t>
      </w:r>
    </w:p>
    <w:p>
      <w:pPr>
        <w:pStyle w:val="TextBody"/>
        <w:bidi w:val="0"/>
        <w:spacing w:before="240" w:after="283"/>
        <w:jc w:val="left"/>
        <w:rPr>
          <w:rFonts w:ascii="Times New Roman" w:hAnsi="Times New Roman"/>
          <w:sz w:val="20"/>
        </w:rPr>
      </w:pPr>
      <w:r>
        <w:rPr>
          <w:rFonts w:ascii="Arial" w:hAnsi="Arial"/>
          <w:i/>
          <w:color w:val="000000"/>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2025. We undertake no obligation to revise publicly any forward-looking statements. Actual results may differ materially from those contained in any forward-looking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858000" cy="385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7625"/>
                    </a:xfrm>
                    <a:prstGeom prst="rect">
                      <a:avLst/>
                    </a:prstGeom>
                  </pic:spPr>
                </pic:pic>
              </a:graphicData>
            </a:graphic>
          </wp:inline>
        </w:drawing>
      </w:r>
    </w:p>
    <w:p>
      <w:pPr>
        <w:pStyle w:val="TextBody"/>
        <w:bidi w:val="0"/>
        <w:jc w:val="left"/>
        <w:rPr>
          <w:rFonts w:ascii="Arial" w:hAnsi="Arial"/>
          <w:color w:val="FFFFFF"/>
          <w:sz w:val="2"/>
        </w:rPr>
      </w:pPr>
      <w:r>
        <w:rPr>
          <w:rFonts w:ascii="Arial" w:hAnsi="Arial"/>
          <w:color w:val="FFFFFF"/>
          <w:sz w:val="2"/>
        </w:rPr>
        <w:t>PARSONS CORPORATION Enabling a safer, smarter, and more interconnected world. Engineered solutions for complex physical and digital infrastructure challenges SEGMENTS KEY FACTS AND FIGURES Technology-driven solutions for defense and intelligence customers FINANCIAL SNAPSHOT $4B Total Revenue Trailing 12-Months (Q2 2020) $4B Contract Awards Trailing 12-Months (Q2 2020) 75+ Years Of History Federal Solutions 49% Critical Infrastructure 51% Federal Solutions 58% Critical Infrastructure 42% Federal Solutions Critical Infrastructure ~16K Employees 6% Revenue Growth Trailing 12-Months (Q2 2020) 1.0X Book-To-Bill Ratio Trailing 12-Months (Q2 2020) $7.7B Backlog As Of 6/30/2020 PARSONS CORPORATION.</w:t>
      </w:r>
    </w:p>
    <w:p>
      <w:pPr>
        <w:pStyle w:val="TextBody"/>
        <w:bidi w:val="0"/>
        <w:spacing w:before="360" w:after="283"/>
        <w:jc w:val="center"/>
        <w:rPr>
          <w:rFonts w:ascii="Arial" w:hAnsi="Arial"/>
          <w:b/>
          <w:color w:val="000000"/>
          <w:sz w:val="20"/>
        </w:rPr>
      </w:pPr>
      <w:r>
        <w:rPr>
          <w:rFonts w:ascii="Arial" w:hAnsi="Arial"/>
          <w:b/>
          <w:color w:val="000000"/>
          <w:sz w:val="20"/>
        </w:rPr>
        <w:t>Overview</w:t>
      </w:r>
    </w:p>
    <w:p>
      <w:pPr>
        <w:pStyle w:val="TextBody"/>
        <w:bidi w:val="0"/>
        <w:spacing w:before="240" w:after="283"/>
        <w:jc w:val="left"/>
        <w:rPr>
          <w:rFonts w:ascii="Times New Roman" w:hAnsi="Times New Roman"/>
          <w:sz w:val="20"/>
        </w:rPr>
      </w:pPr>
      <w:r>
        <w:rPr>
          <w:rFonts w:ascii="Arial" w:hAnsi="Arial"/>
          <w:color w:val="000000"/>
          <w:sz w:val="20"/>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 and electronic warfare, space and missile defense, critical infrastructure protection, transportation, water and environment, and urban development. By combining our talented team of professionals and advanced technology, we solve complex technical challenges to enable a safer, smarter, more secure and more connected world.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operate in two reporting segments, Federal Solutions and Critical Infrastructure. Our Federal Solutions business is an advanced technology provider to the U.S. government. Our Critical Infrastructure business provides integrated design and engineering services for complex physical and digital infrastructure around the globe.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entity. In addition to focusing on increasing our revenues through increased contract awards and backlog, we focus our financial performance on margin expansion and cash flow.</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Arial" w:hAnsi="Arial"/>
          <w:b/>
          <w:color w:val="000000"/>
          <w:sz w:val="20"/>
        </w:rPr>
        <w:t>Key Metrics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manage and assess the performance of our business by evaluating a variety of metrics. The following table sets forth selected key metrics (in thousands, except Book-to-Bill):</w:t>
      </w:r>
    </w:p>
    <w:p>
      <w:pPr>
        <w:pStyle w:val="TextBody"/>
        <w:bidi w:val="0"/>
        <w:jc w:val="left"/>
        <w:rPr/>
      </w:pPr>
      <w:r>
        <w:rPr/>
        <w:t> </w:t>
      </w:r>
    </w:p>
    <w:tbl>
      <w:tblPr>
        <w:tblW w:w="5314" w:type="dxa"/>
        <w:jc w:val="left"/>
        <w:tblInd w:w="0" w:type="dxa"/>
        <w:tblLayout w:type="fixed"/>
        <w:tblCellMar>
          <w:top w:w="28" w:type="dxa"/>
          <w:left w:w="28" w:type="dxa"/>
          <w:bottom w:w="28" w:type="dxa"/>
          <w:right w:w="28" w:type="dxa"/>
        </w:tblCellMar>
      </w:tblPr>
      <w:tblGrid>
        <w:gridCol w:w="2341"/>
        <w:gridCol w:w="146"/>
        <w:gridCol w:w="211"/>
        <w:gridCol w:w="961"/>
        <w:gridCol w:w="146"/>
        <w:gridCol w:w="146"/>
        <w:gridCol w:w="211"/>
        <w:gridCol w:w="961"/>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Awards (year to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3,927,375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3,272,551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Backlog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9,256,893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8,943,038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Book-to-Bill (year to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(1)</w:t>
      </w:r>
    </w:p>
    <w:p>
      <w:pPr>
        <w:pStyle w:val="TextBody"/>
        <w:bidi w:val="0"/>
        <w:spacing w:before="120" w:after="283"/>
        <w:jc w:val="left"/>
        <w:rPr/>
      </w:pPr>
      <w:r>
        <w:rPr>
          <w:rFonts w:ascii="Arial" w:hAnsi="Arial"/>
          <w:color w:val="000000"/>
          <w:sz w:val="18"/>
        </w:rPr>
        <w:t>Difference between our backlog of $9.3 billion and our remaining unsatisfied performance obligations, or RUPO, of $6.9 billion, each as of June 30, 2026, is due to (i) unissued task orders and unexercised option years, to the extent their issuance or exercise is probable, as well as (ii) contract awards, to the extent we believe contract execution and funding is probable.</w:t>
      </w:r>
      <w:r>
        <w:rPr>
          <w:color w:val="00000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summarizes the year to-date value of new awards for the periods presented below (in thousands):</w:t>
      </w:r>
      <w:r>
        <w:rPr>
          <w:rFonts w:ascii="Times New Roman" w:hAnsi="Times New Roman"/>
          <w:color w:val="000000"/>
          <w:sz w:val="20"/>
        </w:rPr>
        <w:t xml:space="preserve"> </w:t>
      </w:r>
    </w:p>
    <w:p>
      <w:pPr>
        <w:pStyle w:val="TextBody"/>
        <w:bidi w:val="0"/>
        <w:jc w:val="left"/>
        <w:rPr/>
      </w:pPr>
      <w:r>
        <w:rPr/>
        <w:t> </w:t>
      </w:r>
    </w:p>
    <w:tbl>
      <w:tblPr>
        <w:tblW w:w="7837" w:type="dxa"/>
        <w:jc w:val="left"/>
        <w:tblInd w:w="0" w:type="dxa"/>
        <w:tblLayout w:type="fixed"/>
        <w:tblCellMar>
          <w:top w:w="28" w:type="dxa"/>
          <w:left w:w="28" w:type="dxa"/>
          <w:bottom w:w="28" w:type="dxa"/>
          <w:right w:w="28" w:type="dxa"/>
        </w:tblCellMar>
      </w:tblPr>
      <w:tblGrid>
        <w:gridCol w:w="1936"/>
        <w:gridCol w:w="146"/>
        <w:gridCol w:w="211"/>
        <w:gridCol w:w="961"/>
        <w:gridCol w:w="146"/>
        <w:gridCol w:w="146"/>
        <w:gridCol w:w="211"/>
        <w:gridCol w:w="961"/>
        <w:gridCol w:w="146"/>
        <w:gridCol w:w="146"/>
        <w:gridCol w:w="211"/>
        <w:gridCol w:w="961"/>
        <w:gridCol w:w="146"/>
        <w:gridCol w:w="146"/>
        <w:gridCol w:w="211"/>
        <w:gridCol w:w="961"/>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1,395,479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1,910,741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1,877,072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1,868,966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3,927,375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3,272,551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change in new awards from year to year is primarily due to ordinary course fluctuations in our business. The volume of contract awards can fluctuate in any given period due to win rate and the timing and size of the awards issued by our customers.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awards for the three and six months ended June 30, 2026 in our Critical Infrastructure segment when compared to the corresponding period last year was primarily driven by an overall increase in awards in the current year period. The increase in awards for the three and six months ended June 30, 2026 in our Federal Solutions segment when compared to the corresponding period last year was primarily driven by significant awards. The comparable period included a delay in the timing of awards of a number of contracts being pursued.</w:t>
      </w:r>
    </w:p>
    <w:p>
      <w:pPr>
        <w:pStyle w:val="TextBody"/>
        <w:bidi w:val="0"/>
        <w:spacing w:before="360" w:after="283"/>
        <w:jc w:val="left"/>
        <w:rPr>
          <w:rFonts w:ascii="Arial" w:hAnsi="Arial"/>
          <w:b/>
          <w:i/>
          <w:color w:val="000000"/>
          <w:sz w:val="20"/>
        </w:rPr>
      </w:pPr>
      <w:r>
        <w:rPr>
          <w:rFonts w:ascii="Arial" w:hAnsi="Arial"/>
          <w:b/>
          <w:i/>
          <w:color w:val="000000"/>
          <w:sz w:val="20"/>
        </w:rPr>
        <w:t>Backlog</w:t>
      </w:r>
    </w:p>
    <w:p>
      <w:pPr>
        <w:pStyle w:val="TextBody"/>
        <w:bidi w:val="0"/>
        <w:spacing w:before="120" w:after="283"/>
        <w:jc w:val="left"/>
        <w:rPr>
          <w:rFonts w:ascii="Arial" w:hAnsi="Arial"/>
          <w:color w:val="000000"/>
          <w:sz w:val="20"/>
        </w:rPr>
      </w:pPr>
      <w:r>
        <w:rPr>
          <w:rFonts w:ascii="Arial" w:hAnsi="Arial"/>
          <w:color w:val="000000"/>
          <w:sz w:val="20"/>
        </w:rPr>
        <w:t>We define backlog to include the following two components: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Funded—Funded backlog represents the revenue value of orders for services under existing contracts for which funding is appropriated or otherwise authorized less revenue previously recognized on these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Unfunded—Unfunded backlog represents the revenue value of orders for services under existing contracts for which funding has not been appropriated or otherwise authorized less revenue previously recognized on these contracts. Unfunded backlog does not include potential task orders expected to be awarded under multiple awards IDIQ (indefinite delivery, indefinite quantity) contract vehicles, where task orders are competitively awarded and separately priced.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Backlog includes (i) unissued task orders and unexercised option years, to the extent their issuance or exercise is probable, as well as (ii) contract awards, to the extent we believe contract execution and funding is probable.</w:t>
      </w:r>
    </w:p>
    <w:p>
      <w:pPr>
        <w:pStyle w:val="TextBody"/>
        <w:bidi w:val="0"/>
        <w:spacing w:before="240" w:after="283"/>
        <w:jc w:val="left"/>
        <w:rPr>
          <w:rFonts w:ascii="Times New Roman" w:hAnsi="Times New Roman"/>
          <w:sz w:val="20"/>
        </w:rPr>
      </w:pPr>
      <w:r>
        <w:rPr>
          <w:rFonts w:ascii="Arial" w:hAnsi="Arial"/>
          <w:color w:val="000000"/>
          <w:sz w:val="20"/>
        </w:rPr>
        <w:t>The following table summarizes the value of our backlog at the respective dates presented below (in thousands):</w:t>
      </w:r>
      <w:r>
        <w:rPr>
          <w:rFonts w:ascii="Times New Roman" w:hAnsi="Times New Roman"/>
          <w:color w:val="000000"/>
          <w:sz w:val="20"/>
        </w:rPr>
        <w:t xml:space="preserve"> </w:t>
      </w:r>
    </w:p>
    <w:p>
      <w:pPr>
        <w:pStyle w:val="TextBody"/>
        <w:bidi w:val="0"/>
        <w:jc w:val="left"/>
        <w:rPr/>
      </w:pPr>
      <w:r>
        <w:rPr/>
        <w:t> </w:t>
      </w:r>
    </w:p>
    <w:tbl>
      <w:tblPr>
        <w:tblW w:w="5684" w:type="dxa"/>
        <w:jc w:val="left"/>
        <w:tblInd w:w="0" w:type="dxa"/>
        <w:tblLayout w:type="fixed"/>
        <w:tblCellMar>
          <w:top w:w="28" w:type="dxa"/>
          <w:left w:w="28" w:type="dxa"/>
          <w:bottom w:w="28" w:type="dxa"/>
          <w:right w:w="28" w:type="dxa"/>
        </w:tblCellMar>
      </w:tblPr>
      <w:tblGrid>
        <w:gridCol w:w="2431"/>
        <w:gridCol w:w="146"/>
        <w:gridCol w:w="211"/>
        <w:gridCol w:w="961"/>
        <w:gridCol w:w="146"/>
        <w:gridCol w:w="146"/>
        <w:gridCol w:w="211"/>
        <w:gridCol w:w="961"/>
        <w:gridCol w:w="47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1,868,875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1,816,590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2,636,203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2,656,547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Federal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4,505,078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4,473,137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4,712,089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4,421,015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48,886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Critical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4,751,815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4,469,901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Backlog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9,256,893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8,943,038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18"/>
        </w:rPr>
      </w:pPr>
      <w:r>
        <w:rPr>
          <w:rFonts w:ascii="Arial" w:hAnsi="Arial"/>
          <w:color w:val="000000"/>
          <w:sz w:val="18"/>
        </w:rPr>
        <w:t>Difference between our backlog of $9.3 billion and our RUPO of $6.9 billion, each as of June 30, 2026, is due to (i) unissued task orders and unexercised option years, to the extent their issuance or exercise is probable, as well as (ii) contract awards, to the extent we believe contract execution and funding is probable.</w:t>
      </w:r>
    </w:p>
    <w:p>
      <w:pPr>
        <w:pStyle w:val="TextBody"/>
        <w:bidi w:val="0"/>
        <w:spacing w:before="240" w:after="283"/>
        <w:jc w:val="left"/>
        <w:rPr>
          <w:rFonts w:ascii="Times New Roman" w:hAnsi="Times New Roman"/>
          <w:sz w:val="20"/>
        </w:rPr>
      </w:pPr>
      <w:r>
        <w:rPr>
          <w:rFonts w:ascii="Arial" w:hAnsi="Arial"/>
          <w:color w:val="000000"/>
          <w:sz w:val="20"/>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expect to recognize $3.8 billion of our funded backlog at June 30, 2026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lower-than-expected revenue” in the Company’s Form 10-K for the year ended December 31, 2025.</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increase in backlog in the Critical Infrastructure segment was primarily from ordinary course fluctuations in our business and an overall increase in awards. The decrease in Federal Solutions backlog was primarily related to a reduction in work on our confidential contract as a result of the Department of State reorganization issued May 29, 2025, partially offset by an overall increase in awards.</w:t>
      </w:r>
    </w:p>
    <w:p>
      <w:pPr>
        <w:pStyle w:val="TextBody"/>
        <w:bidi w:val="0"/>
        <w:spacing w:before="360" w:after="283"/>
        <w:jc w:val="left"/>
        <w:rPr>
          <w:rFonts w:ascii="Times New Roman" w:hAnsi="Times New Roman"/>
          <w:sz w:val="20"/>
        </w:rPr>
      </w:pPr>
      <w:r>
        <w:rPr>
          <w:rFonts w:ascii="Arial" w:hAnsi="Arial"/>
          <w:b/>
          <w:i/>
          <w:color w:val="000000"/>
          <w:sz w:val="20"/>
        </w:rPr>
        <w:t>Book-to-Bill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r>
        <w:rPr>
          <w:rFonts w:ascii="Times New Roman" w:hAnsi="Times New Roman"/>
          <w:color w:val="000000"/>
          <w:sz w:val="20"/>
        </w:rPr>
        <w:t xml:space="preserve"> </w:t>
      </w:r>
    </w:p>
    <w:p>
      <w:pPr>
        <w:pStyle w:val="TextBody"/>
        <w:bidi w:val="0"/>
        <w:jc w:val="left"/>
        <w:rPr/>
      </w:pPr>
      <w:r>
        <w:rPr/>
        <w:t> </w:t>
      </w:r>
    </w:p>
    <w:tbl>
      <w:tblPr>
        <w:tblW w:w="7963" w:type="dxa"/>
        <w:jc w:val="left"/>
        <w:tblInd w:w="0" w:type="dxa"/>
        <w:tblLayout w:type="fixed"/>
        <w:tblCellMar>
          <w:top w:w="28" w:type="dxa"/>
          <w:left w:w="28" w:type="dxa"/>
          <w:bottom w:w="28" w:type="dxa"/>
          <w:right w:w="28" w:type="dxa"/>
        </w:tblCellMar>
      </w:tblPr>
      <w:tblGrid>
        <w:gridCol w:w="1936"/>
        <w:gridCol w:w="146"/>
        <w:gridCol w:w="326"/>
        <w:gridCol w:w="844"/>
        <w:gridCol w:w="191"/>
        <w:gridCol w:w="191"/>
        <w:gridCol w:w="326"/>
        <w:gridCol w:w="844"/>
        <w:gridCol w:w="146"/>
        <w:gridCol w:w="146"/>
        <w:gridCol w:w="326"/>
        <w:gridCol w:w="844"/>
        <w:gridCol w:w="168"/>
        <w:gridCol w:w="168"/>
        <w:gridCol w:w="326"/>
        <w:gridCol w:w="844"/>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center"/>
        <w:rPr>
          <w:rFonts w:ascii="Times New Roman" w:hAnsi="Times New Roman"/>
          <w:sz w:val="20"/>
        </w:rPr>
      </w:pPr>
      <w:r>
        <w:rPr>
          <w:rFonts w:ascii="Arial" w:hAnsi="Arial"/>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Government Spending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Federal Budget Uncertainty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War and the U.S. intelligence community, including those related to cybersecurity, could impact our ability to perform in the markets we serve.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Competitive Markets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well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Acquired Operations</w:t>
      </w:r>
    </w:p>
    <w:p>
      <w:pPr>
        <w:pStyle w:val="TextBody"/>
        <w:bidi w:val="0"/>
        <w:spacing w:before="240" w:after="283"/>
        <w:jc w:val="left"/>
        <w:rPr>
          <w:rFonts w:ascii="Arial" w:hAnsi="Arial"/>
          <w:i/>
          <w:color w:val="000000"/>
          <w:sz w:val="20"/>
        </w:rPr>
      </w:pPr>
      <w:r>
        <w:rPr>
          <w:rFonts w:ascii="Arial" w:hAnsi="Arial"/>
          <w:i/>
          <w:color w:val="000000"/>
          <w:sz w:val="20"/>
        </w:rPr>
        <w:t>Altamira Technologies Corporation.</w:t>
      </w:r>
    </w:p>
    <w:p>
      <w:pPr>
        <w:pStyle w:val="TextBody"/>
        <w:bidi w:val="0"/>
        <w:spacing w:before="120" w:after="283"/>
        <w:jc w:val="left"/>
        <w:rPr>
          <w:rFonts w:ascii="Arial" w:hAnsi="Arial"/>
          <w:color w:val="000000"/>
          <w:sz w:val="20"/>
        </w:rPr>
      </w:pPr>
      <w:r>
        <w:rPr>
          <w:rFonts w:ascii="Arial" w:hAnsi="Arial"/>
          <w:color w:val="000000"/>
          <w:sz w:val="20"/>
        </w:rPr>
        <w:t>On January 14, 2026, the Company acquired a 100% ownership interest in Altamira Technologies Corporation ("ATC"), a privately owned company, for approximately $339 million in cash and up to an additional $45 million in the event an earn out EBITDA target is exceeded. The Company borrowed $330.0 million under the Credit Agreement to fund the acquisition. Headquartered in McLean, Virginia, ATC enhances Parsons’ defense and intelligence portfolio by delivering advanced analytics, signals intelligence (SIGINT), cyber, missile warning, and space capabilities, complementing the company’s strengths in all</w:t>
        <w:noBreakHyphen/>
        <w:t>domain technology integration and Indo</w:t>
        <w:noBreakHyphen/>
        <w:t>Pacific operations, and expanding with intelligence community (IC) customers. The financial results of ATC have been included in our consolidated results of operations from March 31, 2026 onward.</w:t>
      </w:r>
    </w:p>
    <w:p>
      <w:pPr>
        <w:pStyle w:val="TextBody"/>
        <w:bidi w:val="0"/>
        <w:spacing w:before="240" w:after="283"/>
        <w:jc w:val="left"/>
        <w:rPr>
          <w:rFonts w:ascii="Arial" w:hAnsi="Arial"/>
          <w:i/>
          <w:color w:val="000000"/>
          <w:sz w:val="20"/>
        </w:rPr>
      </w:pPr>
      <w:r>
        <w:rPr>
          <w:rFonts w:ascii="Arial" w:hAnsi="Arial"/>
          <w:i/>
          <w:color w:val="000000"/>
          <w:sz w:val="20"/>
        </w:rPr>
        <w:t>Applied Sciences Consulting, Inc.</w:t>
      </w:r>
    </w:p>
    <w:p>
      <w:pPr>
        <w:pStyle w:val="TextBody"/>
        <w:bidi w:val="0"/>
        <w:spacing w:before="120" w:after="283"/>
        <w:jc w:val="left"/>
        <w:rPr>
          <w:rFonts w:ascii="Arial" w:hAnsi="Arial"/>
          <w:color w:val="000000"/>
          <w:sz w:val="20"/>
        </w:rPr>
      </w:pPr>
      <w:r>
        <w:rPr>
          <w:rFonts w:ascii="Arial" w:hAnsi="Arial"/>
          <w:color w:val="000000"/>
          <w:sz w:val="20"/>
        </w:rPr>
        <w:t>On October 1, 2025, the Company acquired a 100% ownership interest in Applied Sciences Consulting, Inc. ("ASC"), a privately owned company, for $28.2 million from cash on hand. ASC specializes in water and stormwater solutions for cities, counties, and water management districts across the state of Florida. ASC enhances our ability to partner with Florida communities on delivering innovative solutions for their resiliency challenges, while expanding those capabilities to new and existing clients around the world. The financial results of ASC have been included in our consolidated results of operations from December 31, 2025 onward.</w:t>
      </w:r>
    </w:p>
    <w:p>
      <w:pPr>
        <w:pStyle w:val="TextBody"/>
        <w:bidi w:val="0"/>
        <w:spacing w:before="240" w:after="283"/>
        <w:jc w:val="left"/>
        <w:rPr>
          <w:rFonts w:ascii="Arial" w:hAnsi="Arial"/>
          <w:i/>
          <w:color w:val="000000"/>
          <w:sz w:val="20"/>
        </w:rPr>
      </w:pPr>
      <w:r>
        <w:rPr>
          <w:rFonts w:ascii="Arial" w:hAnsi="Arial"/>
          <w:i/>
          <w:color w:val="000000"/>
          <w:sz w:val="20"/>
        </w:rPr>
        <w:t>Chesapeake Technology International, Corp</w:t>
      </w:r>
    </w:p>
    <w:p>
      <w:pPr>
        <w:pStyle w:val="TextBody"/>
        <w:bidi w:val="0"/>
        <w:spacing w:before="120" w:after="283"/>
        <w:jc w:val="left"/>
        <w:rPr>
          <w:rFonts w:ascii="Arial" w:hAnsi="Arial"/>
          <w:color w:val="000000"/>
          <w:sz w:val="20"/>
        </w:rPr>
      </w:pPr>
      <w:r>
        <w:rPr>
          <w:rFonts w:ascii="Arial" w:hAnsi="Arial"/>
          <w:color w:val="000000"/>
          <w:sz w:val="20"/>
        </w:rPr>
        <w:t>On June 30, 2025, the Company acquired a 100% ownership interest in Chesapeake Technology International, Corp ("CTI"), a privately owned company, for $91.5 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War. The financial results of CTI have been included in our consolidated results of operations from June 30, 2025 onward.</w:t>
      </w:r>
    </w:p>
    <w:p>
      <w:pPr>
        <w:pStyle w:val="TextBody"/>
        <w:bidi w:val="0"/>
        <w:spacing w:before="240" w:after="283"/>
        <w:jc w:val="left"/>
        <w:rPr>
          <w:rFonts w:ascii="Arial" w:hAnsi="Arial"/>
          <w:i/>
          <w:color w:val="000000"/>
          <w:sz w:val="20"/>
        </w:rPr>
      </w:pPr>
      <w:r>
        <w:rPr>
          <w:rFonts w:ascii="Arial" w:hAnsi="Arial"/>
          <w:i/>
          <w:color w:val="000000"/>
          <w:sz w:val="20"/>
        </w:rPr>
        <w:t>TRS Group, Inc.</w:t>
      </w:r>
    </w:p>
    <w:p>
      <w:pPr>
        <w:pStyle w:val="TextBody"/>
        <w:bidi w:val="0"/>
        <w:spacing w:before="120" w:after="283"/>
        <w:jc w:val="left"/>
        <w:rPr>
          <w:rFonts w:ascii="Arial" w:hAnsi="Arial"/>
          <w:color w:val="000000"/>
          <w:sz w:val="20"/>
        </w:rPr>
      </w:pPr>
      <w:r>
        <w:rPr>
          <w:rFonts w:ascii="Arial" w:hAnsi="Arial"/>
          <w:color w:val="000000"/>
          <w:sz w:val="20"/>
        </w:rPr>
        <w:t>On January 31, 2025, the Company acquired a 100% ownership interest in TRS Group, Inc. ("TRS") a privately owned company, for $36.6 million. TRS is an environmental solutions firm that specializes in remediation technology. The acquisition of TRS significantly enhances Parsons’ environmental remediation capabilities. The financial results of TRS have been included in our consolidated results of operations from January 31, 2025 onward.</w:t>
      </w:r>
    </w:p>
    <w:p>
      <w:pPr>
        <w:pStyle w:val="TextBody"/>
        <w:bidi w:val="0"/>
        <w:spacing w:before="360" w:after="283"/>
        <w:jc w:val="left"/>
        <w:rPr>
          <w:rFonts w:ascii="Times New Roman" w:hAnsi="Times New Roman"/>
          <w:sz w:val="20"/>
        </w:rPr>
      </w:pPr>
      <w:r>
        <w:rPr>
          <w:rFonts w:ascii="Arial" w:hAnsi="Arial"/>
          <w:b/>
          <w:i/>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Revenue</w:t>
      </w:r>
    </w:p>
    <w:p>
      <w:pPr>
        <w:pStyle w:val="TextBody"/>
        <w:bidi w:val="0"/>
        <w:spacing w:before="120" w:after="283"/>
        <w:jc w:val="left"/>
        <w:rPr>
          <w:rFonts w:ascii="Times New Roman" w:hAnsi="Times New Roman"/>
          <w:sz w:val="20"/>
        </w:rPr>
      </w:pPr>
      <w:r>
        <w:rPr>
          <w:rFonts w:ascii="Arial" w:hAnsi="Arial"/>
          <w:color w:val="000000"/>
          <w:sz w:val="20"/>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enter into the following types of contracts with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Under cost-plus contracts, we are reimbursed for allowable or otherwise defined costs incurred, plus a fee. The contracts may also include incentives for various performance criteria, including quality, timeliness,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safety and cost-effectiveness. In addition, costs are generally subject to review by clients and regulatory audit agencies, and such reviews could result in costs being disputed as non-reimbursable under the terms of the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Under fixed-price contracts, clients pay an agreed fixed-amount negotiated in advance for a specified scope of work.</w:t>
      </w:r>
    </w:p>
    <w:p>
      <w:pPr>
        <w:pStyle w:val="TextBody"/>
        <w:bidi w:val="0"/>
        <w:spacing w:before="240" w:after="283"/>
        <w:jc w:val="left"/>
        <w:rPr>
          <w:rFonts w:ascii="Times New Roman" w:hAnsi="Times New Roman"/>
          <w:sz w:val="20"/>
        </w:rPr>
      </w:pPr>
      <w:r>
        <w:rPr>
          <w:rFonts w:ascii="Arial" w:hAnsi="Arial"/>
          <w:color w:val="000000"/>
          <w:sz w:val="20"/>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2025 for a description of our policies on 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table below presents the percentage of total revenue for each type of contract.</w:t>
      </w:r>
      <w:r>
        <w:rPr>
          <w:rFonts w:ascii="Times New Roman" w:hAnsi="Times New Roman"/>
          <w:color w:val="000000"/>
          <w:sz w:val="20"/>
        </w:rPr>
        <w:t xml:space="preserve"> </w:t>
      </w:r>
    </w:p>
    <w:p>
      <w:pPr>
        <w:pStyle w:val="TextBody"/>
        <w:bidi w:val="0"/>
        <w:jc w:val="left"/>
        <w:rPr/>
      </w:pPr>
      <w:r>
        <w:rPr/>
        <w:t> </w:t>
      </w:r>
    </w:p>
    <w:tbl>
      <w:tblPr>
        <w:tblW w:w="7099" w:type="dxa"/>
        <w:jc w:val="left"/>
        <w:tblInd w:w="0" w:type="dxa"/>
        <w:tblLayout w:type="fixed"/>
        <w:tblCellMar>
          <w:top w:w="28" w:type="dxa"/>
          <w:left w:w="28" w:type="dxa"/>
          <w:bottom w:w="28" w:type="dxa"/>
          <w:right w:w="28" w:type="dxa"/>
        </w:tblCellMar>
      </w:tblPr>
      <w:tblGrid>
        <w:gridCol w:w="1786"/>
        <w:gridCol w:w="146"/>
        <w:gridCol w:w="1171"/>
        <w:gridCol w:w="146"/>
        <w:gridCol w:w="1171"/>
        <w:gridCol w:w="146"/>
        <w:gridCol w:w="1171"/>
        <w:gridCol w:w="146"/>
        <w:gridCol w:w="121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35.3%</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Time-and-materials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22.9%</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41.8%</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generally experienced a relatively stable contract mix.</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change in the contract mix for the three and six months ended June 30, 2026 compared to the corresponding periods last year primarily relates to decreased business volume from a fixed price contract from a confidential contract in our Federal Solutions segment.</w:t>
      </w:r>
    </w:p>
    <w:p>
      <w:pPr>
        <w:pStyle w:val="TextBody"/>
        <w:bidi w:val="0"/>
        <w:spacing w:before="240" w:after="283"/>
        <w:jc w:val="left"/>
        <w:rPr>
          <w:rFonts w:ascii="Arial" w:hAnsi="Arial"/>
          <w:color w:val="000000"/>
          <w:sz w:val="20"/>
        </w:rPr>
      </w:pPr>
      <w:r>
        <w:rPr>
          <w:rFonts w:ascii="Arial" w:hAnsi="Arial"/>
          <w:color w:val="000000"/>
          <w:sz w:val="20"/>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pStyle w:val="TextBody"/>
        <w:bidi w:val="0"/>
        <w:spacing w:before="360" w:after="283"/>
        <w:jc w:val="left"/>
        <w:rPr>
          <w:rFonts w:ascii="Times New Roman" w:hAnsi="Times New Roman"/>
          <w:sz w:val="20"/>
        </w:rPr>
      </w:pPr>
      <w:r>
        <w:rPr>
          <w:rFonts w:ascii="Arial" w:hAnsi="Arial"/>
          <w:b/>
          <w:i/>
          <w:color w:val="000000"/>
          <w:sz w:val="20"/>
        </w:rPr>
        <w:t>Joint Ventures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June 30, 2026 and June 30, 2025 of $46.7 million and $42.0 million, respectively and $96.3 million and $87.5 million for the six months ended June 30, 2026 and June 30, 2025, respectively.</w:t>
      </w:r>
    </w:p>
    <w:p>
      <w:pPr>
        <w:pStyle w:val="TextBody"/>
        <w:bidi w:val="0"/>
        <w:spacing w:before="360" w:after="283"/>
        <w:jc w:val="left"/>
        <w:rPr>
          <w:rFonts w:ascii="Arial" w:hAnsi="Arial"/>
          <w:b/>
          <w:i/>
          <w:color w:val="000000"/>
          <w:sz w:val="20"/>
        </w:rPr>
      </w:pPr>
      <w:r>
        <w:rPr>
          <w:rFonts w:ascii="Arial" w:hAnsi="Arial"/>
          <w:b/>
          <w:i/>
          <w:color w:val="000000"/>
          <w:sz w:val="20"/>
        </w:rPr>
        <w:t>Operating costs and expenses</w:t>
      </w:r>
    </w:p>
    <w:p>
      <w:pPr>
        <w:pStyle w:val="TextBody"/>
        <w:bidi w:val="0"/>
        <w:spacing w:before="120" w:after="283"/>
        <w:jc w:val="left"/>
        <w:rPr>
          <w:rFonts w:ascii="Times New Roman" w:hAnsi="Times New Roman"/>
          <w:sz w:val="20"/>
        </w:rPr>
      </w:pPr>
      <w:r>
        <w:rPr>
          <w:rFonts w:ascii="Arial" w:hAnsi="Arial"/>
          <w:color w:val="000000"/>
          <w:sz w:val="20"/>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June 30, 2026 and June 30, 2025 was $19.8 million and $17.6 million, respectively and $39.1</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million and $35.4 million for the six months ended June 30, 2026 and June 30, 2025, respectively and is recorded in “Direct cost of contracts” and “Selling, general and administrative expenses.”</w:t>
      </w:r>
    </w:p>
    <w:p>
      <w:pPr>
        <w:pStyle w:val="TextBody"/>
        <w:bidi w:val="0"/>
        <w:spacing w:before="240" w:after="283"/>
        <w:jc w:val="left"/>
        <w:rPr>
          <w:rFonts w:ascii="Times New Roman" w:hAnsi="Times New Roman"/>
          <w:sz w:val="20"/>
        </w:rPr>
      </w:pPr>
      <w:r>
        <w:rPr>
          <w:rFonts w:ascii="Arial" w:hAnsi="Arial"/>
          <w:color w:val="000000"/>
          <w:sz w:val="20"/>
        </w:rPr>
        <w:t>Direct costs of contracts consist of direct labor and associated fringe benefits, indirect overhead, subcontractor and materials (“pass-through costs”), travel expenses and other expenses incurred to perform on contracts.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Selling, general and administrative expenses (“SG&amp;A”) include salaries and wages and fringe benefits of our employees not performing work directly for customers, facility costs and other costs related to these indirect functions.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Other income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Other income and expenses primarily consist of interest income, interest expense and 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Interest income primarily consists of interest earned on U.S. government money market funds.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Interest expense consists of interest expense incurred under our Convertible Senior Notes, Term Loan, and Revolving Credit Agreement.</w:t>
      </w:r>
    </w:p>
    <w:p>
      <w:pPr>
        <w:pStyle w:val="TextBody"/>
        <w:bidi w:val="0"/>
        <w:spacing w:before="240" w:after="283"/>
        <w:jc w:val="left"/>
        <w:rPr>
          <w:rFonts w:ascii="Times New Roman" w:hAnsi="Times New Roman"/>
          <w:sz w:val="20"/>
        </w:rPr>
      </w:pPr>
      <w:r>
        <w:rPr>
          <w:rFonts w:ascii="Arial" w:hAnsi="Arial"/>
          <w:color w:val="000000"/>
          <w:sz w:val="20"/>
        </w:rPr>
        <w:t>Other income, net primarily consists of gain or loss on sale of businesses and sale of assets, sublease income and transaction gain or loss related to movements in foreign currency exchange rates.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Adjusted EBITDA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sets forth Adjusted EBITDA, Net Income Margin, and Adjusted EBITDA Margin for the three and six months ended June 30, 2026 and June 30, 2025.</w:t>
      </w:r>
      <w:r>
        <w:rPr>
          <w:rFonts w:ascii="Times New Roman" w:hAnsi="Times New Roman"/>
          <w:color w:val="000000"/>
          <w:sz w:val="20"/>
        </w:rPr>
        <w:t xml:space="preserve"> </w:t>
      </w:r>
    </w:p>
    <w:p>
      <w:pPr>
        <w:pStyle w:val="TextBody"/>
        <w:bidi w:val="0"/>
        <w:jc w:val="left"/>
        <w:rPr/>
      </w:pPr>
      <w:r>
        <w:rPr/>
        <w:t> </w:t>
      </w:r>
    </w:p>
    <w:tbl>
      <w:tblPr>
        <w:tblW w:w="9049" w:type="dxa"/>
        <w:jc w:val="left"/>
        <w:tblInd w:w="0" w:type="dxa"/>
        <w:tblLayout w:type="fixed"/>
        <w:tblCellMar>
          <w:top w:w="28" w:type="dxa"/>
          <w:left w:w="28" w:type="dxa"/>
          <w:bottom w:w="28" w:type="dxa"/>
          <w:right w:w="28" w:type="dxa"/>
        </w:tblCellMar>
      </w:tblPr>
      <w:tblGrid>
        <w:gridCol w:w="2596"/>
        <w:gridCol w:w="146"/>
        <w:gridCol w:w="273"/>
        <w:gridCol w:w="897"/>
        <w:gridCol w:w="286"/>
        <w:gridCol w:w="146"/>
        <w:gridCol w:w="245"/>
        <w:gridCol w:w="925"/>
        <w:gridCol w:w="286"/>
        <w:gridCol w:w="146"/>
        <w:gridCol w:w="245"/>
        <w:gridCol w:w="925"/>
        <w:gridCol w:w="286"/>
        <w:gridCol w:w="146"/>
        <w:gridCol w:w="245"/>
        <w:gridCol w:w="925"/>
        <w:gridCol w:w="33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297,907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Margin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Margin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Arial" w:hAnsi="Arial"/>
          <w:color w:val="000000"/>
          <w:sz w:val="18"/>
        </w:rPr>
      </w:pPr>
      <w:r>
        <w:rPr>
          <w:rFonts w:ascii="Arial" w:hAnsi="Arial"/>
          <w:color w:val="000000"/>
          <w:sz w:val="18"/>
        </w:rPr>
        <w:t>(1)</w:t>
      </w:r>
    </w:p>
    <w:p>
      <w:pPr>
        <w:pStyle w:val="TextBody"/>
        <w:bidi w:val="0"/>
        <w:spacing w:before="120" w:after="283"/>
        <w:jc w:val="left"/>
        <w:rPr>
          <w:rFonts w:ascii="Arial" w:hAnsi="Arial"/>
          <w:color w:val="000000"/>
          <w:sz w:val="18"/>
        </w:rPr>
      </w:pPr>
      <w:r>
        <w:rPr>
          <w:rFonts w:ascii="Arial" w:hAnsi="Arial"/>
          <w:color w:val="000000"/>
          <w:sz w:val="18"/>
        </w:rPr>
        <w:t xml:space="preserve">A reconciliation of net income attributable to Parsons Corporation to Adjusted EBITDA is set forth below (in thousands).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Net Income Margin is calculated as net income including noncontrolling interest divided by revenue in the applicable period.</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jc w:val="left"/>
        <w:rPr>
          <w:rFonts w:ascii="Arial" w:hAnsi="Arial"/>
          <w:color w:val="000000"/>
          <w:sz w:val="18"/>
        </w:rPr>
      </w:pPr>
      <w:r>
        <w:rPr>
          <w:rFonts w:ascii="Arial" w:hAnsi="Arial"/>
          <w:color w:val="000000"/>
          <w:sz w:val="18"/>
        </w:rPr>
        <w:t>Adjusted EBITDA Margin is calculated as Adjusted EBITDA divided by revenue in the applicable period.</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141"/>
        <w:gridCol w:w="146"/>
        <w:gridCol w:w="246"/>
        <w:gridCol w:w="879"/>
        <w:gridCol w:w="166"/>
        <w:gridCol w:w="146"/>
        <w:gridCol w:w="237"/>
        <w:gridCol w:w="897"/>
        <w:gridCol w:w="146"/>
        <w:gridCol w:w="146"/>
        <w:gridCol w:w="237"/>
        <w:gridCol w:w="897"/>
        <w:gridCol w:w="166"/>
        <w:gridCol w:w="146"/>
        <w:gridCol w:w="237"/>
        <w:gridCol w:w="897"/>
        <w:gridCol w:w="475"/>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121,433</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21,605</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37,667</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55,995</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30,843</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18,622</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Transaction-related costs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8,836</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297,907</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8"/>
        </w:rPr>
      </w:pPr>
      <w:r>
        <w:rPr>
          <w:rFonts w:ascii="Arial" w:hAnsi="Arial"/>
          <w:color w:val="000000"/>
          <w:sz w:val="18"/>
        </w:rPr>
        <w:t>(a)</w:t>
      </w:r>
    </w:p>
    <w:p>
      <w:pPr>
        <w:pStyle w:val="TextBody"/>
        <w:bidi w:val="0"/>
        <w:spacing w:before="120" w:after="283"/>
        <w:jc w:val="left"/>
        <w:rPr>
          <w:rFonts w:ascii="Arial" w:hAnsi="Arial"/>
          <w:color w:val="000000"/>
          <w:sz w:val="18"/>
        </w:rPr>
      </w:pPr>
      <w:r>
        <w:rPr>
          <w:rFonts w:ascii="Arial" w:hAnsi="Arial"/>
          <w:color w:val="000000"/>
          <w:sz w:val="18"/>
        </w:rPr>
        <w:t>Reflects costs incurred in connection with acquisitions and other non-recurring transaction costs, primarily fees paid for professional services and employee retention.</w:t>
      </w:r>
    </w:p>
    <w:p>
      <w:pPr>
        <w:pStyle w:val="TextBody"/>
        <w:bidi w:val="0"/>
        <w:spacing w:before="120" w:after="283"/>
        <w:jc w:val="left"/>
        <w:rPr>
          <w:rFonts w:ascii="Arial" w:hAnsi="Arial"/>
          <w:color w:val="000000"/>
          <w:sz w:val="18"/>
        </w:rPr>
      </w:pPr>
      <w:r>
        <w:rPr>
          <w:rFonts w:ascii="Arial" w:hAnsi="Arial"/>
          <w:color w:val="000000"/>
          <w:sz w:val="18"/>
        </w:rPr>
        <w:t>(b)</w:t>
      </w:r>
    </w:p>
    <w:p>
      <w:pPr>
        <w:pStyle w:val="TextBody"/>
        <w:bidi w:val="0"/>
        <w:spacing w:before="120" w:after="283"/>
        <w:jc w:val="left"/>
        <w:rPr>
          <w:rFonts w:ascii="Arial" w:hAnsi="Arial"/>
          <w:color w:val="000000"/>
          <w:sz w:val="18"/>
        </w:rPr>
      </w:pPr>
      <w:r>
        <w:rPr>
          <w:rFonts w:ascii="Arial" w:hAnsi="Arial"/>
          <w:color w:val="000000"/>
          <w:sz w:val="18"/>
        </w:rPr>
        <w:t>Reflects costs associated with and related to our corporate restructuring initiatives.</w:t>
      </w:r>
    </w:p>
    <w:p>
      <w:pPr>
        <w:pStyle w:val="TextBody"/>
        <w:bidi w:val="0"/>
        <w:spacing w:before="120" w:after="283"/>
        <w:jc w:val="left"/>
        <w:rPr>
          <w:rFonts w:ascii="Arial" w:hAnsi="Arial"/>
          <w:color w:val="000000"/>
          <w:sz w:val="18"/>
        </w:rPr>
      </w:pPr>
      <w:r>
        <w:rPr>
          <w:rFonts w:ascii="Arial" w:hAnsi="Arial"/>
          <w:color w:val="000000"/>
          <w:sz w:val="18"/>
        </w:rPr>
        <w:t>(c)</w:t>
      </w:r>
    </w:p>
    <w:p>
      <w:pPr>
        <w:pStyle w:val="TextBody"/>
        <w:bidi w:val="0"/>
        <w:spacing w:before="120" w:after="283"/>
        <w:jc w:val="left"/>
        <w:rPr>
          <w:rFonts w:ascii="Arial" w:hAnsi="Arial"/>
          <w:color w:val="000000"/>
          <w:sz w:val="18"/>
        </w:rPr>
      </w:pPr>
      <w:r>
        <w:rPr>
          <w:rFonts w:ascii="Arial" w:hAnsi="Arial"/>
          <w:color w:val="000000"/>
          <w:sz w:val="18"/>
        </w:rPr>
        <w:t>Includes a combination of gain/loss related to sale of businesses and sale of fixed assets, software implementation costs, and other individually insignificant items that are non-recurring in nature.</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following tables show Adjusted EBITDA attributable to Parsons Corporation for each of our reportable segments and Adjusted EBITDA attributable to noncontrolling interests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08"/>
        <w:gridCol w:w="146"/>
        <w:gridCol w:w="239"/>
        <w:gridCol w:w="855"/>
        <w:gridCol w:w="166"/>
        <w:gridCol w:w="146"/>
        <w:gridCol w:w="232"/>
        <w:gridCol w:w="878"/>
        <w:gridCol w:w="146"/>
        <w:gridCol w:w="146"/>
        <w:gridCol w:w="211"/>
        <w:gridCol w:w="856"/>
        <w:gridCol w:w="166"/>
        <w:gridCol w:w="146"/>
        <w:gridCol w:w="146"/>
        <w:gridCol w:w="646"/>
        <w:gridCol w:w="372"/>
      </w:tblGrid>
      <w:tr>
        <w:trPr/>
        <w:tc>
          <w:tcPr>
            <w:tcW w:w="4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 Adjusted EBITDA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 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791"/>
        <w:gridCol w:w="146"/>
        <w:gridCol w:w="233"/>
        <w:gridCol w:w="880"/>
        <w:gridCol w:w="146"/>
        <w:gridCol w:w="146"/>
        <w:gridCol w:w="233"/>
        <w:gridCol w:w="880"/>
        <w:gridCol w:w="146"/>
        <w:gridCol w:w="146"/>
        <w:gridCol w:w="211"/>
        <w:gridCol w:w="856"/>
        <w:gridCol w:w="166"/>
        <w:gridCol w:w="146"/>
        <w:gridCol w:w="150"/>
        <w:gridCol w:w="556"/>
        <w:gridCol w:w="373"/>
      </w:tblGrid>
      <w:tr>
        <w:trPr/>
        <w:tc>
          <w:tcPr>
            <w:tcW w:w="4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 Adjusted EBITDA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 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following table sets forth our results of operations for the three and six months ended June 30, 2026 and June 30, 2025 as a percentage of revenue.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44"/>
        <w:gridCol w:w="146"/>
        <w:gridCol w:w="201"/>
        <w:gridCol w:w="811"/>
        <w:gridCol w:w="324"/>
        <w:gridCol w:w="146"/>
        <w:gridCol w:w="201"/>
        <w:gridCol w:w="811"/>
        <w:gridCol w:w="324"/>
        <w:gridCol w:w="146"/>
        <w:gridCol w:w="201"/>
        <w:gridCol w:w="811"/>
        <w:gridCol w:w="324"/>
        <w:gridCol w:w="146"/>
        <w:gridCol w:w="201"/>
        <w:gridCol w:w="811"/>
        <w:gridCol w:w="657"/>
      </w:tblGrid>
      <w:tr>
        <w:trPr/>
        <w:tc>
          <w:tcPr>
            <w:tcW w:w="3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costs of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81.3</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78.7</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(losses)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including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i/>
          <w:color w:val="000000"/>
          <w:sz w:val="20"/>
        </w:rPr>
      </w:pPr>
      <w:r>
        <w:rPr>
          <w:rFonts w:ascii="Arial" w:hAnsi="Arial"/>
          <w:i/>
          <w:color w:val="000000"/>
          <w:sz w:val="20"/>
        </w:rPr>
        <w:t>Revenue</w:t>
      </w:r>
    </w:p>
    <w:p>
      <w:pPr>
        <w:pStyle w:val="TextBody"/>
        <w:bidi w:val="0"/>
        <w:jc w:val="left"/>
        <w:rPr/>
      </w:pPr>
      <w:r>
        <w:rPr/>
        <w:t> </w:t>
      </w:r>
    </w:p>
    <w:tbl>
      <w:tblPr>
        <w:tblW w:w="7557" w:type="dxa"/>
        <w:jc w:val="left"/>
        <w:tblInd w:w="0" w:type="dxa"/>
        <w:tblLayout w:type="fixed"/>
        <w:tblCellMar>
          <w:top w:w="28" w:type="dxa"/>
          <w:left w:w="28" w:type="dxa"/>
          <w:bottom w:w="28" w:type="dxa"/>
          <w:right w:w="28" w:type="dxa"/>
        </w:tblCellMar>
      </w:tblPr>
      <w:tblGrid>
        <w:gridCol w:w="2236"/>
        <w:gridCol w:w="146"/>
        <w:gridCol w:w="216"/>
        <w:gridCol w:w="954"/>
        <w:gridCol w:w="146"/>
        <w:gridCol w:w="146"/>
        <w:gridCol w:w="216"/>
        <w:gridCol w:w="954"/>
        <w:gridCol w:w="146"/>
        <w:gridCol w:w="146"/>
        <w:gridCol w:w="211"/>
        <w:gridCol w:w="631"/>
        <w:gridCol w:w="166"/>
        <w:gridCol w:w="146"/>
        <w:gridCol w:w="177"/>
        <w:gridCol w:w="529"/>
        <w:gridCol w:w="3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1,575,867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1,584,323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Revenue decreased $8.5 million for the three months ended June 30, 2026 when compared to the corresponding period last year, due to a decrease in revenue in our Federal Solutions segment of $44.6 million, offset by an increase in revenue in our Critical Infrastructure Segment of $36.1 million. See “Segment Results” below for a further discussion of the changes in the Company's revenue.</w:t>
      </w:r>
    </w:p>
    <w:p>
      <w:pPr>
        <w:pStyle w:val="TextBody"/>
        <w:bidi w:val="0"/>
        <w:jc w:val="left"/>
        <w:rPr/>
      </w:pPr>
      <w:r>
        <w:rPr/>
        <w:t> </w:t>
      </w:r>
    </w:p>
    <w:tbl>
      <w:tblPr>
        <w:tblW w:w="7662" w:type="dxa"/>
        <w:jc w:val="left"/>
        <w:tblInd w:w="0" w:type="dxa"/>
        <w:tblLayout w:type="fixed"/>
        <w:tblCellMar>
          <w:top w:w="28" w:type="dxa"/>
          <w:left w:w="28" w:type="dxa"/>
          <w:bottom w:w="28" w:type="dxa"/>
          <w:right w:w="28" w:type="dxa"/>
        </w:tblCellMar>
      </w:tblPr>
      <w:tblGrid>
        <w:gridCol w:w="2236"/>
        <w:gridCol w:w="146"/>
        <w:gridCol w:w="216"/>
        <w:gridCol w:w="954"/>
        <w:gridCol w:w="146"/>
        <w:gridCol w:w="146"/>
        <w:gridCol w:w="216"/>
        <w:gridCol w:w="954"/>
        <w:gridCol w:w="146"/>
        <w:gridCol w:w="146"/>
        <w:gridCol w:w="211"/>
        <w:gridCol w:w="736"/>
        <w:gridCol w:w="166"/>
        <w:gridCol w:w="146"/>
        <w:gridCol w:w="177"/>
        <w:gridCol w:w="529"/>
        <w:gridCol w:w="3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3,067,043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3,138,683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Revenue decreased $71.6 million for the six months ended June 30, 2026 when compared to the corresponding period last year, due to a decrease in revenue in our Federal Solutions segment of $128.8 million, offset by an increase in revenue in our Critical Infrastructure Segment of $57.2 million. See “Segment Results” below for a further discussion of the changes in the Company's revenue.</w:t>
      </w:r>
    </w:p>
    <w:p>
      <w:pPr>
        <w:pStyle w:val="TextBody"/>
        <w:bidi w:val="0"/>
        <w:spacing w:before="240" w:after="283"/>
        <w:jc w:val="left"/>
        <w:rPr>
          <w:rFonts w:ascii="Times New Roman" w:hAnsi="Times New Roman"/>
          <w:sz w:val="20"/>
        </w:rPr>
      </w:pPr>
      <w:r>
        <w:rPr>
          <w:rFonts w:ascii="Arial" w:hAnsi="Arial"/>
          <w:i/>
          <w:color w:val="000000"/>
          <w:sz w:val="20"/>
        </w:rPr>
        <w:t>Direct costs of contracts</w:t>
      </w:r>
      <w:r>
        <w:rPr>
          <w:rFonts w:ascii="Times New Roman" w:hAnsi="Times New Roman"/>
          <w:color w:val="000000"/>
          <w:sz w:val="20"/>
        </w:rPr>
        <w:t xml:space="preserve"> </w:t>
      </w:r>
    </w:p>
    <w:p>
      <w:pPr>
        <w:pStyle w:val="TextBody"/>
        <w:bidi w:val="0"/>
        <w:jc w:val="left"/>
        <w:rPr/>
      </w:pPr>
      <w:r>
        <w:rPr/>
        <w:t> </w:t>
      </w:r>
    </w:p>
    <w:tbl>
      <w:tblPr>
        <w:tblW w:w="7571" w:type="dxa"/>
        <w:jc w:val="left"/>
        <w:tblInd w:w="0" w:type="dxa"/>
        <w:tblLayout w:type="fixed"/>
        <w:tblCellMar>
          <w:top w:w="28" w:type="dxa"/>
          <w:left w:w="28" w:type="dxa"/>
          <w:bottom w:w="28" w:type="dxa"/>
          <w:right w:w="28" w:type="dxa"/>
        </w:tblCellMar>
      </w:tblPr>
      <w:tblGrid>
        <w:gridCol w:w="2266"/>
        <w:gridCol w:w="146"/>
        <w:gridCol w:w="211"/>
        <w:gridCol w:w="961"/>
        <w:gridCol w:w="146"/>
        <w:gridCol w:w="146"/>
        <w:gridCol w:w="211"/>
        <w:gridCol w:w="961"/>
        <w:gridCol w:w="146"/>
        <w:gridCol w:w="146"/>
        <w:gridCol w:w="211"/>
        <w:gridCol w:w="691"/>
        <w:gridCol w:w="146"/>
        <w:gridCol w:w="146"/>
        <w:gridCol w:w="197"/>
        <w:gridCol w:w="509"/>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costs of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Direct cost of contracts increased $44.7 million for the three months ended June 30, 2026 when compared to the corresponding period last year, primarily due to an increase of $24.9 million in our Federal Solutions segment and an increase of $19.8 million in our Critical Infrastructure segment. The increase in direct costs of contracts in the Federal Solutions segment is primarily related to a write down, partially offset by reduced volume from our confidential contract. See “Segment Results” below for further discussion. The increase in direct costs of contracts in the Critical Infrastructure segment is primarily related to increased volume from new and existing contracts.</w:t>
      </w:r>
    </w:p>
    <w:p>
      <w:pPr>
        <w:pStyle w:val="TextBody"/>
        <w:bidi w:val="0"/>
        <w:jc w:val="left"/>
        <w:rPr/>
      </w:pPr>
      <w:r>
        <w:rPr/>
        <w:t> </w:t>
      </w:r>
    </w:p>
    <w:tbl>
      <w:tblPr>
        <w:tblW w:w="7711" w:type="dxa"/>
        <w:jc w:val="left"/>
        <w:tblInd w:w="0" w:type="dxa"/>
        <w:tblLayout w:type="fixed"/>
        <w:tblCellMar>
          <w:top w:w="28" w:type="dxa"/>
          <w:left w:w="28" w:type="dxa"/>
          <w:bottom w:w="28" w:type="dxa"/>
          <w:right w:w="28" w:type="dxa"/>
        </w:tblCellMar>
      </w:tblPr>
      <w:tblGrid>
        <w:gridCol w:w="2266"/>
        <w:gridCol w:w="146"/>
        <w:gridCol w:w="211"/>
        <w:gridCol w:w="961"/>
        <w:gridCol w:w="146"/>
        <w:gridCol w:w="146"/>
        <w:gridCol w:w="211"/>
        <w:gridCol w:w="961"/>
        <w:gridCol w:w="146"/>
        <w:gridCol w:w="146"/>
        <w:gridCol w:w="211"/>
        <w:gridCol w:w="751"/>
        <w:gridCol w:w="166"/>
        <w:gridCol w:w="146"/>
        <w:gridCol w:w="177"/>
        <w:gridCol w:w="529"/>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costs of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2,414,385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2,436,347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Direct cost of contracts decreased $22.0 million for the six months ended June 30, 2026 when compared to the corresponding period last year, primarily due to an decrease of $51.6 million in our Federal Solutions segment and an increase of $29.7 million in our Critical Infrastructure segment. The decrease in direct costs of contracts in the Federal Solutions segment is primarily related to reduced volume from our confidential contract. See “Segment Results” below for further discussion. The increase in direct costs of contracts in the Critical Infrastructure segment is primarily related to increased volume from new and existing contracts.</w:t>
      </w:r>
    </w:p>
    <w:p>
      <w:pPr>
        <w:pStyle w:val="TextBody"/>
        <w:bidi w:val="0"/>
        <w:spacing w:before="240" w:after="283"/>
        <w:jc w:val="left"/>
        <w:rPr>
          <w:rFonts w:ascii="Times New Roman" w:hAnsi="Times New Roman"/>
          <w:sz w:val="20"/>
        </w:rPr>
      </w:pPr>
      <w:r>
        <w:rPr>
          <w:rFonts w:ascii="Arial" w:hAnsi="Arial"/>
          <w:i/>
          <w:color w:val="000000"/>
          <w:sz w:val="20"/>
        </w:rPr>
        <w:t>Equity in losses of unconsolidated joint ventures</w:t>
      </w:r>
      <w:r>
        <w:rPr>
          <w:rFonts w:ascii="Times New Roman" w:hAnsi="Times New Roman"/>
          <w:color w:val="000000"/>
          <w:sz w:val="20"/>
        </w:rPr>
        <w:t xml:space="preserve"> </w:t>
      </w:r>
    </w:p>
    <w:p>
      <w:pPr>
        <w:pStyle w:val="TextBody"/>
        <w:bidi w:val="0"/>
        <w:jc w:val="left"/>
        <w:rPr/>
      </w:pPr>
      <w:r>
        <w:rPr/>
        <w:t> </w:t>
      </w:r>
    </w:p>
    <w:tbl>
      <w:tblPr>
        <w:tblW w:w="10068" w:type="dxa"/>
        <w:jc w:val="left"/>
        <w:tblInd w:w="0" w:type="dxa"/>
        <w:tblLayout w:type="fixed"/>
        <w:tblCellMar>
          <w:top w:w="28" w:type="dxa"/>
          <w:left w:w="28" w:type="dxa"/>
          <w:bottom w:w="28" w:type="dxa"/>
          <w:right w:w="28" w:type="dxa"/>
        </w:tblCellMar>
      </w:tblPr>
      <w:tblGrid>
        <w:gridCol w:w="4336"/>
        <w:gridCol w:w="146"/>
        <w:gridCol w:w="256"/>
        <w:gridCol w:w="914"/>
        <w:gridCol w:w="166"/>
        <w:gridCol w:w="146"/>
        <w:gridCol w:w="357"/>
        <w:gridCol w:w="813"/>
        <w:gridCol w:w="166"/>
        <w:gridCol w:w="146"/>
        <w:gridCol w:w="211"/>
        <w:gridCol w:w="751"/>
        <w:gridCol w:w="166"/>
        <w:gridCol w:w="146"/>
        <w:gridCol w:w="146"/>
        <w:gridCol w:w="811"/>
        <w:gridCol w:w="3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losses of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Equity in losses of unconsolidated joint ventures decreased by $33.1 million for the three months ended June 30, 2026 compared to the corresponding period last year primarily due to a write down in the Critical Infrastructure segment. The Company is winding down its participation in construction joint ventures.</w:t>
      </w:r>
    </w:p>
    <w:p>
      <w:pPr>
        <w:pStyle w:val="TextBody"/>
        <w:bidi w:val="0"/>
        <w:jc w:val="left"/>
        <w:rPr/>
      </w:pPr>
      <w:r>
        <w:rPr/>
        <w:t> </w:t>
      </w:r>
    </w:p>
    <w:tbl>
      <w:tblPr>
        <w:tblW w:w="10068" w:type="dxa"/>
        <w:jc w:val="left"/>
        <w:tblInd w:w="0" w:type="dxa"/>
        <w:tblLayout w:type="fixed"/>
        <w:tblCellMar>
          <w:top w:w="28" w:type="dxa"/>
          <w:left w:w="28" w:type="dxa"/>
          <w:bottom w:w="28" w:type="dxa"/>
          <w:right w:w="28" w:type="dxa"/>
        </w:tblCellMar>
      </w:tblPr>
      <w:tblGrid>
        <w:gridCol w:w="4336"/>
        <w:gridCol w:w="146"/>
        <w:gridCol w:w="256"/>
        <w:gridCol w:w="914"/>
        <w:gridCol w:w="166"/>
        <w:gridCol w:w="146"/>
        <w:gridCol w:w="288"/>
        <w:gridCol w:w="882"/>
        <w:gridCol w:w="166"/>
        <w:gridCol w:w="146"/>
        <w:gridCol w:w="211"/>
        <w:gridCol w:w="751"/>
        <w:gridCol w:w="166"/>
        <w:gridCol w:w="146"/>
        <w:gridCol w:w="146"/>
        <w:gridCol w:w="811"/>
        <w:gridCol w:w="3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losses of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Equity in losses of unconsolidated joint ventures decreased by $26.3 million for the six months ended June 30, 2026 compared to the corresponding period last year primarily due to a write down in the Critical Infrastructure segment. The Company is winding down its participation in construction joint ventures.</w:t>
      </w:r>
    </w:p>
    <w:p>
      <w:pPr>
        <w:pStyle w:val="TextBody"/>
        <w:bidi w:val="0"/>
        <w:spacing w:before="240" w:after="283"/>
        <w:jc w:val="left"/>
        <w:rPr>
          <w:rFonts w:ascii="Times New Roman" w:hAnsi="Times New Roman"/>
          <w:sz w:val="20"/>
        </w:rPr>
      </w:pPr>
      <w:r>
        <w:rPr>
          <w:rFonts w:ascii="Arial" w:hAnsi="Arial"/>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9202" w:type="dxa"/>
        <w:jc w:val="left"/>
        <w:tblInd w:w="0" w:type="dxa"/>
        <w:tblLayout w:type="fixed"/>
        <w:tblCellMar>
          <w:top w:w="28" w:type="dxa"/>
          <w:left w:w="28" w:type="dxa"/>
          <w:bottom w:w="28" w:type="dxa"/>
          <w:right w:w="28" w:type="dxa"/>
        </w:tblCellMar>
      </w:tblPr>
      <w:tblGrid>
        <w:gridCol w:w="4006"/>
        <w:gridCol w:w="146"/>
        <w:gridCol w:w="245"/>
        <w:gridCol w:w="925"/>
        <w:gridCol w:w="146"/>
        <w:gridCol w:w="146"/>
        <w:gridCol w:w="245"/>
        <w:gridCol w:w="925"/>
        <w:gridCol w:w="146"/>
        <w:gridCol w:w="146"/>
        <w:gridCol w:w="211"/>
        <w:gridCol w:w="586"/>
        <w:gridCol w:w="146"/>
        <w:gridCol w:w="146"/>
        <w:gridCol w:w="197"/>
        <w:gridCol w:w="509"/>
        <w:gridCol w:w="33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As a percentage of revenue, our SG&amp;A increased by 0.6% to 16.5% for the three months ended June 30, 2026 compared to 15.9% for the corresponding period last year. The increase in SG&amp;A was primarily due to acquisitions and intangible asset amortization associated with the Company's acquisitions compared to the corresponding period last year. Partially offsetting these increase in SG&amp;A was a decrease in the estimated fair value of the ATC contingent consideration.</w:t>
      </w:r>
    </w:p>
    <w:p>
      <w:pPr>
        <w:pStyle w:val="TextBody"/>
        <w:bidi w:val="0"/>
        <w:jc w:val="left"/>
        <w:rPr/>
      </w:pPr>
      <w:r>
        <w:rPr/>
        <w:t> </w:t>
      </w:r>
    </w:p>
    <w:tbl>
      <w:tblPr>
        <w:tblW w:w="9307" w:type="dxa"/>
        <w:jc w:val="left"/>
        <w:tblInd w:w="0" w:type="dxa"/>
        <w:tblLayout w:type="fixed"/>
        <w:tblCellMar>
          <w:top w:w="28" w:type="dxa"/>
          <w:left w:w="28" w:type="dxa"/>
          <w:bottom w:w="28" w:type="dxa"/>
          <w:right w:w="28" w:type="dxa"/>
        </w:tblCellMar>
      </w:tblPr>
      <w:tblGrid>
        <w:gridCol w:w="4006"/>
        <w:gridCol w:w="146"/>
        <w:gridCol w:w="245"/>
        <w:gridCol w:w="925"/>
        <w:gridCol w:w="146"/>
        <w:gridCol w:w="146"/>
        <w:gridCol w:w="245"/>
        <w:gridCol w:w="925"/>
        <w:gridCol w:w="146"/>
        <w:gridCol w:w="146"/>
        <w:gridCol w:w="211"/>
        <w:gridCol w:w="691"/>
        <w:gridCol w:w="146"/>
        <w:gridCol w:w="146"/>
        <w:gridCol w:w="197"/>
        <w:gridCol w:w="509"/>
        <w:gridCol w:w="33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As a percentage of revenue, our SG&amp;A increased by 1.4% to 17.2% for the six months ended June 30, 2026 compared to 15.8% for the corresponding period last year. The increase in SG&amp;A was primarily due to higher transaction costs, acquisitions and intangible asset amortization associated with the Company's acquisitions compared to the corresponding period last year. Partially offsetting these increase in SG&amp;A was a decrease in the estimated fair value of the ATC contingent consideration.</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rPr>
        <w:t>Total other income (expense)</w:t>
      </w:r>
      <w:r>
        <w:rPr>
          <w:rFonts w:ascii="Times New Roman" w:hAnsi="Times New Roman"/>
          <w:color w:val="000000"/>
          <w:sz w:val="20"/>
        </w:rPr>
        <w:t xml:space="preserve"> </w:t>
      </w:r>
    </w:p>
    <w:p>
      <w:pPr>
        <w:pStyle w:val="TextBody"/>
        <w:bidi w:val="0"/>
        <w:jc w:val="left"/>
        <w:rPr/>
      </w:pPr>
      <w:r>
        <w:rPr/>
        <w:t> </w:t>
      </w:r>
    </w:p>
    <w:tbl>
      <w:tblPr>
        <w:tblW w:w="8723" w:type="dxa"/>
        <w:jc w:val="left"/>
        <w:tblInd w:w="0" w:type="dxa"/>
        <w:tblLayout w:type="fixed"/>
        <w:tblCellMar>
          <w:top w:w="28" w:type="dxa"/>
          <w:left w:w="28" w:type="dxa"/>
          <w:bottom w:w="28" w:type="dxa"/>
          <w:right w:w="28" w:type="dxa"/>
        </w:tblCellMar>
      </w:tblPr>
      <w:tblGrid>
        <w:gridCol w:w="2936"/>
        <w:gridCol w:w="146"/>
        <w:gridCol w:w="256"/>
        <w:gridCol w:w="914"/>
        <w:gridCol w:w="166"/>
        <w:gridCol w:w="146"/>
        <w:gridCol w:w="256"/>
        <w:gridCol w:w="914"/>
        <w:gridCol w:w="166"/>
        <w:gridCol w:w="146"/>
        <w:gridCol w:w="211"/>
        <w:gridCol w:w="691"/>
        <w:gridCol w:w="166"/>
        <w:gridCol w:w="146"/>
        <w:gridCol w:w="146"/>
        <w:gridCol w:w="646"/>
        <w:gridCol w:w="67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(138.0</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pPr>
      <w:r>
        <w:rPr/>
        <w:t> </w:t>
      </w:r>
    </w:p>
    <w:tbl>
      <w:tblPr>
        <w:tblW w:w="8663" w:type="dxa"/>
        <w:jc w:val="left"/>
        <w:tblInd w:w="0" w:type="dxa"/>
        <w:tblLayout w:type="fixed"/>
        <w:tblCellMar>
          <w:top w:w="28" w:type="dxa"/>
          <w:left w:w="28" w:type="dxa"/>
          <w:bottom w:w="28" w:type="dxa"/>
          <w:right w:w="28" w:type="dxa"/>
        </w:tblCellMar>
      </w:tblPr>
      <w:tblGrid>
        <w:gridCol w:w="2936"/>
        <w:gridCol w:w="146"/>
        <w:gridCol w:w="256"/>
        <w:gridCol w:w="914"/>
        <w:gridCol w:w="166"/>
        <w:gridCol w:w="146"/>
        <w:gridCol w:w="256"/>
        <w:gridCol w:w="914"/>
        <w:gridCol w:w="166"/>
        <w:gridCol w:w="146"/>
        <w:gridCol w:w="211"/>
        <w:gridCol w:w="691"/>
        <w:gridCol w:w="166"/>
        <w:gridCol w:w="146"/>
        <w:gridCol w:w="146"/>
        <w:gridCol w:w="586"/>
        <w:gridCol w:w="67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171.9</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Times New Roman" w:hAnsi="Times New Roman"/>
          <w:sz w:val="20"/>
        </w:rPr>
      </w:pPr>
      <w:r>
        <w:rPr>
          <w:rFonts w:ascii="Arial" w:hAnsi="Arial"/>
          <w:color w:val="000000"/>
          <w:sz w:val="20"/>
        </w:rPr>
        <w:t>Interest income is related to interest earned on investments in government money funds.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Interest expense for the three and six months ended June 30, 2026 and June 30, 2025 is primarily due to debt related to our Convertible Senior Notes, Term Loan, and Revolving Credit Facility.</w:t>
      </w:r>
    </w:p>
    <w:p>
      <w:pPr>
        <w:pStyle w:val="TextBody"/>
        <w:bidi w:val="0"/>
        <w:spacing w:before="240" w:after="283"/>
        <w:jc w:val="left"/>
        <w:rPr>
          <w:rFonts w:ascii="Arial" w:hAnsi="Arial"/>
          <w:color w:val="000000"/>
          <w:sz w:val="20"/>
        </w:rPr>
      </w:pPr>
      <w:r>
        <w:rPr>
          <w:rFonts w:ascii="Arial" w:hAnsi="Arial"/>
          <w:color w:val="000000"/>
          <w:sz w:val="20"/>
        </w:rPr>
        <w:t>The amounts in other income (expense), net are primarily related to a gain on sale of business, transaction gains and losses on foreign currency transactions and sublease income.</w:t>
      </w:r>
    </w:p>
    <w:p>
      <w:pPr>
        <w:pStyle w:val="TextBody"/>
        <w:bidi w:val="0"/>
        <w:spacing w:before="240" w:after="283"/>
        <w:jc w:val="left"/>
        <w:rPr>
          <w:rFonts w:ascii="Arial" w:hAnsi="Arial"/>
          <w:i/>
          <w:color w:val="000000"/>
          <w:sz w:val="20"/>
        </w:rPr>
      </w:pPr>
      <w:r>
        <w:rPr>
          <w:rFonts w:ascii="Arial" w:hAnsi="Arial"/>
          <w:i/>
          <w:color w:val="000000"/>
          <w:sz w:val="20"/>
        </w:rPr>
        <w:t>Income tax expense</w:t>
      </w:r>
    </w:p>
    <w:p>
      <w:pPr>
        <w:pStyle w:val="TextBody"/>
        <w:bidi w:val="0"/>
        <w:jc w:val="left"/>
        <w:rPr/>
      </w:pPr>
      <w:r>
        <w:rPr/>
        <w:t> </w:t>
      </w:r>
    </w:p>
    <w:tbl>
      <w:tblPr>
        <w:tblW w:w="7677" w:type="dxa"/>
        <w:jc w:val="left"/>
        <w:tblInd w:w="0" w:type="dxa"/>
        <w:tblLayout w:type="fixed"/>
        <w:tblCellMar>
          <w:top w:w="28" w:type="dxa"/>
          <w:left w:w="28" w:type="dxa"/>
          <w:bottom w:w="28" w:type="dxa"/>
          <w:right w:w="28" w:type="dxa"/>
        </w:tblCellMar>
      </w:tblPr>
      <w:tblGrid>
        <w:gridCol w:w="2236"/>
        <w:gridCol w:w="146"/>
        <w:gridCol w:w="310"/>
        <w:gridCol w:w="860"/>
        <w:gridCol w:w="146"/>
        <w:gridCol w:w="146"/>
        <w:gridCol w:w="273"/>
        <w:gridCol w:w="897"/>
        <w:gridCol w:w="146"/>
        <w:gridCol w:w="146"/>
        <w:gridCol w:w="211"/>
        <w:gridCol w:w="751"/>
        <w:gridCol w:w="166"/>
        <w:gridCol w:w="146"/>
        <w:gridCol w:w="150"/>
        <w:gridCol w:w="556"/>
        <w:gridCol w:w="3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The Company’s effective tax rate was 112.4% and 21.0% and income tax expense was $4.2 million and $18.7 million for the three months ended June 30, 2026 and June 30, 2025, respectively. The decrease in tax expense for the three months ended June 30, 2026 compared to the three months ended June 30, 2025 was due primarily to the tax impact of a decrease in pre-tax income and a change in the jurisdictional mix of earnings, partially offset by increases in valuation allowances on foreign net operating loss carryovers (NOLs) and foreign tax credit carryovers (FTCs).</w:t>
      </w:r>
    </w:p>
    <w:p>
      <w:pPr>
        <w:pStyle w:val="TextBody"/>
        <w:bidi w:val="0"/>
        <w:jc w:val="left"/>
        <w:rPr/>
      </w:pPr>
      <w:r>
        <w:rPr/>
        <w:t> </w:t>
      </w:r>
    </w:p>
    <w:tbl>
      <w:tblPr>
        <w:tblW w:w="7677" w:type="dxa"/>
        <w:jc w:val="left"/>
        <w:tblInd w:w="0" w:type="dxa"/>
        <w:tblLayout w:type="fixed"/>
        <w:tblCellMar>
          <w:top w:w="28" w:type="dxa"/>
          <w:left w:w="28" w:type="dxa"/>
          <w:bottom w:w="28" w:type="dxa"/>
          <w:right w:w="28" w:type="dxa"/>
        </w:tblCellMar>
      </w:tblPr>
      <w:tblGrid>
        <w:gridCol w:w="2236"/>
        <w:gridCol w:w="146"/>
        <w:gridCol w:w="273"/>
        <w:gridCol w:w="897"/>
        <w:gridCol w:w="146"/>
        <w:gridCol w:w="146"/>
        <w:gridCol w:w="273"/>
        <w:gridCol w:w="897"/>
        <w:gridCol w:w="146"/>
        <w:gridCol w:w="146"/>
        <w:gridCol w:w="211"/>
        <w:gridCol w:w="751"/>
        <w:gridCol w:w="166"/>
        <w:gridCol w:w="146"/>
        <w:gridCol w:w="150"/>
        <w:gridCol w:w="556"/>
        <w:gridCol w:w="3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The Company’s effective income tax rate was 23.9% and 19.8% for the six months ended June 30, 2026 and June 30, 2025, respectively. Income tax expense was $20.3 million and $37.7 million for the six months ended June 30, 2026 and June 30, 2025, respectively. The decrease in tax expense for the six months ended June 30, 2026 compared to the six months ended June 30, 2025 was due primarily to the tax impact of a decrease in pre-tax income and a change in the jurisdictional mix of earnings, partially offset by increases in valuation allowances on NOLs and FTCs and decreases in tax benefits from the foreign-derived deduction eligible income (FDDEI) and windfall equity-based compensation.</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Arial" w:hAnsi="Arial"/>
          <w:b/>
          <w:color w:val="000000"/>
          <w:sz w:val="20"/>
        </w:rPr>
        <w:t>Segment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We evaluate segment operating performance using segment revenue and segment Adjusted EBITDA attributable to Parsons Corporation. Adjusted EBITDA attributable to Parsons Corporation is Adjusted EBITDA excluding Adjusted EBITDA attributable to noncontrolling interests. Presented above, in</w:t>
      </w:r>
      <w:r>
        <w:rPr>
          <w:rFonts w:ascii="Times New Roman" w:hAnsi="Times New Roman"/>
          <w:color w:val="000000"/>
          <w:sz w:val="20"/>
        </w:rPr>
        <w:t xml:space="preserve"> </w:t>
      </w:r>
      <w:r>
        <w:rPr>
          <w:rFonts w:ascii="Arial" w:hAnsi="Arial"/>
          <w:color w:val="000000"/>
          <w:sz w:val="20"/>
        </w:rPr>
        <w:t>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following table shows Adjusted EBITDA attributable to Parsons Corporation for each of our reportable segments and Adjusted EBITDA attributable to noncontrolling interests: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4"/>
        <w:gridCol w:w="146"/>
        <w:gridCol w:w="236"/>
        <w:gridCol w:w="843"/>
        <w:gridCol w:w="166"/>
        <w:gridCol w:w="146"/>
        <w:gridCol w:w="230"/>
        <w:gridCol w:w="868"/>
        <w:gridCol w:w="146"/>
        <w:gridCol w:w="146"/>
        <w:gridCol w:w="230"/>
        <w:gridCol w:w="868"/>
        <w:gridCol w:w="146"/>
        <w:gridCol w:w="146"/>
        <w:gridCol w:w="230"/>
        <w:gridCol w:w="868"/>
        <w:gridCol w:w="476"/>
      </w:tblGrid>
      <w:tr>
        <w:trPr/>
        <w:tc>
          <w:tcPr>
            <w:tcW w:w="4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 Adjusted EBITDA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142,604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 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124,380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30,923</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297,907</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i/>
          <w:color w:val="000000"/>
          <w:sz w:val="20"/>
        </w:rPr>
        <w:t>Federal Solutions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665"/>
        <w:gridCol w:w="146"/>
        <w:gridCol w:w="244"/>
        <w:gridCol w:w="922"/>
        <w:gridCol w:w="166"/>
        <w:gridCol w:w="146"/>
        <w:gridCol w:w="244"/>
        <w:gridCol w:w="922"/>
        <w:gridCol w:w="146"/>
        <w:gridCol w:w="146"/>
        <w:gridCol w:w="211"/>
        <w:gridCol w:w="751"/>
        <w:gridCol w:w="166"/>
        <w:gridCol w:w="146"/>
        <w:gridCol w:w="146"/>
        <w:gridCol w:w="646"/>
        <w:gridCol w:w="392"/>
      </w:tblGrid>
      <w:tr>
        <w:trPr/>
        <w:tc>
          <w:tcPr>
            <w:tcW w:w="4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The decrease in Federal Solutions revenue for the three months ended June 30, 2026 compared to the corresponding period last year was primarily driven by our confidential contract operating at a reduced volume as a result of the Department of State reorganization issued May 29, 2025 and write downs on projects. These decreases were offset by growth on existing contracts and acquisitions.</w:t>
      </w:r>
    </w:p>
    <w:p>
      <w:pPr>
        <w:pStyle w:val="TextBody"/>
        <w:bidi w:val="0"/>
        <w:spacing w:before="240" w:after="283"/>
        <w:jc w:val="left"/>
        <w:rPr>
          <w:rFonts w:ascii="Arial" w:hAnsi="Arial"/>
          <w:color w:val="000000"/>
          <w:sz w:val="20"/>
        </w:rPr>
      </w:pPr>
      <w:r>
        <w:rPr>
          <w:rFonts w:ascii="Arial" w:hAnsi="Arial"/>
          <w:color w:val="000000"/>
          <w:sz w:val="20"/>
        </w:rPr>
        <w:t>The decrease in Federal Solutions Adjusted EBITDA attributable to Parsons Corporation for the three months ended June 30, 2026 compared to the corresponding period last year was primarily due to write downs on projects and the factors impacting revenue discussed above.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56"/>
        <w:gridCol w:w="146"/>
        <w:gridCol w:w="211"/>
        <w:gridCol w:w="961"/>
        <w:gridCol w:w="146"/>
        <w:gridCol w:w="146"/>
        <w:gridCol w:w="211"/>
        <w:gridCol w:w="961"/>
        <w:gridCol w:w="146"/>
        <w:gridCol w:w="146"/>
        <w:gridCol w:w="211"/>
        <w:gridCol w:w="856"/>
        <w:gridCol w:w="166"/>
        <w:gridCol w:w="146"/>
        <w:gridCol w:w="150"/>
        <w:gridCol w:w="556"/>
        <w:gridCol w:w="390"/>
      </w:tblGrid>
      <w:tr>
        <w:trPr/>
        <w:tc>
          <w:tcPr>
            <w:tcW w:w="4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1,519,216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The decrease in Federal Solutions revenue for the six months ended June 30, 2026 compared to the corresponding period last year was primarily driven by our confidential contract operating at a reduced volume as a result of the Department of State reorganization issued May 29, 2025. This decrease was offset by growth on existing contracts and acquisitions.</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decrease in Federal Solutions Adjusted EBITDA attributable to Parsons Corporation for the six months ended June 30, 2026 compared to the corresponding period last year was primarily due to the factors discussed above for Adjusted EBITDA for the three months ended June 30, 2026.</w:t>
      </w:r>
    </w:p>
    <w:p>
      <w:pPr>
        <w:pStyle w:val="TextBody"/>
        <w:bidi w:val="0"/>
        <w:spacing w:before="240" w:after="283"/>
        <w:jc w:val="left"/>
        <w:rPr>
          <w:rFonts w:ascii="Times New Roman" w:hAnsi="Times New Roman"/>
          <w:sz w:val="20"/>
        </w:rPr>
      </w:pPr>
      <w:r>
        <w:rPr>
          <w:rFonts w:ascii="Arial" w:hAnsi="Arial"/>
          <w:i/>
          <w:color w:val="000000"/>
          <w:sz w:val="20"/>
        </w:rPr>
        <w:t>Critical Infrastructure</w:t>
      </w:r>
      <w:r>
        <w:rPr>
          <w:rFonts w:ascii="Times New Roman" w:hAnsi="Times New Roman"/>
          <w:color w:val="000000"/>
          <w:sz w:val="20"/>
        </w:rPr>
        <w:t xml:space="preserve"> </w:t>
      </w:r>
    </w:p>
    <w:tbl>
      <w:tblPr>
        <w:tblW w:w="10182" w:type="dxa"/>
        <w:jc w:val="left"/>
        <w:tblInd w:w="0" w:type="dxa"/>
        <w:tblLayout w:type="fixed"/>
        <w:tblCellMar>
          <w:top w:w="28" w:type="dxa"/>
          <w:left w:w="28" w:type="dxa"/>
          <w:bottom w:w="28" w:type="dxa"/>
          <w:right w:w="28" w:type="dxa"/>
        </w:tblCellMar>
      </w:tblPr>
      <w:tblGrid>
        <w:gridCol w:w="4741"/>
        <w:gridCol w:w="146"/>
        <w:gridCol w:w="245"/>
        <w:gridCol w:w="925"/>
        <w:gridCol w:w="146"/>
        <w:gridCol w:w="146"/>
        <w:gridCol w:w="245"/>
        <w:gridCol w:w="925"/>
        <w:gridCol w:w="146"/>
        <w:gridCol w:w="146"/>
        <w:gridCol w:w="211"/>
        <w:gridCol w:w="751"/>
        <w:gridCol w:w="166"/>
        <w:gridCol w:w="146"/>
        <w:gridCol w:w="150"/>
        <w:gridCol w:w="556"/>
        <w:gridCol w:w="3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Critical Infrastructure revenue for the three months ended June 30, 2026 compared to the corresponding period last year was primarily related to organic growth and business acquisitions. Organic growth was primarily due to an increase in business volume from existing contracts and ramping up of recent awards.</w:t>
      </w:r>
    </w:p>
    <w:p>
      <w:pPr>
        <w:pStyle w:val="TextBody"/>
        <w:bidi w:val="0"/>
        <w:spacing w:before="240" w:after="283"/>
        <w:jc w:val="left"/>
        <w:rPr>
          <w:rFonts w:ascii="Arial" w:hAnsi="Arial"/>
          <w:color w:val="000000"/>
          <w:sz w:val="20"/>
        </w:rPr>
      </w:pPr>
      <w:r>
        <w:rPr>
          <w:rFonts w:ascii="Arial" w:hAnsi="Arial"/>
          <w:color w:val="000000"/>
          <w:sz w:val="20"/>
        </w:rPr>
        <w:t>The decrease in Critical Infrastructure Adjusted EBITDA attributable to Parsons Corporation for the three months ended June 30, 2026 compared to the corresponding period last year was primarily related to the equity in earnings impacts discussed above. This decrease in Adjusted EBITDA was partially offset by the revenue impacts above.</w:t>
      </w:r>
    </w:p>
    <w:p>
      <w:pPr>
        <w:pStyle w:val="TextBody"/>
        <w:bidi w:val="0"/>
        <w:jc w:val="left"/>
        <w:rPr/>
      </w:pPr>
      <w:r>
        <w:rPr/>
        <w:t> </w:t>
      </w:r>
    </w:p>
    <w:tbl>
      <w:tblPr>
        <w:tblW w:w="10186" w:type="dxa"/>
        <w:jc w:val="left"/>
        <w:tblInd w:w="0" w:type="dxa"/>
        <w:tblLayout w:type="fixed"/>
        <w:tblCellMar>
          <w:top w:w="28" w:type="dxa"/>
          <w:left w:w="28" w:type="dxa"/>
          <w:bottom w:w="28" w:type="dxa"/>
          <w:right w:w="28" w:type="dxa"/>
        </w:tblCellMar>
      </w:tblPr>
      <w:tblGrid>
        <w:gridCol w:w="4741"/>
        <w:gridCol w:w="146"/>
        <w:gridCol w:w="211"/>
        <w:gridCol w:w="961"/>
        <w:gridCol w:w="146"/>
        <w:gridCol w:w="146"/>
        <w:gridCol w:w="211"/>
        <w:gridCol w:w="961"/>
        <w:gridCol w:w="146"/>
        <w:gridCol w:w="146"/>
        <w:gridCol w:w="211"/>
        <w:gridCol w:w="751"/>
        <w:gridCol w:w="166"/>
        <w:gridCol w:w="146"/>
        <w:gridCol w:w="150"/>
        <w:gridCol w:w="556"/>
        <w:gridCol w:w="3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1,490,662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increase in Critical Infrastructure revenue for the six months ended June 30, 2026 compared to the corresponding period last year was primarily related to organic growth and business acquisitions. Organic growth was primarily due to an increase in business volume from existing contracts and ramping up of recent awards.</w:t>
      </w:r>
    </w:p>
    <w:p>
      <w:pPr>
        <w:pStyle w:val="TextBody"/>
        <w:bidi w:val="0"/>
        <w:spacing w:before="240" w:after="283"/>
        <w:jc w:val="left"/>
        <w:rPr>
          <w:rFonts w:ascii="Arial" w:hAnsi="Arial"/>
          <w:color w:val="000000"/>
          <w:sz w:val="20"/>
        </w:rPr>
      </w:pPr>
      <w:r>
        <w:rPr>
          <w:rFonts w:ascii="Arial" w:hAnsi="Arial"/>
          <w:color w:val="000000"/>
          <w:sz w:val="20"/>
        </w:rPr>
        <w:t>The decrease in Critical Infrastructure Adjusted EBITDA attributable to Parsons Corporation for the six months ended June 30, 2026 compared to the corresponding period last year was primarily related to the equity in earnings impacts discussed above. This decrease in Adjusted EBITDA was partially offset by the revenue impacts above.</w:t>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Liquidity and Capital Resources</w:t>
      </w:r>
    </w:p>
    <w:p>
      <w:pPr>
        <w:pStyle w:val="TextBody"/>
        <w:bidi w:val="0"/>
        <w:spacing w:before="240" w:after="283"/>
        <w:jc w:val="left"/>
        <w:rPr>
          <w:rFonts w:ascii="Times New Roman" w:hAnsi="Times New Roman"/>
          <w:sz w:val="20"/>
        </w:rPr>
      </w:pPr>
      <w:r>
        <w:rPr>
          <w:rFonts w:ascii="Arial" w:hAnsi="Arial"/>
          <w:color w:val="000000"/>
          <w:sz w:val="20"/>
        </w:rPr>
        <w:t>We currently finance our operations and capital expenditures through a combination of internally generated cash from operations, our Convertible Senior Notes, Term Loan and periodic borrowings under our Revolving Credit Facility.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pStyle w:val="TextBody"/>
        <w:bidi w:val="0"/>
        <w:spacing w:before="240" w:after="283"/>
        <w:jc w:val="left"/>
        <w:rPr>
          <w:rFonts w:ascii="Arial" w:hAnsi="Arial"/>
          <w:color w:val="000000"/>
          <w:sz w:val="20"/>
        </w:rPr>
      </w:pPr>
      <w:r>
        <w:rPr>
          <w:rFonts w:ascii="Arial" w:hAnsi="Arial"/>
          <w:color w:val="000000"/>
          <w:sz w:val="20"/>
        </w:rPr>
        <w:t>As of June 30, 2026,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pStyle w:val="TextBody"/>
        <w:bidi w:val="0"/>
        <w:spacing w:before="36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pStyle w:val="TextBody"/>
        <w:bidi w:val="0"/>
        <w:spacing w:before="120" w:after="283"/>
        <w:jc w:val="left"/>
        <w:rPr>
          <w:rFonts w:ascii="Arial" w:hAnsi="Arial"/>
          <w:color w:val="000000"/>
          <w:sz w:val="20"/>
        </w:rPr>
      </w:pPr>
      <w:r>
        <w:rPr>
          <w:rFonts w:ascii="Arial" w:hAnsi="Arial"/>
          <w:color w:val="000000"/>
          <w:sz w:val="20"/>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improve working capital. Net DSO was 76 days at June 30, 2026, a 16 day increase from June 30, 2025. Impacting the change in DSO was lower volume from our confidential contract and delayed collections in the Middle East. Our working capital (current assets less current liabilities) was $1.1 billion at June 30, 2026 and $1.2 billion at December 31, 2025.</w:t>
      </w:r>
    </w:p>
    <w:p>
      <w:pPr>
        <w:pStyle w:val="TextBody"/>
        <w:bidi w:val="0"/>
        <w:spacing w:before="240" w:after="283"/>
        <w:jc w:val="left"/>
        <w:rPr>
          <w:rFonts w:ascii="Arial" w:hAnsi="Arial"/>
          <w:color w:val="000000"/>
          <w:sz w:val="20"/>
        </w:rPr>
      </w:pPr>
      <w:r>
        <w:rPr>
          <w:rFonts w:ascii="Arial" w:hAnsi="Arial"/>
          <w:color w:val="000000"/>
          <w:sz w:val="20"/>
        </w:rPr>
        <w:t>Our cash and cash equivalents decreased by $200.3 million to $266.0 million at June 30, 2026 from $466.4 million at December 31, 2025.</w:t>
      </w:r>
    </w:p>
    <w:p>
      <w:pPr>
        <w:pStyle w:val="TextBody"/>
        <w:bidi w:val="0"/>
        <w:spacing w:before="240" w:after="283"/>
        <w:jc w:val="left"/>
        <w:rPr>
          <w:rFonts w:ascii="Times New Roman" w:hAnsi="Times New Roman"/>
          <w:sz w:val="20"/>
        </w:rPr>
      </w:pPr>
      <w:r>
        <w:rPr>
          <w:rFonts w:ascii="Arial" w:hAnsi="Arial"/>
          <w:color w:val="000000"/>
          <w:sz w:val="20"/>
        </w:rPr>
        <w:t>The following table summarizes our sources and uses of cash over the periods presented (in thousands):</w:t>
      </w:r>
      <w:r>
        <w:rPr>
          <w:rFonts w:ascii="Times New Roman" w:hAnsi="Times New Roman"/>
          <w:color w:val="000000"/>
          <w:sz w:val="20"/>
        </w:rPr>
        <w:t xml:space="preserve"> </w:t>
      </w:r>
    </w:p>
    <w:p>
      <w:pPr>
        <w:pStyle w:val="TextBody"/>
        <w:bidi w:val="0"/>
        <w:jc w:val="left"/>
        <w:rPr/>
      </w:pPr>
      <w:r>
        <w:rPr/>
        <w:t> </w:t>
      </w:r>
    </w:p>
    <w:tbl>
      <w:tblPr>
        <w:tblW w:w="7465" w:type="dxa"/>
        <w:jc w:val="left"/>
        <w:tblInd w:w="0" w:type="dxa"/>
        <w:tblLayout w:type="fixed"/>
        <w:tblCellMar>
          <w:top w:w="28" w:type="dxa"/>
          <w:left w:w="28" w:type="dxa"/>
          <w:bottom w:w="28" w:type="dxa"/>
          <w:right w:w="28" w:type="dxa"/>
        </w:tblCellMar>
      </w:tblPr>
      <w:tblGrid>
        <w:gridCol w:w="4456"/>
        <w:gridCol w:w="146"/>
        <w:gridCol w:w="231"/>
        <w:gridCol w:w="939"/>
        <w:gridCol w:w="166"/>
        <w:gridCol w:w="146"/>
        <w:gridCol w:w="231"/>
        <w:gridCol w:w="939"/>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Net cash provided by operating activities decreased $94.1 million for the six months ended June 30, 2026 compared to the six months ended June 30, 2025. The primary drivers of the decrease in cash flows provided by operating activities was a $56.2 million change in cash flows from net income after adjusting for non-cash items, a change in other long-term liabilities of $21.1 million, and a change in income taxes of $16.0 million.</w:t>
      </w:r>
    </w:p>
    <w:p>
      <w:pPr>
        <w:pStyle w:val="TextBody"/>
        <w:bidi w:val="0"/>
        <w:spacing w:before="240" w:after="283"/>
        <w:jc w:val="left"/>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Net cash used in investing activities consists primarily of cash flows associated with capital expenditures, joint ventures and business acquisitions.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Net cash used in investing activities increased $222.2 million for the six months ended June 30, 2026, when compared to the six months ended June 30, 2025. This change was primarily driven by a $212.3 million increase in payments for acquisitions, net of cash acquired, a $21.4 million increase in investments in unconsolidated joint ventures, and a $8.1 million increase in capital expenditures, offset by $24.0 million in proceeds from sale of business.</w:t>
      </w:r>
    </w:p>
    <w:p>
      <w:pPr>
        <w:pStyle w:val="TextBody"/>
        <w:bidi w:val="0"/>
        <w:spacing w:before="240" w:after="283"/>
        <w:jc w:val="left"/>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Net cash provided by (used in) financing activities is primarily associated with proceeds from debt, the repayment thereof, and distributions to noncontrolling interests.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Net cash provided by (used in) financing activities changed by $162.6 million for the six months ended June 30, 2026 compared to the six months ended June 30, 2025. The change in cash flows provided by (used in) financing activities is primarily driven by net proceeds of $234.0 million from our Revolving Credit Facility. Also impacting net cash provided by (used in) financing activities were a $8.5 million change in distributions to noncontrolling interest offset by a $10.0 million of repurchase of common stock.</w:t>
      </w:r>
    </w:p>
    <w:p>
      <w:pPr>
        <w:pStyle w:val="TextBody"/>
        <w:bidi w:val="0"/>
        <w:spacing w:before="360" w:after="283"/>
        <w:jc w:val="left"/>
        <w:rPr>
          <w:rFonts w:ascii="Times New Roman" w:hAnsi="Times New Roman"/>
          <w:sz w:val="20"/>
        </w:rPr>
      </w:pPr>
      <w:r>
        <w:rPr>
          <w:rFonts w:ascii="Arial" w:hAnsi="Arial"/>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also have in place several secondary bank credit lines for issuing letters of credit, principally for foreign contracts, to support performance and completion guarantees. Letters of credit commitments outstanding under these bank lines aggregated to $338.7 million as of June 30, 2026. Letters of credit outstanding under the Credit Agreement total $40.9 million as of June 30, 2026.</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Off-Balance Sheet Arrangements</w:t>
      </w:r>
    </w:p>
    <w:p>
      <w:pPr>
        <w:pStyle w:val="TextBody"/>
        <w:bidi w:val="0"/>
        <w:spacing w:before="120" w:after="283"/>
        <w:jc w:val="left"/>
        <w:rPr>
          <w:rFonts w:ascii="Arial" w:hAnsi="Arial"/>
          <w:color w:val="000000"/>
          <w:sz w:val="20"/>
        </w:rPr>
      </w:pPr>
      <w:r>
        <w:rPr>
          <w:rFonts w:ascii="Arial" w:hAnsi="Arial"/>
          <w:color w:val="000000"/>
          <w:sz w:val="20"/>
        </w:rPr>
        <w:t>As of June 30, 2026,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pStyle w:val="TextBody"/>
        <w:bidi w:val="0"/>
        <w:spacing w:before="360" w:after="283"/>
        <w:jc w:val="left"/>
        <w:rPr>
          <w:rFonts w:ascii="Times New Roman" w:hAnsi="Times New Roman"/>
          <w:sz w:val="20"/>
        </w:rPr>
      </w:pPr>
      <w:r>
        <w:rPr>
          <w:rFonts w:ascii="Arial" w:hAnsi="Arial"/>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See the information set forth in “Note 3—New Accounting Pronouncements” in the notes to our consolidated financial statements included elsewhere in this Quarterly Report on Form 10-Q.</w:t>
      </w:r>
    </w:p>
    <w:p>
      <w:pPr>
        <w:pStyle w:val="TextBody"/>
        <w:bidi w:val="0"/>
        <w:spacing w:before="360" w:after="283"/>
        <w:jc w:val="left"/>
        <w:rPr>
          <w:rFonts w:ascii="Arial" w:hAnsi="Arial"/>
          <w:b/>
          <w:i/>
          <w:color w:val="000000"/>
          <w:sz w:val="20"/>
        </w:rPr>
      </w:pPr>
      <w:r>
        <w:rPr>
          <w:rFonts w:ascii="Arial" w:hAnsi="Arial"/>
          <w:b/>
          <w:i/>
          <w:color w:val="000000"/>
          <w:sz w:val="20"/>
        </w:rPr>
        <w:t>Critical Accounting Policies and Estimates</w:t>
      </w:r>
    </w:p>
    <w:p>
      <w:pPr>
        <w:pStyle w:val="TextBody"/>
        <w:bidi w:val="0"/>
        <w:spacing w:before="120" w:after="283"/>
        <w:jc w:val="left"/>
        <w:rPr>
          <w:rFonts w:ascii="Arial" w:hAnsi="Arial"/>
          <w:color w:val="000000"/>
          <w:sz w:val="20"/>
        </w:rPr>
      </w:pPr>
      <w:r>
        <w:rPr>
          <w:rFonts w:ascii="Arial" w:hAnsi="Arial"/>
          <w:color w:val="000000"/>
          <w:sz w:val="20"/>
        </w:rPr>
        <w:t>The preparation of the consolidated financial statements in accordance with GAAP requires management to make estimates, judgments, and assumptions that affect the amounts reported. Actual results could differ from those estimates. Our Annual Report on Form 10-K, filed with the SEC on February 11, 2026,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six months ended June 30, 2026.</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bookmarkStart w:id="13" w:name="i_item3"/>
      <w:bookmarkEnd w:id="13"/>
      <w:r>
        <w:rPr>
          <w:rFonts w:ascii="Arial" w:hAnsi="Arial"/>
          <w:b/>
          <w:color w:val="000000"/>
          <w:sz w:val="20"/>
        </w:rPr>
        <w:t>Item 3. Quantitative and Qualitati</w:t>
      </w:r>
      <w:bookmarkStart w:id="14" w:name="item_3_quantitative_qualitative_disclosu"/>
      <w:bookmarkEnd w:id="14"/>
      <w:r>
        <w:rPr>
          <w:rFonts w:ascii="Arial" w:hAnsi="Arial"/>
          <w:b/>
          <w:color w:val="000000"/>
          <w:sz w:val="20"/>
        </w:rPr>
        <w:t>ve Disclosures About Market Risk.</w:t>
      </w:r>
    </w:p>
    <w:p>
      <w:pPr>
        <w:pStyle w:val="TextBody"/>
        <w:bidi w:val="0"/>
        <w:spacing w:before="120" w:after="283"/>
        <w:jc w:val="left"/>
        <w:rPr>
          <w:rFonts w:ascii="Times New Roman" w:hAnsi="Times New Roman"/>
          <w:sz w:val="20"/>
        </w:rPr>
      </w:pPr>
      <w:r>
        <w:rPr>
          <w:rFonts w:ascii="Arial" w:hAnsi="Arial"/>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are exposed to interest rate risks related to the Company’s Revolving Credit Facility and Term Loan.</w:t>
      </w:r>
    </w:p>
    <w:p>
      <w:pPr>
        <w:pStyle w:val="TextBody"/>
        <w:bidi w:val="0"/>
        <w:spacing w:before="120" w:after="283"/>
        <w:jc w:val="left"/>
        <w:rPr>
          <w:rFonts w:ascii="Arial" w:hAnsi="Arial"/>
          <w:color w:val="000000"/>
          <w:sz w:val="20"/>
        </w:rPr>
      </w:pPr>
      <w:r>
        <w:rPr>
          <w:rFonts w:ascii="Arial" w:hAnsi="Arial"/>
          <w:color w:val="000000"/>
          <w:sz w:val="20"/>
        </w:rPr>
        <w:t>As of June 30, 2026, there was $234.0 million outstanding under the Revolving Credit Facility. Borrowings under the Credit Facility effective June 2025 bear interest at either the Term SOFR rate plus a margin between 1.0% and 1.625% or a base rate (as defined in the Credit Agreement) plus a margin of between 0% and 0.625%. The interest rate was 5.0% for all periods presented.</w:t>
      </w:r>
    </w:p>
    <w:p>
      <w:pPr>
        <w:pStyle w:val="TextBody"/>
        <w:bidi w:val="0"/>
        <w:spacing w:before="240" w:after="160"/>
        <w:jc w:val="left"/>
        <w:rPr>
          <w:rFonts w:ascii="Arial" w:hAnsi="Arial"/>
          <w:color w:val="000000"/>
          <w:sz w:val="20"/>
        </w:rPr>
      </w:pPr>
      <w:r>
        <w:rPr>
          <w:rFonts w:ascii="Arial" w:hAnsi="Arial"/>
          <w:color w:val="000000"/>
          <w:sz w:val="20"/>
        </w:rPr>
        <w:t>As of June 30, 2026, there was $450.0 million outstanding under the Term Loan. Borrowings under the Term Loan Agreement effective June 2025 will bear interest at either an adjusted Term SOFR benchmark rate plus a margin between 0.875% and 1.500% or a base rate plus a margin of between 0% and 0.500% and will initially bear interest at the middle of this range. The rates on June 30, 2026 and December 31, 2025 were 4.9% and 4.8%, respectively.</w:t>
      </w:r>
    </w:p>
    <w:p>
      <w:pPr>
        <w:pStyle w:val="TextBody"/>
        <w:bidi w:val="0"/>
        <w:spacing w:before="200" w:after="283"/>
        <w:jc w:val="left"/>
        <w:rPr>
          <w:rFonts w:ascii="Times New Roman" w:hAnsi="Times New Roman"/>
          <w:sz w:val="20"/>
        </w:rPr>
      </w:pPr>
      <w:r>
        <w:rPr>
          <w:rFonts w:ascii="Arial" w:hAnsi="Arial"/>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15" w:name="item_4_controls_procedures"/>
      <w:bookmarkEnd w:id="15"/>
      <w:r>
        <w:rPr>
          <w:rFonts w:ascii="Arial" w:hAnsi="Arial"/>
          <w:b/>
          <w:color w:val="000000"/>
          <w:sz w:val="20"/>
        </w:rPr>
        <w:t>Item 4. Controls and Procedures.</w:t>
      </w:r>
    </w:p>
    <w:p>
      <w:pPr>
        <w:pStyle w:val="TextBody"/>
        <w:bidi w:val="0"/>
        <w:spacing w:before="120" w:after="283"/>
        <w:jc w:val="left"/>
        <w:rPr>
          <w:rFonts w:ascii="Arial" w:hAnsi="Arial"/>
          <w:b/>
          <w:color w:val="000000"/>
          <w:sz w:val="20"/>
        </w:rPr>
      </w:pPr>
      <w:r>
        <w:rPr>
          <w:rFonts w:ascii="Arial" w:hAnsi="Arial"/>
          <w:b/>
          <w:color w:val="000000"/>
          <w:sz w:val="20"/>
        </w:rPr>
        <w:t>Evaluation of Disclosure Control and Procedures</w:t>
      </w:r>
    </w:p>
    <w:p>
      <w:pPr>
        <w:pStyle w:val="TextBody"/>
        <w:bidi w:val="0"/>
        <w:spacing w:before="120" w:after="283"/>
        <w:jc w:val="left"/>
        <w:rPr>
          <w:rFonts w:ascii="Arial" w:hAnsi="Arial"/>
          <w:color w:val="000000"/>
          <w:sz w:val="20"/>
        </w:rPr>
      </w:pPr>
      <w:r>
        <w:rPr>
          <w:rFonts w:ascii="Arial" w:hAnsi="Arial"/>
          <w:color w:val="000000"/>
          <w:sz w:val="20"/>
        </w:rPr>
        <w:t>Our management carried out, as of June 30, 2026,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June 30, 2026,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36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During the second quarter of 2026, there were no changes to our internal control over financial reporting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i_item4t"/>
      <w:bookmarkEnd w:id="16"/>
      <w:r>
        <w:rPr>
          <w:rFonts w:ascii="Arial" w:hAnsi="Arial"/>
          <w:b/>
          <w:color w:val="000000"/>
          <w:sz w:val="20"/>
        </w:rPr>
        <w:t>PART II—OTHER</w:t>
      </w:r>
      <w:bookmarkStart w:id="17" w:name="part_iior_information"/>
      <w:bookmarkEnd w:id="17"/>
      <w:r>
        <w:rPr>
          <w:rFonts w:ascii="Times New Roman" w:hAnsi="Times New Roman"/>
          <w:color w:val="000000"/>
          <w:sz w:val="20"/>
        </w:rPr>
        <w:t xml:space="preserve"> </w:t>
      </w:r>
      <w:r>
        <w:rPr>
          <w:rFonts w:ascii="Arial" w:hAnsi="Arial"/>
          <w:b/>
          <w:color w:val="000000"/>
          <w:sz w:val="20"/>
        </w:rPr>
        <w:t>INFORMATION</w:t>
      </w:r>
    </w:p>
    <w:p>
      <w:pPr>
        <w:pStyle w:val="TextBody"/>
        <w:bidi w:val="0"/>
        <w:spacing w:before="240" w:after="283"/>
        <w:jc w:val="left"/>
        <w:rPr>
          <w:rFonts w:ascii="Arial" w:hAnsi="Arial"/>
          <w:b/>
          <w:color w:val="000000"/>
          <w:sz w:val="20"/>
        </w:rPr>
      </w:pPr>
      <w:bookmarkStart w:id="18" w:name="item_1_legal_proceedings"/>
      <w:bookmarkEnd w:id="18"/>
      <w:r>
        <w:rPr>
          <w:rFonts w:ascii="Arial" w:hAnsi="Arial"/>
          <w:b/>
          <w:color w:val="000000"/>
          <w:sz w:val="20"/>
        </w:rPr>
        <w:t>Item 1. Legal Proceedings.</w:t>
      </w:r>
    </w:p>
    <w:p>
      <w:pPr>
        <w:pStyle w:val="TextBody"/>
        <w:bidi w:val="0"/>
        <w:spacing w:before="120" w:after="283"/>
        <w:jc w:val="left"/>
        <w:rPr>
          <w:rFonts w:ascii="Arial" w:hAnsi="Arial"/>
          <w:color w:val="000000"/>
          <w:sz w:val="20"/>
        </w:rPr>
      </w:pPr>
      <w:r>
        <w:rPr>
          <w:rFonts w:ascii="Arial" w:hAnsi="Arial"/>
          <w:color w:val="000000"/>
          <w:sz w:val="20"/>
        </w:rPr>
        <w:t>The information required by this Item 1 is included in “Note 12 – Contingencies” included in the Notes to Consolidated Financial Statements appearing under Part I, Item 1 of this Form 10-Q which is incorporated herein by reference.</w:t>
      </w:r>
    </w:p>
    <w:p>
      <w:pPr>
        <w:pStyle w:val="TextBody"/>
        <w:bidi w:val="0"/>
        <w:spacing w:before="360" w:after="283"/>
        <w:jc w:val="left"/>
        <w:rPr>
          <w:rFonts w:ascii="Arial" w:hAnsi="Arial"/>
          <w:b/>
          <w:color w:val="000000"/>
          <w:sz w:val="20"/>
        </w:rPr>
      </w:pPr>
      <w:bookmarkStart w:id="19" w:name="item_1a_risk_factors"/>
      <w:bookmarkEnd w:id="19"/>
      <w:r>
        <w:rPr>
          <w:rFonts w:ascii="Arial" w:hAnsi="Arial"/>
          <w:b/>
          <w:color w:val="000000"/>
          <w:sz w:val="20"/>
        </w:rPr>
        <w:t>Item 1A. Risk Factors.</w:t>
      </w:r>
    </w:p>
    <w:p>
      <w:pPr>
        <w:pStyle w:val="TextBody"/>
        <w:bidi w:val="0"/>
        <w:spacing w:before="120" w:after="283"/>
        <w:jc w:val="left"/>
        <w:rPr>
          <w:rFonts w:ascii="Arial" w:hAnsi="Arial"/>
          <w:color w:val="000000"/>
          <w:sz w:val="20"/>
        </w:rPr>
      </w:pPr>
      <w:r>
        <w:rPr>
          <w:rFonts w:ascii="Arial" w:hAnsi="Arial"/>
          <w:color w:val="000000"/>
          <w:sz w:val="20"/>
        </w:rPr>
        <w:t>There have been no material changes to our Risk Factors disclosed in the Company’s Form 10-K for the year ended December 31, 2025.</w:t>
      </w:r>
    </w:p>
    <w:p>
      <w:pPr>
        <w:pStyle w:val="TextBody"/>
        <w:bidi w:val="0"/>
        <w:spacing w:before="360" w:after="283"/>
        <w:jc w:val="left"/>
        <w:rPr>
          <w:rFonts w:ascii="Arial" w:hAnsi="Arial"/>
          <w:b/>
          <w:color w:val="000000"/>
          <w:sz w:val="20"/>
        </w:rPr>
      </w:pPr>
      <w:bookmarkStart w:id="20" w:name="item_2_unregistered_sales_equity_securit"/>
      <w:bookmarkEnd w:id="20"/>
      <w:r>
        <w:rPr>
          <w:rFonts w:ascii="Arial" w:hAnsi="Arial"/>
          <w:b/>
          <w:color w:val="000000"/>
          <w:sz w:val="20"/>
        </w:rPr>
        <w:t>Item 2. Unregistered Sales of Equity Securities and Use of Proceeds.</w:t>
      </w:r>
    </w:p>
    <w:p>
      <w:pPr>
        <w:pStyle w:val="TextBody"/>
        <w:bidi w:val="0"/>
        <w:spacing w:before="240" w:after="283"/>
        <w:jc w:val="left"/>
        <w:rPr>
          <w:rFonts w:ascii="Times New Roman" w:hAnsi="Times New Roman"/>
          <w:sz w:val="20"/>
        </w:rPr>
      </w:pPr>
      <w:r>
        <w:rPr>
          <w:rFonts w:ascii="Arial" w:hAnsi="Arial"/>
          <w:b/>
          <w:color w:val="000000"/>
          <w:sz w:val="20"/>
        </w:rPr>
        <w:t>Purchases of Equity Securities by the Issuer and Affiliated Purchasers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Repurchases made by the Company during the first quarter of 2025 were deducted from the reset capacity.</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Under prior authorizations, the Company had repurchased shares with an aggregate market value of $79.7 million. The aggregate market value of shares of common stock the Company is authorized to acquire from prior authorizations and the March 2025 authorization as of June 30, 2026 was not greater than $329.7 million. Effective, July 24, 2026, the Board authorized additional Common Stock repurchase capacity of up to $250 million, and following such authorization, the current maximum buyback authority is not greater than 579.7 million.</w:t>
      </w:r>
    </w:p>
    <w:p>
      <w:pPr>
        <w:pStyle w:val="TextBody"/>
        <w:bidi w:val="0"/>
        <w:spacing w:before="120" w:after="283"/>
        <w:jc w:val="left"/>
        <w:rPr>
          <w:rFonts w:ascii="Arial" w:hAnsi="Arial"/>
          <w:color w:val="000000"/>
          <w:sz w:val="20"/>
        </w:rPr>
      </w:pPr>
      <w:r>
        <w:rPr>
          <w:rFonts w:ascii="Arial" w:hAnsi="Arial"/>
          <w:color w:val="000000"/>
          <w:sz w:val="20"/>
        </w:rPr>
        <w:t>As of June 30, 2026, the Company has spent $254.7 million (which includes commissions paid of $0.1 million) repurchasing 4,414,509 shares of common stock at an average price of $57.69 per share.</w:t>
      </w:r>
    </w:p>
    <w:p>
      <w:pPr>
        <w:pStyle w:val="TextBody"/>
        <w:bidi w:val="0"/>
        <w:spacing w:before="120" w:after="283"/>
        <w:jc w:val="left"/>
        <w:rPr>
          <w:rFonts w:ascii="Arial" w:hAnsi="Arial"/>
          <w:color w:val="000000"/>
          <w:sz w:val="20"/>
        </w:rPr>
      </w:pPr>
      <w:r>
        <w:rPr>
          <w:rFonts w:ascii="Arial" w:hAnsi="Arial"/>
          <w:color w:val="000000"/>
          <w:sz w:val="20"/>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pStyle w:val="TextBody"/>
        <w:bidi w:val="0"/>
        <w:spacing w:before="120" w:after="283"/>
        <w:jc w:val="left"/>
        <w:rPr>
          <w:rFonts w:ascii="Arial" w:hAnsi="Arial"/>
          <w:color w:val="000000"/>
          <w:sz w:val="20"/>
        </w:rPr>
      </w:pPr>
      <w:r>
        <w:rPr>
          <w:rFonts w:ascii="Arial" w:hAnsi="Arial"/>
          <w:color w:val="000000"/>
          <w:sz w:val="20"/>
        </w:rPr>
        <w:t>The following table presents information with respect to repurchases of the Company's common stock for the three months ended June 30, 2026.</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19"/>
        <w:gridCol w:w="146"/>
        <w:gridCol w:w="232"/>
        <w:gridCol w:w="1271"/>
        <w:gridCol w:w="146"/>
        <w:gridCol w:w="146"/>
        <w:gridCol w:w="335"/>
        <w:gridCol w:w="932"/>
        <w:gridCol w:w="146"/>
        <w:gridCol w:w="146"/>
        <w:gridCol w:w="385"/>
        <w:gridCol w:w="2115"/>
        <w:gridCol w:w="146"/>
        <w:gridCol w:w="146"/>
        <w:gridCol w:w="462"/>
        <w:gridCol w:w="2336"/>
        <w:gridCol w:w="196"/>
      </w:tblGrid>
      <w:tr>
        <w:trPr/>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w:t>
              <w:br/>
              <w:t>Total number of shares 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w:t>
              <w:br/>
              <w:t>Average price paid per share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w:t>
              <w:b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w:t>
              <w:br/>
              <w:t>Maximum dollar value) of shares that may yet be purchased under 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1 to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90,007,983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1 to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72,879,377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 to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72,879,377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72,879,377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8"/>
        </w:rPr>
      </w:pPr>
      <w:r>
        <w:rPr>
          <w:rFonts w:ascii="Arial" w:hAnsi="Arial"/>
          <w:color w:val="000000"/>
          <w:sz w:val="18"/>
        </w:rPr>
        <w:t>(1)</w:t>
      </w:r>
    </w:p>
    <w:p>
      <w:pPr>
        <w:pStyle w:val="TextBody"/>
        <w:bidi w:val="0"/>
        <w:spacing w:before="120" w:after="283"/>
        <w:jc w:val="left"/>
        <w:rPr>
          <w:rFonts w:ascii="Arial" w:hAnsi="Arial"/>
          <w:color w:val="000000"/>
          <w:sz w:val="18"/>
        </w:rPr>
      </w:pPr>
      <w:r>
        <w:rPr>
          <w:rFonts w:ascii="Arial" w:hAnsi="Arial"/>
          <w:color w:val="000000"/>
          <w:sz w:val="18"/>
        </w:rPr>
        <w:t>Includes commissions in the calculation of average price per share.</w:t>
      </w:r>
    </w:p>
    <w:p>
      <w:pPr>
        <w:pStyle w:val="TextBody"/>
        <w:bidi w:val="0"/>
        <w:spacing w:before="120" w:after="283"/>
        <w:jc w:val="left"/>
        <w:rPr>
          <w:rFonts w:ascii="Arial" w:hAnsi="Arial"/>
          <w:color w:val="000000"/>
          <w:sz w:val="18"/>
        </w:rPr>
      </w:pPr>
      <w:r>
        <w:rPr>
          <w:rFonts w:ascii="Arial" w:hAnsi="Arial"/>
          <w:color w:val="000000"/>
          <w:sz w:val="18"/>
        </w:rPr>
        <w:t>(2)</w:t>
      </w:r>
    </w:p>
    <w:p>
      <w:pPr>
        <w:pStyle w:val="TextBody"/>
        <w:bidi w:val="0"/>
        <w:spacing w:before="120" w:after="283"/>
        <w:jc w:val="left"/>
        <w:rPr>
          <w:rFonts w:ascii="Arial" w:hAnsi="Arial"/>
          <w:color w:val="000000"/>
          <w:sz w:val="18"/>
        </w:rPr>
      </w:pPr>
      <w:r>
        <w:rPr>
          <w:rFonts w:ascii="Arial" w:hAnsi="Arial"/>
          <w:color w:val="000000"/>
          <w:sz w:val="18"/>
        </w:rPr>
        <w:t>Includes 42,500 shares purchased by affiliated purchasers through open market transactions. These transactions were not part of the Company’s share repurchase program.</w:t>
      </w:r>
    </w:p>
    <w:p>
      <w:pPr>
        <w:pStyle w:val="TextBody"/>
        <w:bidi w:val="0"/>
        <w:spacing w:before="360" w:after="283"/>
        <w:jc w:val="left"/>
        <w:rPr>
          <w:rFonts w:ascii="Times New Roman" w:hAnsi="Times New Roman"/>
          <w:sz w:val="20"/>
        </w:rPr>
      </w:pPr>
      <w:bookmarkStart w:id="21" w:name="item_3_defaults_upon_senior_securities"/>
      <w:bookmarkEnd w:id="21"/>
      <w:r>
        <w:rPr>
          <w:rFonts w:ascii="Arial" w:hAnsi="Arial"/>
          <w:b/>
          <w:color w:val="000000"/>
          <w:sz w:val="20"/>
        </w:rPr>
        <w:t>Item 3. Defaults Upon</w:t>
      </w:r>
      <w:r>
        <w:rPr>
          <w:rFonts w:ascii="Times New Roman" w:hAnsi="Times New Roman"/>
          <w:color w:val="000000"/>
          <w:sz w:val="20"/>
        </w:rPr>
        <w:t xml:space="preserve"> </w:t>
      </w:r>
      <w:r>
        <w:rPr>
          <w:rFonts w:ascii="Arial" w:hAnsi="Arial"/>
          <w:b/>
          <w:color w:val="000000"/>
          <w:sz w:val="20"/>
        </w:rPr>
        <w:t>Senior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22" w:name="item_4_mine_safety_disclosures"/>
      <w:bookmarkEnd w:id="22"/>
      <w:r>
        <w:rPr>
          <w:rFonts w:ascii="Arial" w:hAnsi="Arial"/>
          <w:b/>
          <w:color w:val="000000"/>
          <w:sz w:val="20"/>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Times New Roman" w:hAnsi="Times New Roman"/>
          <w:sz w:val="20"/>
        </w:rPr>
      </w:pPr>
      <w:bookmarkStart w:id="23" w:name="item_5_or_information"/>
      <w:bookmarkEnd w:id="23"/>
      <w:r>
        <w:rPr>
          <w:rFonts w:ascii="Arial" w:hAnsi="Arial"/>
          <w:b/>
          <w:color w:val="000000"/>
          <w:sz w:val="20"/>
        </w:rPr>
        <w:t>Item 5. 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120" w:after="283"/>
        <w:jc w:val="left"/>
        <w:rPr>
          <w:rFonts w:ascii="Arial" w:hAnsi="Arial"/>
          <w:i/>
          <w:color w:val="000000"/>
          <w:sz w:val="20"/>
        </w:rPr>
      </w:pPr>
      <w:r>
        <w:rPr>
          <w:rFonts w:ascii="Arial" w:hAnsi="Arial"/>
          <w:i/>
          <w:color w:val="000000"/>
          <w:sz w:val="20"/>
        </w:rPr>
        <w:t>10b5-1 Plans</w:t>
      </w:r>
    </w:p>
    <w:p>
      <w:pPr>
        <w:pStyle w:val="TextBody"/>
        <w:bidi w:val="0"/>
        <w:spacing w:before="120" w:after="283"/>
        <w:jc w:val="left"/>
        <w:rPr>
          <w:rFonts w:ascii="Times New Roman" w:hAnsi="Times New Roman"/>
          <w:sz w:val="20"/>
        </w:rPr>
      </w:pPr>
      <w:r>
        <w:rPr>
          <w:rFonts w:ascii="Arial" w:hAnsi="Arial"/>
          <w:color w:val="000000"/>
          <w:sz w:val="20"/>
        </w:rPr>
        <w:t>During the three months ended June 30, 2026, none</w:t>
      </w:r>
      <w:r>
        <w:rPr>
          <w:rFonts w:ascii="Times New Roman" w:hAnsi="Times New Roman"/>
          <w:color w:val="000000"/>
          <w:sz w:val="20"/>
        </w:rPr>
        <w:t xml:space="preserve"> </w:t>
      </w:r>
      <w:r>
        <w:rPr>
          <w:rFonts w:ascii="Arial" w:hAnsi="Arial"/>
          <w:color w:val="000000"/>
          <w:sz w:val="20"/>
        </w:rPr>
        <w:t>of our directors or officers adopted, modified or terminated any Rule 10b5-1 trading arrangement (as defined in Item 408(a) of Regulation S-K) or a non-Rule 10b5-1 trading arrangement (as defined in Item 408(c) of Regulation S-K).</w:t>
      </w:r>
    </w:p>
    <w:p>
      <w:pPr>
        <w:pStyle w:val="TextBody"/>
        <w:bidi w:val="0"/>
        <w:spacing w:before="120" w:after="283"/>
        <w:jc w:val="left"/>
        <w:rPr>
          <w:rFonts w:ascii="Arial" w:hAnsi="Arial"/>
          <w:i/>
          <w:color w:val="000000"/>
          <w:sz w:val="20"/>
        </w:rPr>
      </w:pPr>
      <w:r>
        <w:rPr>
          <w:rFonts w:ascii="Arial" w:hAnsi="Arial"/>
          <w:i/>
          <w:color w:val="000000"/>
          <w:sz w:val="20"/>
        </w:rPr>
        <w:t>Bylaws</w:t>
      </w:r>
    </w:p>
    <w:p>
      <w:pPr>
        <w:pStyle w:val="TextBody"/>
        <w:bidi w:val="0"/>
        <w:spacing w:before="120" w:after="283"/>
        <w:jc w:val="left"/>
        <w:rPr>
          <w:rFonts w:ascii="Arial" w:hAnsi="Arial"/>
          <w:color w:val="000000"/>
          <w:sz w:val="20"/>
        </w:rPr>
      </w:pPr>
      <w:r>
        <w:rPr>
          <w:rFonts w:ascii="Arial" w:hAnsi="Arial"/>
          <w:color w:val="000000"/>
          <w:sz w:val="20"/>
        </w:rPr>
        <w:t>On July 24, 2026, the Board of Directors (the “Board”) of Parsons Corporation (the “Company”) adopted the Third Amended and Restated Bylaws of the Company (as amended and restated, the “Amended and Restated Bylaws”), effective immediately. Among other things, the Amended and Restated Bylaws clarify certain exiting provisions and provide, as amended: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Board may cancel, postpone or reschedule any previously scheduled annual or special meeting of stockholders.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With respect to the advance notice procedures for business brought before a meeting: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Only a duly authorized officer, partner or manager of a stockholder who is authorized in writing by such stockholder may act by proxy for a stockholder;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Proper notification by a stockholder wishing to make a meeting proposal must be timely and include additional information, such as the dates shares were acquired, the investment intent of such acquisitions, information relating to an expanded definition of Synthetic Equity Positions, and whether the proposing person intends to deliver a proxy statement to approve or adopt a proposal or otherwise solicit proxies or votes from stockholders in support of a proposal;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The Board may request that stockholders furnish additional information as may be reasonably required by the Boad, and the Company does not waive any rights to contest the sufficiency of the notice or the supporting documentation by making such a request;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No business may be conducted at an annual meeting unless it has been properly proposed and noticed under the Amended and Restated Bylaws, and the Board may determine before the meeting that proposed business is improper and therefore will not be transacted.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With respect to the advance notice procedures for nominations of directors: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If the election of directors is a matter specified in the notice of meeting, then for a stockholder to make any nomination for election to the Board, the stockholder must provide: (a) timely notice in writing to the Secretary of the Company; (b) information with respect to the candidate for nomination; and (c) updates to such information, if applicable, and in no event may a nominating person provide a notice with a greater number of director candidates than are subject to election by stockholders at an applicable meeting;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Specified information must be provided by a nominating person which will include participants in any proxy solicitation and affiliates of the nominating person and beneficial owners on whose behalf the nomination is made, and additional information must be provided as reasonably requested by the Board, all within prescribed timelines, including those imposed under applicable laws and regulations;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An elected director shall agree not to enter into any agreement concerning how he or she will vote, or any agreement that would interfere with the director fulfilling his or her fiduciary duty to the Company;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 xml:space="preserve">A stockholder-nominated director candidate is only eligible if both the candidate and the nominating stockholder comply with the advance notice nomination procedures and no such candidate can be seated as a director unless properly nominated and then elected.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 quorum, once established, shall not be broken by the withdrawal of votes to render the quorum insufficient. At any recessed or adjourned meeting in which a quorum is present, any business may be transacted that may have been transacted at the meeting as originally noticed.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The chairperson of any stockholders’ meeting may determine, if the facts warrant, that an item of business was not properly brought before the meeting, and, as a result, such business shall not be transacted.</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Any stockholder directly or indirectly soliciting proxies from other stockholders must use a proxy card color other than white, which shall be reserved for the exclusive use of the Board.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requirements for proper delivery of notice to the Company, and that the Company shall not be required to accept any document improperly delivered.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Notice to stockholders by the Company may be given in writing directed to the stockholder’s mailing address (or by electronic transmission to the stockholder’s electronic email address) as it appears on the records of the Company.</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The federal district courts of the United States shall be the exclusive forum for resolution of any complaint asserting causes of action arising under the Securities Act of 1933, as amended, including all causes of action asserted against any defendant of such complaint.</w:t>
      </w:r>
    </w:p>
    <w:p>
      <w:pPr>
        <w:pStyle w:val="TextBody"/>
        <w:bidi w:val="0"/>
        <w:spacing w:before="0" w:after="160"/>
        <w:jc w:val="left"/>
        <w:rPr>
          <w:rFonts w:ascii="Arial" w:hAnsi="Arial"/>
          <w:color w:val="000000"/>
          <w:sz w:val="20"/>
        </w:rPr>
      </w:pPr>
      <w:r>
        <w:rPr>
          <w:rFonts w:ascii="Arial" w:hAnsi="Arial"/>
          <w:color w:val="000000"/>
          <w:sz w:val="20"/>
        </w:rPr>
        <w:t>The foregoing summary of the Amended and Restated Bylaws does not purport to be complete and is qualified in its entirety by reference to the complete text of the Amended and Restated Bylaws, which are attached hereto as Exhibit 3.1 and are incorporated herein by reference.</w:t>
      </w:r>
    </w:p>
    <w:p>
      <w:pPr>
        <w:pStyle w:val="TextBody"/>
        <w:bidi w:val="0"/>
        <w:jc w:val="left"/>
        <w:rPr/>
      </w:pPr>
      <w:r>
        <w:rPr/>
        <w:t> </w:t>
      </w:r>
    </w:p>
    <w:p>
      <w:pPr>
        <w:pStyle w:val="TextBody"/>
        <w:bidi w:val="0"/>
        <w:spacing w:before="360" w:after="283"/>
        <w:jc w:val="left"/>
        <w:rPr>
          <w:rFonts w:ascii="Arial" w:hAnsi="Arial"/>
          <w:b/>
          <w:color w:val="000000"/>
          <w:sz w:val="20"/>
        </w:rPr>
      </w:pPr>
      <w:bookmarkStart w:id="24" w:name="item_6_exhibits"/>
      <w:bookmarkEnd w:id="24"/>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ex3_1.htm">
              <w:r>
                <w:rPr>
                  <w:rStyle w:val="InternetLink"/>
                  <w:rFonts w:ascii="Arial" w:hAnsi="Arial"/>
                  <w:color w:val="0000FF"/>
                  <w:sz w:val="20"/>
                  <w:u w:val="single"/>
                </w:rPr>
                <w:t>Third Amended and Restated Bylaws of Parsons Corporation, effective July 24, 2026.</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ex19_1.htm">
              <w:r>
                <w:rPr>
                  <w:rStyle w:val="InternetLink"/>
                  <w:rFonts w:ascii="Arial" w:hAnsi="Arial"/>
                  <w:color w:val="0000FF"/>
                  <w:sz w:val="20"/>
                  <w:u w:val="single"/>
                </w:rPr>
                <w:t>Parsons Corporation Insider Trading Compliance Policy.</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following financial statements from the Company’s Quarterly Report on Form 10-Q for the quarter ended June 30, 2026,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as inline XBRL with applicable taxonomy extension information contained in Exhibits 101).</w:t>
            </w:r>
          </w:p>
        </w:tc>
      </w:tr>
    </w:tbl>
    <w:p>
      <w:pPr>
        <w:pStyle w:val="TextBody"/>
        <w:pBdr>
          <w:bottom w:val="single" w:sz="4" w:space="1" w:color="000000"/>
        </w:pBdr>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 Filed herewith.</w:t>
      </w:r>
    </w:p>
    <w:p>
      <w:pPr>
        <w:pStyle w:val="TextBody"/>
        <w:bidi w:val="0"/>
        <w:jc w:val="left"/>
        <w:rPr>
          <w:rFonts w:ascii="Arial" w:hAnsi="Arial"/>
          <w:color w:val="000000"/>
          <w:sz w:val="20"/>
        </w:rPr>
      </w:pPr>
      <w:r>
        <w:rPr>
          <w:rFonts w:ascii="Arial" w:hAnsi="Arial"/>
          <w:color w:val="000000"/>
          <w:sz w:val="20"/>
        </w:rPr>
        <w:t>** Furnished herewith.</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5" w:name="signatures"/>
      <w:bookmarkEnd w:id="25"/>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188" w:type="dxa"/>
        <w:jc w:val="left"/>
        <w:tblInd w:w="0" w:type="dxa"/>
        <w:tblLayout w:type="fixed"/>
        <w:tblCellMar>
          <w:top w:w="28" w:type="dxa"/>
          <w:left w:w="28" w:type="dxa"/>
          <w:bottom w:w="28" w:type="dxa"/>
          <w:right w:w="28" w:type="dxa"/>
        </w:tblCellMar>
      </w:tblPr>
      <w:tblGrid>
        <w:gridCol w:w="1816"/>
        <w:gridCol w:w="406"/>
        <w:gridCol w:w="4966"/>
      </w:tblGrid>
      <w:tr>
        <w:trPr/>
        <w:tc>
          <w:tcPr>
            <w:tcW w:w="18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Parsons Corporation</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July 29,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9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Matthew M. Ofilos</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shd w:fill="FFFFFF" w:val="clear"/>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Matthew M. Ofilos</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 and Duly Authorized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6" w:name="psn-ex3_1.htm"/>
      <w:bookmarkStart w:id="27" w:name="kspsnex3_1"/>
      <w:bookmarkEnd w:id="26"/>
      <w:bookmarkEnd w:id="27"/>
      <w:r>
        <w:rPr>
          <w:rFonts w:ascii="Arial" w:hAnsi="Arial"/>
          <w:b/>
          <w:color w:val="000000"/>
          <w:sz w:val="20"/>
        </w:rPr>
        <w:t>Exhibit 3.1</w:t>
      </w:r>
      <w:r>
        <w:br w:type="page"/>
      </w:r>
    </w:p>
    <w:p>
      <w:pPr>
        <w:pStyle w:val="TextBody"/>
        <w:bidi w:val="0"/>
        <w:spacing w:before="240" w:after="283"/>
        <w:jc w:val="center"/>
        <w:rPr>
          <w:rFonts w:ascii="Arial" w:hAnsi="Arial"/>
          <w:b/>
          <w:color w:val="000000"/>
          <w:sz w:val="20"/>
        </w:rPr>
      </w:pPr>
      <w:bookmarkStart w:id="28" w:name="sty_ht1_0"/>
      <w:bookmarkEnd w:id="28"/>
      <w:r>
        <w:rPr>
          <w:rFonts w:ascii="Arial" w:hAnsi="Arial"/>
          <w:b/>
          <w:color w:val="000000"/>
          <w:sz w:val="20"/>
        </w:rPr>
        <w:t>PARSONS CORPORATION</w:t>
      </w:r>
    </w:p>
    <w:p>
      <w:pPr>
        <w:pStyle w:val="TextBody"/>
        <w:bidi w:val="0"/>
        <w:spacing w:before="240" w:after="240"/>
        <w:jc w:val="center"/>
        <w:rPr>
          <w:rFonts w:ascii="Arial" w:hAnsi="Arial"/>
          <w:b/>
          <w:color w:val="000000"/>
          <w:sz w:val="20"/>
        </w:rPr>
      </w:pPr>
      <w:bookmarkStart w:id="29" w:name="sty_ht1_1"/>
      <w:bookmarkEnd w:id="29"/>
      <w:r>
        <w:rPr>
          <w:rFonts w:ascii="Arial" w:hAnsi="Arial"/>
          <w:b/>
          <w:color w:val="000000"/>
          <w:sz w:val="20"/>
        </w:rPr>
        <w:t>THIRD AMENDED AND RESTATED BYLAWS</w:t>
      </w:r>
    </w:p>
    <w:p>
      <w:pPr>
        <w:pStyle w:val="TextBody"/>
        <w:bidi w:val="0"/>
        <w:jc w:val="center"/>
        <w:rPr>
          <w:rFonts w:ascii="Arial" w:hAnsi="Arial"/>
          <w:b/>
          <w:caps/>
          <w:color w:val="000000"/>
          <w:sz w:val="20"/>
        </w:rPr>
      </w:pPr>
      <w:bookmarkStart w:id="30" w:name="sty_ht1_3"/>
      <w:bookmarkEnd w:id="30"/>
      <w:r>
        <w:rPr>
          <w:rFonts w:ascii="Arial" w:hAnsi="Arial"/>
          <w:b/>
          <w:caps/>
          <w:color w:val="000000"/>
          <w:sz w:val="20"/>
        </w:rPr>
        <w:t>Article I</w:t>
      </w:r>
    </w:p>
    <w:p>
      <w:pPr>
        <w:pStyle w:val="TextBody"/>
        <w:bidi w:val="0"/>
        <w:spacing w:before="0" w:after="240"/>
        <w:jc w:val="center"/>
        <w:rPr>
          <w:rFonts w:ascii="Arial" w:hAnsi="Arial"/>
          <w:b/>
          <w:caps/>
          <w:color w:val="000000"/>
          <w:sz w:val="20"/>
        </w:rPr>
      </w:pPr>
      <w:r>
        <w:rPr>
          <w:rFonts w:ascii="Arial" w:hAnsi="Arial"/>
          <w:b/>
          <w:caps/>
          <w:color w:val="000000"/>
          <w:sz w:val="20"/>
        </w:rPr>
        <w:t>OFFICES</w:t>
      </w:r>
    </w:p>
    <w:p>
      <w:pPr>
        <w:pStyle w:val="TextBody"/>
        <w:bidi w:val="0"/>
        <w:spacing w:before="0" w:after="240"/>
        <w:jc w:val="left"/>
        <w:rPr>
          <w:rFonts w:ascii="Times New Roman" w:hAnsi="Times New Roman"/>
          <w:sz w:val="20"/>
        </w:rPr>
      </w:pPr>
      <w:r>
        <w:rPr>
          <w:rFonts w:ascii="Arial" w:hAnsi="Arial"/>
          <w:color w:val="000000"/>
          <w:sz w:val="20"/>
        </w:rPr>
        <w:t xml:space="preserve">Section 1.01 </w:t>
      </w:r>
      <w:r>
        <w:rPr>
          <w:rFonts w:ascii="Arial" w:hAnsi="Arial"/>
          <w:color w:val="000000"/>
          <w:sz w:val="20"/>
          <w:u w:val="single"/>
        </w:rPr>
        <w:t>Registered Office</w:t>
      </w:r>
      <w:r>
        <w:rPr>
          <w:rFonts w:ascii="Arial" w:hAnsi="Arial"/>
          <w:color w:val="000000"/>
          <w:sz w:val="20"/>
        </w:rPr>
        <w:t>. The registered office of Parsons Corporation (the “</w:t>
      </w:r>
      <w:r>
        <w:rPr>
          <w:rFonts w:ascii="Arial" w:hAnsi="Arial"/>
          <w:color w:val="000000"/>
          <w:sz w:val="20"/>
          <w:u w:val="single"/>
        </w:rPr>
        <w:t>Corporation</w:t>
      </w:r>
      <w:r>
        <w:rPr>
          <w:rFonts w:ascii="Times New Roman" w:hAnsi="Times New Roman"/>
          <w:color w:val="000000"/>
          <w:sz w:val="20"/>
        </w:rPr>
        <w:t>”</w:t>
      </w:r>
      <w:r>
        <w:rPr>
          <w:rFonts w:ascii="Arial" w:hAnsi="Arial"/>
          <w:color w:val="000000"/>
          <w:sz w:val="20"/>
        </w:rPr>
        <w:t>) in the State of Delaware, and the name of the registered agent at such address, shall be as set forth in the Corporation’s certificate of incorporation, as the same may be amended and/or restated from time to time (the “</w:t>
      </w:r>
      <w:r>
        <w:rPr>
          <w:rFonts w:ascii="Arial" w:hAnsi="Arial"/>
          <w:color w:val="000000"/>
          <w:sz w:val="20"/>
          <w:u w:val="single"/>
        </w:rPr>
        <w:t>Certificate of Incorporation</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bookmarkStart w:id="31" w:name="sty_ht1_4"/>
      <w:bookmarkEnd w:id="31"/>
      <w:r>
        <w:rPr>
          <w:rFonts w:ascii="Arial" w:hAnsi="Arial"/>
          <w:color w:val="000000"/>
          <w:sz w:val="20"/>
        </w:rPr>
        <w:t xml:space="preserve">Section 1.02 </w:t>
      </w:r>
      <w:r>
        <w:rPr>
          <w:rFonts w:ascii="Arial" w:hAnsi="Arial"/>
          <w:color w:val="000000"/>
          <w:sz w:val="20"/>
          <w:u w:val="single"/>
        </w:rPr>
        <w:t>Other Offices</w:t>
      </w:r>
      <w:r>
        <w:rPr>
          <w:rFonts w:ascii="Arial" w:hAnsi="Arial"/>
          <w:color w:val="000000"/>
          <w:sz w:val="20"/>
        </w:rPr>
        <w:t>. The Corporation may have additional offices at any place or places, within or outside the State of Delaware, as the Corporation’s board of directors (the “</w:t>
      </w:r>
      <w:r>
        <w:rPr>
          <w:rFonts w:ascii="Arial" w:hAnsi="Arial"/>
          <w:color w:val="000000"/>
          <w:sz w:val="20"/>
          <w:u w:val="single"/>
        </w:rPr>
        <w:t>Board</w:t>
      </w:r>
      <w:r>
        <w:rPr>
          <w:rFonts w:ascii="Times New Roman" w:hAnsi="Times New Roman"/>
          <w:color w:val="000000"/>
          <w:sz w:val="20"/>
        </w:rPr>
        <w:t>”</w:t>
      </w:r>
      <w:r>
        <w:rPr>
          <w:rFonts w:ascii="Arial" w:hAnsi="Arial"/>
          <w:color w:val="000000"/>
          <w:sz w:val="20"/>
        </w:rPr>
        <w:t>) may from time to time establish or as the business of the Corporation may require.</w:t>
      </w:r>
    </w:p>
    <w:p>
      <w:pPr>
        <w:pStyle w:val="TextBody"/>
        <w:bidi w:val="0"/>
        <w:jc w:val="center"/>
        <w:rPr>
          <w:rFonts w:ascii="Arial" w:hAnsi="Arial"/>
          <w:b/>
          <w:caps/>
          <w:color w:val="000000"/>
          <w:sz w:val="20"/>
        </w:rPr>
      </w:pPr>
      <w:bookmarkStart w:id="32" w:name="sty_ht1_5"/>
      <w:bookmarkEnd w:id="32"/>
      <w:r>
        <w:rPr>
          <w:rFonts w:ascii="Arial" w:hAnsi="Arial"/>
          <w:b/>
          <w:caps/>
          <w:color w:val="000000"/>
          <w:sz w:val="20"/>
        </w:rPr>
        <w:t>Article II</w:t>
      </w:r>
    </w:p>
    <w:p>
      <w:pPr>
        <w:pStyle w:val="TextBody"/>
        <w:bidi w:val="0"/>
        <w:spacing w:before="0" w:after="240"/>
        <w:jc w:val="center"/>
        <w:rPr>
          <w:rFonts w:ascii="Arial" w:hAnsi="Arial"/>
          <w:b/>
          <w:caps/>
          <w:color w:val="000000"/>
          <w:sz w:val="20"/>
        </w:rPr>
      </w:pPr>
      <w:r>
        <w:rPr>
          <w:rFonts w:ascii="Arial" w:hAnsi="Arial"/>
          <w:b/>
          <w:caps/>
          <w:color w:val="000000"/>
          <w:sz w:val="20"/>
        </w:rPr>
        <w:t>MEETINGS OF STOCKHOLDERS</w:t>
      </w:r>
    </w:p>
    <w:p>
      <w:pPr>
        <w:pStyle w:val="TextBody"/>
        <w:bidi w:val="0"/>
        <w:spacing w:before="0" w:after="240"/>
        <w:jc w:val="left"/>
        <w:rPr>
          <w:rFonts w:ascii="Times New Roman" w:hAnsi="Times New Roman"/>
          <w:sz w:val="20"/>
        </w:rPr>
      </w:pPr>
      <w:r>
        <w:rPr>
          <w:rFonts w:ascii="Arial" w:hAnsi="Arial"/>
          <w:color w:val="000000"/>
          <w:sz w:val="20"/>
        </w:rPr>
        <w:t xml:space="preserve">Section 2.01 </w:t>
      </w:r>
      <w:r>
        <w:rPr>
          <w:rFonts w:ascii="Arial" w:hAnsi="Arial"/>
          <w:color w:val="000000"/>
          <w:sz w:val="20"/>
          <w:u w:val="single"/>
        </w:rPr>
        <w:t>Annual Meetings</w:t>
      </w:r>
      <w:r>
        <w:rPr>
          <w:rFonts w:ascii="Arial" w:hAnsi="Arial"/>
          <w:color w:val="000000"/>
          <w:sz w:val="20"/>
        </w:rPr>
        <w:t>. The Board shall designate the date and time of the annual meeting of stockholders. At the annual meeting of stockholders, directors shall be elected and other proper business properly brought before the meeting in accordance with Section 2.04 may be transacted. The Board may postpone, reschedule or cancel any previously scheduled annual meeting of stockholders.</w:t>
      </w:r>
    </w:p>
    <w:p>
      <w:pPr>
        <w:pStyle w:val="TextBody"/>
        <w:bidi w:val="0"/>
        <w:spacing w:before="0" w:after="240"/>
        <w:jc w:val="left"/>
        <w:rPr>
          <w:rFonts w:ascii="Times New Roman" w:hAnsi="Times New Roman"/>
          <w:sz w:val="20"/>
        </w:rPr>
      </w:pPr>
      <w:r>
        <w:rPr>
          <w:rFonts w:ascii="Arial" w:hAnsi="Arial"/>
          <w:color w:val="000000"/>
          <w:sz w:val="20"/>
        </w:rPr>
        <w:t xml:space="preserve">Section 2.02 </w:t>
      </w:r>
      <w:r>
        <w:rPr>
          <w:rFonts w:ascii="Arial" w:hAnsi="Arial"/>
          <w:color w:val="000000"/>
          <w:sz w:val="20"/>
          <w:u w:val="single"/>
        </w:rPr>
        <w:t>Special Meetings</w:t>
      </w:r>
      <w:r>
        <w:rPr>
          <w:rFonts w:ascii="Arial" w:hAnsi="Arial"/>
          <w:color w:val="000000"/>
          <w:sz w:val="20"/>
        </w:rPr>
        <w:t>. Special meetings of the stockholders may be called only by such Persons and only in such manner as set forth in the Certificate of Incorporation.</w:t>
      </w:r>
    </w:p>
    <w:p>
      <w:pPr>
        <w:pStyle w:val="TextBody"/>
        <w:bidi w:val="0"/>
        <w:spacing w:before="0" w:after="240"/>
        <w:jc w:val="left"/>
        <w:rPr>
          <w:rFonts w:ascii="Arial" w:hAnsi="Arial"/>
          <w:color w:val="000000"/>
          <w:sz w:val="20"/>
        </w:rPr>
      </w:pPr>
      <w:r>
        <w:rPr>
          <w:rFonts w:ascii="Arial" w:hAnsi="Arial"/>
          <w:color w:val="000000"/>
          <w:sz w:val="20"/>
        </w:rPr>
        <w:t>No business may be transacted at any special meeting of stockholders other than the business specified in the notice of such meeting. The Board may postpone, reschedule or cancel any previously scheduled special meeting of stockholders.</w:t>
      </w:r>
    </w:p>
    <w:p>
      <w:pPr>
        <w:pStyle w:val="TextBody"/>
        <w:bidi w:val="0"/>
        <w:spacing w:before="0" w:after="240"/>
        <w:jc w:val="left"/>
        <w:rPr>
          <w:rFonts w:ascii="Times New Roman" w:hAnsi="Times New Roman"/>
          <w:sz w:val="20"/>
        </w:rPr>
      </w:pPr>
      <w:r>
        <w:rPr>
          <w:rFonts w:ascii="Arial" w:hAnsi="Arial"/>
          <w:color w:val="000000"/>
          <w:sz w:val="20"/>
        </w:rPr>
        <w:t xml:space="preserve">Section 2.03 </w:t>
      </w:r>
      <w:r>
        <w:rPr>
          <w:rFonts w:ascii="Arial" w:hAnsi="Arial"/>
          <w:color w:val="000000"/>
          <w:sz w:val="20"/>
          <w:u w:val="single"/>
        </w:rPr>
        <w:t>Place of Meetings</w:t>
      </w:r>
      <w:r>
        <w:rPr>
          <w:rFonts w:ascii="Arial" w:hAnsi="Arial"/>
          <w:color w:val="000000"/>
          <w:sz w:val="20"/>
        </w:rPr>
        <w:t>. All meetings of the stockholders shall be held at such place, if any, within or outside the State of Delaware, as may from time to time be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hAnsi="Arial"/>
          <w:color w:val="000000"/>
          <w:sz w:val="20"/>
          <w:u w:val="single"/>
        </w:rPr>
        <w:t>DGCL</w:t>
      </w:r>
      <w:r>
        <w:rPr>
          <w:rFonts w:ascii="Times New Roman" w:hAnsi="Times New Roman"/>
          <w:color w:val="000000"/>
          <w:sz w:val="20"/>
        </w:rPr>
        <w:t>”</w:t>
      </w:r>
      <w:r>
        <w:rPr>
          <w:rFonts w:ascii="Arial" w:hAnsi="Arial"/>
          <w:color w:val="000000"/>
          <w:sz w:val="20"/>
        </w:rPr>
        <w:t>). In the absence of any such designation or determination, stockholders’ meetings shall be held at the Corporation’s principal executive office.</w:t>
      </w:r>
    </w:p>
    <w:p>
      <w:pPr>
        <w:pStyle w:val="TextBody"/>
        <w:bidi w:val="0"/>
        <w:spacing w:before="0" w:after="240"/>
        <w:jc w:val="left"/>
        <w:rPr>
          <w:rFonts w:ascii="Times New Roman" w:hAnsi="Times New Roman"/>
          <w:sz w:val="20"/>
        </w:rPr>
      </w:pPr>
      <w:r>
        <w:rPr>
          <w:rFonts w:ascii="Arial" w:hAnsi="Arial"/>
          <w:color w:val="000000"/>
          <w:sz w:val="20"/>
        </w:rPr>
        <w:t xml:space="preserve">Section 2.04 </w:t>
      </w:r>
      <w:r>
        <w:rPr>
          <w:rFonts w:ascii="Arial" w:hAnsi="Arial"/>
          <w:color w:val="000000"/>
          <w:sz w:val="20"/>
          <w:u w:val="single"/>
        </w:rPr>
        <w:t>Advance Notice Procedures for Business Brought before a Meeting</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(i) 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the Board or the chairperson of the meeting, or (c) otherwise properly brought before the meeting by a stockholder present in Person who (A)(1) was a record owner of shares of capital stock of the Corporation both at the time of giving the notice provided for in this Section 2.04 and at the time of the meeting, (2) is entitled to vote at the meeting and (3) has complied with this Section 2.04 or (B) properly made such proposal in accordance with Rule 14a-8 under the Securities Exchange Act of 1934, as amended, and the rules and regulations thereunder (as so amended and inclusive of such rules and regulations, the “</w:t>
      </w:r>
      <w:r>
        <w:rPr>
          <w:rFonts w:ascii="Arial" w:hAnsi="Arial"/>
          <w:color w:val="000000"/>
          <w:sz w:val="20"/>
          <w:u w:val="single"/>
        </w:rPr>
        <w:t>Exchange Act</w:t>
      </w:r>
      <w:r>
        <w:rPr>
          <w:rFonts w:ascii="Times New Roman" w:hAnsi="Times New Roman"/>
          <w:color w:val="000000"/>
          <w:sz w:val="20"/>
        </w:rPr>
        <w:t>”</w:t>
      </w:r>
      <w:r>
        <w:rPr>
          <w:rFonts w:ascii="Arial" w:hAnsi="Arial"/>
          <w:color w:val="000000"/>
          <w:sz w:val="20"/>
        </w:rPr>
        <w:t>), which proposal has been included in the proxy statement for the annual meeting. The foregoing clause (c)</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Section 2.02 of these bylaws, and stockholders shall not be permitted to propose business to be brought before a special meeting of the stockholders. For purposes of Article II of these bylaws, “present in person” shall mean that the stockholder proposing that the business be brought before the annual or special meeting of the Corporation, or, if the proposing stockholder is not an individual, a qualified representative of such proposing stockholder, appear at such annual meeting, either in person or, if the Board has determined that the meeting will be held by means of remote communication pursuant to Section 2.03, by means of remote communication and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This Section 2.04 shall apply to any business proposed by such stockholder that may be brought before an annual or special meeting of stockholders other than nominations for election to the Board, which shall be governed by Section 2.05 of these bylaws. Stockholders seeking to nominate Persons for election to the Board must comply with Section 2.05 of these bylaws, and this Section 2.04 shall not be applicable to nominations for election to the Board except as expressly provided in Section 2.05 of these bylaws.</w:t>
      </w:r>
    </w:p>
    <w:p>
      <w:pPr>
        <w:pStyle w:val="TextBody"/>
        <w:bidi w:val="0"/>
        <w:spacing w:before="0" w:after="240"/>
        <w:jc w:val="left"/>
        <w:rPr>
          <w:rFonts w:ascii="Times New Roman" w:hAnsi="Times New Roman"/>
          <w:sz w:val="20"/>
        </w:rPr>
      </w:pPr>
      <w:r>
        <w:rPr>
          <w:rFonts w:ascii="Arial" w:hAnsi="Arial"/>
          <w:color w:val="000000"/>
          <w:sz w:val="20"/>
        </w:rPr>
        <w:t xml:space="preserve">(ii) Without qualification, for business to be properly brought before an annual meeting by a stockholder, the stockholder must (a) provide Timely Notice (as defined below) thereof in writing and in proper form to the Secretary of the Corporation and (b) provide any updates or supplements to such notice at the times and in the forms required by this Section 2.04.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hAnsi="Arial"/>
          <w:i/>
          <w:color w:val="000000"/>
          <w:sz w:val="20"/>
        </w:rPr>
        <w:t>provided, however</w:t>
      </w:r>
      <w:r>
        <w:rPr>
          <w:rFonts w:ascii="Arial" w:hAnsi="Arial"/>
          <w:color w:val="000000"/>
          <w:sz w:val="20"/>
        </w:rPr>
        <w:t>, that if the date of the annual meeting is more than thirty (30) days before or more than sixty (60) days after such anniversary date or if no annual meeting was held in the preceding year, notice by the stockholder to be timely must be so delivered, or mailed and received, not more than the one hundred twentieth (120</w:t>
      </w:r>
      <w:r>
        <w:rPr>
          <w:rFonts w:ascii="Arial" w:hAnsi="Arial"/>
          <w:color w:val="000000"/>
          <w:sz w:val="13"/>
        </w:rPr>
        <w:t>th</w:t>
      </w:r>
      <w:r>
        <w:rPr>
          <w:rFonts w:ascii="Arial" w:hAnsi="Arial"/>
          <w:color w:val="000000"/>
          <w:sz w:val="20"/>
        </w:rPr>
        <w:t>) day prior to such annual meeting and not later than (i) the ninetieth (90</w:t>
      </w:r>
      <w:r>
        <w:rPr>
          <w:rFonts w:ascii="Arial" w:hAnsi="Arial"/>
          <w:color w:val="000000"/>
          <w:sz w:val="13"/>
        </w:rPr>
        <w:t>th</w:t>
      </w:r>
      <w:r>
        <w:rPr>
          <w:rFonts w:ascii="Arial" w:hAnsi="Arial"/>
          <w:color w:val="000000"/>
          <w:sz w:val="20"/>
        </w:rPr>
        <w:t>) day prior to such annual meeting or (ii) if later, the tenth (10</w:t>
      </w:r>
      <w:r>
        <w:rPr>
          <w:rFonts w:ascii="Arial" w:hAnsi="Arial"/>
          <w:color w:val="000000"/>
          <w:sz w:val="13"/>
        </w:rPr>
        <w:t>th</w:t>
      </w:r>
      <w:r>
        <w:rPr>
          <w:rFonts w:ascii="Arial" w:hAnsi="Arial"/>
          <w:color w:val="000000"/>
          <w:sz w:val="20"/>
        </w:rPr>
        <w:t>) day following the day on which public disclosure of the date of such annual meeting was first made by the Corporation (such notice within such time periods, “</w:t>
      </w:r>
      <w:r>
        <w:rPr>
          <w:rFonts w:ascii="Arial" w:hAnsi="Arial"/>
          <w:color w:val="000000"/>
          <w:sz w:val="20"/>
          <w:u w:val="single"/>
        </w:rPr>
        <w:t>Timely Notice</w:t>
      </w:r>
      <w:r>
        <w:rPr>
          <w:rFonts w:ascii="Times New Roman" w:hAnsi="Times New Roman"/>
          <w:color w:val="000000"/>
          <w:sz w:val="20"/>
        </w:rPr>
        <w:t>”</w:t>
      </w:r>
      <w:r>
        <w:rPr>
          <w:rFonts w:ascii="Arial" w:hAnsi="Arial"/>
          <w:color w:val="000000"/>
          <w:sz w:val="20"/>
        </w:rPr>
        <w:t>). In no event shall any adjournment or postponement of an annual meeting or the announcement thereof commence a new time period (or extend any time period) for the giving of Timely Notice as described above.</w:t>
      </w:r>
    </w:p>
    <w:p>
      <w:pPr>
        <w:pStyle w:val="TextBody"/>
        <w:bidi w:val="0"/>
        <w:spacing w:before="0" w:after="240"/>
        <w:jc w:val="left"/>
        <w:rPr>
          <w:rFonts w:ascii="Arial" w:hAnsi="Arial"/>
          <w:color w:val="000000"/>
          <w:sz w:val="20"/>
        </w:rPr>
      </w:pPr>
      <w:r>
        <w:rPr>
          <w:rFonts w:ascii="Arial" w:hAnsi="Arial"/>
          <w:color w:val="000000"/>
          <w:sz w:val="20"/>
        </w:rPr>
        <w:t>(iii) To be in proper form for purposes of this Section 2.04, a stockholder’s notice to the Secretary shall set forth:</w:t>
      </w:r>
    </w:p>
    <w:p>
      <w:pPr>
        <w:pStyle w:val="TextBody"/>
        <w:bidi w:val="0"/>
        <w:spacing w:before="0" w:after="240"/>
        <w:jc w:val="left"/>
        <w:rPr>
          <w:rFonts w:ascii="Times New Roman" w:hAnsi="Times New Roman"/>
          <w:sz w:val="20"/>
        </w:rPr>
      </w:pPr>
      <w:r>
        <w:rPr>
          <w:rFonts w:ascii="Arial" w:hAnsi="Arial"/>
          <w:color w:val="000000"/>
          <w:sz w:val="20"/>
        </w:rPr>
        <w:t>(a) As to each Proposing Person (as defined below), (A) the name and address of such Proposing Person (including, if applicable, the name and address that appear on the Corporation’s books and records), (B) the number of shares of each class or series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Arial" w:hAnsi="Arial"/>
          <w:color w:val="000000"/>
          <w:sz w:val="20"/>
          <w:u w:val="single"/>
        </w:rPr>
        <w:t>Stockholder Information</w:t>
      </w:r>
      <w:r>
        <w:rPr>
          <w:rFonts w:ascii="Times New Roman" w:hAnsi="Times New Roman"/>
          <w:color w:val="000000"/>
          <w:sz w:val="20"/>
        </w:rPr>
        <w:t>”</w:t>
      </w:r>
      <w:r>
        <w:rPr>
          <w:rFonts w:ascii="Arial" w:hAnsi="Arial"/>
          <w:color w:val="000000"/>
          <w:sz w:val="20"/>
        </w:rPr>
        <w:t>);</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Arial" w:hAnsi="Arial"/>
          <w:color w:val="000000"/>
          <w:sz w:val="20"/>
        </w:rPr>
        <w:t>(b) As to each Proposing Person,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w:t>
      </w:r>
      <w:r>
        <w:rPr>
          <w:rFonts w:ascii="Arial" w:hAnsi="Arial"/>
          <w:color w:val="000000"/>
          <w:sz w:val="20"/>
          <w:u w:val="single"/>
        </w:rPr>
        <w:t>Synthetic Equity Position</w:t>
      </w:r>
      <w:r>
        <w:rPr>
          <w:rFonts w:ascii="Times New Roman" w:hAnsi="Times New Roman"/>
          <w:color w:val="000000"/>
          <w:sz w:val="20"/>
        </w:rPr>
        <w:t>”</w:t>
      </w:r>
      <w:r>
        <w:rPr>
          <w:rFonts w:ascii="Arial" w:hAnsi="Arial"/>
          <w:color w:val="000000"/>
          <w:sz w:val="20"/>
        </w:rPr>
        <w:t>) that is, directly or indirectly, held or maintained by, held for the benefit of, or involving such Proposing Person, including, without limitation,</w:t>
      </w:r>
    </w:p>
    <w:p>
      <w:pPr>
        <w:pStyle w:val="TextBody"/>
        <w:bidi w:val="0"/>
        <w:spacing w:before="0" w:after="240"/>
        <w:jc w:val="left"/>
        <w:rPr>
          <w:rFonts w:ascii="Arial" w:hAnsi="Arial"/>
          <w:color w:val="000000"/>
          <w:sz w:val="20"/>
        </w:rPr>
      </w:pPr>
      <w:r>
        <w:rPr>
          <w:rFonts w:ascii="Arial" w:hAnsi="Arial"/>
          <w:color w:val="000000"/>
          <w:sz w:val="20"/>
        </w:rPr>
        <w:t>(1) 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w:t>
      </w:r>
    </w:p>
    <w:p>
      <w:pPr>
        <w:pStyle w:val="TextBody"/>
        <w:bidi w:val="0"/>
        <w:spacing w:before="0" w:after="240"/>
        <w:jc w:val="left"/>
        <w:rPr>
          <w:rFonts w:ascii="Times New Roman" w:hAnsi="Times New Roman"/>
          <w:sz w:val="20"/>
        </w:rPr>
      </w:pPr>
      <w:r>
        <w:rPr>
          <w:rFonts w:ascii="Arial" w:hAnsi="Arial"/>
          <w:color w:val="000000"/>
          <w:sz w:val="20"/>
        </w:rPr>
        <w:t>(2) 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(3) any contract, derivative, swap or other transaction or series of transactions designed to</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(x) produce economic benefits and risks that correspond substantially to the ownership of any class or series of shares of capital stock of the Corporation,</w:t>
      </w:r>
    </w:p>
    <w:p>
      <w:pPr>
        <w:pStyle w:val="TextBody"/>
        <w:bidi w:val="0"/>
        <w:spacing w:before="0" w:after="240"/>
        <w:jc w:val="left"/>
        <w:rPr>
          <w:rFonts w:ascii="Arial" w:hAnsi="Arial"/>
          <w:color w:val="000000"/>
          <w:sz w:val="20"/>
        </w:rPr>
      </w:pPr>
      <w:r>
        <w:rPr>
          <w:rFonts w:ascii="Arial" w:hAnsi="Arial"/>
          <w:color w:val="000000"/>
          <w:sz w:val="20"/>
        </w:rPr>
        <w:t>(y) mitigate any loss relating to, reduce the economic risk (of ownership or otherwise) of, or manage the risk of share price decrease in, any class or series of shares of capital stock of the Corporation, or</w:t>
      </w:r>
    </w:p>
    <w:p>
      <w:pPr>
        <w:pStyle w:val="TextBody"/>
        <w:bidi w:val="0"/>
        <w:spacing w:before="0" w:after="240"/>
        <w:jc w:val="left"/>
        <w:rPr>
          <w:rFonts w:ascii="Arial" w:hAnsi="Arial"/>
          <w:color w:val="000000"/>
          <w:sz w:val="20"/>
        </w:rPr>
      </w:pPr>
      <w:r>
        <w:rPr>
          <w:rFonts w:ascii="Arial" w:hAnsi="Arial"/>
          <w:color w:val="000000"/>
          <w:sz w:val="20"/>
        </w:rPr>
        <w:t>(z) increase or decrease the voting power in respect of any class or series of shares of capital stock of the Corporation held or maintained by, held for the benefit of, or involving such Proposing Person,</w:t>
      </w:r>
    </w:p>
    <w:p>
      <w:pPr>
        <w:pStyle w:val="TextBody"/>
        <w:bidi w:val="0"/>
        <w:spacing w:before="0" w:after="240"/>
        <w:jc w:val="left"/>
        <w:rPr>
          <w:rFonts w:ascii="Times New Roman" w:hAnsi="Times New Roman"/>
          <w:sz w:val="20"/>
        </w:rPr>
      </w:pPr>
      <w:r>
        <w:rPr>
          <w:rFonts w:ascii="Arial" w:hAnsi="Arial"/>
          <w:color w:val="000000"/>
          <w:sz w:val="20"/>
        </w:rPr>
        <w:t xml:space="preserve">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w:t>
      </w:r>
      <w:r>
        <w:rPr>
          <w:rFonts w:ascii="Arial" w:hAnsi="Arial"/>
          <w:i/>
          <w:color w:val="000000"/>
          <w:sz w:val="20"/>
        </w:rPr>
        <w:t xml:space="preserve">provided </w:t>
      </w:r>
      <w:r>
        <w:rPr>
          <w:rFonts w:ascii="Arial" w:hAnsi="Arial"/>
          <w:color w:val="000000"/>
          <w:sz w:val="20"/>
        </w:rPr>
        <w:t xml:space="preserve">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hAnsi="Arial"/>
          <w:i/>
          <w:color w:val="000000"/>
          <w:sz w:val="20"/>
        </w:rPr>
        <w:t>provided</w:t>
      </w:r>
      <w:r>
        <w:rPr>
          <w:rFonts w:ascii="Arial" w:hAnsi="Arial"/>
          <w:color w:val="000000"/>
          <w:sz w:val="20"/>
        </w:rPr>
        <w:t xml:space="preserve">, </w:t>
      </w:r>
      <w:r>
        <w:rPr>
          <w:rFonts w:ascii="Arial" w:hAnsi="Arial"/>
          <w:i/>
          <w:color w:val="000000"/>
          <w:sz w:val="20"/>
        </w:rPr>
        <w:t>further</w:t>
      </w:r>
      <w:r>
        <w:rPr>
          <w:rFonts w:ascii="Arial" w:hAnsi="Arial"/>
          <w:color w:val="000000"/>
          <w:sz w:val="20"/>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any Synthetic Equity Position that is, directly or indirectly, held or maintained by, held for the benefit of, or involving such Proposing Person as a hedge with respect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Arial" w:hAnsi="Arial"/>
          <w:color w:val="000000"/>
          <w:sz w:val="20"/>
        </w:rPr>
        <w:t>to a bona fide derivatives trade or position of such Proposing Person arising in the ordinary course of such Proposing Person’s business as a derivatives dealer,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(B) 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(C) any material pending or threatened legal proceeding in which such Proposing Person is a party or material participant involving the Corporation or any of its officers or directors, or any affiliate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(D) any other material relationship between such Proposing Person, on the one hand, and the Corporation or any affiliate of the Corporation, on the other hand,</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(E) 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pStyle w:val="TextBody"/>
        <w:bidi w:val="0"/>
        <w:spacing w:before="0" w:after="240"/>
        <w:jc w:val="left"/>
        <w:rPr>
          <w:rFonts w:ascii="Arial" w:hAnsi="Arial"/>
          <w:color w:val="000000"/>
          <w:sz w:val="20"/>
        </w:rPr>
      </w:pPr>
      <w:r>
        <w:rPr>
          <w:rFonts w:ascii="Arial" w:hAnsi="Arial"/>
          <w:color w:val="000000"/>
          <w:sz w:val="20"/>
        </w:rPr>
        <w:t>(F) 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pStyle w:val="TextBody"/>
        <w:bidi w:val="0"/>
        <w:spacing w:before="0" w:after="240"/>
        <w:jc w:val="left"/>
        <w:rPr>
          <w:rFonts w:ascii="Times New Roman" w:hAnsi="Times New Roman"/>
          <w:sz w:val="20"/>
        </w:rPr>
      </w:pPr>
      <w:r>
        <w:rPr>
          <w:rFonts w:ascii="Arial" w:hAnsi="Arial"/>
          <w:color w:val="000000"/>
          <w:sz w:val="20"/>
        </w:rPr>
        <w:t>(G) a representation that such Proposing Person intends or is part of a group that intends to deliver a proxy statement and</w:t>
      </w:r>
      <w:r>
        <w:rPr>
          <w:rFonts w:ascii="Arial" w:hAnsi="Arial"/>
          <w:i/>
          <w:color w:val="000000"/>
          <w:sz w:val="20"/>
        </w:rPr>
        <w:t>/or form of proxy to holders of at least the percentage of the Corporation’s outstanding capital stock required to</w:t>
      </w:r>
      <w:r>
        <w:rPr>
          <w:rFonts w:ascii="Times New Roman" w:hAnsi="Times New Roman"/>
          <w:color w:val="000000"/>
          <w:sz w:val="20"/>
        </w:rPr>
        <w:t xml:space="preserve"> </w:t>
      </w:r>
      <w:r>
        <w:rPr>
          <w:rFonts w:ascii="Arial" w:hAnsi="Arial"/>
          <w:color w:val="000000"/>
          <w:sz w:val="20"/>
        </w:rPr>
        <w:t>approve or adopt the proposal or otherwise solicit proxies or votes from stockholders in support of such proposal, and</w:t>
      </w:r>
    </w:p>
    <w:p>
      <w:pPr>
        <w:pStyle w:val="TextBody"/>
        <w:bidi w:val="0"/>
        <w:spacing w:before="0" w:after="240"/>
        <w:jc w:val="left"/>
        <w:rPr>
          <w:rFonts w:ascii="Times New Roman" w:hAnsi="Times New Roman"/>
          <w:sz w:val="20"/>
        </w:rPr>
      </w:pPr>
      <w:r>
        <w:rPr>
          <w:rFonts w:ascii="Arial" w:hAnsi="Arial"/>
          <w:color w:val="000000"/>
          <w:sz w:val="20"/>
        </w:rPr>
        <w:t>(H)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(the disclosures to be made pursuant to the foregoing clauses (A) through (H)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spacing w:before="0" w:after="240"/>
        <w:jc w:val="left"/>
        <w:rPr>
          <w:rFonts w:ascii="Times New Roman" w:hAnsi="Times New Roman"/>
          <w:sz w:val="20"/>
        </w:rPr>
      </w:pPr>
      <w:r>
        <w:rPr>
          <w:rFonts w:ascii="Arial" w:hAnsi="Arial"/>
          <w:color w:val="000000"/>
          <w:sz w:val="20"/>
        </w:rPr>
        <w:t>(c) 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Arial" w:hAnsi="Arial"/>
          <w:color w:val="000000"/>
          <w:sz w:val="20"/>
        </w:rPr>
        <w:t xml:space="preserve">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hAnsi="Arial"/>
          <w:i/>
          <w:color w:val="000000"/>
          <w:sz w:val="20"/>
        </w:rPr>
        <w:t>provided</w:t>
      </w:r>
      <w:r>
        <w:rPr>
          <w:rFonts w:ascii="Arial" w:hAnsi="Arial"/>
          <w:color w:val="000000"/>
          <w:sz w:val="20"/>
        </w:rPr>
        <w:t xml:space="preserve">, </w:t>
      </w:r>
      <w:r>
        <w:rPr>
          <w:rFonts w:ascii="Arial" w:hAnsi="Arial"/>
          <w:i/>
          <w:color w:val="000000"/>
          <w:sz w:val="20"/>
        </w:rPr>
        <w:t>however</w:t>
      </w:r>
      <w:r>
        <w:rPr>
          <w:rFonts w:ascii="Arial" w:hAnsi="Arial"/>
          <w:color w:val="000000"/>
          <w:sz w:val="20"/>
        </w:rPr>
        <w:t>, that the disclosures required by this Section 2.04(iii)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before="0" w:after="240"/>
        <w:jc w:val="left"/>
        <w:rPr>
          <w:rFonts w:ascii="Times New Roman" w:hAnsi="Times New Roman"/>
          <w:sz w:val="20"/>
        </w:rPr>
      </w:pPr>
      <w:r>
        <w:rPr>
          <w:rFonts w:ascii="Arial" w:hAnsi="Arial"/>
          <w:color w:val="000000"/>
          <w:sz w:val="20"/>
        </w:rPr>
        <w:t>(iv) For purposes of this Section 2.04, the term “</w:t>
      </w:r>
      <w:r>
        <w:rPr>
          <w:rFonts w:ascii="Arial" w:hAnsi="Arial"/>
          <w:color w:val="000000"/>
          <w:sz w:val="20"/>
          <w:u w:val="single"/>
        </w:rPr>
        <w:t>Proposing Person</w:t>
      </w:r>
      <w:r>
        <w:rPr>
          <w:rFonts w:ascii="Times New Roman" w:hAnsi="Times New Roman"/>
          <w:color w:val="000000"/>
          <w:sz w:val="20"/>
        </w:rPr>
        <w:t xml:space="preserve">” </w:t>
      </w:r>
      <w:r>
        <w:rPr>
          <w:rFonts w:ascii="Arial" w:hAnsi="Arial"/>
          <w:color w:val="000000"/>
          <w:sz w:val="20"/>
        </w:rPr>
        <w:t>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 (ii)-(vi) of Instruction 3 to Item 4 of Schedule 14A) with such stockholder in such solicitation and (d) any affiliate (within the meaning of Rule 12b-2 under the Exchange Act for purposes of these Bylaws) of such stockholder or beneficial owner.</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(v) The Board may request that any Proposing Person furnish such additional information as may be reasonably required by the Board. Such Proposing Person shall provide such additional information within five (5) days after it has been requested by the Board.</w:t>
      </w:r>
    </w:p>
    <w:p>
      <w:pPr>
        <w:pStyle w:val="TextBody"/>
        <w:bidi w:val="0"/>
        <w:spacing w:before="0" w:after="240"/>
        <w:jc w:val="left"/>
        <w:rPr>
          <w:rFonts w:ascii="Arial" w:hAnsi="Arial"/>
          <w:color w:val="000000"/>
          <w:sz w:val="20"/>
        </w:rPr>
      </w:pPr>
      <w:r>
        <w:rPr>
          <w:rFonts w:ascii="Arial" w:hAnsi="Arial"/>
          <w:color w:val="000000"/>
          <w:sz w:val="20"/>
        </w:rPr>
        <w:t>(vi) A Proposing Person shall update and supplement its notice to the Corporation of its intent to propose business at an annual meeting, if necessary, so that the information provided or required to be provided in such notice pursuant to this Section 2.04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pStyle w:val="TextBody"/>
        <w:bidi w:val="0"/>
        <w:spacing w:before="0" w:after="240"/>
        <w:jc w:val="left"/>
        <w:rPr>
          <w:rFonts w:ascii="Arial" w:hAnsi="Arial"/>
          <w:color w:val="000000"/>
          <w:sz w:val="20"/>
        </w:rPr>
      </w:pPr>
      <w:r>
        <w:rPr>
          <w:rFonts w:ascii="Arial" w:hAnsi="Arial"/>
          <w:color w:val="000000"/>
          <w:sz w:val="20"/>
        </w:rPr>
        <w:t>(vii) Notwithstanding anything in these bylaws to the contrary, no business shall be conducted at an annual meeting that is not properly brought before the meeting in accordance with this Section 2.04. The presiding officer of the meeting (or, in advance of any meeting of stockholders, the Board or an authorized committee thereof) shall, if the facts warrant, determine that the business was not properly brought before the meeting in accordance with this Section 2.04, and if he or she should so determine, he or she shall so declare to the meeting and any such business not properly brought before the meeting shall not be transacted.</w:t>
      </w:r>
    </w:p>
    <w:p>
      <w:pPr>
        <w:pStyle w:val="TextBody"/>
        <w:bidi w:val="0"/>
        <w:spacing w:before="0" w:after="240"/>
        <w:jc w:val="left"/>
        <w:rPr>
          <w:rFonts w:ascii="Times New Roman" w:hAnsi="Times New Roman"/>
          <w:sz w:val="20"/>
        </w:rPr>
      </w:pPr>
      <w:r>
        <w:rPr>
          <w:rFonts w:ascii="Arial" w:hAnsi="Arial"/>
          <w:color w:val="000000"/>
          <w:sz w:val="20"/>
        </w:rPr>
        <w:t>(viii) This Section 2.04 is expressly intended to apply to any business proposed by a stockholder to be brought before an annual meeting of stockholders other than any proposal made in accordance with Rule 14a-8 under the Exchange Act and included in the Corporation’s proxy statement. In addition to the requirements of this Section 2.04 with respect to any business proposed to be brought before an annual meeting, each Proposing Person shall comply with all applicable requirements of the Exchange Act with respect to any such business. Nothing in this Section 2.04 shall be deemed to affect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the rights of stockholders to request inclusion of proposals in the Corporation’s proxy statement pursuant to Rule 14a-8 under the Exchange Act.</w:t>
      </w:r>
    </w:p>
    <w:p>
      <w:pPr>
        <w:pStyle w:val="TextBody"/>
        <w:bidi w:val="0"/>
        <w:spacing w:before="0" w:after="240"/>
        <w:jc w:val="left"/>
        <w:rPr>
          <w:rFonts w:ascii="Times New Roman" w:hAnsi="Times New Roman"/>
          <w:sz w:val="20"/>
        </w:rPr>
      </w:pPr>
      <w:r>
        <w:rPr>
          <w:rFonts w:ascii="Arial" w:hAnsi="Arial"/>
          <w:color w:val="000000"/>
          <w:sz w:val="20"/>
        </w:rPr>
        <w:t>(ix) For purposes of these bylaws, “</w:t>
      </w:r>
      <w:r>
        <w:rPr>
          <w:rFonts w:ascii="Arial" w:hAnsi="Arial"/>
          <w:color w:val="000000"/>
          <w:sz w:val="20"/>
          <w:u w:val="single"/>
        </w:rPr>
        <w:t>public disclosure</w:t>
      </w:r>
      <w:r>
        <w:rPr>
          <w:rFonts w:ascii="Times New Roman" w:hAnsi="Times New Roman"/>
          <w:color w:val="000000"/>
          <w:sz w:val="20"/>
        </w:rPr>
        <w:t xml:space="preserve">” </w:t>
      </w:r>
      <w:r>
        <w:rPr>
          <w:rFonts w:ascii="Arial" w:hAnsi="Arial"/>
          <w:color w:val="000000"/>
          <w:sz w:val="20"/>
        </w:rPr>
        <w:t>shall mean disclosure in a press release reported by a national news service or in a document publicly filed by the Corporation with the Securities and Exchange Commission pursuant to Sections 13, 14 or 15(d) of the Exchange Act.</w:t>
      </w:r>
    </w:p>
    <w:p>
      <w:pPr>
        <w:pStyle w:val="TextBody"/>
        <w:bidi w:val="0"/>
        <w:spacing w:before="0" w:after="240"/>
        <w:jc w:val="left"/>
        <w:rPr>
          <w:rFonts w:ascii="Times New Roman" w:hAnsi="Times New Roman"/>
          <w:sz w:val="20"/>
        </w:rPr>
      </w:pPr>
      <w:r>
        <w:rPr>
          <w:rFonts w:ascii="Arial" w:hAnsi="Arial"/>
          <w:color w:val="000000"/>
          <w:sz w:val="20"/>
        </w:rPr>
        <w:t xml:space="preserve">Section 2.05 </w:t>
      </w:r>
      <w:r>
        <w:rPr>
          <w:rFonts w:ascii="Arial" w:hAnsi="Arial"/>
          <w:color w:val="000000"/>
          <w:sz w:val="20"/>
          <w:u w:val="single"/>
        </w:rPr>
        <w:t>Advance Notice Procedures for Nominations of Directors</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(i)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(a) by or at the direction of the Board, including by any committee or Persons duly authorized to do so by the Board or these bylaws, or (b) by a stockholder present in Person (as defined in Section 2.04) (1) who was a record owner of shares of capital stock of the Corporation both at the time of giving the notice provided for in this Section 2.05 and at the time of the meeting, (2) is entitled to vote at the meeting and (3) has complied with this Section 2.05 as to such notice and nomination. The foregoing clause (b) shall be the exclusive means for a stockholder to make any nomination of a Person or Persons for election to the Board at an annual meeting or special meeting.</w:t>
      </w:r>
    </w:p>
    <w:p>
      <w:pPr>
        <w:pStyle w:val="TextBody"/>
        <w:bidi w:val="0"/>
        <w:spacing w:before="0" w:after="240"/>
        <w:jc w:val="left"/>
        <w:rPr>
          <w:rFonts w:ascii="Times New Roman" w:hAnsi="Times New Roman"/>
          <w:sz w:val="20"/>
        </w:rPr>
      </w:pPr>
      <w:r>
        <w:rPr>
          <w:rFonts w:ascii="Arial" w:hAnsi="Arial"/>
          <w:color w:val="000000"/>
          <w:sz w:val="20"/>
        </w:rPr>
        <w:t>(ii) (1) Without qualification, for a stockholder to make any nomination of a Person or Persons for election to the Board at an annual meeting, the stockholder must (a) provide Timely Notice (as defined in Section 2.04(ii) of these bylaws) thereof in writing and in proper form to the Secretary of the Corporation, (b) provide the information, agreements and questionnaires with respect to each Nominating Person (as defined below) and its candidate for nomination as required to be set forth by this Section 2.05, and (c) provide any updates or supplements to such notice at the times and in the forms required by this Section 2.05.</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(2) 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2.05 and (C) provide any updates or supplements to such notice at the times and in the forms required by this Section. To be timely, a stockholder’s notice for nominations to be made at a special meeting must be delivered to, or mailed and received at, the principal executive offices of the Corporation not earlier than the one hundred twentieth (120</w:t>
      </w:r>
      <w:r>
        <w:rPr>
          <w:rFonts w:ascii="Arial" w:hAnsi="Arial"/>
          <w:color w:val="000000"/>
          <w:sz w:val="13"/>
        </w:rPr>
        <w:t>th</w:t>
      </w:r>
      <w:r>
        <w:rPr>
          <w:rFonts w:ascii="Arial" w:hAnsi="Arial"/>
          <w:color w:val="000000"/>
          <w:sz w:val="20"/>
        </w:rPr>
        <w:t>) day prior to such special meeting and not later than the ninetieth (90</w:t>
      </w:r>
      <w:r>
        <w:rPr>
          <w:rFonts w:ascii="Arial" w:hAnsi="Arial"/>
          <w:color w:val="000000"/>
          <w:sz w:val="13"/>
        </w:rPr>
        <w:t>th</w:t>
      </w:r>
      <w:r>
        <w:rPr>
          <w:rFonts w:ascii="Arial" w:hAnsi="Arial"/>
          <w:color w:val="000000"/>
          <w:sz w:val="20"/>
        </w:rPr>
        <w:t>) day prior to such special meeting, or, if later, the tenth (10</w:t>
      </w:r>
      <w:r>
        <w:rPr>
          <w:rFonts w:ascii="Arial" w:hAnsi="Arial"/>
          <w:color w:val="000000"/>
          <w:sz w:val="13"/>
        </w:rPr>
        <w:t>th</w:t>
      </w:r>
      <w:r>
        <w:rPr>
          <w:rFonts w:ascii="Arial" w:hAnsi="Arial"/>
          <w:color w:val="000000"/>
          <w:sz w:val="20"/>
        </w:rPr>
        <w:t>) day following the day on which public disclosure of the date of such special meeting was first made (such notice within such time periods, “Special Meeting Timely Notice”).</w:t>
      </w:r>
    </w:p>
    <w:p>
      <w:pPr>
        <w:pStyle w:val="TextBody"/>
        <w:bidi w:val="0"/>
        <w:spacing w:before="0" w:after="240"/>
        <w:jc w:val="left"/>
        <w:rPr>
          <w:rFonts w:ascii="Arial" w:hAnsi="Arial"/>
          <w:color w:val="000000"/>
          <w:sz w:val="20"/>
        </w:rPr>
      </w:pPr>
      <w:r>
        <w:rPr>
          <w:rFonts w:ascii="Arial" w:hAnsi="Arial"/>
          <w:color w:val="000000"/>
          <w:sz w:val="20"/>
        </w:rPr>
        <w:t>(3) In no event shall any adjournment or postponement of an annual meeting or special meeting or the announcement thereof commence a new time period (or extend any time period) for the giving of a stockholder’s notice as described above.</w:t>
      </w:r>
    </w:p>
    <w:p>
      <w:pPr>
        <w:pStyle w:val="TextBody"/>
        <w:bidi w:val="0"/>
        <w:spacing w:before="0" w:after="240"/>
        <w:jc w:val="left"/>
        <w:rPr>
          <w:rFonts w:ascii="Arial" w:hAnsi="Arial"/>
          <w:color w:val="000000"/>
          <w:sz w:val="20"/>
        </w:rPr>
      </w:pPr>
      <w:r>
        <w:rPr>
          <w:rFonts w:ascii="Arial" w:hAnsi="Arial"/>
          <w:color w:val="000000"/>
          <w:sz w:val="20"/>
        </w:rPr>
        <w:t>(4) In no event may a Nominating Person provide Timely Notice or Special Meeting Timely Notice,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Timely Notice, as applicable, or (ii) the tenth day following the date of public disclosure (as defined in Section 2.04) of such increase.</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(iii) To be in proper form for purposes of this Section 2.05, a stockholder’s notice to the Secretary shall set forth:</w:t>
      </w:r>
    </w:p>
    <w:p>
      <w:pPr>
        <w:pStyle w:val="TextBody"/>
        <w:bidi w:val="0"/>
        <w:spacing w:before="0" w:after="240"/>
        <w:jc w:val="left"/>
        <w:rPr>
          <w:rFonts w:ascii="Times New Roman" w:hAnsi="Times New Roman"/>
          <w:sz w:val="20"/>
        </w:rPr>
      </w:pPr>
      <w:r>
        <w:rPr>
          <w:rFonts w:ascii="Arial" w:hAnsi="Arial"/>
          <w:color w:val="000000"/>
          <w:sz w:val="20"/>
        </w:rPr>
        <w:t>(a) As to each Nominating Person, the Stockholder Information (as defined in Section 2.04(iii)(a) of these bylaws) except that for purposes of this Section 2.05, the term “</w:t>
      </w:r>
      <w:r>
        <w:rPr>
          <w:rFonts w:ascii="Arial" w:hAnsi="Arial"/>
          <w:color w:val="000000"/>
          <w:sz w:val="20"/>
          <w:u w:val="single"/>
        </w:rPr>
        <w:t>Nominating Person</w:t>
      </w:r>
      <w:r>
        <w:rPr>
          <w:rFonts w:ascii="Times New Roman" w:hAnsi="Times New Roman"/>
          <w:color w:val="000000"/>
          <w:sz w:val="20"/>
        </w:rPr>
        <w:t xml:space="preserve">” </w:t>
      </w:r>
      <w:r>
        <w:rPr>
          <w:rFonts w:ascii="Arial" w:hAnsi="Arial"/>
          <w:color w:val="000000"/>
          <w:sz w:val="20"/>
        </w:rPr>
        <w:t>shall be substituted for the term “</w:t>
      </w:r>
      <w:r>
        <w:rPr>
          <w:rFonts w:ascii="Arial" w:hAnsi="Arial"/>
          <w:color w:val="000000"/>
          <w:sz w:val="20"/>
          <w:u w:val="single"/>
        </w:rPr>
        <w:t>Proposing Person</w:t>
      </w:r>
      <w:r>
        <w:rPr>
          <w:rFonts w:ascii="Times New Roman" w:hAnsi="Times New Roman"/>
          <w:color w:val="000000"/>
          <w:sz w:val="20"/>
        </w:rPr>
        <w:t xml:space="preserve">” </w:t>
      </w:r>
      <w:r>
        <w:rPr>
          <w:rFonts w:ascii="Arial" w:hAnsi="Arial"/>
          <w:color w:val="000000"/>
          <w:sz w:val="20"/>
        </w:rPr>
        <w:t>in all places it appears in Section 2.04(iii)(a);</w:t>
      </w:r>
    </w:p>
    <w:p>
      <w:pPr>
        <w:pStyle w:val="TextBody"/>
        <w:bidi w:val="0"/>
        <w:spacing w:before="0" w:after="240"/>
        <w:jc w:val="left"/>
        <w:rPr>
          <w:rFonts w:ascii="Times New Roman" w:hAnsi="Times New Roman"/>
          <w:sz w:val="20"/>
        </w:rPr>
      </w:pPr>
      <w:r>
        <w:rPr>
          <w:rFonts w:ascii="Arial" w:hAnsi="Arial"/>
          <w:color w:val="000000"/>
          <w:sz w:val="20"/>
        </w:rPr>
        <w:t>(b) As to each Nominating Person, any Disclosable Interests (as defined in Section 2.04(iii)(b), except that for purposes of this Section 2.05 the term “</w:t>
      </w:r>
      <w:r>
        <w:rPr>
          <w:rFonts w:ascii="Arial" w:hAnsi="Arial"/>
          <w:color w:val="000000"/>
          <w:sz w:val="20"/>
          <w:u w:val="single"/>
        </w:rPr>
        <w:t>Nominating Person</w:t>
      </w:r>
      <w:r>
        <w:rPr>
          <w:rFonts w:ascii="Times New Roman" w:hAnsi="Times New Roman"/>
          <w:color w:val="000000"/>
          <w:sz w:val="20"/>
        </w:rPr>
        <w:t xml:space="preserve">” </w:t>
      </w:r>
      <w:r>
        <w:rPr>
          <w:rFonts w:ascii="Arial" w:hAnsi="Arial"/>
          <w:color w:val="000000"/>
          <w:sz w:val="20"/>
        </w:rPr>
        <w:t>shall be substituted for the term “</w:t>
      </w:r>
      <w:r>
        <w:rPr>
          <w:rFonts w:ascii="Arial" w:hAnsi="Arial"/>
          <w:color w:val="000000"/>
          <w:sz w:val="20"/>
          <w:u w:val="single"/>
        </w:rPr>
        <w:t>Proposing Person</w:t>
      </w:r>
      <w:r>
        <w:rPr>
          <w:rFonts w:ascii="Times New Roman" w:hAnsi="Times New Roman"/>
          <w:color w:val="000000"/>
          <w:sz w:val="20"/>
        </w:rPr>
        <w:t xml:space="preserve">” </w:t>
      </w:r>
      <w:r>
        <w:rPr>
          <w:rFonts w:ascii="Arial" w:hAnsi="Arial"/>
          <w:color w:val="000000"/>
          <w:sz w:val="20"/>
        </w:rPr>
        <w:t>in all places it appears in Section 2.04(iii)(b) and the disclosure with respect to the business to be brought before the meeting in Section 2.04(iii)(c) shall be made with respect to the nomination proposed to be made at the meeting); and provided that, in lieu of including the representation set forth in Section 2.04(iii)(b)(G), the Nominating Person’s notice for purposes of this Section 2.05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pStyle w:val="TextBody"/>
        <w:bidi w:val="0"/>
        <w:spacing w:before="0" w:after="240"/>
        <w:jc w:val="left"/>
        <w:rPr>
          <w:rFonts w:ascii="Arial" w:hAnsi="Arial"/>
          <w:color w:val="000000"/>
          <w:sz w:val="20"/>
        </w:rPr>
      </w:pPr>
      <w:r>
        <w:rPr>
          <w:rFonts w:ascii="Arial" w:hAnsi="Arial"/>
          <w:color w:val="000000"/>
          <w:sz w:val="20"/>
        </w:rPr>
        <w:t>(c) 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(C) a completed and signed questionnaire, representation and agreement as provided in Section 2.05(vii).</w:t>
      </w:r>
    </w:p>
    <w:p>
      <w:pPr>
        <w:pStyle w:val="TextBody"/>
        <w:bidi w:val="0"/>
        <w:spacing w:before="0" w:after="240"/>
        <w:jc w:val="left"/>
        <w:rPr>
          <w:rFonts w:ascii="Times New Roman" w:hAnsi="Times New Roman"/>
          <w:sz w:val="20"/>
        </w:rPr>
      </w:pPr>
      <w:r>
        <w:rPr>
          <w:rFonts w:ascii="Arial" w:hAnsi="Arial"/>
          <w:color w:val="000000"/>
          <w:sz w:val="20"/>
        </w:rPr>
        <w:t>(iv) For purposes of this Section 2.05, the term “</w:t>
      </w:r>
      <w:r>
        <w:rPr>
          <w:rFonts w:ascii="Arial" w:hAnsi="Arial"/>
          <w:color w:val="000000"/>
          <w:sz w:val="20"/>
          <w:u w:val="single"/>
        </w:rPr>
        <w:t>Nominating Person</w:t>
      </w:r>
      <w:r>
        <w:rPr>
          <w:rFonts w:ascii="Times New Roman" w:hAnsi="Times New Roman"/>
          <w:color w:val="000000"/>
          <w:sz w:val="20"/>
        </w:rPr>
        <w:t xml:space="preserve">” </w:t>
      </w:r>
      <w:r>
        <w:rPr>
          <w:rFonts w:ascii="Arial" w:hAnsi="Arial"/>
          <w:color w:val="000000"/>
          <w:sz w:val="20"/>
        </w:rPr>
        <w:t>shall mean (a) the stockholder providing the notice of the nomination proposed to be made at the meeting, (b) the beneficial owner or beneficial owners, if different, on whose behalf the notice of the nomination proposed to be made at the meeting is made, (c) any participant (as defined in paragraphs (a)(ii)-(vi) of Instruction 3 to Item 4 of Schedule 14A) with such stockholder in such solicitation and (d) any affiliate of such stockholder or beneficial owners.</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(v) The Board may request that any Nominating Person furnish such additional information as may be reasonably required by the Board. Such Nominating Person shall provide such additional information within five (5) days after it has been requested by the Board.</w:t>
      </w:r>
    </w:p>
    <w:p>
      <w:pPr>
        <w:pStyle w:val="TextBody"/>
        <w:bidi w:val="0"/>
        <w:spacing w:before="0" w:after="240"/>
        <w:jc w:val="left"/>
        <w:rPr>
          <w:rFonts w:ascii="Times New Roman" w:hAnsi="Times New Roman"/>
          <w:sz w:val="20"/>
        </w:rPr>
      </w:pPr>
      <w:r>
        <w:rPr>
          <w:rFonts w:ascii="Arial" w:hAnsi="Arial"/>
          <w:color w:val="000000"/>
          <w:sz w:val="20"/>
        </w:rPr>
        <w:t>(vi) A stockholder providing notice of any nomination proposed to be made at a meeting or any candidate for nomination as a director shall further update and supplement such notice or the materials delivered pursuant to this Section, as applicable, if necessary, so that the information provided or required to be provided in such notice pursuant to this Section 2.05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pStyle w:val="TextBody"/>
        <w:bidi w:val="0"/>
        <w:spacing w:before="0" w:after="240"/>
        <w:jc w:val="left"/>
        <w:rPr>
          <w:rFonts w:ascii="Arial" w:hAnsi="Arial"/>
          <w:color w:val="000000"/>
          <w:sz w:val="20"/>
        </w:rPr>
      </w:pPr>
      <w:r>
        <w:rPr>
          <w:rFonts w:ascii="Arial" w:hAnsi="Arial"/>
          <w:color w:val="000000"/>
          <w:sz w:val="20"/>
        </w:rPr>
        <w:t>(vii) To be eligible to be a candidate for election as a director of the Corporation at an annual meeting or special meeting, a candidate must be nominated in the manner prescribed in this Section 2.05 and the candidate for nomination, whether nominated by the Board or by a stockholder of record, must have previously delivered to the Secretary at the principal executive offices of the Corporation, (a) a completed written questionnaire (in the form provided by the Corporation within ten (10) days upon written request of any stockholder of record thereof) with respect to the background, qualifications, stock ownership and independence of such candidate for nomination and (b) a written representation and agreement (in the form provided by the Corporation within ten (10) days upon written request of any stockholder of record thereof)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“Voting Commitment”)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a director of the Corporation, intends to serve the entire term until the next meeting at which such candidate would face re-election.</w:t>
      </w:r>
    </w:p>
    <w:p>
      <w:pPr>
        <w:pStyle w:val="TextBody"/>
        <w:bidi w:val="0"/>
        <w:spacing w:before="0" w:after="240"/>
        <w:jc w:val="left"/>
        <w:rPr>
          <w:rFonts w:ascii="Arial" w:hAnsi="Arial"/>
          <w:color w:val="000000"/>
          <w:sz w:val="20"/>
        </w:rPr>
      </w:pPr>
      <w:r>
        <w:rPr>
          <w:rFonts w:ascii="Arial" w:hAnsi="Arial"/>
          <w:color w:val="000000"/>
          <w:sz w:val="20"/>
        </w:rPr>
        <w:t>(viii) The Board may also require any proposed candidate for nomination as a Director to furnish such other information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five (5) business days after the request by the Board has been delivered to, or mailed and received by, the Nominating Person.</w:t>
      </w:r>
    </w:p>
    <w:p>
      <w:pPr>
        <w:pStyle w:val="TextBody"/>
        <w:bidi w:val="0"/>
        <w:spacing w:before="0" w:after="240"/>
        <w:jc w:val="left"/>
        <w:rPr>
          <w:rFonts w:ascii="Times New Roman" w:hAnsi="Times New Roman"/>
          <w:sz w:val="20"/>
        </w:rPr>
      </w:pPr>
      <w:r>
        <w:rPr>
          <w:rFonts w:ascii="Arial" w:hAnsi="Arial"/>
          <w:color w:val="000000"/>
          <w:sz w:val="20"/>
        </w:rPr>
        <w:t>(ix) In addition to the requirements of this Section 2.05 with respect to any nomination proposed to be made at a meeting, each Nominating Person shall comply with all applicable requirements of the Exchange Act with respect to any such nominations. Notwithstanding the foregoing provisions of this Section 2.05, unless otherwise required by law, (i) no Nominating Person shall solicit proxies in support of director nominees other than the Corporation’s nominees unless such Nominating Person has, or is part of a group that has, complied with Rule 14a-19 promulgated under the Exchange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Act in connection with the solicitation of such proxies, including the provision to the Corporation of notices required thereunder in accordance with the time frames required in this Section 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pStyle w:val="TextBody"/>
        <w:bidi w:val="0"/>
        <w:spacing w:before="0" w:after="240"/>
        <w:jc w:val="left"/>
        <w:rPr>
          <w:rFonts w:ascii="Arial" w:hAnsi="Arial"/>
          <w:color w:val="000000"/>
          <w:sz w:val="20"/>
        </w:rPr>
      </w:pPr>
      <w:r>
        <w:rPr>
          <w:rFonts w:ascii="Arial" w:hAnsi="Arial"/>
          <w:color w:val="000000"/>
          <w:sz w:val="20"/>
        </w:rPr>
        <w:t>(x) No candidate nominated pursuant to Section 2.05(i)(b) shall be eligible for nomination as a director of the Corporation unless such candidate for nomination and the Nominating Person seeking to place such candidate’s name in nomination has complied with this Section 2.05, as applicable. The presiding officer at the meeting shall, if the facts warrant, determine that a nomination was not properly made in accordance with this Section 2.05,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spacing w:before="0" w:after="240"/>
        <w:jc w:val="left"/>
        <w:rPr>
          <w:rFonts w:ascii="Arial" w:hAnsi="Arial"/>
          <w:color w:val="000000"/>
          <w:sz w:val="20"/>
        </w:rPr>
      </w:pPr>
      <w:r>
        <w:rPr>
          <w:rFonts w:ascii="Arial" w:hAnsi="Arial"/>
          <w:color w:val="000000"/>
          <w:sz w:val="20"/>
        </w:rPr>
        <w:t>(xi) Notwithstanding anything in these bylaws to the contrary, no candidate for nomination pursuant to this Section 2.05 shall be eligible to be seated as a director of the Corporation unless nominated in accordance with this Section 2.05 and elected as a director.</w:t>
      </w:r>
    </w:p>
    <w:p>
      <w:pPr>
        <w:pStyle w:val="TextBody"/>
        <w:bidi w:val="0"/>
        <w:spacing w:before="0" w:after="240"/>
        <w:jc w:val="left"/>
        <w:rPr>
          <w:rFonts w:ascii="Times New Roman" w:hAnsi="Times New Roman"/>
          <w:sz w:val="20"/>
        </w:rPr>
      </w:pPr>
      <w:r>
        <w:rPr>
          <w:rFonts w:ascii="Arial" w:hAnsi="Arial"/>
          <w:color w:val="000000"/>
          <w:sz w:val="20"/>
        </w:rPr>
        <w:t xml:space="preserve">Section 2.06 </w:t>
      </w:r>
      <w:r>
        <w:rPr>
          <w:rFonts w:ascii="Arial" w:hAnsi="Arial"/>
          <w:color w:val="000000"/>
          <w:sz w:val="20"/>
          <w:u w:val="single"/>
        </w:rPr>
        <w:t>Notice of Stockholders’ Meetings</w:t>
      </w:r>
      <w:r>
        <w:rPr>
          <w:rFonts w:ascii="Arial" w:hAnsi="Arial"/>
          <w:color w:val="000000"/>
          <w:sz w:val="20"/>
        </w:rPr>
        <w:t>. Unless otherwise provided by law, the Certificate of Incorporation or these bylaws, the notice of any meeting of stockholders shall be sent or otherwise given in accordance with Section 11.01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the meeting is called.</w:t>
      </w:r>
    </w:p>
    <w:p>
      <w:pPr>
        <w:pStyle w:val="TextBody"/>
        <w:bidi w:val="0"/>
        <w:spacing w:before="0" w:after="240"/>
        <w:jc w:val="left"/>
        <w:rPr>
          <w:rFonts w:ascii="Times New Roman" w:hAnsi="Times New Roman"/>
          <w:sz w:val="20"/>
        </w:rPr>
      </w:pPr>
      <w:r>
        <w:rPr>
          <w:rFonts w:ascii="Arial" w:hAnsi="Arial"/>
          <w:color w:val="000000"/>
          <w:sz w:val="20"/>
        </w:rPr>
        <w:t xml:space="preserve">Section 2.07 </w:t>
      </w:r>
      <w:r>
        <w:rPr>
          <w:rFonts w:ascii="Arial" w:hAnsi="Arial"/>
          <w:color w:val="000000"/>
          <w:sz w:val="20"/>
          <w:u w:val="single"/>
        </w:rPr>
        <w:t>Quorum</w:t>
      </w:r>
      <w:r>
        <w:rPr>
          <w:rFonts w:ascii="Arial" w:hAnsi="Arial"/>
          <w:color w:val="000000"/>
          <w:sz w:val="20"/>
        </w:rPr>
        <w:t>. 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chairperson of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2.08 of these bylaws until a quorum is present or represented. At any recessed or adjourned meeting at which a quorum is present or represented, any business may be transacted that might have been transacted at the meeting as originally noticed.</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Arial" w:hAnsi="Arial"/>
          <w:color w:val="000000"/>
          <w:sz w:val="20"/>
        </w:rPr>
        <w:t xml:space="preserve">Section 2.08 </w:t>
      </w:r>
      <w:r>
        <w:rPr>
          <w:rFonts w:ascii="Arial" w:hAnsi="Arial"/>
          <w:color w:val="000000"/>
          <w:sz w:val="20"/>
          <w:u w:val="single"/>
        </w:rPr>
        <w:t>Adjourned Meeting; Notice</w:t>
      </w:r>
      <w:r>
        <w:rPr>
          <w:rFonts w:ascii="Arial" w:hAnsi="Arial"/>
          <w:color w:val="000000"/>
          <w:sz w:val="20"/>
        </w:rPr>
        <w:t>.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pStyle w:val="TextBody"/>
        <w:bidi w:val="0"/>
        <w:spacing w:before="0" w:after="240"/>
        <w:jc w:val="left"/>
        <w:rPr>
          <w:rFonts w:ascii="Times New Roman" w:hAnsi="Times New Roman"/>
          <w:sz w:val="20"/>
        </w:rPr>
      </w:pPr>
      <w:r>
        <w:rPr>
          <w:rFonts w:ascii="Arial" w:hAnsi="Arial"/>
          <w:color w:val="000000"/>
          <w:sz w:val="20"/>
        </w:rPr>
        <w:t xml:space="preserve">Section 2.09 </w:t>
      </w:r>
      <w:r>
        <w:rPr>
          <w:rFonts w:ascii="Arial" w:hAnsi="Arial"/>
          <w:color w:val="000000"/>
          <w:sz w:val="20"/>
          <w:u w:val="single"/>
        </w:rPr>
        <w:t>Conduct of Business</w:t>
      </w:r>
      <w:r>
        <w:rPr>
          <w:rFonts w:ascii="Arial" w:hAnsi="Arial"/>
          <w:color w:val="000000"/>
          <w:sz w:val="20"/>
        </w:rPr>
        <w:t>. 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chairperson of any meeting of stockholders shall have the right and authority to convene and (for any or no reason) to recess and/or adjourn the meeting, to prescribe such rules, regulations and procedures (which need not be in writing) and to do all such acts as, in the judgment of such chairperson,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The chairperson of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chairperson of the meeting), shall, if the facts warrant, determine and declare to the meeting that a matter of business was not properly brought before the meeting and if such chairperson of the meeting should so determine, such chairperson of the meeting shall so declare to the meeting and any such matter or business not properly brought before the meeting shall not be transacted or considered. Unless and to the extent determined by the Board or the chairperson of the meeting, meetings of stockholders shall not be required to be held in accordance with the rules of parliamentary procedure.</w:t>
      </w:r>
    </w:p>
    <w:p>
      <w:pPr>
        <w:pStyle w:val="TextBody"/>
        <w:bidi w:val="0"/>
        <w:spacing w:before="0" w:after="240"/>
        <w:jc w:val="left"/>
        <w:rPr>
          <w:rFonts w:ascii="Times New Roman" w:hAnsi="Times New Roman"/>
          <w:sz w:val="20"/>
        </w:rPr>
      </w:pPr>
      <w:r>
        <w:rPr>
          <w:rFonts w:ascii="Arial" w:hAnsi="Arial"/>
          <w:color w:val="000000"/>
          <w:sz w:val="20"/>
        </w:rPr>
        <w:t xml:space="preserve">Section 2.10 </w:t>
      </w:r>
      <w:r>
        <w:rPr>
          <w:rFonts w:ascii="Arial" w:hAnsi="Arial"/>
          <w:color w:val="000000"/>
          <w:sz w:val="20"/>
          <w:u w:val="single"/>
        </w:rPr>
        <w:t>Voting</w:t>
      </w:r>
      <w:r>
        <w:rPr>
          <w:rFonts w:ascii="Arial" w:hAnsi="Arial"/>
          <w:color w:val="000000"/>
          <w:sz w:val="20"/>
        </w:rPr>
        <w:t>. Except as may be otherwise provided in the Certificate of Incorporation, these bylaws or the DGCL, each stockholder shall be entitled to one (1) vote for each share of capital stock held by such stockholder.</w:t>
      </w:r>
    </w:p>
    <w:p>
      <w:pPr>
        <w:pStyle w:val="TextBody"/>
        <w:bidi w:val="0"/>
        <w:spacing w:before="0" w:after="240"/>
        <w:jc w:val="left"/>
        <w:rPr>
          <w:rFonts w:ascii="Arial" w:hAnsi="Arial"/>
          <w:color w:val="000000"/>
          <w:sz w:val="20"/>
        </w:rPr>
      </w:pPr>
      <w:r>
        <w:rPr>
          <w:rFonts w:ascii="Arial" w:hAnsi="Arial"/>
          <w:color w:val="000000"/>
          <w:sz w:val="20"/>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Arial" w:hAnsi="Arial"/>
          <w:color w:val="000000"/>
          <w:sz w:val="20"/>
        </w:rPr>
        <w:t xml:space="preserve">Section 2.11 </w:t>
      </w:r>
      <w:r>
        <w:rPr>
          <w:rFonts w:ascii="Arial" w:hAnsi="Arial"/>
          <w:color w:val="000000"/>
          <w:sz w:val="20"/>
          <w:u w:val="single"/>
        </w:rPr>
        <w:t>Record Date for Stockholder Meetings and Other Purposes</w:t>
      </w:r>
      <w:r>
        <w:rPr>
          <w:rFonts w:ascii="Arial" w:hAnsi="Arial"/>
          <w:color w:val="000000"/>
          <w:sz w:val="20"/>
        </w:rPr>
        <w:t>. 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0" w:after="240"/>
        <w:jc w:val="left"/>
        <w:rPr>
          <w:rFonts w:ascii="Arial" w:hAnsi="Arial"/>
          <w:color w:val="000000"/>
          <w:sz w:val="20"/>
        </w:rPr>
      </w:pPr>
      <w:r>
        <w:rPr>
          <w:rFonts w:ascii="Arial" w:hAnsi="Arial"/>
          <w:color w:val="000000"/>
          <w:sz w:val="20"/>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before="0" w:after="240"/>
        <w:jc w:val="left"/>
        <w:rPr>
          <w:rFonts w:ascii="Times New Roman" w:hAnsi="Times New Roman"/>
          <w:sz w:val="20"/>
        </w:rPr>
      </w:pPr>
      <w:r>
        <w:rPr>
          <w:rFonts w:ascii="Arial" w:hAnsi="Arial"/>
          <w:color w:val="000000"/>
          <w:sz w:val="20"/>
        </w:rPr>
        <w:t xml:space="preserve">Section 2.12 </w:t>
      </w:r>
      <w:r>
        <w:rPr>
          <w:rFonts w:ascii="Arial" w:hAnsi="Arial"/>
          <w:color w:val="000000"/>
          <w:sz w:val="20"/>
          <w:u w:val="single"/>
        </w:rPr>
        <w:t>Proxies</w:t>
      </w:r>
      <w:r>
        <w:rPr>
          <w:rFonts w:ascii="Arial" w:hAnsi="Arial"/>
          <w:color w:val="000000"/>
          <w:sz w:val="20"/>
        </w:rPr>
        <w:t>. Each stockholder entitled to vote at a meeting of stockholders may authorize another Person or Persons to act for such stockholder by proxy authorized by an instrument in writing or by a transmission permitted by law, including Rule 14a-19 promulgated under the Exchange Act,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electronic transmission was authorized by the stockholder.</w:t>
      </w:r>
    </w:p>
    <w:p>
      <w:pPr>
        <w:pStyle w:val="TextBody"/>
        <w:bidi w:val="0"/>
        <w:spacing w:before="0" w:after="240"/>
        <w:jc w:val="left"/>
        <w:rPr>
          <w:rFonts w:ascii="Arial" w:hAnsi="Arial"/>
          <w:color w:val="000000"/>
          <w:sz w:val="20"/>
        </w:rPr>
      </w:pPr>
      <w:r>
        <w:rPr>
          <w:rFonts w:ascii="Arial" w:hAnsi="Arial"/>
          <w:color w:val="000000"/>
          <w:sz w:val="20"/>
        </w:rPr>
        <w:t>Any stockholder directly or indirectly soliciting proxies from other stockholders must use a proxy card color other than white, which shall be reserved for the exclusive use by the Board.</w:t>
      </w:r>
    </w:p>
    <w:p>
      <w:pPr>
        <w:pStyle w:val="TextBody"/>
        <w:bidi w:val="0"/>
        <w:spacing w:before="0" w:after="240"/>
        <w:jc w:val="left"/>
        <w:rPr>
          <w:rFonts w:ascii="Times New Roman" w:hAnsi="Times New Roman"/>
          <w:sz w:val="20"/>
        </w:rPr>
      </w:pPr>
      <w:r>
        <w:rPr>
          <w:rFonts w:ascii="Arial" w:hAnsi="Arial"/>
          <w:color w:val="000000"/>
          <w:sz w:val="20"/>
        </w:rPr>
        <w:t xml:space="preserve">Section 2.13 </w:t>
      </w:r>
      <w:r>
        <w:rPr>
          <w:rFonts w:ascii="Arial" w:hAnsi="Arial"/>
          <w:color w:val="000000"/>
          <w:sz w:val="20"/>
          <w:u w:val="single"/>
        </w:rPr>
        <w:t>List of Stockholders Entitled to Vote</w:t>
      </w:r>
      <w:r>
        <w:rPr>
          <w:rFonts w:ascii="Arial" w:hAnsi="Arial"/>
          <w:color w:val="000000"/>
          <w:sz w:val="20"/>
        </w:rPr>
        <w:t>. The Corporation shall prepare, no later than the tenth (10</w:t>
      </w:r>
      <w:r>
        <w:rPr>
          <w:rFonts w:ascii="Arial" w:hAnsi="Arial"/>
          <w:color w:val="000000"/>
          <w:sz w:val="13"/>
        </w:rPr>
        <w:t>th</w:t>
      </w:r>
      <w:r>
        <w:rPr>
          <w:rFonts w:ascii="Arial" w:hAnsi="Arial"/>
          <w:color w:val="000000"/>
          <w:sz w:val="20"/>
        </w:rPr>
        <w:t>)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entitled to examine the list of stockholders required by this Section 2.13 or to vote in Person or by proxy at any meeting of stockholders.</w:t>
      </w:r>
    </w:p>
    <w:p>
      <w:pPr>
        <w:pStyle w:val="TextBody"/>
        <w:bidi w:val="0"/>
        <w:spacing w:before="0" w:after="240"/>
        <w:jc w:val="left"/>
        <w:rPr>
          <w:rFonts w:ascii="Times New Roman" w:hAnsi="Times New Roman"/>
          <w:sz w:val="20"/>
        </w:rPr>
      </w:pPr>
      <w:r>
        <w:rPr>
          <w:rFonts w:ascii="Arial" w:hAnsi="Arial"/>
          <w:color w:val="000000"/>
          <w:sz w:val="20"/>
        </w:rPr>
        <w:t xml:space="preserve">Section 2.14 </w:t>
      </w:r>
      <w:r>
        <w:rPr>
          <w:rFonts w:ascii="Arial" w:hAnsi="Arial"/>
          <w:color w:val="000000"/>
          <w:sz w:val="20"/>
          <w:u w:val="single"/>
        </w:rPr>
        <w:t>Inspectors of Election</w:t>
      </w:r>
      <w:r>
        <w:rPr>
          <w:rFonts w:ascii="Arial" w:hAnsi="Arial"/>
          <w:color w:val="000000"/>
          <w:sz w:val="20"/>
        </w:rPr>
        <w:t>. 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chairperson of the meeting shall appoint a Person to fill that vacancy.</w:t>
      </w:r>
    </w:p>
    <w:p>
      <w:pPr>
        <w:pStyle w:val="TextBody"/>
        <w:bidi w:val="0"/>
        <w:spacing w:before="0" w:after="240"/>
        <w:jc w:val="left"/>
        <w:rPr>
          <w:rFonts w:ascii="Arial" w:hAnsi="Arial"/>
          <w:color w:val="000000"/>
          <w:sz w:val="20"/>
        </w:rPr>
      </w:pPr>
      <w:r>
        <w:rPr>
          <w:rFonts w:ascii="Arial" w:hAnsi="Arial"/>
          <w:color w:val="000000"/>
          <w:sz w:val="20"/>
        </w:rPr>
        <w:t>Such inspectors shall:</w:t>
      </w:r>
    </w:p>
    <w:p>
      <w:pPr>
        <w:pStyle w:val="TextBody"/>
        <w:bidi w:val="0"/>
        <w:spacing w:before="0" w:after="240"/>
        <w:jc w:val="left"/>
        <w:rPr>
          <w:rFonts w:ascii="Arial" w:hAnsi="Arial"/>
          <w:color w:val="000000"/>
          <w:sz w:val="20"/>
        </w:rPr>
      </w:pPr>
      <w:r>
        <w:rPr>
          <w:rFonts w:ascii="Arial" w:hAnsi="Arial"/>
          <w:color w:val="000000"/>
          <w:sz w:val="20"/>
        </w:rPr>
        <w:t>(i) determine the number of shares outstanding and the voting power of each, the number of shares represented at the meeting and the validity of any proxies and ballots;</w:t>
      </w:r>
    </w:p>
    <w:p>
      <w:pPr>
        <w:pStyle w:val="TextBody"/>
        <w:bidi w:val="0"/>
        <w:spacing w:before="0" w:after="240"/>
        <w:jc w:val="left"/>
        <w:rPr>
          <w:rFonts w:ascii="Arial" w:hAnsi="Arial"/>
          <w:color w:val="000000"/>
          <w:sz w:val="20"/>
        </w:rPr>
      </w:pPr>
      <w:r>
        <w:rPr>
          <w:rFonts w:ascii="Arial" w:hAnsi="Arial"/>
          <w:color w:val="000000"/>
          <w:sz w:val="20"/>
        </w:rPr>
        <w:t>(ii) count all votes or ballots;</w:t>
      </w:r>
    </w:p>
    <w:p>
      <w:pPr>
        <w:pStyle w:val="TextBody"/>
        <w:bidi w:val="0"/>
        <w:spacing w:before="0" w:after="240"/>
        <w:jc w:val="left"/>
        <w:rPr>
          <w:rFonts w:ascii="Arial" w:hAnsi="Arial"/>
          <w:color w:val="000000"/>
          <w:sz w:val="20"/>
        </w:rPr>
      </w:pPr>
      <w:r>
        <w:rPr>
          <w:rFonts w:ascii="Arial" w:hAnsi="Arial"/>
          <w:color w:val="000000"/>
          <w:sz w:val="20"/>
        </w:rPr>
        <w:t>(iii) count and tabulate all votes;</w:t>
      </w:r>
    </w:p>
    <w:p>
      <w:pPr>
        <w:pStyle w:val="TextBody"/>
        <w:bidi w:val="0"/>
        <w:spacing w:before="0" w:after="240"/>
        <w:jc w:val="left"/>
        <w:rPr>
          <w:rFonts w:ascii="Arial" w:hAnsi="Arial"/>
          <w:color w:val="000000"/>
          <w:sz w:val="20"/>
        </w:rPr>
      </w:pPr>
      <w:r>
        <w:rPr>
          <w:rFonts w:ascii="Arial" w:hAnsi="Arial"/>
          <w:color w:val="000000"/>
          <w:sz w:val="20"/>
        </w:rPr>
        <w:t>(iv) determine and retain for a reasonable period a record of the disposition of any challenges made to any determination by the inspector(s); and</w:t>
      </w:r>
    </w:p>
    <w:p>
      <w:pPr>
        <w:pStyle w:val="TextBody"/>
        <w:bidi w:val="0"/>
        <w:spacing w:before="0" w:after="240"/>
        <w:jc w:val="left"/>
        <w:rPr>
          <w:rFonts w:ascii="Arial" w:hAnsi="Arial"/>
          <w:color w:val="000000"/>
          <w:sz w:val="20"/>
        </w:rPr>
      </w:pPr>
      <w:r>
        <w:rPr>
          <w:rFonts w:ascii="Arial" w:hAnsi="Arial"/>
          <w:color w:val="000000"/>
          <w:sz w:val="20"/>
        </w:rPr>
        <w:t>(v) certify its or their determination of the number of shares represented at the meeting and its or their count of all votes and ballots.</w:t>
      </w:r>
    </w:p>
    <w:p>
      <w:pPr>
        <w:pStyle w:val="TextBody"/>
        <w:bidi w:val="0"/>
        <w:spacing w:before="0" w:after="240"/>
        <w:jc w:val="left"/>
        <w:rPr>
          <w:rFonts w:ascii="Arial" w:hAnsi="Arial"/>
          <w:color w:val="000000"/>
          <w:sz w:val="20"/>
        </w:rPr>
      </w:pPr>
      <w:r>
        <w:rPr>
          <w:rFonts w:ascii="Arial" w:hAnsi="Arial"/>
          <w:color w:val="000000"/>
          <w:sz w:val="20"/>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pStyle w:val="TextBody"/>
        <w:bidi w:val="0"/>
        <w:spacing w:before="0" w:after="240"/>
        <w:jc w:val="left"/>
        <w:rPr>
          <w:rFonts w:ascii="Times New Roman" w:hAnsi="Times New Roman"/>
          <w:sz w:val="20"/>
        </w:rPr>
      </w:pPr>
      <w:r>
        <w:rPr>
          <w:rFonts w:ascii="Arial" w:hAnsi="Arial"/>
          <w:color w:val="000000"/>
          <w:sz w:val="20"/>
        </w:rPr>
        <w:t xml:space="preserve">Section 2.15 </w:t>
      </w:r>
      <w:r>
        <w:rPr>
          <w:rFonts w:ascii="Arial" w:hAnsi="Arial"/>
          <w:color w:val="000000"/>
          <w:sz w:val="20"/>
          <w:u w:val="single"/>
        </w:rPr>
        <w:t>Delivery to the Corporation</w:t>
      </w:r>
      <w:r>
        <w:rPr>
          <w:rFonts w:ascii="Arial" w:hAnsi="Arial"/>
          <w:color w:val="000000"/>
          <w:sz w:val="20"/>
        </w:rPr>
        <w:t>. 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pStyle w:val="TextBody"/>
        <w:bidi w:val="0"/>
        <w:jc w:val="center"/>
        <w:rPr>
          <w:rFonts w:ascii="Arial" w:hAnsi="Arial"/>
          <w:b/>
          <w:caps/>
          <w:color w:val="000000"/>
          <w:sz w:val="20"/>
        </w:rPr>
      </w:pPr>
      <w:bookmarkStart w:id="33" w:name="sty_ht1_6"/>
      <w:bookmarkEnd w:id="33"/>
      <w:r>
        <w:rPr>
          <w:rFonts w:ascii="Arial" w:hAnsi="Arial"/>
          <w:b/>
          <w:caps/>
          <w:color w:val="000000"/>
          <w:sz w:val="20"/>
        </w:rPr>
        <w:t>Article III</w:t>
      </w:r>
      <w:bookmarkStart w:id="34" w:name="sty_ht1_7"/>
      <w:bookmarkEnd w:id="34"/>
    </w:p>
    <w:p>
      <w:pPr>
        <w:pStyle w:val="TextBody"/>
        <w:bidi w:val="0"/>
        <w:spacing w:before="0" w:after="240"/>
        <w:jc w:val="center"/>
        <w:rPr>
          <w:rFonts w:ascii="Arial" w:hAnsi="Arial"/>
          <w:b/>
          <w:caps/>
          <w:color w:val="000000"/>
          <w:sz w:val="20"/>
        </w:rPr>
      </w:pPr>
      <w:r>
        <w:rPr>
          <w:rFonts w:ascii="Arial" w:hAnsi="Arial"/>
          <w:b/>
          <w:caps/>
          <w:color w:val="000000"/>
          <w:sz w:val="20"/>
        </w:rPr>
        <w:t>BOARD OF DIRECTORS</w:t>
      </w:r>
    </w:p>
    <w:p>
      <w:pPr>
        <w:pStyle w:val="TextBody"/>
        <w:bidi w:val="0"/>
        <w:spacing w:before="0" w:after="240"/>
        <w:jc w:val="left"/>
        <w:rPr>
          <w:rFonts w:ascii="Times New Roman" w:hAnsi="Times New Roman"/>
          <w:sz w:val="20"/>
        </w:rPr>
      </w:pPr>
      <w:r>
        <w:rPr>
          <w:rFonts w:ascii="Arial" w:hAnsi="Arial"/>
          <w:color w:val="000000"/>
          <w:sz w:val="20"/>
        </w:rPr>
        <w:t xml:space="preserve">Section 3.01 </w:t>
      </w:r>
      <w:r>
        <w:rPr>
          <w:rFonts w:ascii="Arial" w:hAnsi="Arial"/>
          <w:color w:val="000000"/>
          <w:sz w:val="20"/>
          <w:u w:val="single"/>
        </w:rPr>
        <w:t>General Powers</w:t>
      </w:r>
      <w:r>
        <w:rPr>
          <w:rFonts w:ascii="Arial" w:hAnsi="Arial"/>
          <w:color w:val="000000"/>
          <w:sz w:val="20"/>
        </w:rPr>
        <w:t>. The business and affairs of the Corporation shall be managed by or under the direction of the Board, except as may be otherwise provided by the DGCL or in the Certificate of Incorporation.</w:t>
      </w:r>
    </w:p>
    <w:p>
      <w:pPr>
        <w:pStyle w:val="TextBody"/>
        <w:bidi w:val="0"/>
        <w:spacing w:before="0" w:after="240"/>
        <w:jc w:val="left"/>
        <w:rPr>
          <w:rFonts w:ascii="Times New Roman" w:hAnsi="Times New Roman"/>
          <w:sz w:val="20"/>
        </w:rPr>
      </w:pPr>
      <w:r>
        <w:rPr>
          <w:rFonts w:ascii="Arial" w:hAnsi="Arial"/>
          <w:color w:val="000000"/>
          <w:sz w:val="20"/>
        </w:rPr>
        <w:t xml:space="preserve">Section 3.02 </w:t>
      </w:r>
      <w:r>
        <w:rPr>
          <w:rFonts w:ascii="Arial" w:hAnsi="Arial"/>
          <w:color w:val="000000"/>
          <w:sz w:val="20"/>
          <w:u w:val="single"/>
        </w:rPr>
        <w:t>Number of Directors</w:t>
      </w:r>
      <w:r>
        <w:rPr>
          <w:rFonts w:ascii="Arial" w:hAnsi="Arial"/>
          <w:color w:val="000000"/>
          <w:sz w:val="20"/>
        </w:rPr>
        <w:t>. 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pStyle w:val="TextBody"/>
        <w:bidi w:val="0"/>
        <w:spacing w:before="0" w:after="240"/>
        <w:jc w:val="left"/>
        <w:rPr>
          <w:rFonts w:ascii="Times New Roman" w:hAnsi="Times New Roman"/>
          <w:sz w:val="20"/>
        </w:rPr>
      </w:pPr>
      <w:r>
        <w:rPr>
          <w:rFonts w:ascii="Arial" w:hAnsi="Arial"/>
          <w:color w:val="000000"/>
          <w:sz w:val="20"/>
        </w:rPr>
        <w:t xml:space="preserve">Section 3.03 </w:t>
      </w:r>
      <w:r>
        <w:rPr>
          <w:rFonts w:ascii="Arial" w:hAnsi="Arial"/>
          <w:color w:val="000000"/>
          <w:sz w:val="20"/>
          <w:u w:val="single"/>
        </w:rPr>
        <w:t>Election, Qualification and Term of Office of Directors</w:t>
      </w:r>
      <w:r>
        <w:rPr>
          <w:rFonts w:ascii="Arial" w:hAnsi="Arial"/>
          <w:color w:val="000000"/>
          <w:sz w:val="20"/>
        </w:rPr>
        <w:t>. Except as provided in Section 3.04 of these bylaws, each director, including a director elected to fill a vacancy or newly created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 The election of directors is subject to any provisions contained in the Certificate of Incorporation relating thereto, including any provision for a classified board and for cumulative voting.</w:t>
      </w:r>
    </w:p>
    <w:p>
      <w:pPr>
        <w:pStyle w:val="TextBody"/>
        <w:bidi w:val="0"/>
        <w:spacing w:before="0" w:after="240"/>
        <w:jc w:val="left"/>
        <w:rPr>
          <w:rFonts w:ascii="Times New Roman" w:hAnsi="Times New Roman"/>
          <w:sz w:val="20"/>
        </w:rPr>
      </w:pPr>
      <w:r>
        <w:rPr>
          <w:rFonts w:ascii="Arial" w:hAnsi="Arial"/>
          <w:color w:val="000000"/>
          <w:sz w:val="20"/>
        </w:rPr>
        <w:t xml:space="preserve">Section 3.04 </w:t>
      </w:r>
      <w:r>
        <w:rPr>
          <w:rFonts w:ascii="Arial" w:hAnsi="Arial"/>
          <w:color w:val="000000"/>
          <w:sz w:val="20"/>
          <w:u w:val="single"/>
        </w:rPr>
        <w:t>Resignations and Vacancies</w:t>
      </w:r>
      <w:r>
        <w:rPr>
          <w:rFonts w:ascii="Arial" w:hAnsi="Arial"/>
          <w:color w:val="000000"/>
          <w:sz w:val="20"/>
        </w:rPr>
        <w:t>. Any director of the Corporation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3.03.</w:t>
      </w:r>
    </w:p>
    <w:p>
      <w:pPr>
        <w:pStyle w:val="TextBody"/>
        <w:bidi w:val="0"/>
        <w:spacing w:before="0" w:after="240"/>
        <w:jc w:val="left"/>
        <w:rPr>
          <w:rFonts w:ascii="Arial" w:hAnsi="Arial"/>
          <w:color w:val="000000"/>
          <w:sz w:val="20"/>
        </w:rPr>
      </w:pPr>
      <w:r>
        <w:rPr>
          <w:rFonts w:ascii="Arial" w:hAnsi="Arial"/>
          <w:color w:val="000000"/>
          <w:sz w:val="20"/>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pStyle w:val="TextBody"/>
        <w:bidi w:val="0"/>
        <w:spacing w:before="0" w:after="240"/>
        <w:jc w:val="left"/>
        <w:rPr>
          <w:rFonts w:ascii="Times New Roman" w:hAnsi="Times New Roman"/>
          <w:sz w:val="20"/>
        </w:rPr>
      </w:pPr>
      <w:r>
        <w:rPr>
          <w:rFonts w:ascii="Arial" w:hAnsi="Arial"/>
          <w:color w:val="000000"/>
          <w:sz w:val="20"/>
        </w:rPr>
        <w:t xml:space="preserve">Section 3.05 </w:t>
      </w:r>
      <w:r>
        <w:rPr>
          <w:rFonts w:ascii="Arial" w:hAnsi="Arial"/>
          <w:color w:val="000000"/>
          <w:sz w:val="20"/>
          <w:u w:val="single"/>
        </w:rPr>
        <w:t>Place of Meetings; Meetings by Telephone</w:t>
      </w:r>
      <w:r>
        <w:rPr>
          <w:rFonts w:ascii="Arial" w:hAnsi="Arial"/>
          <w:color w:val="000000"/>
          <w:sz w:val="20"/>
        </w:rPr>
        <w:t>. The Board may hold its meetings, both regular and special, either within or outside the State of Delaware. 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pStyle w:val="TextBody"/>
        <w:bidi w:val="0"/>
        <w:spacing w:before="0" w:after="240"/>
        <w:jc w:val="left"/>
        <w:rPr>
          <w:rFonts w:ascii="Times New Roman" w:hAnsi="Times New Roman"/>
          <w:sz w:val="20"/>
        </w:rPr>
      </w:pPr>
      <w:r>
        <w:rPr>
          <w:rFonts w:ascii="Arial" w:hAnsi="Arial"/>
          <w:color w:val="000000"/>
          <w:sz w:val="20"/>
        </w:rPr>
        <w:t xml:space="preserve">Section 3.06 </w:t>
      </w:r>
      <w:r>
        <w:rPr>
          <w:rFonts w:ascii="Arial" w:hAnsi="Arial"/>
          <w:color w:val="000000"/>
          <w:sz w:val="20"/>
          <w:u w:val="single"/>
        </w:rPr>
        <w:t>Regular Meetings</w:t>
      </w:r>
      <w:r>
        <w:rPr>
          <w:rFonts w:ascii="Arial" w:hAnsi="Arial"/>
          <w:color w:val="000000"/>
          <w:sz w:val="20"/>
        </w:rPr>
        <w:t>. Regular meetings of the Board may be held within or outside the State of Delaware and at such time and at such place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pStyle w:val="TextBody"/>
        <w:bidi w:val="0"/>
        <w:spacing w:before="0" w:after="240"/>
        <w:jc w:val="left"/>
        <w:rPr>
          <w:rFonts w:ascii="Times New Roman" w:hAnsi="Times New Roman"/>
          <w:sz w:val="20"/>
        </w:rPr>
      </w:pPr>
      <w:r>
        <w:rPr>
          <w:rFonts w:ascii="Arial" w:hAnsi="Arial"/>
          <w:color w:val="000000"/>
          <w:sz w:val="20"/>
        </w:rPr>
        <w:t xml:space="preserve">Section 3.07 </w:t>
      </w:r>
      <w:r>
        <w:rPr>
          <w:rFonts w:ascii="Arial" w:hAnsi="Arial"/>
          <w:color w:val="000000"/>
          <w:sz w:val="20"/>
          <w:u w:val="single"/>
        </w:rPr>
        <w:t>Special Meetings; Notice</w:t>
      </w:r>
      <w:r>
        <w:rPr>
          <w:rFonts w:ascii="Arial" w:hAnsi="Arial"/>
          <w:color w:val="000000"/>
          <w:sz w:val="20"/>
        </w:rPr>
        <w:t>. Special meetings of the Board for any purpose or purposes may be called at any time by the chairperson of the Board, the chief executive officer, the president, the secretary or a majority of the total number of directors constituting the Board.</w:t>
      </w:r>
    </w:p>
    <w:p>
      <w:pPr>
        <w:pStyle w:val="TextBody"/>
        <w:bidi w:val="0"/>
        <w:spacing w:before="0" w:after="240"/>
        <w:jc w:val="left"/>
        <w:rPr>
          <w:rFonts w:ascii="Arial" w:hAnsi="Arial"/>
          <w:color w:val="000000"/>
          <w:sz w:val="20"/>
        </w:rPr>
      </w:pPr>
      <w:r>
        <w:rPr>
          <w:rFonts w:ascii="Arial" w:hAnsi="Arial"/>
          <w:color w:val="000000"/>
          <w:sz w:val="20"/>
        </w:rPr>
        <w:t>Notice of the time and place of special meetings shall be:</w:t>
      </w:r>
    </w:p>
    <w:p>
      <w:pPr>
        <w:pStyle w:val="TextBody"/>
        <w:bidi w:val="0"/>
        <w:spacing w:before="0" w:after="240"/>
        <w:jc w:val="left"/>
        <w:rPr>
          <w:rFonts w:ascii="Arial" w:hAnsi="Arial"/>
          <w:color w:val="000000"/>
          <w:sz w:val="20"/>
        </w:rPr>
      </w:pPr>
      <w:r>
        <w:rPr>
          <w:rFonts w:ascii="Arial" w:hAnsi="Arial"/>
          <w:color w:val="000000"/>
          <w:sz w:val="20"/>
        </w:rPr>
        <w:t>(i) delivered personally by hand, by courier or by telephone;</w:t>
      </w:r>
    </w:p>
    <w:p>
      <w:pPr>
        <w:pStyle w:val="TextBody"/>
        <w:bidi w:val="0"/>
        <w:spacing w:before="0" w:after="240"/>
        <w:jc w:val="left"/>
        <w:rPr>
          <w:rFonts w:ascii="Arial" w:hAnsi="Arial"/>
          <w:color w:val="000000"/>
          <w:sz w:val="20"/>
        </w:rPr>
      </w:pPr>
      <w:r>
        <w:rPr>
          <w:rFonts w:ascii="Arial" w:hAnsi="Arial"/>
          <w:color w:val="000000"/>
          <w:sz w:val="20"/>
        </w:rPr>
        <w:t>(ii) sent by United States first-class mail, postage prepaid;</w:t>
      </w:r>
    </w:p>
    <w:p>
      <w:pPr>
        <w:pStyle w:val="TextBody"/>
        <w:bidi w:val="0"/>
        <w:spacing w:before="0" w:after="240"/>
        <w:jc w:val="left"/>
        <w:rPr>
          <w:rFonts w:ascii="Arial" w:hAnsi="Arial"/>
          <w:color w:val="000000"/>
          <w:sz w:val="20"/>
        </w:rPr>
      </w:pPr>
      <w:r>
        <w:rPr>
          <w:rFonts w:ascii="Arial" w:hAnsi="Arial"/>
          <w:color w:val="000000"/>
          <w:sz w:val="20"/>
        </w:rPr>
        <w:t>(iii) sent by facsimile or electronic mail; or</w:t>
      </w:r>
    </w:p>
    <w:p>
      <w:pPr>
        <w:pStyle w:val="TextBody"/>
        <w:bidi w:val="0"/>
        <w:spacing w:before="0" w:after="240"/>
        <w:jc w:val="left"/>
        <w:rPr>
          <w:rFonts w:ascii="Arial" w:hAnsi="Arial"/>
          <w:color w:val="000000"/>
          <w:sz w:val="20"/>
        </w:rPr>
      </w:pPr>
      <w:r>
        <w:rPr>
          <w:rFonts w:ascii="Arial" w:hAnsi="Arial"/>
          <w:color w:val="000000"/>
          <w:sz w:val="20"/>
        </w:rPr>
        <w:t>(iv) sent by other means of electronic transmission,</w:t>
      </w:r>
    </w:p>
    <w:p>
      <w:pPr>
        <w:pStyle w:val="TextBody"/>
        <w:bidi w:val="0"/>
        <w:spacing w:before="0" w:after="240"/>
        <w:jc w:val="left"/>
        <w:rPr>
          <w:rFonts w:ascii="Arial" w:hAnsi="Arial"/>
          <w:color w:val="000000"/>
          <w:sz w:val="20"/>
        </w:rPr>
      </w:pPr>
      <w:r>
        <w:rPr>
          <w:rFonts w:ascii="Arial" w:hAnsi="Arial"/>
          <w:color w:val="000000"/>
          <w:sz w:val="20"/>
        </w:rPr>
        <w:t>directed to each director at that director’s address, telephone number, facsimile number or electronic mail address, or other address for electronic transmission, as the case may be, as shown on the Corporation’s records.</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pStyle w:val="TextBody"/>
        <w:bidi w:val="0"/>
        <w:spacing w:before="0" w:after="240"/>
        <w:jc w:val="left"/>
        <w:rPr>
          <w:rFonts w:ascii="Times New Roman" w:hAnsi="Times New Roman"/>
          <w:sz w:val="20"/>
        </w:rPr>
      </w:pPr>
      <w:r>
        <w:rPr>
          <w:rFonts w:ascii="Arial" w:hAnsi="Arial"/>
          <w:color w:val="000000"/>
          <w:sz w:val="20"/>
        </w:rPr>
        <w:t xml:space="preserve">Section 3.08 </w:t>
      </w:r>
      <w:r>
        <w:rPr>
          <w:rFonts w:ascii="Arial" w:hAnsi="Arial"/>
          <w:color w:val="000000"/>
          <w:sz w:val="20"/>
          <w:u w:val="single"/>
        </w:rPr>
        <w:t>Quorum and Manner of Acting</w:t>
      </w:r>
      <w:r>
        <w:rPr>
          <w:rFonts w:ascii="Arial" w:hAnsi="Arial"/>
          <w:color w:val="000000"/>
          <w:sz w:val="20"/>
        </w:rPr>
        <w:t>. 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pStyle w:val="TextBody"/>
        <w:bidi w:val="0"/>
        <w:spacing w:before="0" w:after="240"/>
        <w:jc w:val="left"/>
        <w:rPr>
          <w:rFonts w:ascii="Times New Roman" w:hAnsi="Times New Roman"/>
          <w:sz w:val="20"/>
        </w:rPr>
      </w:pPr>
      <w:r>
        <w:rPr>
          <w:rFonts w:ascii="Arial" w:hAnsi="Arial"/>
          <w:color w:val="000000"/>
          <w:sz w:val="20"/>
        </w:rPr>
        <w:t xml:space="preserve">Section 3.09 </w:t>
      </w:r>
      <w:r>
        <w:rPr>
          <w:rFonts w:ascii="Arial" w:hAnsi="Arial"/>
          <w:color w:val="000000"/>
          <w:sz w:val="20"/>
          <w:u w:val="single"/>
        </w:rPr>
        <w:t>Action by Consent</w:t>
      </w:r>
      <w:r>
        <w:rPr>
          <w:rFonts w:ascii="Arial" w:hAnsi="Arial"/>
          <w:color w:val="000000"/>
          <w:sz w:val="20"/>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pStyle w:val="TextBody"/>
        <w:bidi w:val="0"/>
        <w:spacing w:before="0" w:after="240"/>
        <w:jc w:val="left"/>
        <w:rPr>
          <w:rFonts w:ascii="Times New Roman" w:hAnsi="Times New Roman"/>
          <w:sz w:val="20"/>
        </w:rPr>
      </w:pPr>
      <w:r>
        <w:rPr>
          <w:rFonts w:ascii="Arial" w:hAnsi="Arial"/>
          <w:color w:val="000000"/>
          <w:sz w:val="20"/>
        </w:rPr>
        <w:t xml:space="preserve">Section 3.10 </w:t>
      </w:r>
      <w:r>
        <w:rPr>
          <w:rFonts w:ascii="Arial" w:hAnsi="Arial"/>
          <w:color w:val="000000"/>
          <w:sz w:val="20"/>
          <w:u w:val="single"/>
        </w:rPr>
        <w:t>Compensation</w:t>
      </w:r>
      <w:r>
        <w:rPr>
          <w:rFonts w:ascii="Arial" w:hAnsi="Arial"/>
          <w:color w:val="000000"/>
          <w:sz w:val="20"/>
        </w:rPr>
        <w:t>. Unless otherwise restricted by the Certificate of Incorporation or these bylaws, the Board shall have the authority to fix the compensation, including fees and reimbursement of expenses, of directors for services to the Corporation in any capacity.</w:t>
      </w:r>
    </w:p>
    <w:p>
      <w:pPr>
        <w:pStyle w:val="TextBody"/>
        <w:bidi w:val="0"/>
        <w:jc w:val="center"/>
        <w:rPr>
          <w:rFonts w:ascii="Arial" w:hAnsi="Arial"/>
          <w:b/>
          <w:caps/>
          <w:color w:val="000000"/>
          <w:sz w:val="20"/>
        </w:rPr>
      </w:pPr>
      <w:bookmarkStart w:id="35" w:name="sty_ht1_8"/>
      <w:bookmarkEnd w:id="35"/>
      <w:r>
        <w:rPr>
          <w:rFonts w:ascii="Arial" w:hAnsi="Arial"/>
          <w:b/>
          <w:caps/>
          <w:color w:val="000000"/>
          <w:sz w:val="20"/>
        </w:rPr>
        <w:t>Article IV</w:t>
      </w:r>
      <w:bookmarkStart w:id="36" w:name="sty_ht1_9"/>
      <w:bookmarkEnd w:id="36"/>
    </w:p>
    <w:p>
      <w:pPr>
        <w:pStyle w:val="TextBody"/>
        <w:bidi w:val="0"/>
        <w:spacing w:before="0" w:after="240"/>
        <w:jc w:val="center"/>
        <w:rPr>
          <w:rFonts w:ascii="Arial" w:hAnsi="Arial"/>
          <w:b/>
          <w:caps/>
          <w:color w:val="000000"/>
          <w:sz w:val="20"/>
        </w:rPr>
      </w:pPr>
      <w:r>
        <w:rPr>
          <w:rFonts w:ascii="Arial" w:hAnsi="Arial"/>
          <w:b/>
          <w:caps/>
          <w:color w:val="000000"/>
          <w:sz w:val="20"/>
        </w:rPr>
        <w:t>COMMITTEES</w:t>
      </w:r>
    </w:p>
    <w:p>
      <w:pPr>
        <w:pStyle w:val="TextBody"/>
        <w:bidi w:val="0"/>
        <w:spacing w:before="0" w:after="240"/>
        <w:jc w:val="left"/>
        <w:rPr>
          <w:rFonts w:ascii="Times New Roman" w:hAnsi="Times New Roman"/>
          <w:sz w:val="20"/>
        </w:rPr>
      </w:pPr>
      <w:r>
        <w:rPr>
          <w:rFonts w:ascii="Arial" w:hAnsi="Arial"/>
          <w:color w:val="000000"/>
          <w:sz w:val="20"/>
        </w:rPr>
        <w:t xml:space="preserve">Section 4.01 </w:t>
      </w:r>
      <w:r>
        <w:rPr>
          <w:rFonts w:ascii="Arial" w:hAnsi="Arial"/>
          <w:color w:val="000000"/>
          <w:sz w:val="20"/>
          <w:u w:val="single"/>
        </w:rPr>
        <w:t>Committees of Directors</w:t>
      </w:r>
      <w:r>
        <w:rPr>
          <w:rFonts w:ascii="Arial" w:hAnsi="Arial"/>
          <w:color w:val="000000"/>
          <w:sz w:val="20"/>
        </w:rPr>
        <w:t>. 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pStyle w:val="TextBody"/>
        <w:bidi w:val="0"/>
        <w:spacing w:before="0" w:after="240"/>
        <w:jc w:val="left"/>
        <w:rPr>
          <w:rFonts w:ascii="Times New Roman" w:hAnsi="Times New Roman"/>
          <w:sz w:val="20"/>
        </w:rPr>
      </w:pPr>
      <w:r>
        <w:rPr>
          <w:rFonts w:ascii="Arial" w:hAnsi="Arial"/>
          <w:color w:val="000000"/>
          <w:sz w:val="20"/>
        </w:rPr>
        <w:t xml:space="preserve">Section 4.02 </w:t>
      </w:r>
      <w:r>
        <w:rPr>
          <w:rFonts w:ascii="Arial" w:hAnsi="Arial"/>
          <w:color w:val="000000"/>
          <w:sz w:val="20"/>
          <w:u w:val="single"/>
        </w:rPr>
        <w:t>Committee Minutes</w:t>
      </w:r>
      <w:r>
        <w:rPr>
          <w:rFonts w:ascii="Arial" w:hAnsi="Arial"/>
          <w:color w:val="000000"/>
          <w:sz w:val="20"/>
        </w:rPr>
        <w:t>. Each committee shall keep regular minutes of its meetings and report the same to the Board when required.</w:t>
      </w:r>
    </w:p>
    <w:p>
      <w:pPr>
        <w:pStyle w:val="TextBody"/>
        <w:bidi w:val="0"/>
        <w:spacing w:before="0" w:after="240"/>
        <w:jc w:val="left"/>
        <w:rPr>
          <w:rFonts w:ascii="Times New Roman" w:hAnsi="Times New Roman"/>
          <w:sz w:val="20"/>
        </w:rPr>
      </w:pPr>
      <w:r>
        <w:rPr>
          <w:rFonts w:ascii="Arial" w:hAnsi="Arial"/>
          <w:color w:val="000000"/>
          <w:sz w:val="20"/>
        </w:rPr>
        <w:t xml:space="preserve">Section 4.03 </w:t>
      </w:r>
      <w:r>
        <w:rPr>
          <w:rFonts w:ascii="Arial" w:hAnsi="Arial"/>
          <w:color w:val="000000"/>
          <w:sz w:val="20"/>
          <w:u w:val="single"/>
        </w:rPr>
        <w:t>Meetings and Actions of Committees</w:t>
      </w:r>
      <w:r>
        <w:rPr>
          <w:rFonts w:ascii="Arial" w:hAnsi="Arial"/>
          <w:color w:val="000000"/>
          <w:sz w:val="20"/>
        </w:rPr>
        <w:t>. Meetings and actions of committees shall be governed by, and held and taken in accordance with, the provisions of:</w:t>
      </w:r>
    </w:p>
    <w:p>
      <w:pPr>
        <w:pStyle w:val="TextBody"/>
        <w:bidi w:val="0"/>
        <w:spacing w:before="0" w:after="240"/>
        <w:jc w:val="left"/>
        <w:rPr>
          <w:rFonts w:ascii="Arial" w:hAnsi="Arial"/>
          <w:color w:val="000000"/>
          <w:sz w:val="20"/>
        </w:rPr>
      </w:pPr>
      <w:r>
        <w:rPr>
          <w:rFonts w:ascii="Arial" w:hAnsi="Arial"/>
          <w:color w:val="000000"/>
          <w:sz w:val="20"/>
        </w:rPr>
        <w:t>(i) Section 3.05 (place of meetings and meetings by telephone);</w:t>
      </w:r>
    </w:p>
    <w:p>
      <w:pPr>
        <w:pStyle w:val="TextBody"/>
        <w:bidi w:val="0"/>
        <w:spacing w:before="0" w:after="240"/>
        <w:jc w:val="left"/>
        <w:rPr>
          <w:rFonts w:ascii="Arial" w:hAnsi="Arial"/>
          <w:color w:val="000000"/>
          <w:sz w:val="20"/>
        </w:rPr>
      </w:pPr>
      <w:r>
        <w:rPr>
          <w:rFonts w:ascii="Arial" w:hAnsi="Arial"/>
          <w:color w:val="000000"/>
          <w:sz w:val="20"/>
        </w:rPr>
        <w:t>(ii) Section 3.06 (regular meetings);</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(iii) Section 3.07 (special meetings and notice);</w:t>
      </w:r>
    </w:p>
    <w:p>
      <w:pPr>
        <w:pStyle w:val="TextBody"/>
        <w:bidi w:val="0"/>
        <w:spacing w:before="0" w:after="240"/>
        <w:jc w:val="left"/>
        <w:rPr>
          <w:rFonts w:ascii="Arial" w:hAnsi="Arial"/>
          <w:color w:val="000000"/>
          <w:sz w:val="20"/>
        </w:rPr>
      </w:pPr>
      <w:r>
        <w:rPr>
          <w:rFonts w:ascii="Arial" w:hAnsi="Arial"/>
          <w:color w:val="000000"/>
          <w:sz w:val="20"/>
        </w:rPr>
        <w:t>(iv) Section 3.09 (action without a meeting); and</w:t>
      </w:r>
    </w:p>
    <w:p>
      <w:pPr>
        <w:pStyle w:val="TextBody"/>
        <w:bidi w:val="0"/>
        <w:spacing w:before="0" w:after="240"/>
        <w:jc w:val="left"/>
        <w:rPr>
          <w:rFonts w:ascii="Arial" w:hAnsi="Arial"/>
          <w:color w:val="000000"/>
          <w:sz w:val="20"/>
        </w:rPr>
      </w:pPr>
      <w:r>
        <w:rPr>
          <w:rFonts w:ascii="Arial" w:hAnsi="Arial"/>
          <w:color w:val="000000"/>
          <w:sz w:val="20"/>
        </w:rPr>
        <w:t>(v) Section 10.03 (waiver of notice),</w:t>
      </w:r>
    </w:p>
    <w:p>
      <w:pPr>
        <w:pStyle w:val="TextBody"/>
        <w:bidi w:val="0"/>
        <w:jc w:val="left"/>
        <w:rPr>
          <w:rFonts w:ascii="Times New Roman" w:hAnsi="Times New Roman"/>
          <w:sz w:val="20"/>
        </w:rPr>
      </w:pPr>
      <w:r>
        <w:rPr>
          <w:rFonts w:ascii="Arial" w:hAnsi="Arial"/>
          <w:color w:val="000000"/>
          <w:sz w:val="20"/>
        </w:rPr>
        <w:t xml:space="preserve">with such changes in the context of those bylaws as are necessary to substitute the committee and its members for the Board and its members. </w:t>
      </w:r>
      <w:r>
        <w:rPr>
          <w:rFonts w:ascii="Arial" w:hAnsi="Arial"/>
          <w:i/>
          <w:color w:val="000000"/>
          <w:sz w:val="20"/>
        </w:rPr>
        <w:t>However</w:t>
      </w:r>
      <w:r>
        <w:rPr>
          <w:rFonts w:ascii="Arial" w:hAnsi="Arial"/>
          <w:color w:val="000000"/>
          <w:sz w:val="20"/>
        </w:rPr>
        <w:t>:</w:t>
      </w:r>
    </w:p>
    <w:p>
      <w:pPr>
        <w:pStyle w:val="TextBody"/>
        <w:bidi w:val="0"/>
        <w:spacing w:before="240" w:after="240"/>
        <w:jc w:val="left"/>
        <w:rPr>
          <w:rFonts w:ascii="Arial" w:hAnsi="Arial"/>
          <w:color w:val="000000"/>
          <w:sz w:val="20"/>
        </w:rPr>
      </w:pPr>
      <w:r>
        <w:rPr>
          <w:rFonts w:ascii="Arial" w:hAnsi="Arial"/>
          <w:color w:val="000000"/>
          <w:sz w:val="20"/>
        </w:rPr>
        <w:t>(i) the time of regular meetings of committees may be determined either by resolution of the Board or by resolution of the committee;</w:t>
      </w:r>
    </w:p>
    <w:p>
      <w:pPr>
        <w:pStyle w:val="TextBody"/>
        <w:bidi w:val="0"/>
        <w:spacing w:before="0" w:after="240"/>
        <w:jc w:val="left"/>
        <w:rPr>
          <w:rFonts w:ascii="Arial" w:hAnsi="Arial"/>
          <w:color w:val="000000"/>
          <w:sz w:val="20"/>
        </w:rPr>
      </w:pPr>
      <w:r>
        <w:rPr>
          <w:rFonts w:ascii="Arial" w:hAnsi="Arial"/>
          <w:color w:val="000000"/>
          <w:sz w:val="20"/>
        </w:rPr>
        <w:t>(ii) special meetings of committees may also be called by resolution of the Board or the chairperson of the applicable committee; and</w:t>
      </w:r>
    </w:p>
    <w:p>
      <w:pPr>
        <w:pStyle w:val="TextBody"/>
        <w:bidi w:val="0"/>
        <w:spacing w:before="0" w:after="240"/>
        <w:jc w:val="left"/>
        <w:rPr>
          <w:rFonts w:ascii="Arial" w:hAnsi="Arial"/>
          <w:color w:val="000000"/>
          <w:sz w:val="20"/>
        </w:rPr>
      </w:pPr>
      <w:r>
        <w:rPr>
          <w:rFonts w:ascii="Arial" w:hAnsi="Arial"/>
          <w:color w:val="000000"/>
          <w:sz w:val="20"/>
        </w:rPr>
        <w:t>(iii) the Board may adopt rules for the governance of any committee to override the provisions that would otherwise apply to the committee pursuant to this Section 4.03, provided that such rules do not violate the provisions of the Certificate of Incorporation or applicable law.</w:t>
      </w:r>
    </w:p>
    <w:p>
      <w:pPr>
        <w:pStyle w:val="TextBody"/>
        <w:bidi w:val="0"/>
        <w:spacing w:before="0" w:after="240"/>
        <w:jc w:val="left"/>
        <w:rPr>
          <w:rFonts w:ascii="Times New Roman" w:hAnsi="Times New Roman"/>
          <w:sz w:val="20"/>
        </w:rPr>
      </w:pPr>
      <w:r>
        <w:rPr>
          <w:rFonts w:ascii="Arial" w:hAnsi="Arial"/>
          <w:color w:val="000000"/>
          <w:sz w:val="20"/>
        </w:rPr>
        <w:t xml:space="preserve">Section 4.04 </w:t>
      </w:r>
      <w:r>
        <w:rPr>
          <w:rFonts w:ascii="Arial" w:hAnsi="Arial"/>
          <w:color w:val="000000"/>
          <w:sz w:val="20"/>
          <w:u w:val="single"/>
        </w:rPr>
        <w:t>Subcommittees</w:t>
      </w:r>
      <w:r>
        <w:rPr>
          <w:rFonts w:ascii="Arial" w:hAnsi="Arial"/>
          <w:color w:val="000000"/>
          <w:sz w:val="20"/>
        </w:rPr>
        <w:t>. 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pStyle w:val="TextBody"/>
        <w:bidi w:val="0"/>
        <w:jc w:val="center"/>
        <w:rPr>
          <w:rFonts w:ascii="Arial" w:hAnsi="Arial"/>
          <w:b/>
          <w:caps/>
          <w:color w:val="000000"/>
          <w:sz w:val="20"/>
        </w:rPr>
      </w:pPr>
      <w:bookmarkStart w:id="37" w:name="sty_ht1_11"/>
      <w:bookmarkEnd w:id="37"/>
      <w:r>
        <w:rPr>
          <w:rFonts w:ascii="Arial" w:hAnsi="Arial"/>
          <w:b/>
          <w:caps/>
          <w:color w:val="000000"/>
          <w:sz w:val="20"/>
        </w:rPr>
        <w:t>Article V</w:t>
      </w:r>
    </w:p>
    <w:p>
      <w:pPr>
        <w:pStyle w:val="TextBody"/>
        <w:bidi w:val="0"/>
        <w:spacing w:before="0" w:after="240"/>
        <w:jc w:val="center"/>
        <w:rPr>
          <w:rFonts w:ascii="Arial" w:hAnsi="Arial"/>
          <w:b/>
          <w:caps/>
          <w:color w:val="000000"/>
          <w:sz w:val="20"/>
        </w:rPr>
      </w:pPr>
      <w:r>
        <w:rPr>
          <w:rFonts w:ascii="Arial" w:hAnsi="Arial"/>
          <w:b/>
          <w:caps/>
          <w:color w:val="000000"/>
          <w:sz w:val="20"/>
        </w:rPr>
        <w:t>OFFICERS</w:t>
      </w:r>
    </w:p>
    <w:p>
      <w:pPr>
        <w:pStyle w:val="TextBody"/>
        <w:bidi w:val="0"/>
        <w:spacing w:before="0" w:after="240"/>
        <w:jc w:val="left"/>
        <w:rPr>
          <w:rFonts w:ascii="Times New Roman" w:hAnsi="Times New Roman"/>
          <w:sz w:val="20"/>
        </w:rPr>
      </w:pPr>
      <w:r>
        <w:rPr>
          <w:rFonts w:ascii="Arial" w:hAnsi="Arial"/>
          <w:color w:val="000000"/>
          <w:sz w:val="20"/>
        </w:rPr>
        <w:t xml:space="preserve">Section 5.01 </w:t>
      </w:r>
      <w:r>
        <w:rPr>
          <w:rFonts w:ascii="Arial" w:hAnsi="Arial"/>
          <w:color w:val="000000"/>
          <w:sz w:val="20"/>
          <w:u w:val="single"/>
        </w:rPr>
        <w:t>Officers</w:t>
      </w:r>
      <w:r>
        <w:rPr>
          <w:rFonts w:ascii="Arial" w:hAnsi="Arial"/>
          <w:color w:val="000000"/>
          <w:sz w:val="20"/>
        </w:rPr>
        <w:t>. The officers of the Corporation shall include a president and a secretary. The Corporation may also have, at the discretion of the Board, a chairperson of the Board, a vice chairperson of the Board, a chief executive officer,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pStyle w:val="TextBody"/>
        <w:bidi w:val="0"/>
        <w:spacing w:before="0" w:after="240"/>
        <w:jc w:val="left"/>
        <w:rPr>
          <w:rFonts w:ascii="Times New Roman" w:hAnsi="Times New Roman"/>
          <w:sz w:val="20"/>
        </w:rPr>
      </w:pPr>
      <w:r>
        <w:rPr>
          <w:rFonts w:ascii="Arial" w:hAnsi="Arial"/>
          <w:color w:val="000000"/>
          <w:sz w:val="20"/>
        </w:rPr>
        <w:t xml:space="preserve">Section 5.02 </w:t>
      </w:r>
      <w:r>
        <w:rPr>
          <w:rFonts w:ascii="Arial" w:hAnsi="Arial"/>
          <w:color w:val="000000"/>
          <w:sz w:val="20"/>
          <w:u w:val="single"/>
        </w:rPr>
        <w:t>Appointment of Officers</w:t>
      </w:r>
      <w:r>
        <w:rPr>
          <w:rFonts w:ascii="Arial" w:hAnsi="Arial"/>
          <w:color w:val="000000"/>
          <w:sz w:val="20"/>
        </w:rPr>
        <w:t>. The Board shall appoint the officers of the Corporation, except such officers as may be appointed in accordance with the provisions of Section 5.03 of these bylaws.</w:t>
      </w:r>
    </w:p>
    <w:p>
      <w:pPr>
        <w:pStyle w:val="TextBody"/>
        <w:bidi w:val="0"/>
        <w:spacing w:before="0" w:after="240"/>
        <w:jc w:val="left"/>
        <w:rPr>
          <w:rFonts w:ascii="Times New Roman" w:hAnsi="Times New Roman"/>
          <w:sz w:val="20"/>
        </w:rPr>
      </w:pPr>
      <w:r>
        <w:rPr>
          <w:rFonts w:ascii="Arial" w:hAnsi="Arial"/>
          <w:color w:val="000000"/>
          <w:sz w:val="20"/>
        </w:rPr>
        <w:t xml:space="preserve">Section 5.03 </w:t>
      </w:r>
      <w:r>
        <w:rPr>
          <w:rFonts w:ascii="Arial" w:hAnsi="Arial"/>
          <w:color w:val="000000"/>
          <w:sz w:val="20"/>
          <w:u w:val="single"/>
        </w:rPr>
        <w:t>Subordinate Officers</w:t>
      </w:r>
      <w:r>
        <w:rPr>
          <w:rFonts w:ascii="Arial" w:hAnsi="Arial"/>
          <w:color w:val="000000"/>
          <w:sz w:val="20"/>
        </w:rPr>
        <w:t>. 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pStyle w:val="TextBody"/>
        <w:bidi w:val="0"/>
        <w:spacing w:before="0" w:after="240"/>
        <w:jc w:val="left"/>
        <w:rPr>
          <w:rFonts w:ascii="Times New Roman" w:hAnsi="Times New Roman"/>
          <w:sz w:val="20"/>
        </w:rPr>
      </w:pPr>
      <w:r>
        <w:rPr>
          <w:rFonts w:ascii="Arial" w:hAnsi="Arial"/>
          <w:color w:val="000000"/>
          <w:sz w:val="20"/>
        </w:rPr>
        <w:t xml:space="preserve">Section 5.04 </w:t>
      </w:r>
      <w:r>
        <w:rPr>
          <w:rFonts w:ascii="Arial" w:hAnsi="Arial"/>
          <w:color w:val="000000"/>
          <w:sz w:val="20"/>
          <w:u w:val="single"/>
        </w:rPr>
        <w:t>Removal and Resignation of Officers</w:t>
      </w:r>
      <w:r>
        <w:rPr>
          <w:rFonts w:ascii="Arial" w:hAnsi="Arial"/>
          <w:color w:val="000000"/>
          <w:sz w:val="20"/>
        </w:rPr>
        <w:t>. 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pStyle w:val="TextBody"/>
        <w:bidi w:val="0"/>
        <w:spacing w:before="0" w:after="240"/>
        <w:jc w:val="left"/>
        <w:rPr>
          <w:rFonts w:ascii="Arial" w:hAnsi="Arial"/>
          <w:color w:val="000000"/>
          <w:sz w:val="20"/>
        </w:rPr>
      </w:pPr>
      <w:r>
        <w:rPr>
          <w:rFonts w:ascii="Arial" w:hAnsi="Arial"/>
          <w:color w:val="000000"/>
          <w:sz w:val="20"/>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Arial" w:hAnsi="Arial"/>
          <w:color w:val="000000"/>
          <w:sz w:val="20"/>
        </w:rPr>
        <w:t xml:space="preserve">Section 5.05 </w:t>
      </w:r>
      <w:r>
        <w:rPr>
          <w:rFonts w:ascii="Arial" w:hAnsi="Arial"/>
          <w:color w:val="000000"/>
          <w:sz w:val="20"/>
          <w:u w:val="single"/>
        </w:rPr>
        <w:t>Vacancies in Offices</w:t>
      </w:r>
      <w:r>
        <w:rPr>
          <w:rFonts w:ascii="Arial" w:hAnsi="Arial"/>
          <w:color w:val="000000"/>
          <w:sz w:val="20"/>
        </w:rPr>
        <w:t>. Any vacancy occurring in any office of the Corporation shall be filled by the Board or as provided in Section 5.02.</w:t>
      </w:r>
    </w:p>
    <w:p>
      <w:pPr>
        <w:pStyle w:val="TextBody"/>
        <w:bidi w:val="0"/>
        <w:spacing w:before="0" w:after="240"/>
        <w:jc w:val="left"/>
        <w:rPr>
          <w:rFonts w:ascii="Times New Roman" w:hAnsi="Times New Roman"/>
          <w:sz w:val="20"/>
        </w:rPr>
      </w:pPr>
      <w:r>
        <w:rPr>
          <w:rFonts w:ascii="Arial" w:hAnsi="Arial"/>
          <w:color w:val="000000"/>
          <w:sz w:val="20"/>
        </w:rPr>
        <w:t xml:space="preserve">Section 5.06 </w:t>
      </w:r>
      <w:r>
        <w:rPr>
          <w:rFonts w:ascii="Arial" w:hAnsi="Arial"/>
          <w:color w:val="000000"/>
          <w:sz w:val="20"/>
          <w:u w:val="single"/>
        </w:rPr>
        <w:t>Representation of Shares of Other Corporations</w:t>
      </w:r>
      <w:r>
        <w:rPr>
          <w:rFonts w:ascii="Arial" w:hAnsi="Arial"/>
          <w:color w:val="000000"/>
          <w:sz w:val="20"/>
        </w:rPr>
        <w:t>. The chairperson of the Board, the chief executive officer, the president, any vice president, the treasurer, the secretary or assistant secretary of this Corporation, or any other Person authorized by the Board, the chief executive officer, the president or a vice president, is authorized to vote, represent and exercise on behalf of this Corporation all rights incident to any and all shares or voting securities of any other corporation or other persons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before="0" w:after="240"/>
        <w:jc w:val="left"/>
        <w:rPr>
          <w:rFonts w:ascii="Times New Roman" w:hAnsi="Times New Roman"/>
          <w:sz w:val="20"/>
        </w:rPr>
      </w:pPr>
      <w:r>
        <w:rPr>
          <w:rFonts w:ascii="Arial" w:hAnsi="Arial"/>
          <w:color w:val="000000"/>
          <w:sz w:val="20"/>
        </w:rPr>
        <w:t xml:space="preserve">Section 5.07 </w:t>
      </w:r>
      <w:r>
        <w:rPr>
          <w:rFonts w:ascii="Arial" w:hAnsi="Arial"/>
          <w:color w:val="000000"/>
          <w:sz w:val="20"/>
          <w:u w:val="single"/>
        </w:rPr>
        <w:t>Authority and Duties of Officers</w:t>
      </w:r>
      <w:r>
        <w:rPr>
          <w:rFonts w:ascii="Arial" w:hAnsi="Arial"/>
          <w:color w:val="000000"/>
          <w:sz w:val="20"/>
        </w:rPr>
        <w:t>. 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pStyle w:val="TextBody"/>
        <w:bidi w:val="0"/>
        <w:spacing w:before="0" w:after="240"/>
        <w:jc w:val="left"/>
        <w:rPr>
          <w:rFonts w:ascii="Times New Roman" w:hAnsi="Times New Roman"/>
          <w:sz w:val="20"/>
        </w:rPr>
      </w:pPr>
      <w:r>
        <w:rPr>
          <w:rFonts w:ascii="Arial" w:hAnsi="Arial"/>
          <w:color w:val="000000"/>
          <w:sz w:val="20"/>
        </w:rPr>
        <w:t xml:space="preserve">Section 5.08 </w:t>
      </w:r>
      <w:r>
        <w:rPr>
          <w:rFonts w:ascii="Arial" w:hAnsi="Arial"/>
          <w:color w:val="000000"/>
          <w:sz w:val="20"/>
          <w:u w:val="single"/>
        </w:rPr>
        <w:t>Compensation</w:t>
      </w:r>
      <w:r>
        <w:rPr>
          <w:rFonts w:ascii="Arial" w:hAnsi="Arial"/>
          <w:color w:val="000000"/>
          <w:sz w:val="20"/>
        </w:rPr>
        <w:t>. 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pStyle w:val="TextBody"/>
        <w:bidi w:val="0"/>
        <w:jc w:val="center"/>
        <w:rPr>
          <w:rFonts w:ascii="Arial" w:hAnsi="Arial"/>
          <w:b/>
          <w:caps/>
          <w:color w:val="000000"/>
          <w:sz w:val="20"/>
        </w:rPr>
      </w:pPr>
      <w:bookmarkStart w:id="38" w:name="sty_ht1_13"/>
      <w:bookmarkEnd w:id="38"/>
      <w:r>
        <w:rPr>
          <w:rFonts w:ascii="Arial" w:hAnsi="Arial"/>
          <w:b/>
          <w:caps/>
          <w:color w:val="000000"/>
          <w:sz w:val="20"/>
        </w:rPr>
        <w:t>Article VI</w:t>
      </w:r>
    </w:p>
    <w:p>
      <w:pPr>
        <w:pStyle w:val="TextBody"/>
        <w:bidi w:val="0"/>
        <w:spacing w:before="0" w:after="240"/>
        <w:jc w:val="center"/>
        <w:rPr>
          <w:rFonts w:ascii="Arial" w:hAnsi="Arial"/>
          <w:b/>
          <w:caps/>
          <w:color w:val="000000"/>
          <w:sz w:val="20"/>
        </w:rPr>
      </w:pPr>
      <w:r>
        <w:rPr>
          <w:rFonts w:ascii="Arial" w:hAnsi="Arial"/>
          <w:b/>
          <w:caps/>
          <w:color w:val="000000"/>
          <w:sz w:val="20"/>
        </w:rPr>
        <w:t>RECORDS</w:t>
      </w:r>
    </w:p>
    <w:p>
      <w:pPr>
        <w:pStyle w:val="TextBody"/>
        <w:bidi w:val="0"/>
        <w:spacing w:before="0" w:after="240"/>
        <w:jc w:val="left"/>
        <w:rPr>
          <w:rFonts w:ascii="Arial" w:hAnsi="Arial"/>
          <w:color w:val="000000"/>
          <w:sz w:val="20"/>
        </w:rPr>
      </w:pPr>
      <w:r>
        <w:rPr>
          <w:rFonts w:ascii="Arial" w:hAnsi="Arial"/>
          <w:color w:val="000000"/>
          <w:sz w:val="20"/>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pStyle w:val="TextBody"/>
        <w:bidi w:val="0"/>
        <w:jc w:val="center"/>
        <w:rPr>
          <w:rFonts w:ascii="Arial" w:hAnsi="Arial"/>
          <w:b/>
          <w:caps/>
          <w:color w:val="000000"/>
          <w:sz w:val="20"/>
        </w:rPr>
      </w:pPr>
      <w:bookmarkStart w:id="39" w:name="sty_ht1_15"/>
      <w:bookmarkEnd w:id="39"/>
      <w:r>
        <w:rPr>
          <w:rFonts w:ascii="Arial" w:hAnsi="Arial"/>
          <w:b/>
          <w:caps/>
          <w:color w:val="000000"/>
          <w:sz w:val="20"/>
        </w:rPr>
        <w:t>Article VII</w:t>
      </w:r>
    </w:p>
    <w:p>
      <w:pPr>
        <w:pStyle w:val="TextBody"/>
        <w:bidi w:val="0"/>
        <w:spacing w:before="0" w:after="240"/>
        <w:jc w:val="center"/>
        <w:rPr>
          <w:rFonts w:ascii="Arial" w:hAnsi="Arial"/>
          <w:b/>
          <w:caps/>
          <w:color w:val="000000"/>
          <w:sz w:val="20"/>
        </w:rPr>
      </w:pPr>
      <w:r>
        <w:rPr>
          <w:rFonts w:ascii="Arial" w:hAnsi="Arial"/>
          <w:b/>
          <w:caps/>
          <w:color w:val="000000"/>
          <w:sz w:val="20"/>
        </w:rPr>
        <w:t>CONTRACTS, CHECKS, DRAFTS, BANK ACCOUNTS, ETC.</w:t>
      </w:r>
    </w:p>
    <w:p>
      <w:pPr>
        <w:pStyle w:val="TextBody"/>
        <w:bidi w:val="0"/>
        <w:spacing w:before="0" w:after="240"/>
        <w:jc w:val="left"/>
        <w:rPr>
          <w:rFonts w:ascii="Times New Roman" w:hAnsi="Times New Roman"/>
          <w:sz w:val="20"/>
        </w:rPr>
      </w:pPr>
      <w:r>
        <w:rPr>
          <w:rFonts w:ascii="Arial" w:hAnsi="Arial"/>
          <w:color w:val="000000"/>
          <w:sz w:val="20"/>
        </w:rPr>
        <w:t xml:space="preserve">Section 7.01 </w:t>
      </w:r>
      <w:r>
        <w:rPr>
          <w:rFonts w:ascii="Arial" w:hAnsi="Arial"/>
          <w:color w:val="000000"/>
          <w:sz w:val="20"/>
          <w:u w:val="single"/>
        </w:rPr>
        <w:t>Execution of Corporate Contracts and Instruments</w:t>
      </w:r>
      <w:r>
        <w:rPr>
          <w:rFonts w:ascii="Arial" w:hAnsi="Arial"/>
          <w:color w:val="000000"/>
          <w:sz w:val="20"/>
        </w:rPr>
        <w:t>. The Board, except as otherwise provided in these bylaws, may authorize any officer or officers, or agent or agents, to enter into any contract or execute any instrument in the name of and on behalf of the Corporation, and such authority may be general or confined to specific instances; and unless so authorized or ratified by the Board or by these bylaws or within the agency power of an officer, no officer, agent or employee shall have any power or authority to bind the Corporation by any contract or engagement or to pledge its credit or to render it liable for any purpose or for any amount.</w:t>
      </w:r>
    </w:p>
    <w:p>
      <w:pPr>
        <w:pStyle w:val="TextBody"/>
        <w:bidi w:val="0"/>
        <w:jc w:val="center"/>
        <w:rPr>
          <w:rFonts w:ascii="Arial" w:hAnsi="Arial"/>
          <w:b/>
          <w:caps/>
          <w:color w:val="000000"/>
          <w:sz w:val="20"/>
        </w:rPr>
      </w:pPr>
      <w:bookmarkStart w:id="40" w:name="sty_ht1_17"/>
      <w:bookmarkEnd w:id="40"/>
      <w:r>
        <w:rPr>
          <w:rFonts w:ascii="Arial" w:hAnsi="Arial"/>
          <w:b/>
          <w:caps/>
          <w:color w:val="000000"/>
          <w:sz w:val="20"/>
        </w:rPr>
        <w:t>Article VIII</w:t>
      </w:r>
    </w:p>
    <w:p>
      <w:pPr>
        <w:pStyle w:val="TextBody"/>
        <w:bidi w:val="0"/>
        <w:spacing w:before="0" w:after="240"/>
        <w:jc w:val="center"/>
        <w:rPr>
          <w:rFonts w:ascii="Arial" w:hAnsi="Arial"/>
          <w:b/>
          <w:caps/>
          <w:color w:val="000000"/>
          <w:sz w:val="20"/>
        </w:rPr>
      </w:pPr>
      <w:r>
        <w:rPr>
          <w:rFonts w:ascii="Arial" w:hAnsi="Arial"/>
          <w:b/>
          <w:caps/>
          <w:color w:val="000000"/>
          <w:sz w:val="20"/>
        </w:rPr>
        <w:t>SHARES AND THEIR TRANSFER</w:t>
      </w:r>
    </w:p>
    <w:p>
      <w:pPr>
        <w:pStyle w:val="TextBody"/>
        <w:bidi w:val="0"/>
        <w:spacing w:before="0" w:after="240"/>
        <w:jc w:val="left"/>
        <w:rPr>
          <w:rFonts w:ascii="Times New Roman" w:hAnsi="Times New Roman"/>
          <w:sz w:val="20"/>
        </w:rPr>
      </w:pPr>
      <w:r>
        <w:rPr>
          <w:rFonts w:ascii="Arial" w:hAnsi="Arial"/>
          <w:color w:val="000000"/>
          <w:sz w:val="20"/>
        </w:rPr>
        <w:t xml:space="preserve">Section 8.01 </w:t>
      </w:r>
      <w:r>
        <w:rPr>
          <w:rFonts w:ascii="Arial" w:hAnsi="Arial"/>
          <w:color w:val="000000"/>
          <w:sz w:val="20"/>
          <w:u w:val="single"/>
        </w:rPr>
        <w:t>Certificate for Stock</w:t>
      </w:r>
      <w:r>
        <w:rPr>
          <w:rFonts w:ascii="Arial" w:hAnsi="Arial"/>
          <w:color w:val="000000"/>
          <w:sz w:val="20"/>
        </w:rPr>
        <w:t>. The shares of the Corporation shall be represented by certificates, provided that the Board by resolution may provide that some or all of the shares of any class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before="0" w:after="240"/>
        <w:jc w:val="left"/>
        <w:rPr>
          <w:rFonts w:ascii="Times New Roman" w:hAnsi="Times New Roman"/>
          <w:sz w:val="20"/>
        </w:rPr>
      </w:pPr>
      <w:r>
        <w:rPr>
          <w:rFonts w:ascii="Arial" w:hAnsi="Arial"/>
          <w:color w:val="000000"/>
          <w:sz w:val="20"/>
        </w:rPr>
        <w:t xml:space="preserve">Section 8.02 </w:t>
      </w:r>
      <w:r>
        <w:rPr>
          <w:rFonts w:ascii="Arial" w:hAnsi="Arial"/>
          <w:color w:val="000000"/>
          <w:sz w:val="20"/>
          <w:u w:val="single"/>
        </w:rPr>
        <w:t>Special Designation of Certificates</w:t>
      </w:r>
      <w:r>
        <w:rPr>
          <w:rFonts w:ascii="Arial" w:hAnsi="Arial"/>
          <w:color w:val="000000"/>
          <w:sz w:val="20"/>
        </w:rPr>
        <w:t>.</w:t>
      </w:r>
    </w:p>
    <w:p>
      <w:pPr>
        <w:pStyle w:val="TextBody"/>
        <w:bidi w:val="0"/>
        <w:spacing w:before="0" w:after="240"/>
        <w:jc w:val="left"/>
        <w:rPr>
          <w:rFonts w:ascii="Arial" w:hAnsi="Arial"/>
          <w:color w:val="000000"/>
          <w:sz w:val="20"/>
        </w:rPr>
      </w:pPr>
      <w:r>
        <w:rPr>
          <w:rFonts w:ascii="Arial" w:hAnsi="Arial"/>
          <w:color w:val="000000"/>
          <w:sz w:val="20"/>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pStyle w:val="TextBody"/>
        <w:bidi w:val="0"/>
        <w:spacing w:before="0" w:after="240"/>
        <w:jc w:val="left"/>
        <w:rPr>
          <w:rFonts w:ascii="Times New Roman" w:hAnsi="Times New Roman"/>
          <w:sz w:val="20"/>
        </w:rPr>
      </w:pPr>
      <w:r>
        <w:rPr>
          <w:rFonts w:ascii="Arial" w:hAnsi="Arial"/>
          <w:color w:val="000000"/>
          <w:sz w:val="20"/>
        </w:rPr>
        <w:t xml:space="preserve">Section 8.03 </w:t>
      </w:r>
      <w:r>
        <w:rPr>
          <w:rFonts w:ascii="Arial" w:hAnsi="Arial"/>
          <w:color w:val="000000"/>
          <w:sz w:val="20"/>
          <w:u w:val="single"/>
        </w:rPr>
        <w:t>Lost Certificates</w:t>
      </w:r>
      <w:r>
        <w:rPr>
          <w:rFonts w:ascii="Arial" w:hAnsi="Arial"/>
          <w:color w:val="000000"/>
          <w:sz w:val="20"/>
        </w:rPr>
        <w:t>. Except as provided in this Section 8.03,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before="0" w:after="240"/>
        <w:jc w:val="left"/>
        <w:rPr>
          <w:rFonts w:ascii="Times New Roman" w:hAnsi="Times New Roman"/>
          <w:sz w:val="20"/>
        </w:rPr>
      </w:pPr>
      <w:r>
        <w:rPr>
          <w:rFonts w:ascii="Arial" w:hAnsi="Arial"/>
          <w:color w:val="000000"/>
          <w:sz w:val="20"/>
        </w:rPr>
        <w:t xml:space="preserve">Section 8.04 </w:t>
      </w:r>
      <w:r>
        <w:rPr>
          <w:rFonts w:ascii="Arial" w:hAnsi="Arial"/>
          <w:color w:val="000000"/>
          <w:sz w:val="20"/>
          <w:u w:val="single"/>
        </w:rPr>
        <w:t>Fiscal Year</w:t>
      </w:r>
      <w:r>
        <w:rPr>
          <w:rFonts w:ascii="Arial" w:hAnsi="Arial"/>
          <w:color w:val="000000"/>
          <w:sz w:val="20"/>
        </w:rPr>
        <w:t>. The fiscal year of the Corporation shall be fixed by resolution of the Board and may be changed by the Board.</w:t>
      </w:r>
    </w:p>
    <w:p>
      <w:pPr>
        <w:pStyle w:val="TextBody"/>
        <w:bidi w:val="0"/>
        <w:spacing w:before="0" w:after="240"/>
        <w:jc w:val="left"/>
        <w:rPr>
          <w:rFonts w:ascii="Times New Roman" w:hAnsi="Times New Roman"/>
          <w:sz w:val="20"/>
        </w:rPr>
      </w:pPr>
      <w:r>
        <w:rPr>
          <w:rFonts w:ascii="Arial" w:hAnsi="Arial"/>
          <w:color w:val="000000"/>
          <w:sz w:val="20"/>
        </w:rPr>
        <w:t xml:space="preserve">Section 8.05 </w:t>
      </w:r>
      <w:r>
        <w:rPr>
          <w:rFonts w:ascii="Arial" w:hAnsi="Arial"/>
          <w:color w:val="000000"/>
          <w:sz w:val="20"/>
          <w:u w:val="single"/>
        </w:rPr>
        <w:t>Seal</w:t>
      </w:r>
      <w:r>
        <w:rPr>
          <w:rFonts w:ascii="Arial" w:hAnsi="Arial"/>
          <w:color w:val="000000"/>
          <w:sz w:val="20"/>
        </w:rPr>
        <w:t>. The Corporation may adopt a corporate seal, which shall be adopted and which may be altered by the Board.</w:t>
      </w:r>
    </w:p>
    <w:p>
      <w:pPr>
        <w:pStyle w:val="TextBody"/>
        <w:bidi w:val="0"/>
        <w:spacing w:before="0" w:after="240"/>
        <w:jc w:val="left"/>
        <w:rPr>
          <w:rFonts w:ascii="Arial" w:hAnsi="Arial"/>
          <w:color w:val="000000"/>
          <w:sz w:val="20"/>
        </w:rPr>
      </w:pPr>
      <w:r>
        <w:rPr>
          <w:rFonts w:ascii="Arial" w:hAnsi="Arial"/>
          <w:color w:val="000000"/>
          <w:sz w:val="20"/>
        </w:rPr>
        <w:t>The Corporation may use the corporate seal by causing it or a facsimile thereof to be impressed or affixed or in any other manner reproduced</w:t>
      </w:r>
    </w:p>
    <w:p>
      <w:pPr>
        <w:pStyle w:val="TextBody"/>
        <w:bidi w:val="0"/>
        <w:spacing w:before="0" w:after="240"/>
        <w:jc w:val="left"/>
        <w:rPr>
          <w:rFonts w:ascii="Times New Roman" w:hAnsi="Times New Roman"/>
          <w:sz w:val="20"/>
        </w:rPr>
      </w:pPr>
      <w:r>
        <w:rPr>
          <w:rFonts w:ascii="Arial" w:hAnsi="Arial"/>
          <w:color w:val="000000"/>
          <w:sz w:val="20"/>
        </w:rPr>
        <w:t xml:space="preserve">Section 8.06 </w:t>
      </w:r>
      <w:r>
        <w:rPr>
          <w:rFonts w:ascii="Arial" w:hAnsi="Arial"/>
          <w:color w:val="000000"/>
          <w:sz w:val="20"/>
          <w:u w:val="single"/>
        </w:rPr>
        <w:t>Transfers of Stock</w:t>
      </w:r>
      <w:r>
        <w:rPr>
          <w:rFonts w:ascii="Arial" w:hAnsi="Arial"/>
          <w:color w:val="000000"/>
          <w:sz w:val="20"/>
        </w:rPr>
        <w:t>. 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Arial" w:hAnsi="Arial"/>
          <w:color w:val="000000"/>
          <w:sz w:val="20"/>
        </w:rPr>
        <w:t xml:space="preserve">Section 8.07 </w:t>
      </w:r>
      <w:r>
        <w:rPr>
          <w:rFonts w:ascii="Arial" w:hAnsi="Arial"/>
          <w:color w:val="000000"/>
          <w:sz w:val="20"/>
          <w:u w:val="single"/>
        </w:rPr>
        <w:t>Stock Transfer Agreements</w:t>
      </w:r>
      <w:r>
        <w:rPr>
          <w:rFonts w:ascii="Arial" w:hAnsi="Arial"/>
          <w:color w:val="000000"/>
          <w:sz w:val="20"/>
        </w:rPr>
        <w:t>. 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pStyle w:val="TextBody"/>
        <w:bidi w:val="0"/>
        <w:spacing w:before="0" w:after="240"/>
        <w:jc w:val="left"/>
        <w:rPr>
          <w:rFonts w:ascii="Times New Roman" w:hAnsi="Times New Roman"/>
          <w:sz w:val="20"/>
        </w:rPr>
      </w:pPr>
      <w:r>
        <w:rPr>
          <w:rFonts w:ascii="Arial" w:hAnsi="Arial"/>
          <w:color w:val="000000"/>
          <w:sz w:val="20"/>
        </w:rPr>
        <w:t xml:space="preserve">Section 8.08 </w:t>
      </w:r>
      <w:r>
        <w:rPr>
          <w:rFonts w:ascii="Arial" w:hAnsi="Arial"/>
          <w:color w:val="000000"/>
          <w:sz w:val="20"/>
          <w:u w:val="single"/>
        </w:rPr>
        <w:t>Shares Without Certificates</w:t>
      </w:r>
      <w:r>
        <w:rPr>
          <w:rFonts w:ascii="Times New Roman" w:hAnsi="Times New Roman"/>
          <w:color w:val="000000"/>
          <w:sz w:val="20"/>
        </w:rPr>
        <w:t xml:space="preserve"> </w:t>
      </w:r>
      <w:r>
        <w:rPr>
          <w:rFonts w:ascii="Arial" w:hAnsi="Arial"/>
          <w:color w:val="000000"/>
          <w:sz w:val="20"/>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pStyle w:val="TextBody"/>
        <w:bidi w:val="0"/>
        <w:spacing w:before="0" w:after="240"/>
        <w:jc w:val="left"/>
        <w:rPr>
          <w:rFonts w:ascii="Times New Roman" w:hAnsi="Times New Roman"/>
          <w:sz w:val="20"/>
        </w:rPr>
      </w:pPr>
      <w:r>
        <w:rPr>
          <w:rFonts w:ascii="Arial" w:hAnsi="Arial"/>
          <w:color w:val="000000"/>
          <w:sz w:val="20"/>
        </w:rPr>
        <w:t xml:space="preserve">Section 8.09 </w:t>
      </w:r>
      <w:r>
        <w:rPr>
          <w:rFonts w:ascii="Arial" w:hAnsi="Arial"/>
          <w:color w:val="000000"/>
          <w:sz w:val="20"/>
          <w:u w:val="single"/>
        </w:rPr>
        <w:t>Registered Stockholders</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The Corporation:</w:t>
      </w:r>
    </w:p>
    <w:p>
      <w:pPr>
        <w:pStyle w:val="TextBody"/>
        <w:bidi w:val="0"/>
        <w:spacing w:before="0" w:after="240"/>
        <w:jc w:val="left"/>
        <w:rPr>
          <w:rFonts w:ascii="Arial" w:hAnsi="Arial"/>
          <w:color w:val="000000"/>
          <w:sz w:val="20"/>
        </w:rPr>
      </w:pPr>
      <w:r>
        <w:rPr>
          <w:rFonts w:ascii="Arial" w:hAnsi="Arial"/>
          <w:color w:val="000000"/>
          <w:sz w:val="20"/>
        </w:rPr>
        <w:t>(i) shall be entitled to recognize the exclusive right of a Person registered on its books as the owner of shares to receive dividends and to vote as such owner; and</w:t>
      </w:r>
    </w:p>
    <w:p>
      <w:pPr>
        <w:pStyle w:val="TextBody"/>
        <w:bidi w:val="0"/>
        <w:spacing w:before="0" w:after="240"/>
        <w:jc w:val="left"/>
        <w:rPr>
          <w:rFonts w:ascii="Arial" w:hAnsi="Arial"/>
          <w:color w:val="000000"/>
          <w:sz w:val="20"/>
        </w:rPr>
      </w:pPr>
      <w:r>
        <w:rPr>
          <w:rFonts w:ascii="Arial" w:hAnsi="Arial"/>
          <w:color w:val="000000"/>
          <w:sz w:val="20"/>
        </w:rPr>
        <w:t>(ii) shall not be bound to recognize any equitable or other claim to or interest in such share or shares on the part of another Person, whether or not it shall have express or other notice thereof, except as otherwise provided by the laws of the State of Delaware.</w:t>
      </w:r>
    </w:p>
    <w:p>
      <w:pPr>
        <w:pStyle w:val="TextBody"/>
        <w:bidi w:val="0"/>
        <w:jc w:val="center"/>
        <w:rPr>
          <w:rFonts w:ascii="Arial" w:hAnsi="Arial"/>
          <w:b/>
          <w:caps/>
          <w:color w:val="000000"/>
          <w:sz w:val="20"/>
        </w:rPr>
      </w:pPr>
      <w:bookmarkStart w:id="41" w:name="sty_ht1_19"/>
      <w:bookmarkEnd w:id="41"/>
      <w:r>
        <w:rPr>
          <w:rFonts w:ascii="Arial" w:hAnsi="Arial"/>
          <w:b/>
          <w:caps/>
          <w:color w:val="000000"/>
          <w:sz w:val="20"/>
        </w:rPr>
        <w:t>Article IX</w:t>
      </w:r>
    </w:p>
    <w:p>
      <w:pPr>
        <w:pStyle w:val="TextBody"/>
        <w:bidi w:val="0"/>
        <w:spacing w:before="0" w:after="240"/>
        <w:jc w:val="center"/>
        <w:rPr>
          <w:rFonts w:ascii="Arial" w:hAnsi="Arial"/>
          <w:b/>
          <w:caps/>
          <w:color w:val="000000"/>
          <w:sz w:val="20"/>
        </w:rPr>
      </w:pPr>
      <w:r>
        <w:rPr>
          <w:rFonts w:ascii="Arial" w:hAnsi="Arial"/>
          <w:b/>
          <w:caps/>
          <w:color w:val="000000"/>
          <w:sz w:val="20"/>
        </w:rPr>
        <w:t>INDEMNIFICATION</w:t>
      </w:r>
    </w:p>
    <w:p>
      <w:pPr>
        <w:pStyle w:val="TextBody"/>
        <w:bidi w:val="0"/>
        <w:spacing w:before="0" w:after="240"/>
        <w:jc w:val="left"/>
        <w:rPr>
          <w:rFonts w:ascii="Times New Roman" w:hAnsi="Times New Roman"/>
          <w:sz w:val="20"/>
        </w:rPr>
      </w:pPr>
      <w:r>
        <w:rPr>
          <w:rFonts w:ascii="Arial" w:hAnsi="Arial"/>
          <w:color w:val="000000"/>
          <w:sz w:val="20"/>
        </w:rPr>
        <w:t xml:space="preserve">Section 9.01 </w:t>
      </w:r>
      <w:r>
        <w:rPr>
          <w:rFonts w:ascii="Arial" w:hAnsi="Arial"/>
          <w:color w:val="000000"/>
          <w:sz w:val="20"/>
          <w:u w:val="single"/>
        </w:rPr>
        <w:t>Indemnification of Directors and Officers</w:t>
      </w:r>
      <w:r>
        <w:rPr>
          <w:rFonts w:ascii="Arial" w:hAnsi="Arial"/>
          <w:color w:val="000000"/>
          <w:sz w:val="20"/>
        </w:rPr>
        <w:t>. 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Arial" w:hAnsi="Arial"/>
          <w:color w:val="000000"/>
          <w:sz w:val="20"/>
          <w:u w:val="single"/>
        </w:rPr>
        <w:t>Proceeding</w:t>
      </w:r>
      <w:r>
        <w:rPr>
          <w:rFonts w:ascii="Times New Roman" w:hAnsi="Times New Roman"/>
          <w:color w:val="000000"/>
          <w:sz w:val="20"/>
        </w:rPr>
        <w:t>”</w:t>
      </w:r>
      <w:r>
        <w:rPr>
          <w:rFonts w:ascii="Arial" w:hAnsi="Arial"/>
          <w:color w:val="000000"/>
          <w:sz w:val="20"/>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(a “</w:t>
      </w:r>
      <w:r>
        <w:rPr>
          <w:rFonts w:ascii="Arial" w:hAnsi="Arial"/>
          <w:color w:val="000000"/>
          <w:sz w:val="20"/>
          <w:u w:val="single"/>
        </w:rPr>
        <w:t>covered person</w:t>
      </w:r>
      <w:r>
        <w:rPr>
          <w:rFonts w:ascii="Times New Roman" w:hAnsi="Times New Roman"/>
          <w:color w:val="000000"/>
          <w:sz w:val="20"/>
        </w:rPr>
        <w:t>”</w:t>
      </w:r>
      <w:r>
        <w:rPr>
          <w:rFonts w:ascii="Arial" w:hAnsi="Arial"/>
          <w:color w:val="000000"/>
          <w:sz w:val="20"/>
        </w:rPr>
        <w:t>),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9.04, the Corporation shall be required to indemnify a Person in connection with a Proceeding initiated by such Person only if the Proceeding was authorized in the specific case by the Board.</w:t>
      </w:r>
    </w:p>
    <w:p>
      <w:pPr>
        <w:pStyle w:val="TextBody"/>
        <w:bidi w:val="0"/>
        <w:spacing w:before="0" w:after="240"/>
        <w:jc w:val="left"/>
        <w:rPr>
          <w:rFonts w:ascii="Times New Roman" w:hAnsi="Times New Roman"/>
          <w:sz w:val="20"/>
        </w:rPr>
      </w:pPr>
      <w:r>
        <w:rPr>
          <w:rFonts w:ascii="Arial" w:hAnsi="Arial"/>
          <w:color w:val="000000"/>
          <w:sz w:val="20"/>
        </w:rPr>
        <w:t xml:space="preserve">Section 9.02 </w:t>
      </w:r>
      <w:r>
        <w:rPr>
          <w:rFonts w:ascii="Arial" w:hAnsi="Arial"/>
          <w:color w:val="000000"/>
          <w:sz w:val="20"/>
          <w:u w:val="single"/>
        </w:rPr>
        <w:t>Indemnification of Others</w:t>
      </w:r>
      <w:r>
        <w:rPr>
          <w:rFonts w:ascii="Arial" w:hAnsi="Arial"/>
          <w:color w:val="000000"/>
          <w:sz w:val="20"/>
        </w:rPr>
        <w:t>. 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extBody"/>
        <w:bidi w:val="0"/>
        <w:spacing w:before="0" w:after="240"/>
        <w:jc w:val="left"/>
        <w:rPr>
          <w:rFonts w:ascii="Times New Roman" w:hAnsi="Times New Roman"/>
          <w:sz w:val="20"/>
        </w:rPr>
      </w:pPr>
      <w:r>
        <w:rPr>
          <w:rFonts w:ascii="Arial" w:hAnsi="Arial"/>
          <w:color w:val="000000"/>
          <w:sz w:val="20"/>
        </w:rPr>
        <w:t xml:space="preserve">Section 9.03 </w:t>
      </w:r>
      <w:r>
        <w:rPr>
          <w:rFonts w:ascii="Arial" w:hAnsi="Arial"/>
          <w:color w:val="000000"/>
          <w:sz w:val="20"/>
          <w:u w:val="single"/>
        </w:rPr>
        <w:t>Prepayment of Expenses</w:t>
      </w:r>
      <w:r>
        <w:rPr>
          <w:rFonts w:ascii="Arial" w:hAnsi="Arial"/>
          <w:color w:val="000000"/>
          <w:sz w:val="20"/>
        </w:rPr>
        <w:t xml:space="preserve">. 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Arial" w:hAnsi="Arial"/>
          <w:i/>
          <w:color w:val="000000"/>
          <w:sz w:val="20"/>
        </w:rPr>
        <w:t>provided, however</w:t>
      </w:r>
      <w:r>
        <w:rPr>
          <w:rFonts w:ascii="Arial" w:hAnsi="Arial"/>
          <w:color w:val="000000"/>
          <w:sz w:val="20"/>
        </w:rPr>
        <w:t>, that, such payment of expenses in advance of the final disposition of the Proceeding shall be made only upon receipt of an undertaking by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the Person to repay all amounts advanced if it should be ultimately determined that the Person is not entitled to be indemnified under this Article IX or otherwise.</w:t>
      </w:r>
    </w:p>
    <w:p>
      <w:pPr>
        <w:pStyle w:val="TextBody"/>
        <w:bidi w:val="0"/>
        <w:spacing w:before="0" w:after="240"/>
        <w:jc w:val="left"/>
        <w:rPr>
          <w:rFonts w:ascii="Times New Roman" w:hAnsi="Times New Roman"/>
          <w:sz w:val="20"/>
        </w:rPr>
      </w:pPr>
      <w:r>
        <w:rPr>
          <w:rFonts w:ascii="Arial" w:hAnsi="Arial"/>
          <w:color w:val="000000"/>
          <w:sz w:val="20"/>
        </w:rPr>
        <w:t xml:space="preserve">Section 9.04 </w:t>
      </w:r>
      <w:r>
        <w:rPr>
          <w:rFonts w:ascii="Arial" w:hAnsi="Arial"/>
          <w:color w:val="000000"/>
          <w:sz w:val="20"/>
          <w:u w:val="single"/>
        </w:rPr>
        <w:t>Determination; Claim</w:t>
      </w:r>
      <w:r>
        <w:rPr>
          <w:rFonts w:ascii="Arial" w:hAnsi="Arial"/>
          <w:color w:val="000000"/>
          <w:sz w:val="20"/>
        </w:rPr>
        <w:t>. 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pStyle w:val="TextBody"/>
        <w:bidi w:val="0"/>
        <w:spacing w:before="0" w:after="240"/>
        <w:jc w:val="left"/>
        <w:rPr>
          <w:rFonts w:ascii="Times New Roman" w:hAnsi="Times New Roman"/>
          <w:sz w:val="20"/>
        </w:rPr>
      </w:pPr>
      <w:r>
        <w:rPr>
          <w:rFonts w:ascii="Arial" w:hAnsi="Arial"/>
          <w:color w:val="000000"/>
          <w:sz w:val="20"/>
        </w:rPr>
        <w:t xml:space="preserve">Section 9.05 </w:t>
      </w:r>
      <w:r>
        <w:rPr>
          <w:rFonts w:ascii="Arial" w:hAnsi="Arial"/>
          <w:color w:val="000000"/>
          <w:sz w:val="20"/>
          <w:u w:val="single"/>
        </w:rPr>
        <w:t>Non-Exclusivity of Rights</w:t>
      </w:r>
      <w:r>
        <w:rPr>
          <w:rFonts w:ascii="Arial" w:hAnsi="Arial"/>
          <w:color w:val="000000"/>
          <w:sz w:val="20"/>
        </w:rPr>
        <w:t>. 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pStyle w:val="TextBody"/>
        <w:bidi w:val="0"/>
        <w:spacing w:before="0" w:after="240"/>
        <w:jc w:val="left"/>
        <w:rPr>
          <w:rFonts w:ascii="Times New Roman" w:hAnsi="Times New Roman"/>
          <w:sz w:val="20"/>
        </w:rPr>
      </w:pPr>
      <w:r>
        <w:rPr>
          <w:rFonts w:ascii="Arial" w:hAnsi="Arial"/>
          <w:color w:val="000000"/>
          <w:sz w:val="20"/>
        </w:rPr>
        <w:t xml:space="preserve">Section 9.06 </w:t>
      </w:r>
      <w:r>
        <w:rPr>
          <w:rFonts w:ascii="Arial" w:hAnsi="Arial"/>
          <w:color w:val="000000"/>
          <w:sz w:val="20"/>
          <w:u w:val="single"/>
        </w:rPr>
        <w:t>Insurance</w:t>
      </w:r>
      <w:r>
        <w:rPr>
          <w:rFonts w:ascii="Arial" w:hAnsi="Arial"/>
          <w:color w:val="000000"/>
          <w:sz w:val="20"/>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TextBody"/>
        <w:bidi w:val="0"/>
        <w:spacing w:before="0" w:after="240"/>
        <w:jc w:val="left"/>
        <w:rPr>
          <w:rFonts w:ascii="Times New Roman" w:hAnsi="Times New Roman"/>
          <w:sz w:val="20"/>
        </w:rPr>
      </w:pPr>
      <w:r>
        <w:rPr>
          <w:rFonts w:ascii="Arial" w:hAnsi="Arial"/>
          <w:color w:val="000000"/>
          <w:sz w:val="20"/>
        </w:rPr>
        <w:t xml:space="preserve">Section 9.07 </w:t>
      </w:r>
      <w:r>
        <w:rPr>
          <w:rFonts w:ascii="Arial" w:hAnsi="Arial"/>
          <w:color w:val="000000"/>
          <w:sz w:val="20"/>
          <w:u w:val="single"/>
        </w:rPr>
        <w:t>Other Indemnification</w:t>
      </w:r>
      <w:r>
        <w:rPr>
          <w:rFonts w:ascii="Arial" w:hAnsi="Arial"/>
          <w:color w:val="000000"/>
          <w:sz w:val="20"/>
        </w:rPr>
        <w:t>.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pStyle w:val="TextBody"/>
        <w:bidi w:val="0"/>
        <w:spacing w:before="0" w:after="240"/>
        <w:jc w:val="left"/>
        <w:rPr>
          <w:rFonts w:ascii="Times New Roman" w:hAnsi="Times New Roman"/>
          <w:sz w:val="20"/>
        </w:rPr>
      </w:pPr>
      <w:r>
        <w:rPr>
          <w:rFonts w:ascii="Arial" w:hAnsi="Arial"/>
          <w:color w:val="000000"/>
          <w:sz w:val="20"/>
        </w:rPr>
        <w:t xml:space="preserve">Section 9.08 </w:t>
      </w:r>
      <w:r>
        <w:rPr>
          <w:rFonts w:ascii="Arial" w:hAnsi="Arial"/>
          <w:color w:val="000000"/>
          <w:sz w:val="20"/>
          <w:u w:val="single"/>
        </w:rPr>
        <w:t>Continuation of Indemnification</w:t>
      </w:r>
      <w:r>
        <w:rPr>
          <w:rFonts w:ascii="Arial" w:hAnsi="Arial"/>
          <w:color w:val="000000"/>
          <w:sz w:val="20"/>
        </w:rPr>
        <w:t>. 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before="0" w:after="240"/>
        <w:jc w:val="left"/>
        <w:rPr>
          <w:rFonts w:ascii="Times New Roman" w:hAnsi="Times New Roman"/>
          <w:sz w:val="20"/>
        </w:rPr>
      </w:pPr>
      <w:r>
        <w:rPr>
          <w:rFonts w:ascii="Arial" w:hAnsi="Arial"/>
          <w:color w:val="000000"/>
          <w:sz w:val="20"/>
        </w:rPr>
        <w:t xml:space="preserve">Section 9.09 </w:t>
      </w:r>
      <w:r>
        <w:rPr>
          <w:rFonts w:ascii="Arial" w:hAnsi="Arial"/>
          <w:color w:val="000000"/>
          <w:sz w:val="20"/>
          <w:u w:val="single"/>
        </w:rPr>
        <w:t>Amendment or Repeal; Interpretation</w:t>
      </w:r>
      <w:r>
        <w:rPr>
          <w:rFonts w:ascii="Arial" w:hAnsi="Arial"/>
          <w:color w:val="000000"/>
          <w:sz w:val="20"/>
        </w:rPr>
        <w:t>. 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spacing w:before="0" w:after="240"/>
        <w:jc w:val="left"/>
        <w:rPr>
          <w:rFonts w:ascii="Times New Roman" w:hAnsi="Times New Roman"/>
          <w:sz w:val="20"/>
        </w:rPr>
      </w:pPr>
      <w:r>
        <w:rPr>
          <w:rFonts w:ascii="Arial" w:hAnsi="Arial"/>
          <w:color w:val="000000"/>
          <w:sz w:val="20"/>
        </w:rPr>
        <w:t>Any reference to an officer of the Corporation in this Article IX shall be deemed to refer exclusively to the chairperson of the Board, a vice chairperson of the Board, a chief executive officer, a chief financial officer, a treasurer appointed pursuant to Article V of these bylaws, and to any vice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president, assistant secretary, assistant treasurer,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pStyle w:val="TextBody"/>
        <w:bidi w:val="0"/>
        <w:jc w:val="center"/>
        <w:rPr>
          <w:rFonts w:ascii="Arial" w:hAnsi="Arial"/>
          <w:b/>
          <w:caps/>
          <w:color w:val="000000"/>
          <w:sz w:val="20"/>
        </w:rPr>
      </w:pPr>
      <w:bookmarkStart w:id="42" w:name="sty_ht1_21"/>
      <w:bookmarkEnd w:id="42"/>
      <w:r>
        <w:rPr>
          <w:rFonts w:ascii="Arial" w:hAnsi="Arial"/>
          <w:b/>
          <w:caps/>
          <w:color w:val="000000"/>
          <w:sz w:val="20"/>
        </w:rPr>
        <w:t>Article X</w:t>
      </w:r>
    </w:p>
    <w:p>
      <w:pPr>
        <w:pStyle w:val="TextBody"/>
        <w:bidi w:val="0"/>
        <w:spacing w:before="0" w:after="240"/>
        <w:jc w:val="center"/>
        <w:rPr>
          <w:rFonts w:ascii="Arial" w:hAnsi="Arial"/>
          <w:b/>
          <w:caps/>
          <w:color w:val="000000"/>
          <w:sz w:val="20"/>
        </w:rPr>
      </w:pPr>
      <w:r>
        <w:rPr>
          <w:rFonts w:ascii="Arial" w:hAnsi="Arial"/>
          <w:b/>
          <w:caps/>
          <w:color w:val="000000"/>
          <w:sz w:val="20"/>
        </w:rPr>
        <w:t>MISCELLANEOUS</w:t>
      </w:r>
    </w:p>
    <w:p>
      <w:pPr>
        <w:pStyle w:val="TextBody"/>
        <w:bidi w:val="0"/>
        <w:spacing w:before="0" w:after="240"/>
        <w:jc w:val="left"/>
        <w:rPr>
          <w:rFonts w:ascii="Times New Roman" w:hAnsi="Times New Roman"/>
          <w:sz w:val="20"/>
        </w:rPr>
      </w:pPr>
      <w:r>
        <w:rPr>
          <w:rFonts w:ascii="Arial" w:hAnsi="Arial"/>
          <w:color w:val="000000"/>
          <w:sz w:val="20"/>
        </w:rPr>
        <w:t xml:space="preserve">Section 10.01 </w:t>
      </w:r>
      <w:r>
        <w:rPr>
          <w:rFonts w:ascii="Arial" w:hAnsi="Arial"/>
          <w:color w:val="000000"/>
          <w:sz w:val="20"/>
          <w:u w:val="single"/>
        </w:rPr>
        <w:t>Construction; Definitions</w:t>
      </w:r>
      <w:r>
        <w:rPr>
          <w:rFonts w:ascii="Arial" w:hAnsi="Arial"/>
          <w:color w:val="000000"/>
          <w:sz w:val="20"/>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pStyle w:val="TextBody"/>
        <w:bidi w:val="0"/>
        <w:spacing w:before="0" w:after="240"/>
        <w:jc w:val="left"/>
        <w:rPr>
          <w:rFonts w:ascii="Times New Roman" w:hAnsi="Times New Roman"/>
          <w:sz w:val="20"/>
        </w:rPr>
      </w:pPr>
      <w:r>
        <w:rPr>
          <w:rFonts w:ascii="Arial" w:hAnsi="Arial"/>
          <w:color w:val="000000"/>
          <w:sz w:val="20"/>
        </w:rPr>
        <w:t xml:space="preserve">Section 10.02 </w:t>
      </w:r>
      <w:r>
        <w:rPr>
          <w:rFonts w:ascii="Arial" w:hAnsi="Arial"/>
          <w:color w:val="000000"/>
          <w:sz w:val="20"/>
          <w:u w:val="single"/>
        </w:rPr>
        <w:t>Dividends</w:t>
      </w:r>
      <w:r>
        <w:rPr>
          <w:rFonts w:ascii="Arial" w:hAnsi="Arial"/>
          <w:color w:val="000000"/>
          <w:sz w:val="20"/>
        </w:rPr>
        <w:t>. 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pStyle w:val="TextBody"/>
        <w:bidi w:val="0"/>
        <w:spacing w:before="0" w:after="240"/>
        <w:jc w:val="left"/>
        <w:rPr>
          <w:rFonts w:ascii="Arial" w:hAnsi="Arial"/>
          <w:color w:val="000000"/>
          <w:sz w:val="20"/>
        </w:rPr>
      </w:pPr>
      <w:r>
        <w:rPr>
          <w:rFonts w:ascii="Arial" w:hAnsi="Arial"/>
          <w:color w:val="000000"/>
          <w:sz w:val="20"/>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before="0" w:after="240"/>
        <w:jc w:val="left"/>
        <w:rPr>
          <w:rFonts w:ascii="Times New Roman" w:hAnsi="Times New Roman"/>
          <w:sz w:val="20"/>
        </w:rPr>
      </w:pPr>
      <w:r>
        <w:rPr>
          <w:rFonts w:ascii="Arial" w:hAnsi="Arial"/>
          <w:color w:val="000000"/>
          <w:sz w:val="20"/>
        </w:rPr>
        <w:t xml:space="preserve">Section 10.03 </w:t>
      </w:r>
      <w:r>
        <w:rPr>
          <w:rFonts w:ascii="Arial" w:hAnsi="Arial"/>
          <w:color w:val="000000"/>
          <w:sz w:val="20"/>
          <w:u w:val="single"/>
        </w:rPr>
        <w:t>Waiver of Notices</w:t>
      </w:r>
      <w:r>
        <w:rPr>
          <w:rFonts w:ascii="Arial" w:hAnsi="Arial"/>
          <w:color w:val="000000"/>
          <w:sz w:val="20"/>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bidi w:val="0"/>
        <w:jc w:val="center"/>
        <w:rPr>
          <w:rFonts w:ascii="Arial" w:hAnsi="Arial"/>
          <w:b/>
          <w:caps/>
          <w:color w:val="000000"/>
          <w:sz w:val="20"/>
        </w:rPr>
      </w:pPr>
      <w:bookmarkStart w:id="43" w:name="sty_ht1_23"/>
      <w:bookmarkEnd w:id="43"/>
      <w:r>
        <w:rPr>
          <w:rFonts w:ascii="Arial" w:hAnsi="Arial"/>
          <w:b/>
          <w:caps/>
          <w:color w:val="000000"/>
          <w:sz w:val="20"/>
        </w:rPr>
        <w:t>Article XI</w:t>
      </w:r>
    </w:p>
    <w:p>
      <w:pPr>
        <w:pStyle w:val="TextBody"/>
        <w:bidi w:val="0"/>
        <w:spacing w:before="0" w:after="240"/>
        <w:jc w:val="center"/>
        <w:rPr>
          <w:rFonts w:ascii="Arial" w:hAnsi="Arial"/>
          <w:b/>
          <w:caps/>
          <w:color w:val="000000"/>
          <w:sz w:val="20"/>
        </w:rPr>
      </w:pPr>
      <w:r>
        <w:rPr>
          <w:rFonts w:ascii="Arial" w:hAnsi="Arial"/>
          <w:b/>
          <w:caps/>
          <w:color w:val="000000"/>
          <w:sz w:val="20"/>
        </w:rPr>
        <w:t>NOTICE BY ELECTRONIC TRANSMISSION</w:t>
      </w:r>
    </w:p>
    <w:p>
      <w:pPr>
        <w:pStyle w:val="TextBody"/>
        <w:bidi w:val="0"/>
        <w:spacing w:before="0" w:after="240"/>
        <w:jc w:val="left"/>
        <w:rPr>
          <w:rFonts w:ascii="Times New Roman" w:hAnsi="Times New Roman"/>
          <w:sz w:val="20"/>
        </w:rPr>
      </w:pPr>
      <w:r>
        <w:rPr>
          <w:rFonts w:ascii="Arial" w:hAnsi="Arial"/>
          <w:color w:val="000000"/>
          <w:sz w:val="20"/>
        </w:rPr>
        <w:t xml:space="preserve">Section 11.01 </w:t>
      </w:r>
      <w:r>
        <w:rPr>
          <w:rFonts w:ascii="Arial" w:hAnsi="Arial"/>
          <w:color w:val="000000"/>
          <w:sz w:val="20"/>
          <w:u w:val="single"/>
        </w:rPr>
        <w:t>Notice by Electronic Transmission</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000000"/>
          <w:sz w:val="20"/>
        </w:rPr>
      </w:pPr>
      <w:r>
        <w:rPr>
          <w:rFonts w:ascii="Arial" w:hAnsi="Arial"/>
          <w:color w:val="000000"/>
          <w:sz w:val="20"/>
        </w:rPr>
        <w:t>transmission of an objection to receiving notice by electronic mail. A notice by electronic mail must include a prominent legend that the communication is an important notice regarding the Corporation.</w:t>
      </w:r>
    </w:p>
    <w:p>
      <w:pPr>
        <w:pStyle w:val="TextBody"/>
        <w:bidi w:val="0"/>
        <w:spacing w:before="0" w:after="240"/>
        <w:jc w:val="left"/>
        <w:rPr>
          <w:rFonts w:ascii="Arial" w:hAnsi="Arial"/>
          <w:color w:val="000000"/>
          <w:sz w:val="20"/>
        </w:rPr>
      </w:pPr>
      <w:r>
        <w:rPr>
          <w:rFonts w:ascii="Arial" w:hAnsi="Arial"/>
          <w:color w:val="000000"/>
          <w:sz w:val="20"/>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pStyle w:val="TextBody"/>
        <w:bidi w:val="0"/>
        <w:spacing w:before="0" w:after="240"/>
        <w:jc w:val="left"/>
        <w:rPr>
          <w:rFonts w:ascii="Arial" w:hAnsi="Arial"/>
          <w:color w:val="000000"/>
          <w:sz w:val="20"/>
        </w:rPr>
      </w:pPr>
      <w:r>
        <w:rPr>
          <w:rFonts w:ascii="Arial" w:hAnsi="Arial"/>
          <w:color w:val="000000"/>
          <w:sz w:val="20"/>
        </w:rPr>
        <w:t>Any notice given pursuant to the preceding paragraph shall be deemed given:</w:t>
      </w:r>
    </w:p>
    <w:p>
      <w:pPr>
        <w:pStyle w:val="TextBody"/>
        <w:bidi w:val="0"/>
        <w:spacing w:before="0" w:after="240"/>
        <w:jc w:val="left"/>
        <w:rPr>
          <w:rFonts w:ascii="Arial" w:hAnsi="Arial"/>
          <w:color w:val="000000"/>
          <w:sz w:val="20"/>
        </w:rPr>
      </w:pPr>
      <w:r>
        <w:rPr>
          <w:rFonts w:ascii="Arial" w:hAnsi="Arial"/>
          <w:color w:val="000000"/>
          <w:sz w:val="20"/>
        </w:rPr>
        <w:t>(i) if by facsimile telecommunication, when directed to a number at which the stockholder has consented to receive notice;</w:t>
      </w:r>
    </w:p>
    <w:p>
      <w:pPr>
        <w:pStyle w:val="TextBody"/>
        <w:bidi w:val="0"/>
        <w:spacing w:before="0" w:after="240"/>
        <w:jc w:val="left"/>
        <w:rPr>
          <w:rFonts w:ascii="Arial" w:hAnsi="Arial"/>
          <w:color w:val="000000"/>
          <w:sz w:val="20"/>
        </w:rPr>
      </w:pPr>
      <w:r>
        <w:rPr>
          <w:rFonts w:ascii="Arial" w:hAnsi="Arial"/>
          <w:color w:val="000000"/>
          <w:sz w:val="20"/>
        </w:rPr>
        <w:t>(ii) if by a posting on an electronic network together with separate notice to the stockholder of such specific posting, upon the later of (A) such posting and (B) the giving of such separate notice; and</w:t>
      </w:r>
    </w:p>
    <w:p>
      <w:pPr>
        <w:pStyle w:val="TextBody"/>
        <w:bidi w:val="0"/>
        <w:spacing w:before="0" w:after="240"/>
        <w:jc w:val="left"/>
        <w:rPr>
          <w:rFonts w:ascii="Arial" w:hAnsi="Arial"/>
          <w:color w:val="000000"/>
          <w:sz w:val="20"/>
        </w:rPr>
      </w:pPr>
      <w:r>
        <w:rPr>
          <w:rFonts w:ascii="Arial" w:hAnsi="Arial"/>
          <w:color w:val="000000"/>
          <w:sz w:val="20"/>
        </w:rPr>
        <w:t>(iii) if by any other form of electronic transmission, when directed to the stockholder.</w:t>
      </w:r>
    </w:p>
    <w:p>
      <w:pPr>
        <w:pStyle w:val="TextBody"/>
        <w:bidi w:val="0"/>
        <w:spacing w:before="0" w:after="240"/>
        <w:jc w:val="left"/>
        <w:rPr>
          <w:rFonts w:ascii="Times New Roman" w:hAnsi="Times New Roman"/>
          <w:sz w:val="20"/>
        </w:rPr>
      </w:pPr>
      <w:r>
        <w:rPr>
          <w:rFonts w:ascii="Arial" w:hAnsi="Arial"/>
          <w:color w:val="000000"/>
          <w:sz w:val="20"/>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w:t>
      </w:r>
      <w:r>
        <w:rPr>
          <w:rFonts w:ascii="Arial" w:hAnsi="Arial"/>
          <w:i/>
          <w:color w:val="000000"/>
          <w:sz w:val="20"/>
        </w:rPr>
        <w:t>of the Corporation or to the transfer agent, or other</w:t>
      </w:r>
      <w:r>
        <w:rPr>
          <w:rFonts w:ascii="Times New Roman" w:hAnsi="Times New Roman"/>
          <w:color w:val="000000"/>
          <w:sz w:val="20"/>
        </w:rPr>
        <w:t xml:space="preserve"> </w:t>
      </w:r>
      <w:r>
        <w:rPr>
          <w:rFonts w:ascii="Arial" w:hAnsi="Arial"/>
          <w:color w:val="000000"/>
          <w:sz w:val="20"/>
        </w:rPr>
        <w:t>person responsible for the giving of notice, provided, however, the inadvertent failure to discover such inability shall not invalidate any meeting or other action.</w:t>
      </w:r>
    </w:p>
    <w:p>
      <w:pPr>
        <w:pStyle w:val="TextBody"/>
        <w:bidi w:val="0"/>
        <w:spacing w:before="0" w:after="240"/>
        <w:jc w:val="left"/>
        <w:rPr>
          <w:rFonts w:ascii="Arial" w:hAnsi="Arial"/>
          <w:color w:val="000000"/>
          <w:sz w:val="20"/>
        </w:rPr>
      </w:pPr>
      <w:r>
        <w:rPr>
          <w:rFonts w:ascii="Arial" w:hAnsi="Arial"/>
          <w:color w:val="000000"/>
          <w:sz w:val="20"/>
        </w:rPr>
        <w:t>An affidavit of the secretary or an assistant secretary or of the transfer agent or other agent of the Corporation that the notice has been given shall, in the absence of fraud, be prima facie evidence of the facts stated therein.</w:t>
      </w:r>
    </w:p>
    <w:p>
      <w:pPr>
        <w:pStyle w:val="TextBody"/>
        <w:bidi w:val="0"/>
        <w:jc w:val="center"/>
        <w:rPr>
          <w:rFonts w:ascii="Arial" w:hAnsi="Arial"/>
          <w:b/>
          <w:caps/>
          <w:color w:val="000000"/>
          <w:sz w:val="20"/>
        </w:rPr>
      </w:pPr>
      <w:bookmarkStart w:id="44" w:name="sty_ht1_25"/>
      <w:bookmarkEnd w:id="44"/>
      <w:r>
        <w:rPr>
          <w:rFonts w:ascii="Arial" w:hAnsi="Arial"/>
          <w:b/>
          <w:caps/>
          <w:color w:val="000000"/>
          <w:sz w:val="20"/>
        </w:rPr>
        <w:t>Article XII</w:t>
      </w:r>
    </w:p>
    <w:p>
      <w:pPr>
        <w:pStyle w:val="TextBody"/>
        <w:bidi w:val="0"/>
        <w:spacing w:before="0" w:after="240"/>
        <w:jc w:val="center"/>
        <w:rPr>
          <w:rFonts w:ascii="Arial" w:hAnsi="Arial"/>
          <w:b/>
          <w:caps/>
          <w:color w:val="000000"/>
          <w:sz w:val="20"/>
        </w:rPr>
      </w:pPr>
      <w:r>
        <w:rPr>
          <w:rFonts w:ascii="Arial" w:hAnsi="Arial"/>
          <w:b/>
          <w:caps/>
          <w:color w:val="000000"/>
          <w:sz w:val="20"/>
        </w:rPr>
        <w:t>AMENDMENTS</w:t>
      </w:r>
    </w:p>
    <w:p>
      <w:pPr>
        <w:pStyle w:val="TextBody"/>
        <w:bidi w:val="0"/>
        <w:spacing w:before="0" w:after="240"/>
        <w:jc w:val="left"/>
        <w:rPr>
          <w:rFonts w:ascii="Arial" w:hAnsi="Arial"/>
          <w:color w:val="000000"/>
          <w:sz w:val="20"/>
        </w:rPr>
      </w:pPr>
      <w:r>
        <w:rPr>
          <w:rFonts w:ascii="Arial" w:hAnsi="Arial"/>
          <w:color w:val="000000"/>
          <w:sz w:val="20"/>
        </w:rPr>
        <w:t>The Board is expressly empowered to adopt, amend or repeal the bylaws of the Corporation. Any adoption, amendment or repeal of the bylaws of the Corporation by the Board shall require the approval of a majority of the number of directors then in office. The stockholders also shall have power to adopt, amend or repeal the bylaws of the Corporation, whether adopted by them or otherwise.</w:t>
      </w:r>
    </w:p>
    <w:p>
      <w:pPr>
        <w:pStyle w:val="TextBody"/>
        <w:bidi w:val="0"/>
        <w:jc w:val="center"/>
        <w:rPr>
          <w:rFonts w:ascii="Arial" w:hAnsi="Arial"/>
          <w:b/>
          <w:caps/>
          <w:color w:val="000000"/>
          <w:sz w:val="20"/>
        </w:rPr>
      </w:pPr>
      <w:bookmarkStart w:id="45" w:name="sty_ht1_27"/>
      <w:bookmarkEnd w:id="45"/>
      <w:r>
        <w:rPr>
          <w:rFonts w:ascii="Arial" w:hAnsi="Arial"/>
          <w:b/>
          <w:caps/>
          <w:color w:val="000000"/>
          <w:sz w:val="20"/>
        </w:rPr>
        <w:t>Article XIII</w:t>
      </w:r>
    </w:p>
    <w:p>
      <w:pPr>
        <w:pStyle w:val="TextBody"/>
        <w:bidi w:val="0"/>
        <w:spacing w:before="0" w:after="240"/>
        <w:jc w:val="center"/>
        <w:rPr>
          <w:rFonts w:ascii="Arial" w:hAnsi="Arial"/>
          <w:b/>
          <w:caps/>
          <w:color w:val="000000"/>
          <w:sz w:val="20"/>
        </w:rPr>
      </w:pPr>
      <w:r>
        <w:rPr>
          <w:rFonts w:ascii="Arial" w:hAnsi="Arial"/>
          <w:b/>
          <w:caps/>
          <w:color w:val="000000"/>
          <w:sz w:val="20"/>
        </w:rPr>
        <w:t>FORUM SELECTION</w:t>
      </w:r>
    </w:p>
    <w:p>
      <w:pPr>
        <w:pStyle w:val="TextBody"/>
        <w:bidi w:val="0"/>
        <w:spacing w:before="0" w:after="240"/>
        <w:jc w:val="left"/>
        <w:rPr>
          <w:rFonts w:ascii="Times New Roman" w:hAnsi="Times New Roman"/>
          <w:sz w:val="20"/>
        </w:rPr>
      </w:pPr>
      <w:r>
        <w:rPr>
          <w:rFonts w:ascii="Arial" w:hAnsi="Arial"/>
          <w:color w:val="000000"/>
          <w:sz w:val="20"/>
        </w:rPr>
        <w:t>Unless the Corporation consents in writing to the selection of an alternative forum, (a) the Court of Chancery (the “</w:t>
      </w:r>
      <w:r>
        <w:rPr>
          <w:rFonts w:ascii="Arial" w:hAnsi="Arial"/>
          <w:color w:val="000000"/>
          <w:sz w:val="20"/>
          <w:u w:val="single"/>
        </w:rPr>
        <w:t>Chancery Court</w:t>
      </w:r>
      <w:r>
        <w:rPr>
          <w:rFonts w:ascii="Times New Roman" w:hAnsi="Times New Roman"/>
          <w:color w:val="000000"/>
          <w:sz w:val="20"/>
        </w:rPr>
        <w:t>”</w:t>
      </w:r>
      <w:r>
        <w:rPr>
          <w:rFonts w:ascii="Arial" w:hAnsi="Arial"/>
          <w:color w:val="000000"/>
          <w:sz w:val="20"/>
        </w:rPr>
        <w:t>) of the State of Delaware (or, in the event that the Chancery Court does not have jurisdiction,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employee or agent of the Corporation to the Corporation or to the Corporation’s stockholders, (iii) any action, suit or proceeding arising pursuant to any provision of the DGCL or the Certificate of Incorporation or these bylaws (as either may be amended from time to time) or (iv) any action, suit or proceeding asserting a claim against the Corporation governed by the internal affairs doctrine and (b) subject to the preceding provisions of this Article XIII, the federal district courts of the United States of America shall be the exclusive forum for the resolution of any complaint asserting a</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Arial" w:hAnsi="Arial"/>
          <w:color w:val="000000"/>
          <w:sz w:val="20"/>
        </w:rPr>
        <w:t>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“Foreign Action”)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Any person or entity purchasing or otherwise acquiring any interest in any security of the Corporation shall be deemed to have notice of and consented to this Article XIII.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pStyle w:val="TextBody"/>
        <w:bidi w:val="0"/>
        <w:jc w:val="center"/>
        <w:rPr>
          <w:rFonts w:ascii="Arial" w:hAnsi="Arial"/>
          <w:b/>
          <w:caps/>
          <w:color w:val="000000"/>
          <w:sz w:val="20"/>
        </w:rPr>
      </w:pPr>
      <w:bookmarkStart w:id="46" w:name="sty_ht1_28"/>
      <w:bookmarkEnd w:id="46"/>
      <w:r>
        <w:rPr>
          <w:rFonts w:ascii="Arial" w:hAnsi="Arial"/>
          <w:b/>
          <w:caps/>
          <w:color w:val="000000"/>
          <w:sz w:val="20"/>
        </w:rPr>
        <w:t>Article XIV</w:t>
      </w:r>
    </w:p>
    <w:p>
      <w:pPr>
        <w:pStyle w:val="TextBody"/>
        <w:bidi w:val="0"/>
        <w:spacing w:before="0" w:after="240"/>
        <w:jc w:val="center"/>
        <w:rPr>
          <w:rFonts w:ascii="Arial" w:hAnsi="Arial"/>
          <w:b/>
          <w:caps/>
          <w:color w:val="000000"/>
          <w:sz w:val="20"/>
        </w:rPr>
      </w:pPr>
      <w:r>
        <w:rPr>
          <w:rFonts w:ascii="Arial" w:hAnsi="Arial"/>
          <w:b/>
          <w:caps/>
          <w:color w:val="000000"/>
          <w:sz w:val="20"/>
        </w:rPr>
        <w:t>DEFINITIONS</w:t>
      </w:r>
    </w:p>
    <w:p>
      <w:pPr>
        <w:pStyle w:val="TextBody"/>
        <w:bidi w:val="0"/>
        <w:spacing w:before="0" w:after="240"/>
        <w:jc w:val="left"/>
        <w:rPr>
          <w:rFonts w:ascii="Arial" w:hAnsi="Arial"/>
          <w:color w:val="000000"/>
          <w:sz w:val="20"/>
        </w:rPr>
      </w:pPr>
      <w:r>
        <w:rPr>
          <w:rFonts w:ascii="Arial" w:hAnsi="Arial"/>
          <w:color w:val="000000"/>
          <w:sz w:val="20"/>
        </w:rPr>
        <w:t>As used in these bylaws, unless the context otherwise requires, the following terms shall have the following meanings:</w:t>
      </w:r>
    </w:p>
    <w:p>
      <w:pPr>
        <w:pStyle w:val="TextBody"/>
        <w:bidi w:val="0"/>
        <w:spacing w:before="0" w:after="240"/>
        <w:jc w:val="left"/>
        <w:rPr>
          <w:rFonts w:ascii="Times New Roman" w:hAnsi="Times New Roman"/>
          <w:sz w:val="20"/>
        </w:rPr>
      </w:pPr>
      <w:r>
        <w:rPr>
          <w:rFonts w:ascii="Arial" w:hAnsi="Arial"/>
          <w:color w:val="000000"/>
          <w:sz w:val="20"/>
        </w:rPr>
        <w:t>An “</w:t>
      </w:r>
      <w:r>
        <w:rPr>
          <w:rFonts w:ascii="Arial" w:hAnsi="Arial"/>
          <w:color w:val="000000"/>
          <w:sz w:val="20"/>
          <w:u w:val="single"/>
        </w:rPr>
        <w:t>affiliate</w:t>
      </w:r>
      <w:r>
        <w:rPr>
          <w:rFonts w:ascii="Times New Roman" w:hAnsi="Times New Roman"/>
          <w:color w:val="000000"/>
          <w:sz w:val="20"/>
        </w:rPr>
        <w:t xml:space="preserve">” </w:t>
      </w:r>
      <w:r>
        <w:rPr>
          <w:rFonts w:ascii="Arial" w:hAnsi="Arial"/>
          <w:color w:val="000000"/>
          <w:sz w:val="20"/>
        </w:rPr>
        <w:t>means, with respect to any Person, any other Person that controls, is controlled by, or is under common control with such Person. For the purposes of this definition, “control,” when used with respect to any Person, means the power to direct or cause the direction of the affairs or management of that Person, whether through the ownership of voting securities, as trustee (or the power to appoint a trustee), Personal representative or executor, by contract, credit arrangement or otherwise and “controlled” and “controlling” have meanings correlative to the foregoing.</w:t>
      </w:r>
    </w:p>
    <w:p>
      <w:pPr>
        <w:pStyle w:val="TextBody"/>
        <w:bidi w:val="0"/>
        <w:spacing w:before="0" w:after="240"/>
        <w:jc w:val="left"/>
        <w:rPr>
          <w:rFonts w:ascii="Times New Roman" w:hAnsi="Times New Roman"/>
          <w:sz w:val="20"/>
        </w:rPr>
      </w:pPr>
      <w:r>
        <w:rPr>
          <w:rFonts w:ascii="Arial" w:hAnsi="Arial"/>
          <w:color w:val="000000"/>
          <w:sz w:val="20"/>
        </w:rPr>
        <w:t>An “</w:t>
      </w:r>
      <w:r>
        <w:rPr>
          <w:rFonts w:ascii="Arial" w:hAnsi="Arial"/>
          <w:color w:val="000000"/>
          <w:sz w:val="20"/>
          <w:u w:val="single"/>
        </w:rPr>
        <w:t>electronic transmission</w:t>
      </w:r>
      <w:r>
        <w:rPr>
          <w:rFonts w:ascii="Times New Roman" w:hAnsi="Times New Roman"/>
          <w:color w:val="000000"/>
          <w:sz w:val="20"/>
        </w:rPr>
        <w:t xml:space="preserve">” </w:t>
      </w:r>
      <w:r>
        <w:rPr>
          <w:rFonts w:ascii="Arial" w:hAnsi="Arial"/>
          <w:color w:val="000000"/>
          <w:sz w:val="20"/>
        </w:rPr>
        <w:t>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w:t>
      </w:r>
    </w:p>
    <w:p>
      <w:pPr>
        <w:pStyle w:val="TextBody"/>
        <w:bidi w:val="0"/>
        <w:spacing w:before="0" w:after="240"/>
        <w:jc w:val="left"/>
        <w:rPr>
          <w:rFonts w:ascii="Times New Roman" w:hAnsi="Times New Roman"/>
          <w:sz w:val="20"/>
        </w:rPr>
      </w:pPr>
      <w:r>
        <w:rPr>
          <w:rFonts w:ascii="Arial" w:hAnsi="Arial"/>
          <w:color w:val="000000"/>
          <w:sz w:val="20"/>
        </w:rPr>
        <w:t>An “</w:t>
      </w:r>
      <w:r>
        <w:rPr>
          <w:rFonts w:ascii="Arial" w:hAnsi="Arial"/>
          <w:color w:val="000000"/>
          <w:sz w:val="20"/>
          <w:u w:val="single"/>
        </w:rPr>
        <w:t>electronic mail</w:t>
      </w:r>
      <w:r>
        <w:rPr>
          <w:rFonts w:ascii="Times New Roman" w:hAnsi="Times New Roman"/>
          <w:color w:val="000000"/>
          <w:sz w:val="20"/>
        </w:rPr>
        <w:t xml:space="preserve">” </w:t>
      </w:r>
      <w:r>
        <w:rPr>
          <w:rFonts w:ascii="Arial" w:hAnsi="Arial"/>
          <w:color w:val="000000"/>
          <w:sz w:val="20"/>
        </w:rPr>
        <w:t>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pStyle w:val="TextBody"/>
        <w:bidi w:val="0"/>
        <w:spacing w:before="0" w:after="240"/>
        <w:jc w:val="left"/>
        <w:rPr>
          <w:rFonts w:ascii="Times New Roman" w:hAnsi="Times New Roman"/>
          <w:sz w:val="20"/>
        </w:rPr>
      </w:pPr>
      <w:r>
        <w:rPr>
          <w:rFonts w:ascii="Arial" w:hAnsi="Arial"/>
          <w:color w:val="000000"/>
          <w:sz w:val="20"/>
        </w:rPr>
        <w:t>An “</w:t>
      </w:r>
      <w:r>
        <w:rPr>
          <w:rFonts w:ascii="Arial" w:hAnsi="Arial"/>
          <w:color w:val="000000"/>
          <w:sz w:val="20"/>
          <w:u w:val="single"/>
        </w:rPr>
        <w:t>electronic mail address</w:t>
      </w:r>
      <w:r>
        <w:rPr>
          <w:rFonts w:ascii="Times New Roman" w:hAnsi="Times New Roman"/>
          <w:color w:val="000000"/>
          <w:sz w:val="20"/>
        </w:rPr>
        <w:t xml:space="preserve">” </w:t>
      </w:r>
      <w:r>
        <w:rPr>
          <w:rFonts w:ascii="Arial" w:hAnsi="Arial"/>
          <w:color w:val="000000"/>
          <w:sz w:val="20"/>
        </w:rPr>
        <w:t>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pStyle w:val="TextBody"/>
        <w:bidi w:val="0"/>
        <w:spacing w:before="0" w:after="240"/>
        <w:jc w:val="left"/>
        <w:rPr>
          <w:rFonts w:ascii="Times New Roman" w:hAnsi="Times New Roman"/>
          <w:sz w:val="20"/>
        </w:rPr>
      </w:pPr>
      <w:r>
        <w:rPr>
          <w:rFonts w:ascii="Arial" w:hAnsi="Arial"/>
          <w:color w:val="000000"/>
          <w:sz w:val="20"/>
        </w:rPr>
        <w:t>The term “</w:t>
      </w:r>
      <w:r>
        <w:rPr>
          <w:rFonts w:ascii="Arial" w:hAnsi="Arial"/>
          <w:color w:val="000000"/>
          <w:sz w:val="20"/>
          <w:u w:val="single"/>
        </w:rPr>
        <w:t>Person</w:t>
      </w:r>
      <w:r>
        <w:rPr>
          <w:rFonts w:ascii="Times New Roman" w:hAnsi="Times New Roman"/>
          <w:color w:val="000000"/>
          <w:sz w:val="20"/>
        </w:rPr>
        <w:t xml:space="preserve">” </w:t>
      </w:r>
      <w:r>
        <w:rPr>
          <w:rFonts w:ascii="Arial" w:hAnsi="Arial"/>
          <w:color w:val="000000"/>
          <w:sz w:val="20"/>
        </w:rPr>
        <w:t>or “</w:t>
      </w:r>
      <w:r>
        <w:rPr>
          <w:rFonts w:ascii="Arial" w:hAnsi="Arial"/>
          <w:color w:val="000000"/>
          <w:sz w:val="20"/>
          <w:u w:val="single"/>
        </w:rPr>
        <w:t>person</w:t>
      </w:r>
      <w:r>
        <w:rPr>
          <w:rFonts w:ascii="Times New Roman" w:hAnsi="Times New Roman"/>
          <w:color w:val="000000"/>
          <w:sz w:val="20"/>
        </w:rPr>
        <w:t xml:space="preserve">” </w:t>
      </w:r>
      <w:r>
        <w:rPr>
          <w:rFonts w:ascii="Arial" w:hAnsi="Arial"/>
          <w:color w:val="000000"/>
          <w:sz w:val="20"/>
        </w:rPr>
        <w:t>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bookmarkStart w:id="47" w:name="psn-ex19_1.htm"/>
      <w:bookmarkStart w:id="48" w:name="kspsnex19_1"/>
      <w:bookmarkEnd w:id="47"/>
      <w:bookmarkEnd w:id="48"/>
      <w:r>
        <w:rPr/>
        <w:t> </w:t>
      </w:r>
      <w:r>
        <w:br w:type="page"/>
      </w:r>
    </w:p>
    <w:p>
      <w:pPr>
        <w:pStyle w:val="TextBody"/>
        <w:bidi w:val="0"/>
        <w:jc w:val="right"/>
        <w:rPr>
          <w:rFonts w:ascii="Arial" w:hAnsi="Arial"/>
          <w:b/>
          <w:color w:val="000000"/>
          <w:sz w:val="20"/>
        </w:rPr>
      </w:pPr>
      <w:r>
        <w:rPr>
          <w:rFonts w:ascii="Arial" w:hAnsi="Arial"/>
          <w:b/>
          <w:color w:val="000000"/>
          <w:sz w:val="20"/>
        </w:rPr>
        <w:t>Exhibit 19.1</w:t>
      </w:r>
    </w:p>
    <w:p>
      <w:pPr>
        <w:pStyle w:val="TextBody"/>
        <w:bidi w:val="0"/>
        <w:spacing w:before="120" w:after="283"/>
        <w:jc w:val="center"/>
        <w:rPr>
          <w:rFonts w:ascii="sans-serif" w:hAnsi="sans-serif"/>
          <w:b/>
          <w:color w:val="000000"/>
          <w:sz w:val="28"/>
        </w:rPr>
      </w:pPr>
      <w:r>
        <w:rPr>
          <w:rFonts w:ascii="sans-serif" w:hAnsi="sans-serif"/>
          <w:b/>
          <w:color w:val="000000"/>
          <w:sz w:val="28"/>
        </w:rPr>
        <w:t>Parsons Corporation</w:t>
      </w:r>
    </w:p>
    <w:p>
      <w:pPr>
        <w:pStyle w:val="TextBody"/>
        <w:bidi w:val="0"/>
        <w:jc w:val="center"/>
        <w:rPr>
          <w:rFonts w:ascii="sans-serif" w:hAnsi="sans-serif"/>
          <w:b/>
          <w:color w:val="000000"/>
          <w:sz w:val="28"/>
        </w:rPr>
      </w:pPr>
      <w:r>
        <w:rPr>
          <w:rFonts w:ascii="sans-serif" w:hAnsi="sans-serif"/>
          <w:b/>
          <w:color w:val="000000"/>
          <w:sz w:val="28"/>
        </w:rPr>
        <w:t>Insider Trading Compliance Policy</w:t>
      </w:r>
    </w:p>
    <w:p>
      <w:pPr>
        <w:pStyle w:val="TextBody"/>
        <w:bidi w:val="0"/>
        <w:spacing w:before="120" w:after="283"/>
        <w:jc w:val="left"/>
        <w:rPr>
          <w:rFonts w:ascii="sans-serif" w:hAnsi="sans-serif"/>
          <w:b/>
          <w:color w:val="000000"/>
          <w:sz w:val="28"/>
        </w:rPr>
      </w:pPr>
      <w:r>
        <w:rPr>
          <w:rFonts w:ascii="sans-serif" w:hAnsi="sans-serif"/>
          <w:b/>
          <w:color w:val="000000"/>
          <w:sz w:val="28"/>
        </w:rPr>
        <w:t>Introduction</w:t>
      </w:r>
    </w:p>
    <w:p>
      <w:pPr>
        <w:pStyle w:val="TextBody"/>
        <w:bidi w:val="0"/>
        <w:spacing w:before="120" w:after="283"/>
        <w:jc w:val="left"/>
        <w:rPr>
          <w:rFonts w:ascii="Times New Roman" w:hAnsi="Times New Roman"/>
          <w:sz w:val="20"/>
        </w:rPr>
      </w:pPr>
      <w:r>
        <w:rPr>
          <w:rFonts w:ascii="sans-serif" w:hAnsi="sans-serif"/>
          <w:color w:val="000000"/>
          <w:sz w:val="22"/>
        </w:rPr>
        <w:t>Preventing insider trading is necessary to comply with securities laws and to preserve the reputation and integrity of Parsons Corporation (the “Company”), as well as that of all persons affiliated with the Company. This Insider Trading Compliance Policy (this “Policy”) strictly prohibits “insider trading.” Generally, an “insider” is someone who, by virtue of their relationship with the Company, has, or is reasonably likely to have, access to material nonpublic information about the Company. Insider trading occurs when an insider transacts in a security (including purchases, sales, gifts, or other transfers) while in possession of material nonpublic information, or unlawfully discloses such information to others (known as “tipping”) who trade based on it.</w:t>
      </w:r>
      <w:r>
        <w:rPr>
          <w:rFonts w:ascii="Times New Roman" w:hAnsi="Times New Roman"/>
          <w:color w:val="000000"/>
          <w:sz w:val="20"/>
        </w:rPr>
        <w:t xml:space="preserve"> </w:t>
      </w:r>
    </w:p>
    <w:p>
      <w:pPr>
        <w:pStyle w:val="TextBody"/>
        <w:bidi w:val="0"/>
        <w:spacing w:before="147" w:after="283"/>
        <w:jc w:val="left"/>
        <w:rPr>
          <w:rFonts w:ascii="Times New Roman" w:hAnsi="Times New Roman"/>
          <w:sz w:val="20"/>
        </w:rPr>
      </w:pPr>
      <w:r>
        <w:rPr>
          <w:rFonts w:ascii="sans-serif" w:hAnsi="sans-serif"/>
          <w:i/>
          <w:color w:val="000000"/>
          <w:sz w:val="22"/>
        </w:rPr>
        <w:t>Please refer to the definitions section of this Policy for additional information on the terms used in this Policy, such as “securities,” “material nonpublic information,” and “transaction.”</w:t>
      </w:r>
      <w:r>
        <w:rPr>
          <w:rFonts w:ascii="Times New Roman" w:hAnsi="Times New Roman"/>
          <w:color w:val="000000"/>
          <w:sz w:val="20"/>
        </w:rPr>
        <w:t xml:space="preserve"> </w:t>
      </w:r>
    </w:p>
    <w:p>
      <w:pPr>
        <w:pStyle w:val="TextBody"/>
        <w:bidi w:val="0"/>
        <w:spacing w:before="120" w:after="283"/>
        <w:jc w:val="left"/>
        <w:rPr>
          <w:rFonts w:ascii="sans-serif" w:hAnsi="sans-serif"/>
          <w:b/>
          <w:color w:val="000000"/>
          <w:sz w:val="28"/>
        </w:rPr>
      </w:pPr>
      <w:r>
        <w:rPr>
          <w:rFonts w:ascii="sans-serif" w:hAnsi="sans-serif"/>
          <w:b/>
          <w:color w:val="000000"/>
          <w:sz w:val="28"/>
        </w:rPr>
        <w:t>Policy</w:t>
      </w:r>
    </w:p>
    <w:p>
      <w:pPr>
        <w:pStyle w:val="TextBody"/>
        <w:bidi w:val="0"/>
        <w:spacing w:before="120" w:after="283"/>
        <w:jc w:val="left"/>
        <w:rPr>
          <w:rFonts w:ascii="sans-serif" w:hAnsi="sans-serif"/>
          <w:color w:val="000000"/>
          <w:sz w:val="22"/>
        </w:rPr>
      </w:pPr>
      <w:r>
        <w:rPr>
          <w:rFonts w:ascii="sans-serif" w:hAnsi="sans-serif"/>
          <w:color w:val="000000"/>
          <w:sz w:val="22"/>
        </w:rPr>
        <w:t>No officer, director, or employee of the Company shall, directly or indirectly transact (including purchases, sales, gifts, or other transfers) in any type of security while in possession of material nonpublic information relating to that security, whether the issuer of such security is the Company or any other company. Additionally, and without limitation:</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Directly or indirectly, sharing, communicating or tipping material nonpublic information about the Company to anyone outside of the Company (except in accordance with the Company’s policies regarding the protection or authorized external disclosure of Company information), or to anyone within the Company other than on a need-to-know basis, is strictly prohibited and constitutes a violation of this Policy;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The use or tipping of material nonpublic information about the Company in connection with any transaction involving the Company’s securities, including gifts, is strictly prohibited and constitutes a violation of this Policy;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The use or tipping of material nonpublic information about the Company in connection with any transactions, trades, or investment decisions involving the securities of other companies (including competitors, customers, suppliers, contractors or other economically related entities), where the value of such securities is reasonably likely to be affected by that information, is strictly prohibited and will be treated as a violation of this Policy. This prohibition includes so</w:t>
      </w:r>
      <w:r>
        <w:rPr>
          <w:color w:val="000000"/>
        </w:rPr>
        <w:noBreakHyphen/>
      </w:r>
      <w:r>
        <w:rPr>
          <w:rFonts w:ascii="sans-serif" w:hAnsi="sans-serif"/>
          <w:color w:val="000000"/>
          <w:sz w:val="22"/>
        </w:rPr>
        <w:t>called “shadow trading,” i.e., trading in the securities of another issuer whose value may be linked to the Company’s nonpublic information.</w:t>
      </w:r>
    </w:p>
    <w:p>
      <w:pPr>
        <w:pStyle w:val="TextBody"/>
        <w:bidi w:val="0"/>
        <w:spacing w:before="120" w:after="283"/>
        <w:jc w:val="left"/>
        <w:rPr>
          <w:rFonts w:ascii="sans-serif" w:hAnsi="sans-serif"/>
          <w:color w:val="000000"/>
          <w:sz w:val="22"/>
        </w:rPr>
      </w:pPr>
      <w:r>
        <w:rPr>
          <w:rFonts w:ascii="sans-serif" w:hAnsi="sans-serif"/>
          <w:color w:val="000000"/>
          <w:sz w:val="22"/>
        </w:rPr>
        <w:t>This Policy’s prohibitions against insider trading broadly cover your direct or indirect transactions in the Company’s securities. As such, transactions by any person, family member, or entity acting in concert with you, at your suggestion, or on your behalf may be attributed to you and be deemed a violation of this Policy.</w:t>
      </w:r>
    </w:p>
    <w:p>
      <w:pPr>
        <w:pStyle w:val="TextBody"/>
        <w:bidi w:val="0"/>
        <w:spacing w:before="120" w:after="283"/>
        <w:jc w:val="left"/>
        <w:rPr>
          <w:rFonts w:ascii="sans-serif" w:hAnsi="sans-serif"/>
          <w:color w:val="000000"/>
          <w:sz w:val="22"/>
        </w:rPr>
      </w:pPr>
      <w:r>
        <w:rPr>
          <w:rFonts w:ascii="sans-serif" w:hAnsi="sans-serif"/>
          <w:color w:val="000000"/>
          <w:sz w:val="22"/>
        </w:rPr>
        <w:t>The Company will conduct all trading in its own account in full compliance with all applicable laws, listing standards, rules, and regulations, including those governing insider trading and market abuse. The Company will maintain and follow appropriate procedures and controls to help ensure that any such transactions are carried out lawfully and consistent with this Policy.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color w:val="000000"/>
          <w:sz w:val="22"/>
        </w:rPr>
        <w:t xml:space="preserve">As provided in the Parsons Code of Conduct, confidential and other nonpublic information obtained through your work at Parsons may not be used for the purpose of participating in, influencing, or profiting from prediction markets or similar event-based trading platforms (such as those available on Polymarket or Kalshi). As such, this Policy prohibits the use or tipping of the Company’s confidential information, or confidential information of the Company’s customers, contractors and suppliers, in connection with prediction market transactions or event-based contracts. Accordingly, even if such confidential information does not rise to the level of material nonpublic information, the use or tipping of confidential information in prediction market transactions or event-based contracts is strictly prohibited and will be treated as a violation of this Policy. </w:t>
      </w:r>
      <w:r>
        <w:rPr>
          <w:rFonts w:ascii="sans-serif" w:hAnsi="sans-serif"/>
          <w:i/>
          <w:color w:val="000000"/>
          <w:sz w:val="22"/>
        </w:rPr>
        <w:t>Please refer to the definitions section of this Policy for additional information on the term “prediction market transaction or event-based contract.”</w:t>
      </w:r>
    </w:p>
    <w:p>
      <w:pPr>
        <w:pStyle w:val="TextBody"/>
        <w:bidi w:val="0"/>
        <w:spacing w:before="120" w:after="283"/>
        <w:jc w:val="left"/>
        <w:rPr>
          <w:rFonts w:ascii="sans-serif" w:hAnsi="sans-serif"/>
          <w:b/>
          <w:color w:val="000000"/>
          <w:sz w:val="28"/>
        </w:rPr>
      </w:pPr>
      <w:r>
        <w:rPr>
          <w:rFonts w:ascii="sans-serif" w:hAnsi="sans-serif"/>
          <w:b/>
          <w:color w:val="000000"/>
          <w:sz w:val="28"/>
        </w:rPr>
        <w:t>Blackout Periods</w:t>
      </w:r>
    </w:p>
    <w:p>
      <w:pPr>
        <w:pStyle w:val="TextBody"/>
        <w:bidi w:val="0"/>
        <w:spacing w:before="120" w:after="283"/>
        <w:jc w:val="left"/>
        <w:rPr>
          <w:rFonts w:ascii="Times New Roman" w:hAnsi="Times New Roman"/>
          <w:sz w:val="20"/>
        </w:rPr>
      </w:pPr>
      <w:r>
        <w:rPr>
          <w:rFonts w:ascii="sans-serif" w:hAnsi="sans-serif"/>
          <w:i/>
          <w:color w:val="000000"/>
          <w:sz w:val="22"/>
        </w:rPr>
        <w:t xml:space="preserve">Regular Quarterly Blackout Period. </w:t>
      </w:r>
      <w:r>
        <w:rPr>
          <w:rFonts w:ascii="sans-serif" w:hAnsi="sans-serif"/>
          <w:color w:val="000000"/>
          <w:sz w:val="22"/>
        </w:rPr>
        <w:t>No officer, director or employee shall transact in any security of the Company during the regular quarterly blackout period, which (i) begins on the 15</w:t>
      </w:r>
      <w:r>
        <w:rPr>
          <w:rFonts w:ascii="sans-serif" w:hAnsi="sans-serif"/>
          <w:color w:val="000000"/>
          <w:sz w:val="15"/>
        </w:rPr>
        <w:t>th</w:t>
      </w:r>
      <w:r>
        <w:rPr>
          <w:rFonts w:ascii="Times New Roman" w:hAnsi="Times New Roman"/>
          <w:color w:val="000000"/>
          <w:sz w:val="20"/>
        </w:rPr>
        <w:t xml:space="preserve"> </w:t>
      </w:r>
      <w:r>
        <w:rPr>
          <w:rFonts w:ascii="sans-serif" w:hAnsi="sans-serif"/>
          <w:color w:val="000000"/>
          <w:sz w:val="22"/>
        </w:rPr>
        <w:t>day of the final month of the Company’s fiscal quarter and (ii) ends upon completion of the first full trading day after the public release of earnings information for such fiscal quarter.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i/>
          <w:color w:val="000000"/>
          <w:sz w:val="22"/>
        </w:rPr>
        <w:t>Special Blackout Period.</w:t>
      </w:r>
      <w:r>
        <w:rPr>
          <w:rFonts w:ascii="Times New Roman" w:hAnsi="Times New Roman"/>
          <w:color w:val="000000"/>
          <w:sz w:val="20"/>
        </w:rPr>
        <w:t xml:space="preserve"> </w:t>
      </w:r>
      <w:r>
        <w:rPr>
          <w:rFonts w:ascii="sans-serif" w:hAnsi="sans-serif"/>
          <w:color w:val="000000"/>
          <w:sz w:val="22"/>
        </w:rPr>
        <w:t>No officer, director or employee shall transact in any security of the Company during a special blackout period, which may be declared from time to time by the Chief Legal Officer, the Chief Executive Officer or the Chair of the Board of Directors (the “Board”). Special blackout periods may be applicable only to a subset of persons subject to this Policy.</w:t>
      </w:r>
      <w:r>
        <w:rPr>
          <w:rFonts w:ascii="Times New Roman" w:hAnsi="Times New Roman"/>
          <w:color w:val="000000"/>
          <w:sz w:val="20"/>
        </w:rPr>
        <w:t xml:space="preserve"> </w:t>
      </w:r>
    </w:p>
    <w:p>
      <w:pPr>
        <w:pStyle w:val="TextBody"/>
        <w:bidi w:val="0"/>
        <w:spacing w:before="120" w:after="283"/>
        <w:jc w:val="left"/>
        <w:rPr>
          <w:rFonts w:ascii="sans-serif" w:hAnsi="sans-serif"/>
          <w:b/>
          <w:color w:val="000000"/>
          <w:sz w:val="28"/>
        </w:rPr>
      </w:pPr>
      <w:r>
        <w:rPr>
          <w:rFonts w:ascii="sans-serif" w:hAnsi="sans-serif"/>
          <w:b/>
          <w:color w:val="000000"/>
          <w:sz w:val="28"/>
        </w:rPr>
        <w:t>Pre-clearance Procedures</w:t>
      </w:r>
    </w:p>
    <w:p>
      <w:pPr>
        <w:pStyle w:val="TextBody"/>
        <w:bidi w:val="0"/>
        <w:spacing w:before="120" w:after="283"/>
        <w:jc w:val="left"/>
        <w:rPr>
          <w:rFonts w:ascii="Times New Roman" w:hAnsi="Times New Roman"/>
          <w:sz w:val="20"/>
        </w:rPr>
      </w:pPr>
      <w:r>
        <w:rPr>
          <w:rFonts w:ascii="sans-serif" w:hAnsi="sans-serif"/>
          <w:color w:val="000000"/>
          <w:sz w:val="22"/>
        </w:rPr>
        <w:t xml:space="preserve">In addition to the general terms of this Policy, Pre-Clearance Persons are subject to additional requirements. All transactions in the Company’s securities, including gifts, by (i) a Pre-Clearance Person, (ii) a Pre-Clearance Person’s Family Members and/or (iii) a Pre-Clearance Person’s Controlled Entities must be cleared in advance by the Chief Legal Officer in accordance with the procedures described below. </w:t>
      </w:r>
      <w:r>
        <w:rPr>
          <w:rFonts w:ascii="sans-serif" w:hAnsi="sans-serif"/>
          <w:i/>
          <w:color w:val="000000"/>
          <w:sz w:val="22"/>
        </w:rPr>
        <w:t>Please refer to the definitions section of this Policy for definitions of “Family Members” and “Controlled Entities.”</w:t>
      </w:r>
    </w:p>
    <w:p>
      <w:pPr>
        <w:pStyle w:val="TextBody"/>
        <w:bidi w:val="0"/>
        <w:spacing w:before="120" w:after="283"/>
        <w:jc w:val="left"/>
        <w:rPr>
          <w:rFonts w:ascii="Times New Roman" w:hAnsi="Times New Roman"/>
          <w:sz w:val="20"/>
        </w:rPr>
      </w:pPr>
      <w:r>
        <w:rPr>
          <w:rFonts w:ascii="sans-serif" w:hAnsi="sans-serif"/>
          <w:color w:val="000000"/>
          <w:sz w:val="22"/>
        </w:rPr>
        <w:t>The term “Pre-Clearance Person” means: (i) each member of the Board, (ii) each member of the Executive Leadership Team (“ELT”), (iii) each ELT direct report at a level of Vice President or above, (iv) each ELT direct or indirect report who the applicable ELT member determines (after consultation with the Chief Legal Officer) regularly comes in contact with material nonpublic information about the Company in the discharge of his or her job duties, and (v) each other person who is designated in writing as a Pre-Clearance Person by the Chief Legal Officer.</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 xml:space="preserve">A </w:t>
      </w:r>
      <w:r>
        <w:rPr>
          <w:rFonts w:ascii="sans-serif" w:hAnsi="sans-serif"/>
          <w:color w:val="000000"/>
          <w:sz w:val="22"/>
          <w:u w:val="single"/>
        </w:rPr>
        <w:t>request for pre-clearance</w:t>
      </w:r>
      <w:r>
        <w:rPr>
          <w:color w:val="000000"/>
        </w:rPr>
        <w:t xml:space="preserve"> </w:t>
      </w:r>
      <w:r>
        <w:rPr>
          <w:rFonts w:ascii="sans-serif" w:hAnsi="sans-serif"/>
          <w:color w:val="000000"/>
          <w:sz w:val="22"/>
        </w:rPr>
        <w:t xml:space="preserve">should be submitted by the Pre-Clearance Person to the Chief Legal Officer at least two trading days in advance of the proposed transaction.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 xml:space="preserve">When submitting a pre-clearance request, the Pre-Clearance Person must also execute the Insider Trading Certificate attached to this Policy as </w:t>
      </w:r>
      <w:r>
        <w:rPr>
          <w:rFonts w:ascii="sans-serif" w:hAnsi="sans-serif"/>
          <w:color w:val="000000"/>
          <w:sz w:val="22"/>
          <w:u w:val="single"/>
        </w:rPr>
        <w:t>Attachment A</w:t>
      </w:r>
      <w:r>
        <w:rPr>
          <w:rFonts w:ascii="sans-serif" w:hAnsi="sans-serif"/>
          <w:color w:val="000000"/>
          <w:sz w:val="22"/>
        </w:rPr>
        <w:t xml:space="preserve">. Covered persons acknowledge that they have received and understand this Policy, agree to comply with it, annually certify their compliance and that they are not aware of material nonpublic information, and understand the timing requirements for completing the transaction, as described below.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The Chief Legal Officer is under no obligation to approve a transaction submitted for pre-clearance, and may determine not to permit the transaction for reasons that may not be known to the Pre-Clearance Person. If a Pre-Clearance Person seeks pre-clearance and permission to engage in the transaction is denied, then he or she should refrain from initiating any transaction in Company securities, and should not inform any other person of the restriction.</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All transactions that are pre-cleared for a Pre-Clearance Person, including pre-clearance to enter into a Rule 10b5-1 Plan or make ESOP diversification transactions, must be affected within five trading days of receipt of the pre-clearance unless the Chief Legal Officer determines otherwise and as communicated to the Pre-Clearance Person in writing.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The Chief Legal Officer may delegate to other officers or employees of the Company the authority to grant pre-clearance to Pre-Clearance Persons under this Policy. </w:t>
      </w:r>
    </w:p>
    <w:p>
      <w:pPr>
        <w:pStyle w:val="TextBody"/>
        <w:bidi w:val="0"/>
        <w:spacing w:before="120" w:after="283"/>
        <w:jc w:val="left"/>
        <w:rPr>
          <w:rFonts w:ascii="Times New Roman" w:hAnsi="Times New Roman"/>
          <w:sz w:val="20"/>
        </w:rPr>
      </w:pPr>
      <w:r>
        <w:rPr>
          <w:rFonts w:ascii="sans-serif" w:hAnsi="sans-serif"/>
          <w:b/>
          <w:color w:val="000000"/>
          <w:sz w:val="28"/>
        </w:rPr>
        <w:t>Rule 10b5-1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2"/>
        </w:rPr>
        <w:t>Rule 10b5-1 under the Securities Exchange Act of 1934 provides an affirmative defense from insider trading liability. In order to be eligible to rely on this defense, a person must enter into a plan for transactions in an issuer’s securities that meet certain conditions specified in Rule 10b5-1 (a “Rule 10b5-1 Plan”), including that the Rule 10b5-1 Plan is entered into at a time when the person is not aware of material nonpublic information related to the securities covered by the plan. Once a Rule 10b5-1 Plan is adopted, the person must not exercise any influence over the amount of securities to be traded, the price at which they are to be traded or the date of the trade. All persons entering into a Rule 10b5-1 plan must act in good faith with respect to that plan.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Pre-Clearance Persons are encouraged, but not required, to transact in the Company’s securities via a Rule 10b5-1 Plan that complies with applicable law and this Policy.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Anyone wishing to enter into a Rule 10b5-1 Plan, regardless of whether they are a Pre-Clearance Person, is required under this Policy to obtain pre-clearance prior to entering into such Rule 10b5-1 Plan. </w:t>
      </w:r>
    </w:p>
    <w:p>
      <w:pPr>
        <w:pStyle w:val="TextBody"/>
        <w:bidi w:val="0"/>
        <w:spacing w:before="120" w:after="283"/>
        <w:jc w:val="left"/>
        <w:rPr>
          <w:rFonts w:ascii="Times New Roman" w:hAnsi="Times New Roman"/>
          <w:sz w:val="20"/>
        </w:rPr>
      </w:pPr>
      <w:r>
        <w:rPr>
          <w:rFonts w:ascii="sans-serif" w:hAnsi="sans-serif"/>
          <w:b/>
          <w:color w:val="000000"/>
          <w:sz w:val="28"/>
        </w:rPr>
        <w:t>Permitted Transactions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This Policy does not apply in the case of the following transactions, except as specifically noted: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Employee Stock Ownership Plan</w:t>
      </w:r>
      <w:r>
        <w:rPr>
          <w:rFonts w:ascii="sans-serif" w:hAnsi="sans-serif"/>
          <w:color w:val="000000"/>
          <w:sz w:val="22"/>
        </w:rPr>
        <w:t>. This Policy does not apply to contributions to the Company’s Employee Stock Ownership Plan (“ESOP”) on your behalf by the Company (whether a contribution of cash or the Company’s securities). ESOP diversification elections that are made with respect to the Company’s securities should only be made when you are not in possession of material nonpublic information regarding the Company. ESOP diversification elections by a Pre-Clearance Person are subject to pre-clearance, as described herein.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Restricted Stock and Restricted Stock Unit Awards</w:t>
      </w:r>
      <w:r>
        <w:rPr>
          <w:rFonts w:ascii="sans-serif" w:hAnsi="sans-serif"/>
          <w:color w:val="000000"/>
          <w:sz w:val="22"/>
        </w:rPr>
        <w:t>. This Policy does not apply to (a) the vesting of restricted stock, performance-based restricted stock, restricted stock units or performance-based restricted stock units, or (b) shares withheld by the Company to satisfy tax withholding requirements upon the vesting of any such equity awards. The Policy does apply, however, to any market sale of stock following the vesting of such equity awards.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Stock Option Exercises</w:t>
      </w:r>
      <w:r>
        <w:rPr>
          <w:rFonts w:ascii="sans-serif" w:hAnsi="sans-serif"/>
          <w:color w:val="000000"/>
          <w:sz w:val="22"/>
        </w:rPr>
        <w:t>. This Policy does not apply to (a) the exercise of an employee stock option acquired pursuant to the Company’s equity incentive plans where the exercise price is paid in cash by the option holder to the Company, or (b) shares withheld by the Company to satisfy tax withholding requirements. This Policy does apply, however, to (y) any sale of stock as part of a broker-assisted cashless exercise of an option, or (z) any other market sale of the underlying stock, including for the purpose of generating the cash needed to pay the exercise price of an option.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401(k) Plan</w:t>
      </w:r>
      <w:r>
        <w:rPr>
          <w:rFonts w:ascii="sans-serif" w:hAnsi="sans-serif"/>
          <w:color w:val="000000"/>
          <w:sz w:val="22"/>
        </w:rPr>
        <w:t xml:space="preserve">. This Policy does not apply to indirect purchases of the Company’s securities through funds purchased and sold in the Company’s 401(k) plan.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Other Similar Transactions</w:t>
      </w:r>
      <w:r>
        <w:rPr>
          <w:rFonts w:ascii="sans-serif" w:hAnsi="sans-serif"/>
          <w:color w:val="000000"/>
          <w:sz w:val="22"/>
        </w:rPr>
        <w:t xml:space="preserve">. Any purchase of Company securities directly from the Company or sales of Company securities directly to the Company are not subject to this Policy. </w:t>
      </w:r>
    </w:p>
    <w:p>
      <w:pPr>
        <w:pStyle w:val="TextBody"/>
        <w:bidi w:val="0"/>
        <w:spacing w:before="120" w:after="283"/>
        <w:jc w:val="left"/>
        <w:rPr>
          <w:rFonts w:ascii="Times New Roman" w:hAnsi="Times New Roman"/>
          <w:sz w:val="20"/>
        </w:rPr>
      </w:pPr>
      <w:r>
        <w:rPr>
          <w:rFonts w:ascii="sans-serif" w:hAnsi="sans-serif"/>
          <w:b/>
          <w:color w:val="000000"/>
          <w:sz w:val="28"/>
        </w:rPr>
        <w:t>Prohibited Transactions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ShortSales</w:t>
      </w:r>
      <w:r>
        <w:rPr>
          <w:rFonts w:ascii="sans-serif" w:hAnsi="sans-serif"/>
          <w:color w:val="000000"/>
          <w:sz w:val="22"/>
        </w:rPr>
        <w: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Securities Exchange Act of 1934 strictly prohibits Section 16 reporting persons (e.g., directors and officers) from making short sales of the Company’s equity securities, i.e., sales of shares that the insider does not own at the time of sale, or sales of shares against which the insider does not deliver the shares within 20 days after thesale.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Publicly Traded Options</w:t>
      </w:r>
      <w:r>
        <w:rPr>
          <w:rFonts w:ascii="sans-serif" w:hAnsi="sans-serif"/>
          <w:color w:val="000000"/>
          <w:sz w:val="22"/>
        </w:rPr>
        <w:t>. A transaction in options is, in effect, a bet on the short-term movement of the Company’s stock and therefore creates the appearance that an officer, director or employee is trading based on inside information. Transactions in options also may focus an officer’s, director’s, or employee’s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Hedging Transactions</w:t>
      </w:r>
      <w:r>
        <w:rPr>
          <w:rFonts w:ascii="sans-serif" w:hAnsi="sans-serif"/>
          <w:color w:val="000000"/>
          <w:sz w:val="22"/>
        </w:rPr>
        <w:t>. Certain forms of hedging or monetization transactions, such as zero-cost collars and forward sale contracts, allow an officer, director, or employee to lock in much of the value of his or her stock holdings, often in exchange for all or part of the potential for upside appreciation in the stock. These transactions allow the officer, director, or employee to continue to own the covered securities, but without the full risks and rewards of ownership. When that occurs, the officer, director or employee may no longer have the same objectives as the Company’s other stockholders. Therefore, such transactions involving the Company’s securities are prohibited by this Policy.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Purchases of the Company’s Securities on Margin; Pledging the Company’s Securities to Secure Margin or Other Loans</w:t>
      </w:r>
      <w:r>
        <w:rPr>
          <w:rFonts w:ascii="sans-serif" w:hAnsi="sans-serif"/>
          <w:color w:val="000000"/>
          <w:sz w:val="22"/>
        </w:rPr>
        <w:t>. Purchasing on margin means borrowing from a brokerage firm, bank or other entity to transact in the Company’s securities (other than in connection with a cashless exercise of stock options under the Company’s equity plans). Margin purchases of the Company’s securities are prohibited by this Policy. Pledging the Company’s securities as collateral to secure loans is also prohibited. This prohibition means, among other things, that you cannot hold the Company’s securities in a “margin account” (which would allow you to borrow against your holdings to buy securities).</w:t>
      </w:r>
    </w:p>
    <w:p>
      <w:pPr>
        <w:pStyle w:val="TextBody"/>
        <w:bidi w:val="0"/>
        <w:spacing w:before="120" w:after="283"/>
        <w:jc w:val="left"/>
        <w:rPr>
          <w:rFonts w:ascii="sans-serif" w:hAnsi="sans-serif"/>
          <w:b/>
          <w:color w:val="000000"/>
          <w:sz w:val="28"/>
        </w:rPr>
      </w:pPr>
      <w:r>
        <w:rPr>
          <w:rFonts w:ascii="sans-serif" w:hAnsi="sans-serif"/>
          <w:b/>
          <w:color w:val="000000"/>
          <w:sz w:val="28"/>
        </w:rPr>
        <w:t>Consequences</w:t>
      </w:r>
    </w:p>
    <w:p>
      <w:pPr>
        <w:pStyle w:val="TextBody"/>
        <w:bidi w:val="0"/>
        <w:spacing w:before="120" w:after="283"/>
        <w:jc w:val="left"/>
        <w:rPr>
          <w:rFonts w:ascii="Times New Roman" w:hAnsi="Times New Roman"/>
          <w:sz w:val="20"/>
        </w:rPr>
      </w:pPr>
      <w:r>
        <w:rPr>
          <w:rFonts w:ascii="sans-serif" w:hAnsi="sans-serif"/>
          <w:color w:val="000000"/>
          <w:sz w:val="22"/>
        </w:rPr>
        <w:t>Insider trading is prohibited by law and by this Policy, and may result in severe consequences, including civil and criminal penalties (such as imprisonment, disgorgement, and substantial fines for individuals and entities) as well as Company</w:t>
      </w:r>
      <w:r>
        <w:rPr>
          <w:rFonts w:ascii="Times New Roman" w:hAnsi="Times New Roman"/>
          <w:color w:val="000000"/>
          <w:sz w:val="20"/>
        </w:rPr>
        <w:noBreakHyphen/>
      </w:r>
      <w:r>
        <w:rPr>
          <w:rFonts w:ascii="sans-serif" w:hAnsi="sans-serif"/>
          <w:color w:val="000000"/>
          <w:sz w:val="22"/>
        </w:rPr>
        <w:t>imposed disciplinary measures, up to and including removal or dismissal for cause.</w:t>
      </w:r>
    </w:p>
    <w:p>
      <w:pPr>
        <w:pStyle w:val="TextBody"/>
        <w:bidi w:val="0"/>
        <w:spacing w:before="120" w:after="283"/>
        <w:jc w:val="left"/>
        <w:rPr>
          <w:rFonts w:ascii="sans-serif" w:hAnsi="sans-serif"/>
          <w:b/>
          <w:color w:val="000000"/>
          <w:sz w:val="28"/>
        </w:rPr>
      </w:pPr>
      <w:r>
        <w:rPr>
          <w:rFonts w:ascii="sans-serif" w:hAnsi="sans-serif"/>
          <w:b/>
          <w:color w:val="000000"/>
          <w:sz w:val="28"/>
        </w:rPr>
        <w:t>Scope</w:t>
      </w:r>
    </w:p>
    <w:p>
      <w:pPr>
        <w:pStyle w:val="TextBody"/>
        <w:bidi w:val="0"/>
        <w:spacing w:before="120" w:after="283"/>
        <w:jc w:val="left"/>
        <w:rPr>
          <w:rFonts w:ascii="Times New Roman" w:hAnsi="Times New Roman"/>
          <w:sz w:val="20"/>
        </w:rPr>
      </w:pPr>
      <w:r>
        <w:rPr>
          <w:rFonts w:ascii="sans-serif" w:hAnsi="sans-serif"/>
          <w:color w:val="000000"/>
          <w:sz w:val="22"/>
        </w:rPr>
        <w:t>This Policy applies to all officers, directors and employees of the Company. Individuals subject to this Policy are responsible for ensuring that members of their families and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If designated in writing by the Chief Legal Officer, the Company’s contractors, advisors and consultants will be subject to this Policy. Questions regarding the Policy should be directed to the Company’s Chief Legal Officer.</w:t>
      </w:r>
      <w:r>
        <w:rPr>
          <w:rFonts w:ascii="Times New Roman" w:hAnsi="Times New Roman"/>
          <w:color w:val="000000"/>
          <w:sz w:val="20"/>
        </w:rPr>
        <w:t xml:space="preserve"> </w:t>
      </w:r>
    </w:p>
    <w:p>
      <w:pPr>
        <w:pStyle w:val="TextBody"/>
        <w:bidi w:val="0"/>
        <w:spacing w:before="120" w:after="283"/>
        <w:jc w:val="left"/>
        <w:rPr>
          <w:rFonts w:ascii="sans-serif" w:hAnsi="sans-serif"/>
          <w:b/>
          <w:color w:val="000000"/>
          <w:sz w:val="28"/>
        </w:rPr>
      </w:pPr>
      <w:r>
        <w:rPr>
          <w:rFonts w:ascii="sans-serif" w:hAnsi="sans-serif"/>
          <w:b/>
          <w:color w:val="000000"/>
          <w:sz w:val="28"/>
        </w:rPr>
        <w:t>References</w:t>
      </w:r>
    </w:p>
    <w:p>
      <w:pPr>
        <w:pStyle w:val="TextBody"/>
        <w:bidi w:val="0"/>
        <w:spacing w:before="120" w:after="283"/>
        <w:jc w:val="left"/>
        <w:rPr>
          <w:rFonts w:ascii="sans-serif" w:hAnsi="sans-serif"/>
          <w:b/>
          <w:color w:val="000000"/>
          <w:sz w:val="22"/>
        </w:rPr>
      </w:pPr>
      <w:r>
        <w:rPr>
          <w:rFonts w:ascii="sans-serif" w:hAnsi="sans-serif"/>
          <w:b/>
          <w:color w:val="000000"/>
          <w:sz w:val="22"/>
        </w:rPr>
        <w:t>Related Documents in the Policy &amp; Procedure Center (PPC):</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Code of Conduct</w:t>
      </w:r>
    </w:p>
    <w:p>
      <w:pPr>
        <w:pStyle w:val="TextBody"/>
        <w:bidi w:val="0"/>
        <w:spacing w:before="120" w:after="283"/>
        <w:jc w:val="left"/>
        <w:rPr>
          <w:rFonts w:ascii="sans-serif" w:hAnsi="sans-serif"/>
          <w:b/>
          <w:color w:val="000000"/>
          <w:sz w:val="22"/>
        </w:rPr>
      </w:pPr>
      <w:r>
        <w:rPr>
          <w:rFonts w:ascii="sans-serif" w:hAnsi="sans-serif"/>
          <w:b/>
          <w:color w:val="000000"/>
          <w:sz w:val="22"/>
        </w:rPr>
        <w:t>External References: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Securities Exchange Act of 1934</w:t>
      </w:r>
    </w:p>
    <w:p>
      <w:pPr>
        <w:pStyle w:val="TextBody"/>
        <w:bidi w:val="0"/>
        <w:jc w:val="left"/>
        <w:rPr/>
      </w:pPr>
      <w:r>
        <w:rPr/>
        <w:t> </w:t>
      </w:r>
    </w:p>
    <w:p>
      <w:pPr>
        <w:pStyle w:val="TextBody"/>
        <w:bidi w:val="0"/>
        <w:spacing w:before="120" w:after="283"/>
        <w:jc w:val="left"/>
        <w:rPr>
          <w:rFonts w:ascii="sans-serif" w:hAnsi="sans-serif"/>
          <w:b/>
          <w:color w:val="000000"/>
          <w:sz w:val="28"/>
        </w:rPr>
      </w:pPr>
      <w:r>
        <w:rPr>
          <w:rFonts w:ascii="sans-serif" w:hAnsi="sans-serif"/>
          <w:b/>
          <w:color w:val="000000"/>
          <w:sz w:val="28"/>
        </w:rPr>
        <w:t>Definitions</w:t>
      </w:r>
    </w:p>
    <w:p>
      <w:pPr>
        <w:pStyle w:val="TextBody"/>
        <w:bidi w:val="0"/>
        <w:spacing w:before="120" w:after="283"/>
        <w:jc w:val="left"/>
        <w:rPr>
          <w:rFonts w:ascii="Times New Roman" w:hAnsi="Times New Roman"/>
          <w:sz w:val="20"/>
        </w:rPr>
      </w:pPr>
      <w:r>
        <w:rPr>
          <w:rFonts w:ascii="sans-serif" w:hAnsi="sans-serif"/>
          <w:b/>
          <w:color w:val="000000"/>
          <w:sz w:val="22"/>
        </w:rPr>
        <w:t xml:space="preserve">Insider trading: </w:t>
      </w:r>
      <w:r>
        <w:rPr>
          <w:rFonts w:ascii="sans-serif" w:hAnsi="sans-serif"/>
          <w:color w:val="000000"/>
          <w:sz w:val="22"/>
        </w:rPr>
        <w:t>Refers to transactions in a security while in possession of “material,” “nonpublic” information relating to the security.</w:t>
      </w:r>
    </w:p>
    <w:p>
      <w:pPr>
        <w:pStyle w:val="TextBody"/>
        <w:bidi w:val="0"/>
        <w:spacing w:before="120" w:after="283"/>
        <w:jc w:val="left"/>
        <w:rPr>
          <w:rFonts w:ascii="sans-serif" w:hAnsi="sans-serif"/>
          <w:color w:val="000000"/>
          <w:sz w:val="22"/>
        </w:rPr>
      </w:pPr>
      <w:r>
        <w:rPr>
          <w:rFonts w:ascii="sans-serif" w:hAnsi="sans-serif"/>
          <w:color w:val="000000"/>
          <w:sz w:val="22"/>
        </w:rPr>
        <w:t>It is generally understood that insider trading includes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Trading by insiders while in possession of material nonpublic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Trading by persons other than insiders while in possession of material nonpublic information, if the information either was given in breach of an insider’s fiduciary duty to keep it confidential or was misappropriated;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Communicating or tipping material nonpublic information to others, including recommending the purchase or sale of a security while in possession of such information.</w:t>
      </w:r>
    </w:p>
    <w:p>
      <w:pPr>
        <w:pStyle w:val="TextBody"/>
        <w:bidi w:val="0"/>
        <w:spacing w:before="120" w:after="283"/>
        <w:jc w:val="left"/>
        <w:rPr>
          <w:rFonts w:ascii="Times New Roman" w:hAnsi="Times New Roman"/>
          <w:sz w:val="20"/>
        </w:rPr>
      </w:pPr>
      <w:r>
        <w:rPr>
          <w:rFonts w:ascii="sans-serif" w:hAnsi="sans-serif"/>
          <w:b/>
          <w:color w:val="000000"/>
          <w:sz w:val="22"/>
        </w:rPr>
        <w:t>Insider:</w:t>
      </w:r>
      <w:r>
        <w:rPr>
          <w:rFonts w:ascii="Times New Roman" w:hAnsi="Times New Roman"/>
          <w:color w:val="000000"/>
          <w:sz w:val="20"/>
        </w:rPr>
        <w:t xml:space="preserve"> </w:t>
      </w:r>
      <w:r>
        <w:rPr>
          <w:rFonts w:ascii="sans-serif" w:hAnsi="sans-serif"/>
          <w:color w:val="000000"/>
          <w:sz w:val="22"/>
        </w:rPr>
        <w:t>an insider is someone who, by virtue of their relationship with the Company, has, or is reasonably likely to have, access to material nonpublic information about the Company.</w:t>
      </w:r>
    </w:p>
    <w:p>
      <w:pPr>
        <w:pStyle w:val="TextBody"/>
        <w:bidi w:val="0"/>
        <w:spacing w:before="120" w:after="283"/>
        <w:jc w:val="left"/>
        <w:rPr>
          <w:rFonts w:ascii="Times New Roman" w:hAnsi="Times New Roman"/>
          <w:sz w:val="20"/>
        </w:rPr>
      </w:pPr>
      <w:r>
        <w:rPr>
          <w:rFonts w:ascii="sans-serif" w:hAnsi="sans-serif"/>
          <w:b/>
          <w:color w:val="000000"/>
          <w:sz w:val="22"/>
        </w:rPr>
        <w:t xml:space="preserve">Material Nonpublic Information: </w:t>
      </w:r>
      <w:r>
        <w:rPr>
          <w:rFonts w:ascii="sans-serif" w:hAnsi="sans-serif"/>
          <w:color w:val="000000"/>
          <w:sz w:val="22"/>
        </w:rPr>
        <w:t>The materiality of information depends upon the circumstances. Information is considered “material”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w:t>
      </w:r>
    </w:p>
    <w:p>
      <w:pPr>
        <w:pStyle w:val="TextBody"/>
        <w:bidi w:val="0"/>
        <w:spacing w:before="120" w:after="283"/>
        <w:jc w:val="left"/>
        <w:rPr>
          <w:rFonts w:ascii="sans-serif" w:hAnsi="sans-serif"/>
          <w:color w:val="000000"/>
          <w:sz w:val="22"/>
        </w:rPr>
      </w:pPr>
      <w:r>
        <w:rPr>
          <w:rFonts w:ascii="sans-serif" w:hAnsi="sans-serif"/>
          <w:color w:val="000000"/>
          <w:sz w:val="22"/>
        </w:rPr>
        <w:t>Examples of material information include (but are not limited to) information about corporate earnings or earnings forecasts; possible mergers, acquisitions, tender offers or dispositions; major new products or product developments; important business developments such as major contract awards or cancellations, developments regarding strategic collaborators or the status of regulatory submissions; management or control changes;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media story that is expected to affect the market price of a security can be material.</w:t>
      </w:r>
    </w:p>
    <w:p>
      <w:pPr>
        <w:pStyle w:val="TextBody"/>
        <w:bidi w:val="0"/>
        <w:spacing w:before="120" w:after="283"/>
        <w:jc w:val="left"/>
        <w:rPr>
          <w:rFonts w:ascii="Times New Roman" w:hAnsi="Times New Roman"/>
          <w:sz w:val="20"/>
        </w:rPr>
      </w:pPr>
      <w:r>
        <w:rPr>
          <w:rFonts w:ascii="sans-serif" w:hAnsi="sans-serif"/>
          <w:color w:val="000000"/>
          <w:sz w:val="22"/>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sans-serif" w:hAnsi="sans-serif"/>
          <w:color w:val="000000"/>
          <w:sz w:val="22"/>
          <w:u w:val="single"/>
        </w:rPr>
        <w:t>Dow Jones</w:t>
      </w:r>
      <w:r>
        <w:rPr>
          <w:rFonts w:ascii="sans-serif" w:hAnsi="sans-serif"/>
          <w:color w:val="000000"/>
          <w:sz w:val="22"/>
        </w:rPr>
        <w:t xml:space="preserve">, </w:t>
      </w:r>
      <w:r>
        <w:rPr>
          <w:rFonts w:ascii="sans-serif" w:hAnsi="sans-serif"/>
          <w:color w:val="000000"/>
          <w:sz w:val="22"/>
          <w:u w:val="single"/>
        </w:rPr>
        <w:t>Business Wire</w:t>
      </w:r>
      <w:r>
        <w:rPr>
          <w:rFonts w:ascii="sans-serif" w:hAnsi="sans-serif"/>
          <w:color w:val="000000"/>
          <w:sz w:val="22"/>
        </w:rPr>
        <w:t xml:space="preserve">, </w:t>
      </w:r>
      <w:r>
        <w:rPr>
          <w:rFonts w:ascii="sans-serif" w:hAnsi="sans-serif"/>
          <w:color w:val="000000"/>
          <w:sz w:val="22"/>
          <w:u w:val="single"/>
        </w:rPr>
        <w:t>Reuters</w:t>
      </w:r>
      <w:r>
        <w:rPr>
          <w:rFonts w:ascii="sans-serif" w:hAnsi="sans-serif"/>
          <w:color w:val="000000"/>
          <w:sz w:val="22"/>
        </w:rPr>
        <w:t xml:space="preserve">, </w:t>
      </w:r>
      <w:r>
        <w:rPr>
          <w:rFonts w:ascii="sans-serif" w:hAnsi="sans-serif"/>
          <w:color w:val="000000"/>
          <w:sz w:val="22"/>
          <w:u w:val="single"/>
        </w:rPr>
        <w:t>The Wall Street Journal</w:t>
      </w:r>
      <w:r>
        <w:rPr>
          <w:rFonts w:ascii="sans-serif" w:hAnsi="sans-serif"/>
          <w:color w:val="000000"/>
          <w:sz w:val="22"/>
        </w:rPr>
        <w:t xml:space="preserve">, </w:t>
      </w:r>
      <w:r>
        <w:rPr>
          <w:rFonts w:ascii="sans-serif" w:hAnsi="sans-serif"/>
          <w:color w:val="000000"/>
          <w:sz w:val="22"/>
          <w:u w:val="single"/>
        </w:rPr>
        <w:t>Associated Press</w:t>
      </w:r>
      <w:r>
        <w:rPr>
          <w:rFonts w:ascii="sans-serif" w:hAnsi="sans-serif"/>
          <w:color w:val="000000"/>
          <w:sz w:val="22"/>
        </w:rPr>
        <w:t xml:space="preserve">, or </w:t>
      </w:r>
      <w:r>
        <w:rPr>
          <w:rFonts w:ascii="sans-serif" w:hAnsi="sans-serif"/>
          <w:color w:val="000000"/>
          <w:sz w:val="22"/>
          <w:u w:val="single"/>
        </w:rPr>
        <w:t>United Press</w:t>
      </w:r>
      <w:r>
        <w:rPr>
          <w:rFonts w:ascii="Times New Roman" w:hAnsi="Times New Roman"/>
          <w:color w:val="000000"/>
          <w:sz w:val="20"/>
        </w:rPr>
        <w:t xml:space="preserve"> </w:t>
      </w:r>
      <w:r>
        <w:rPr>
          <w:rFonts w:ascii="sans-serif" w:hAnsi="sans-serif"/>
          <w:color w:val="000000"/>
          <w:sz w:val="22"/>
          <w:u w:val="single"/>
        </w:rPr>
        <w:t>International</w:t>
      </w:r>
      <w:r>
        <w:rPr>
          <w:rFonts w:ascii="sans-serif" w:hAnsi="sans-serif"/>
          <w:color w:val="000000"/>
          <w:sz w:val="22"/>
        </w:rPr>
        <w:t>, a broadcast on widely available radio or television programs, publication in a widely available newspaper, magazine or news web site, a conference call that complies with Regulation FD (the SEC’s Fair Disclosure rule), or public disclosure documents filed with the SEC that are available on the SEC’s web site.</w:t>
      </w:r>
    </w:p>
    <w:p>
      <w:pPr>
        <w:pStyle w:val="TextBody"/>
        <w:bidi w:val="0"/>
        <w:spacing w:before="120" w:after="283"/>
        <w:jc w:val="left"/>
        <w:rPr>
          <w:rFonts w:ascii="sans-serif" w:hAnsi="sans-serif"/>
          <w:color w:val="000000"/>
          <w:sz w:val="22"/>
        </w:rPr>
      </w:pPr>
      <w:r>
        <w:rPr>
          <w:rFonts w:ascii="sans-serif" w:hAnsi="sans-serif"/>
          <w:color w:val="000000"/>
          <w:sz w:val="22"/>
        </w:rPr>
        <w:t>The circulation of rumors, even if accurate and reported in the media, does not constitute effective public dissemination. In addition, even after a public announcement, a reasonable period of time must lapse for the market to react to the information. Generally, one should allow one full trading day following publication as a reasonable waiting period before such information is deemed to be public.</w:t>
      </w:r>
    </w:p>
    <w:p>
      <w:pPr>
        <w:pStyle w:val="TextBody"/>
        <w:bidi w:val="0"/>
        <w:spacing w:before="120" w:after="283"/>
        <w:jc w:val="left"/>
        <w:rPr>
          <w:rFonts w:ascii="Times New Roman" w:hAnsi="Times New Roman"/>
          <w:sz w:val="20"/>
        </w:rPr>
      </w:pPr>
      <w:r>
        <w:rPr>
          <w:rFonts w:ascii="sans-serif" w:hAnsi="sans-serif"/>
          <w:b/>
          <w:color w:val="000000"/>
          <w:sz w:val="22"/>
        </w:rPr>
        <w:t xml:space="preserve">Securities: </w:t>
      </w:r>
      <w:r>
        <w:rPr>
          <w:rFonts w:ascii="sans-serif" w:hAnsi="sans-serif"/>
          <w:color w:val="000000"/>
          <w:sz w:val="22"/>
        </w:rPr>
        <w:t>include stocks, bonds, notes, debentures, options, warrants and other convertible securities, as well as derivative securities that are not issued by the security’s issuer, such as exchange-traded put or call options or swaps. The term “security” of the Company is construed broadly and includes the Company’s common stock (which is traded on the NYSE under the ticker symbol “PSN”) and any other type of securities that the Company may issue from time to time. Similarly, the term “security” generally and broadly applies to any securities issued by an issuer other than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b/>
          <w:color w:val="000000"/>
          <w:sz w:val="22"/>
        </w:rPr>
        <w:t xml:space="preserve">Transaction: </w:t>
      </w:r>
      <w:r>
        <w:rPr>
          <w:rFonts w:ascii="sans-serif" w:hAnsi="sans-serif"/>
          <w:color w:val="000000"/>
          <w:sz w:val="22"/>
        </w:rPr>
        <w:t>a transaction in a security includes any purchase, sale, or transfer of the security, including personal or charitable gifts. A transaction is any action that changes your ownership or economic interest in a security, whether or not money changes hands or the transfer occurs on the open market. This includes conventional cash</w:t>
        <w:noBreakHyphen/>
        <w:t>for</w:t>
        <w:noBreakHyphen/>
        <w:t>security trades, gifts and other transfers, and transactions that affect your economic interest in, or future rights with respect to, a security, such as acquisitions and exercises of warrants, puts, calls, or other derivative securities. All transactions in the Company’s securities are subject to the same insider trading restrictions and pre</w:t>
        <w:noBreakHyphen/>
        <w:t>clearance requirements as a standard stock sale.</w:t>
      </w:r>
    </w:p>
    <w:p>
      <w:pPr>
        <w:pStyle w:val="TextBody"/>
        <w:bidi w:val="0"/>
        <w:spacing w:before="120" w:after="283"/>
        <w:jc w:val="left"/>
        <w:rPr>
          <w:rFonts w:ascii="Times New Roman" w:hAnsi="Times New Roman"/>
          <w:sz w:val="20"/>
        </w:rPr>
      </w:pPr>
      <w:r>
        <w:rPr>
          <w:rFonts w:ascii="sans-serif" w:hAnsi="sans-serif"/>
          <w:b/>
          <w:color w:val="000000"/>
          <w:sz w:val="22"/>
        </w:rPr>
        <w:t xml:space="preserve">Prediction Market Transaction or Event-Based Contract: </w:t>
      </w:r>
      <w:r>
        <w:rPr>
          <w:rFonts w:ascii="sans-serif" w:hAnsi="sans-serif"/>
          <w:color w:val="000000"/>
          <w:sz w:val="22"/>
        </w:rPr>
        <w:t>means any agreement, instrument, or trade (including on an online platform or exchange) that allows a person to buy, sell, or otherwise take a position on the outcome or likelihood of a future event, where the payoff or value is determined by whether, or how, that event occurs.</w:t>
      </w:r>
    </w:p>
    <w:p>
      <w:pPr>
        <w:pStyle w:val="TextBody"/>
        <w:bidi w:val="0"/>
        <w:spacing w:before="120" w:after="283"/>
        <w:jc w:val="left"/>
        <w:rPr>
          <w:rFonts w:ascii="Times New Roman" w:hAnsi="Times New Roman"/>
          <w:sz w:val="20"/>
        </w:rPr>
      </w:pPr>
      <w:r>
        <w:rPr>
          <w:rFonts w:ascii="sans-serif" w:hAnsi="sans-serif"/>
          <w:b/>
          <w:color w:val="000000"/>
          <w:sz w:val="22"/>
        </w:rPr>
        <w:t>Controlled Entity</w:t>
      </w:r>
      <w:r>
        <w:rPr>
          <w:rFonts w:ascii="Times New Roman" w:hAnsi="Times New Roman"/>
          <w:color w:val="000000"/>
          <w:sz w:val="20"/>
        </w:rPr>
        <w:t xml:space="preserve"> </w:t>
      </w:r>
      <w:r>
        <w:rPr>
          <w:rFonts w:ascii="sans-serif" w:hAnsi="sans-serif"/>
          <w:b/>
          <w:color w:val="000000"/>
          <w:sz w:val="22"/>
        </w:rPr>
        <w:t>(as relates to a Pre-Clearance Person):</w:t>
      </w:r>
      <w:r>
        <w:rPr>
          <w:rFonts w:ascii="Times New Roman" w:hAnsi="Times New Roman"/>
          <w:color w:val="000000"/>
          <w:sz w:val="20"/>
        </w:rPr>
        <w:t xml:space="preserve"> </w:t>
      </w:r>
      <w:r>
        <w:rPr>
          <w:rFonts w:ascii="sans-serif" w:hAnsi="sans-serif"/>
          <w:color w:val="000000"/>
          <w:sz w:val="22"/>
        </w:rPr>
        <w:t>means any entity that a Pre-Clearance Person influences or controls, including any corporations, partnerships or trusts. Transactions by Controlled Entities should be treated for the purposes of this Policy and applicable securities laws as if they were for the Pre-Clearance Person’s own account.</w:t>
      </w:r>
    </w:p>
    <w:p>
      <w:pPr>
        <w:pStyle w:val="TextBody"/>
        <w:bidi w:val="0"/>
        <w:spacing w:before="120" w:after="283"/>
        <w:jc w:val="left"/>
        <w:rPr>
          <w:rFonts w:ascii="Times New Roman" w:hAnsi="Times New Roman"/>
          <w:sz w:val="20"/>
        </w:rPr>
      </w:pPr>
      <w:r>
        <w:rPr>
          <w:rFonts w:ascii="sans-serif" w:hAnsi="sans-serif"/>
          <w:b/>
          <w:color w:val="000000"/>
          <w:sz w:val="22"/>
        </w:rPr>
        <w:t>Family Member (as relates to a Pre-Clearance Person)</w:t>
      </w:r>
      <w:r>
        <w:rPr>
          <w:rFonts w:ascii="sans-serif" w:hAnsi="sans-serif"/>
          <w:color w:val="000000"/>
          <w:sz w:val="22"/>
        </w:rPr>
        <w:t>: means any family members who reside with the Pre-Clearance Person (including a spouse, domestic partner,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Transactions by Family Members should be treated for the purposes of this Policy and applicable securities laws as if they were for the Pre-Clearance Person’s own account.</w:t>
      </w:r>
    </w:p>
    <w:p>
      <w:pPr>
        <w:pStyle w:val="TextBody"/>
        <w:bidi w:val="0"/>
        <w:spacing w:before="120" w:after="283"/>
        <w:jc w:val="left"/>
        <w:rPr>
          <w:rFonts w:ascii="Times New Roman" w:hAnsi="Times New Roman"/>
          <w:sz w:val="20"/>
        </w:rPr>
      </w:pPr>
      <w:r>
        <w:rPr>
          <w:rFonts w:ascii="sans-serif" w:hAnsi="sans-serif"/>
          <w:b/>
          <w:color w:val="000000"/>
          <w:sz w:val="28"/>
        </w:rPr>
        <w:t>Responsibilities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color w:val="000000"/>
          <w:sz w:val="22"/>
        </w:rPr>
        <w:t>Chief Legal Officer</w:t>
      </w:r>
      <w:r>
        <w:rPr>
          <w:rFonts w:ascii="Times New Roman" w:hAnsi="Times New Roman"/>
          <w:color w:val="000000"/>
          <w:sz w:val="20"/>
        </w:rPr>
        <w:t xml:space="preserve"> </w:t>
      </w:r>
      <w:r>
        <w:rPr>
          <w:rFonts w:ascii="sans-serif" w:hAnsi="sans-serif"/>
          <w:color w:val="000000"/>
          <w:sz w:val="22"/>
        </w:rPr>
        <w:t>is responsible for administering this Policy, including pre-clearance review, designation of Pre-Clearance Persons, declaration or administration of special blackout periods as applicable, and delegation of pre-clearance authority where appropriate.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color w:val="000000"/>
          <w:sz w:val="22"/>
        </w:rPr>
        <w:t>Officers, directors, and employees</w:t>
      </w:r>
      <w:r>
        <w:rPr>
          <w:rFonts w:ascii="Times New Roman" w:hAnsi="Times New Roman"/>
          <w:color w:val="000000"/>
          <w:sz w:val="20"/>
        </w:rPr>
        <w:t xml:space="preserve"> </w:t>
      </w:r>
      <w:r>
        <w:rPr>
          <w:rFonts w:ascii="sans-serif" w:hAnsi="sans-serif"/>
          <w:color w:val="000000"/>
          <w:sz w:val="22"/>
        </w:rPr>
        <w:t>are responsible for understanding and complying with this Policy and for ensuring that applicable Family Members, household members, and Controlled Entities comply with the Policy.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color w:val="000000"/>
          <w:sz w:val="22"/>
        </w:rPr>
        <w:t>Pre-Clearance Persons</w:t>
      </w:r>
      <w:r>
        <w:rPr>
          <w:rFonts w:ascii="Times New Roman" w:hAnsi="Times New Roman"/>
          <w:color w:val="000000"/>
          <w:sz w:val="20"/>
        </w:rPr>
        <w:t xml:space="preserve"> </w:t>
      </w:r>
      <w:r>
        <w:rPr>
          <w:rFonts w:ascii="sans-serif" w:hAnsi="sans-serif"/>
          <w:color w:val="000000"/>
          <w:sz w:val="22"/>
        </w:rPr>
        <w:t>are responsible for obtaining required pre-clearance before transactions in Company securities, Rule 10b5-1 Plans, gifts, and ESOP diversification transactions as described in this Policy.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color w:val="000000"/>
          <w:sz w:val="22"/>
        </w:rPr>
        <w:t>Legal Department</w:t>
      </w:r>
      <w:r>
        <w:rPr>
          <w:rFonts w:ascii="Times New Roman" w:hAnsi="Times New Roman"/>
          <w:color w:val="000000"/>
          <w:sz w:val="20"/>
        </w:rPr>
        <w:t xml:space="preserve"> </w:t>
      </w:r>
      <w:r>
        <w:rPr>
          <w:rFonts w:ascii="sans-serif" w:hAnsi="sans-serif"/>
          <w:color w:val="000000"/>
          <w:sz w:val="22"/>
        </w:rPr>
        <w:t>is responsible for maintaining this Policy and supporting compliance review, certification, and recordkeeping processes as applicable.</w:t>
      </w:r>
    </w:p>
    <w:p>
      <w:pPr>
        <w:pStyle w:val="TextBody"/>
        <w:bidi w:val="0"/>
        <w:spacing w:before="120" w:after="283"/>
        <w:jc w:val="left"/>
        <w:rPr>
          <w:rFonts w:ascii="Times New Roman" w:hAnsi="Times New Roman"/>
          <w:sz w:val="20"/>
        </w:rPr>
      </w:pPr>
      <w:r>
        <w:rPr>
          <w:rFonts w:ascii="sans-serif" w:hAnsi="sans-serif"/>
          <w:b/>
          <w:color w:val="000000"/>
          <w:sz w:val="28"/>
        </w:rPr>
        <w:t>Exceptions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No exceptions to this Policy are permitted unless approved in writing by the Chief Legal Officer or other authorized Company authority, where permitted by applicable law and Company governance requirements.</w:t>
      </w:r>
    </w:p>
    <w:p>
      <w:pPr>
        <w:pStyle w:val="TextBody"/>
        <w:bidi w:val="0"/>
        <w:spacing w:before="120" w:after="283"/>
        <w:jc w:val="left"/>
        <w:rPr/>
      </w:pPr>
      <w:r>
        <w:rPr/>
        <w:t> </w:t>
      </w:r>
    </w:p>
    <w:p>
      <w:pPr>
        <w:pStyle w:val="TextBody"/>
        <w:bidi w:val="0"/>
        <w:spacing w:before="60" w:after="283"/>
        <w:jc w:val="right"/>
        <w:rPr>
          <w:rFonts w:ascii="sans-serif" w:hAnsi="sans-serif"/>
          <w:i/>
          <w:color w:val="000000"/>
          <w:sz w:val="22"/>
        </w:rPr>
      </w:pPr>
      <w:r>
        <w:rPr>
          <w:rFonts w:ascii="sans-serif" w:hAnsi="sans-serif"/>
          <w:i/>
          <w:color w:val="000000"/>
          <w:sz w:val="22"/>
        </w:rPr>
        <w:t>Effective: July 28,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u w:val="single"/>
        </w:rPr>
      </w:pPr>
      <w:r>
        <w:rPr>
          <w:rFonts w:ascii="sans-serif" w:hAnsi="sans-serif"/>
          <w:b/>
          <w:color w:val="000000"/>
          <w:sz w:val="22"/>
          <w:u w:val="single"/>
        </w:rPr>
        <w:t>ATTACHMENT A</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CERTIFICATION OFCOMPLIANCE</w:t>
      </w:r>
    </w:p>
    <w:p>
      <w:pPr>
        <w:pStyle w:val="TextBody"/>
        <w:bidi w:val="0"/>
        <w:spacing w:before="240" w:after="283"/>
        <w:jc w:val="left"/>
        <w:rPr/>
      </w:pPr>
      <w:r>
        <w:rPr/>
        <w:t> </w:t>
      </w:r>
    </w:p>
    <w:tbl>
      <w:tblPr>
        <w:tblW w:w="8627" w:type="dxa"/>
        <w:jc w:val="left"/>
        <w:tblInd w:w="0" w:type="dxa"/>
        <w:tblLayout w:type="fixed"/>
        <w:tblCellMar>
          <w:top w:w="28" w:type="dxa"/>
          <w:left w:w="28" w:type="dxa"/>
          <w:bottom w:w="28" w:type="dxa"/>
          <w:right w:w="28" w:type="dxa"/>
        </w:tblCellMar>
      </w:tblPr>
      <w:tblGrid>
        <w:gridCol w:w="856"/>
        <w:gridCol w:w="7771"/>
      </w:tblGrid>
      <w:tr>
        <w:trPr/>
        <w:tc>
          <w:tcPr>
            <w:tcW w:w="856" w:type="dxa"/>
            <w:tcBorders/>
            <w:vAlign w:val="center"/>
          </w:tcPr>
          <w:p>
            <w:pPr>
              <w:pStyle w:val="TableContents"/>
              <w:bidi w:val="0"/>
              <w:spacing w:before="0" w:after="283"/>
              <w:jc w:val="left"/>
              <w:rPr>
                <w:sz w:val="4"/>
                <w:szCs w:val="4"/>
              </w:rPr>
            </w:pPr>
            <w:r>
              <w:rPr>
                <w:sz w:val="4"/>
                <w:szCs w:val="4"/>
              </w:rPr>
            </w:r>
          </w:p>
        </w:tc>
        <w:tc>
          <w:tcPr>
            <w:tcW w:w="7771"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w:t>
            </w:r>
          </w:p>
        </w:tc>
        <w:tc>
          <w:tcPr>
            <w:tcW w:w="777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John Martinez, Esq., Chief Legal Officer</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FROM:</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____________________________</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w:t>
            </w:r>
          </w:p>
        </w:tc>
        <w:tc>
          <w:tcPr>
            <w:tcW w:w="777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INSIDER TRADING COMPLIANCE POLICY OF PARSONS CORPORATION</w:t>
            </w:r>
          </w:p>
        </w:tc>
      </w:tr>
    </w:tbl>
    <w:p>
      <w:pPr>
        <w:pStyle w:val="TextBody"/>
        <w:bidi w:val="0"/>
        <w:spacing w:before="120" w:after="283"/>
        <w:jc w:val="left"/>
        <w:rPr>
          <w:rFonts w:ascii="sans-serif" w:hAnsi="sans-serif"/>
          <w:color w:val="000000"/>
          <w:sz w:val="22"/>
        </w:rPr>
      </w:pPr>
      <w:r>
        <w:rPr>
          <w:rFonts w:ascii="sans-serif" w:hAnsi="sans-serif"/>
          <w:color w:val="000000"/>
          <w:sz w:val="22"/>
        </w:rPr>
        <w:t>I have received, reviewed and understand the above-referenced Insider Trading Compliance Policy, including all references and attachments, and undertake, as a condition to my present and continued employment (or, if I am not an employee, affiliation) with Parsons Corporation, to comply fully with the policies, standards and procedures contained and referenced therein.</w:t>
      </w:r>
    </w:p>
    <w:p>
      <w:pPr>
        <w:pStyle w:val="TextBody"/>
        <w:bidi w:val="0"/>
        <w:spacing w:before="120" w:after="283"/>
        <w:jc w:val="left"/>
        <w:rPr>
          <w:rFonts w:ascii="Times New Roman" w:hAnsi="Times New Roman"/>
          <w:sz w:val="20"/>
        </w:rPr>
      </w:pPr>
      <w:r>
        <w:rPr>
          <w:rFonts w:ascii="sans-serif" w:hAnsi="sans-serif"/>
          <w:color w:val="000000"/>
          <w:sz w:val="22"/>
        </w:rPr>
        <w:t>I hereby certify, to the best of my knowledge, that during the calendar year ending December 31, 20[</w:t>
      </w:r>
      <w:r>
        <w:rPr>
          <w:rFonts w:ascii="Times New Roman" w:hAnsi="Times New Roman"/>
          <w:color w:val="000000"/>
          <w:sz w:val="20"/>
          <w:u w:val="single"/>
        </w:rPr>
        <w:t xml:space="preserve"> </w:t>
      </w:r>
      <w:r>
        <w:rPr>
          <w:rFonts w:ascii="sans-serif" w:hAnsi="sans-serif"/>
          <w:color w:val="000000"/>
          <w:sz w:val="22"/>
        </w:rPr>
        <w:t>], I have complied fully with all policies, standards and procedures set forth in the above-referenced Insider Trading Compliance Policy.</w:t>
      </w:r>
    </w:p>
    <w:p>
      <w:pPr>
        <w:pStyle w:val="TextBody"/>
        <w:bidi w:val="0"/>
        <w:spacing w:before="120" w:after="283"/>
        <w:jc w:val="left"/>
        <w:rPr>
          <w:rFonts w:ascii="sans-serif" w:hAnsi="sans-serif"/>
          <w:color w:val="000000"/>
          <w:sz w:val="22"/>
        </w:rPr>
      </w:pPr>
      <w:r>
        <w:rPr>
          <w:rFonts w:ascii="sans-serif" w:hAnsi="sans-serif"/>
          <w:color w:val="000000"/>
          <w:sz w:val="22"/>
        </w:rPr>
        <w:t>I further certify that I am not aware of material nonpublic information about the Company.</w:t>
      </w:r>
    </w:p>
    <w:p>
      <w:pPr>
        <w:pStyle w:val="TextBody"/>
        <w:bidi w:val="0"/>
        <w:spacing w:before="120" w:after="283"/>
        <w:jc w:val="left"/>
        <w:rPr>
          <w:rFonts w:ascii="sans-serif" w:hAnsi="sans-serif"/>
          <w:color w:val="000000"/>
          <w:sz w:val="22"/>
        </w:rPr>
      </w:pPr>
      <w:r>
        <w:rPr>
          <w:rFonts w:ascii="sans-serif" w:hAnsi="sans-serif"/>
          <w:color w:val="000000"/>
          <w:sz w:val="22"/>
        </w:rPr>
        <w:t>I also acknowledge and understand that all pre-cleared transactions, including pre-clearance to enter into a Rule 10b5-1 Plan or make ESOP diversification transactions, must be affected within five trading days of receipt of the pre-clearance unless the Chief Legal Officer determines otherwise and as communicated to the Pre-Clearance Person in writing.</w:t>
      </w:r>
    </w:p>
    <w:p>
      <w:pPr>
        <w:pStyle w:val="TextBody"/>
        <w:bidi w:val="0"/>
        <w:spacing w:before="237" w:after="283"/>
        <w:jc w:val="left"/>
        <w:rPr/>
      </w:pPr>
      <w:r>
        <w:rPr/>
        <w:t> </w:t>
      </w:r>
    </w:p>
    <w:tbl>
      <w:tblPr>
        <w:tblW w:w="5552" w:type="dxa"/>
        <w:jc w:val="left"/>
        <w:tblInd w:w="0" w:type="dxa"/>
        <w:tblLayout w:type="fixed"/>
        <w:tblCellMar>
          <w:top w:w="28" w:type="dxa"/>
          <w:left w:w="28" w:type="dxa"/>
          <w:bottom w:w="28" w:type="dxa"/>
          <w:right w:w="28" w:type="dxa"/>
        </w:tblCellMar>
      </w:tblPr>
      <w:tblGrid>
        <w:gridCol w:w="2761"/>
        <w:gridCol w:w="2791"/>
      </w:tblGrid>
      <w:tr>
        <w:trPr/>
        <w:tc>
          <w:tcPr>
            <w:tcW w:w="276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p>
            <w:pPr>
              <w:pStyle w:val="TableContents"/>
              <w:bidi w:val="0"/>
              <w:spacing w:before="20" w:after="283"/>
              <w:jc w:val="left"/>
              <w:rPr>
                <w:rFonts w:ascii="sans-serif" w:hAnsi="sans-serif"/>
                <w:color w:val="000000"/>
                <w:sz w:val="22"/>
              </w:rPr>
            </w:pPr>
            <w:r>
              <w:rPr>
                <w:rFonts w:ascii="sans-serif" w:hAnsi="sans-serif"/>
                <w:color w:val="000000"/>
                <w:sz w:val="22"/>
              </w:rPr>
              <w:t>______________________</w:t>
            </w:r>
          </w:p>
        </w:tc>
        <w:tc>
          <w:tcPr>
            <w:tcW w:w="279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p>
            <w:pPr>
              <w:pStyle w:val="TableContents"/>
              <w:bidi w:val="0"/>
              <w:spacing w:before="20" w:after="283"/>
              <w:jc w:val="left"/>
              <w:rPr>
                <w:rFonts w:ascii="sans-serif" w:hAnsi="sans-serif"/>
                <w:color w:val="000000"/>
                <w:sz w:val="22"/>
              </w:rPr>
            </w:pPr>
            <w:r>
              <w:rPr>
                <w:rFonts w:ascii="sans-serif" w:hAnsi="sans-serif"/>
                <w:color w:val="000000"/>
                <w:sz w:val="22"/>
              </w:rPr>
              <w:t>______________________</w:t>
            </w:r>
          </w:p>
        </w:tc>
      </w:tr>
      <w:tr>
        <w:trPr/>
        <w:tc>
          <w:tcPr>
            <w:tcW w:w="2761" w:type="dxa"/>
            <w:tcBorders/>
            <w:shd w:fill="FFFFFF" w:val="clear"/>
            <w:tcMar>
              <w:top w:w="0" w:type="dxa"/>
              <w:left w:w="0" w:type="dxa"/>
              <w:bottom w:w="0" w:type="dxa"/>
              <w:right w:w="0" w:type="dxa"/>
            </w:tcMar>
            <w:vAlign w:val="center"/>
          </w:tcPr>
          <w:p>
            <w:pPr>
              <w:pStyle w:val="TableContents"/>
              <w:bidi w:val="0"/>
              <w:spacing w:before="20" w:after="283"/>
              <w:jc w:val="left"/>
              <w:rPr>
                <w:rFonts w:ascii="sans-serif" w:hAnsi="sans-serif"/>
                <w:color w:val="000000"/>
                <w:sz w:val="22"/>
              </w:rPr>
            </w:pPr>
            <w:r>
              <w:rPr>
                <w:rFonts w:ascii="sans-serif" w:hAnsi="sans-serif"/>
                <w:color w:val="000000"/>
                <w:sz w:val="22"/>
              </w:rPr>
              <w:t>SIGNATURE</w:t>
            </w:r>
          </w:p>
        </w:tc>
        <w:tc>
          <w:tcPr>
            <w:tcW w:w="2791" w:type="dxa"/>
            <w:tcBorders/>
            <w:shd w:fill="FFFFFF" w:val="clear"/>
            <w:tcMar>
              <w:top w:w="0" w:type="dxa"/>
              <w:left w:w="0" w:type="dxa"/>
              <w:bottom w:w="0" w:type="dxa"/>
              <w:right w:w="0" w:type="dxa"/>
            </w:tcMar>
            <w:vAlign w:val="center"/>
          </w:tcPr>
          <w:p>
            <w:pPr>
              <w:pStyle w:val="TableContents"/>
              <w:bidi w:val="0"/>
              <w:spacing w:before="20" w:after="283"/>
              <w:jc w:val="left"/>
              <w:rPr>
                <w:rFonts w:ascii="sans-serif" w:hAnsi="sans-serif"/>
                <w:color w:val="000000"/>
                <w:sz w:val="22"/>
              </w:rPr>
            </w:pPr>
            <w:r>
              <w:rPr>
                <w:rFonts w:ascii="sans-serif" w:hAnsi="sans-serif"/>
                <w:color w:val="000000"/>
                <w:sz w:val="22"/>
              </w:rPr>
              <w:t>DATE</w:t>
            </w:r>
          </w:p>
        </w:tc>
      </w:tr>
      <w:tr>
        <w:trPr/>
        <w:tc>
          <w:tcPr>
            <w:tcW w:w="276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p>
            <w:pPr>
              <w:pStyle w:val="TableContents"/>
              <w:bidi w:val="0"/>
              <w:spacing w:before="20" w:after="283"/>
              <w:jc w:val="left"/>
              <w:rPr>
                <w:rFonts w:ascii="sans-serif" w:hAnsi="sans-serif"/>
                <w:color w:val="000000"/>
                <w:sz w:val="22"/>
              </w:rPr>
            </w:pPr>
            <w:r>
              <w:rPr>
                <w:rFonts w:ascii="sans-serif" w:hAnsi="sans-serif"/>
                <w:color w:val="000000"/>
                <w:sz w:val="22"/>
              </w:rPr>
              <w:t>______________________</w:t>
            </w:r>
          </w:p>
        </w:tc>
        <w:tc>
          <w:tcPr>
            <w:tcW w:w="279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TITLE</w:t>
            </w:r>
          </w:p>
        </w:tc>
        <w:tc>
          <w:tcPr>
            <w:tcW w:w="2791"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r>
    </w:tbl>
    <w:p>
      <w:pPr>
        <w:pStyle w:val="TextBody"/>
        <w:bidi w:val="0"/>
        <w:jc w:val="left"/>
        <w:rPr/>
      </w:pPr>
      <w:r>
        <w:rPr/>
        <w:t> </w:t>
      </w:r>
    </w:p>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9" w:name="psn-ex31_1.htm"/>
      <w:bookmarkStart w:id="50" w:name="kspsnex31_1"/>
      <w:bookmarkEnd w:id="49"/>
      <w:bookmarkEnd w:id="50"/>
      <w:r>
        <w:rPr>
          <w:rFonts w:ascii="Arial" w:hAnsi="Arial"/>
          <w:b/>
          <w:color w:val="000000"/>
          <w:sz w:val="20"/>
        </w:rPr>
        <w:t>Exhibit 31.1</w:t>
      </w:r>
      <w:r>
        <w:br w:type="page"/>
      </w:r>
    </w:p>
    <w:p>
      <w:pPr>
        <w:pStyle w:val="TextBody"/>
        <w:bidi w:val="0"/>
        <w:spacing w:before="24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Carey A. Smith,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Parsons Corporation;</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160"/>
        <w:jc w:val="left"/>
        <w:rPr>
          <w:rFonts w:ascii="Arial" w:hAnsi="Arial"/>
          <w:color w:val="000000"/>
          <w:sz w:val="20"/>
        </w:rPr>
      </w:pPr>
      <w:r>
        <w:rPr>
          <w:rFonts w:ascii="Arial" w:hAnsi="Arial"/>
          <w:color w:val="000000"/>
          <w:sz w:val="20"/>
        </w:rPr>
        <w:t>4.</w:t>
      </w:r>
    </w:p>
    <w:p>
      <w:pPr>
        <w:pStyle w:val="TextBody"/>
        <w:bidi w:val="0"/>
        <w:spacing w:before="240" w:after="160"/>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80" w:after="283"/>
        <w:jc w:val="left"/>
        <w:rPr>
          <w:rFonts w:ascii="Arial" w:hAnsi="Arial"/>
          <w:color w:val="000000"/>
          <w:sz w:val="20"/>
        </w:rPr>
      </w:pPr>
      <w:r>
        <w:rPr>
          <w:rFonts w:ascii="Arial" w:hAnsi="Arial"/>
          <w:color w:val="000000"/>
          <w:sz w:val="20"/>
        </w:rPr>
        <w:t>(a)</w:t>
      </w:r>
    </w:p>
    <w:p>
      <w:pPr>
        <w:pStyle w:val="TextBody"/>
        <w:bidi w:val="0"/>
        <w:spacing w:before="8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98" w:type="dxa"/>
        <w:jc w:val="left"/>
        <w:tblInd w:w="0" w:type="dxa"/>
        <w:tblLayout w:type="fixed"/>
        <w:tblCellMar>
          <w:top w:w="28" w:type="dxa"/>
          <w:left w:w="28" w:type="dxa"/>
          <w:bottom w:w="28" w:type="dxa"/>
          <w:right w:w="28" w:type="dxa"/>
        </w:tblCellMar>
      </w:tblPr>
      <w:tblGrid>
        <w:gridCol w:w="1816"/>
        <w:gridCol w:w="406"/>
        <w:gridCol w:w="2176"/>
      </w:tblGrid>
      <w:tr>
        <w:trPr/>
        <w:tc>
          <w:tcPr>
            <w:tcW w:w="18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July 29,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Carey A. Smith</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Carey A. Smith</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51" w:name="psn-ex31_2.htm"/>
      <w:bookmarkStart w:id="52" w:name="kspsnex31_2"/>
      <w:bookmarkEnd w:id="51"/>
      <w:bookmarkEnd w:id="52"/>
      <w:r>
        <w:rPr>
          <w:rFonts w:ascii="Arial" w:hAnsi="Arial"/>
          <w:b/>
          <w:color w:val="000000"/>
          <w:sz w:val="20"/>
        </w:rPr>
        <w:t>Exhibit 31.2</w:t>
      </w:r>
      <w:r>
        <w:br w:type="page"/>
      </w:r>
    </w:p>
    <w:p>
      <w:pPr>
        <w:pStyle w:val="TextBody"/>
        <w:bidi w:val="0"/>
        <w:spacing w:before="24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Matthew M. Ofilos,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Parsons Corporation;</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08" w:type="dxa"/>
        <w:jc w:val="left"/>
        <w:tblInd w:w="0" w:type="dxa"/>
        <w:tblLayout w:type="fixed"/>
        <w:tblCellMar>
          <w:top w:w="28" w:type="dxa"/>
          <w:left w:w="28" w:type="dxa"/>
          <w:bottom w:w="28" w:type="dxa"/>
          <w:right w:w="28" w:type="dxa"/>
        </w:tblCellMar>
      </w:tblPr>
      <w:tblGrid>
        <w:gridCol w:w="1816"/>
        <w:gridCol w:w="406"/>
        <w:gridCol w:w="2086"/>
      </w:tblGrid>
      <w:tr>
        <w:trPr/>
        <w:tc>
          <w:tcPr>
            <w:tcW w:w="18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July 29,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0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Matthew M. Ofilos</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Matthew M. Ofilos</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53" w:name="psn-ex32_1.htm"/>
      <w:bookmarkStart w:id="54" w:name="kspsnex32_1"/>
      <w:bookmarkEnd w:id="53"/>
      <w:bookmarkEnd w:id="54"/>
      <w:r>
        <w:rPr>
          <w:rFonts w:ascii="Arial" w:hAnsi="Arial"/>
          <w:b/>
          <w:color w:val="000000"/>
          <w:sz w:val="20"/>
        </w:rPr>
        <w:t>Exhibit 32.1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Parsons Corporation (the “Company”) on Form 10-Q for the period ending June 30, 2026 as filed with the Securities and Exchange Commission on the date hereof (the “Report”), I, Carey A. Smith, Chief Executive Officer of the Company, certify, pursuant to 18 U.S.C. § 1350, as adopted pursuant to § 906 of the Sarbanes-Oxley Act of 2002,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507" w:type="dxa"/>
        <w:jc w:val="left"/>
        <w:tblInd w:w="0" w:type="dxa"/>
        <w:tblLayout w:type="fixed"/>
        <w:tblCellMar>
          <w:top w:w="28" w:type="dxa"/>
          <w:left w:w="28" w:type="dxa"/>
          <w:bottom w:w="28" w:type="dxa"/>
          <w:right w:w="28" w:type="dxa"/>
        </w:tblCellMar>
      </w:tblPr>
      <w:tblGrid>
        <w:gridCol w:w="1816"/>
        <w:gridCol w:w="109"/>
        <w:gridCol w:w="406"/>
        <w:gridCol w:w="2176"/>
      </w:tblGrid>
      <w:tr>
        <w:trPr/>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July 29,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Carey A. Smith</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Carey A. Smith</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55" w:name="psn-ex32_2.htm"/>
      <w:bookmarkStart w:id="56" w:name="kspsnex32_2"/>
      <w:bookmarkEnd w:id="55"/>
      <w:bookmarkEnd w:id="56"/>
      <w:r>
        <w:rPr>
          <w:rFonts w:ascii="Arial" w:hAnsi="Arial"/>
          <w:b/>
          <w:color w:val="000000"/>
          <w:sz w:val="20"/>
        </w:rPr>
        <w:t>Exhibit 32.2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Parsons Corporation (the “Company”) on Form 10-Q for the period ending June 30, 2026 as filed with the Securities and Exchange Commission on the date hereof (the “Report”), I, Matthew M. Ofilos, Chief Financial Officer of the Company,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417" w:type="dxa"/>
        <w:jc w:val="left"/>
        <w:tblInd w:w="0" w:type="dxa"/>
        <w:tblLayout w:type="fixed"/>
        <w:tblCellMar>
          <w:top w:w="28" w:type="dxa"/>
          <w:left w:w="28" w:type="dxa"/>
          <w:bottom w:w="28" w:type="dxa"/>
          <w:right w:w="28" w:type="dxa"/>
        </w:tblCellMar>
      </w:tblPr>
      <w:tblGrid>
        <w:gridCol w:w="1816"/>
        <w:gridCol w:w="109"/>
        <w:gridCol w:w="406"/>
        <w:gridCol w:w="2086"/>
      </w:tblGrid>
      <w:tr>
        <w:trPr/>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July 29,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0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Matthew M. Ofilos</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shd w:fill="FFFFFF" w:val="clear"/>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Matthew M. Ofilos</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46188</Words>
  <Characters>247454</Characters>
  <CharactersWithSpaces>294990</CharactersWithSpaces>
  <Paragraphs>10343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