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160655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80010</wp:posOffset>
            </wp:positionV>
            <wp:extent cx="300037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037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600" w:type="dxa"/>
        <w:tblCellMar>
          <w:top w:w="0" w:type="dxa"/>
          <w:left w:w="0" w:type="dxa"/>
          <w:bottom w:w="0" w:type="dxa"/>
          <w:right w:w="0" w:type="dxa"/>
        </w:tblCellMar>
      </w:tblPr>
      <w:tr>
        <w:trPr>
          <w:trHeight w:val="209"/>
        </w:trPr>
        <w:tc>
          <w:tcPr>
            <w:tcW w:w="3360" w:type="dxa"/>
            <w:vAlign w:val="bottom"/>
          </w:tcPr>
          <w:p>
            <w:pPr>
              <w:jc w:val="center"/>
              <w:ind w:right="721"/>
              <w:spacing w:after="0"/>
              <w:rPr>
                <w:sz w:val="20"/>
                <w:szCs w:val="20"/>
                <w:color w:val="auto"/>
              </w:rPr>
            </w:pPr>
            <w:r>
              <w:rPr>
                <w:rFonts w:ascii="Arial" w:cs="Arial" w:eastAsia="Arial" w:hAnsi="Arial"/>
                <w:sz w:val="18"/>
                <w:szCs w:val="18"/>
                <w:b w:val="1"/>
                <w:bCs w:val="1"/>
                <w:color w:val="auto"/>
              </w:rPr>
              <w:t>Delaware</w:t>
            </w:r>
          </w:p>
        </w:tc>
        <w:tc>
          <w:tcPr>
            <w:tcW w:w="3680" w:type="dxa"/>
            <w:vAlign w:val="bottom"/>
          </w:tcPr>
          <w:p>
            <w:pPr>
              <w:jc w:val="right"/>
              <w:ind w:right="1521"/>
              <w:spacing w:after="0"/>
              <w:rPr>
                <w:sz w:val="20"/>
                <w:szCs w:val="20"/>
                <w:color w:val="auto"/>
              </w:rPr>
            </w:pPr>
            <w:r>
              <w:rPr>
                <w:rFonts w:ascii="Arial" w:cs="Arial" w:eastAsia="Arial" w:hAnsi="Arial"/>
                <w:sz w:val="18"/>
                <w:szCs w:val="18"/>
                <w:b w:val="1"/>
                <w:bCs w:val="1"/>
                <w:color w:val="auto"/>
              </w:rPr>
              <w:t>001-07782</w:t>
            </w:r>
          </w:p>
        </w:tc>
        <w:tc>
          <w:tcPr>
            <w:tcW w:w="2300" w:type="dxa"/>
            <w:vAlign w:val="bottom"/>
          </w:tcPr>
          <w:p>
            <w:pPr>
              <w:jc w:val="right"/>
              <w:ind w:right="24"/>
              <w:spacing w:after="0"/>
              <w:rPr>
                <w:sz w:val="20"/>
                <w:szCs w:val="20"/>
                <w:color w:val="auto"/>
              </w:rPr>
            </w:pPr>
            <w:r>
              <w:rPr>
                <w:rFonts w:ascii="Arial" w:cs="Arial" w:eastAsia="Arial" w:hAnsi="Arial"/>
                <w:sz w:val="18"/>
                <w:szCs w:val="18"/>
                <w:b w:val="1"/>
                <w:bCs w:val="1"/>
                <w:color w:val="auto"/>
              </w:rPr>
              <w:t>95-3232481</w:t>
            </w:r>
          </w:p>
        </w:tc>
      </w:tr>
      <w:tr>
        <w:trPr>
          <w:trHeight w:val="14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(State or Other Jurisdiction</w:t>
            </w:r>
          </w:p>
        </w:tc>
        <w:tc>
          <w:tcPr>
            <w:tcW w:w="3680" w:type="dxa"/>
            <w:vAlign w:val="bottom"/>
          </w:tcPr>
          <w:p>
            <w:pPr>
              <w:spacing w:after="0"/>
              <w:rPr>
                <w:sz w:val="12"/>
                <w:szCs w:val="12"/>
                <w:color w:val="auto"/>
              </w:rPr>
            </w:pPr>
          </w:p>
        </w:tc>
        <w:tc>
          <w:tcPr>
            <w:tcW w:w="2300" w:type="dxa"/>
            <w:vAlign w:val="bottom"/>
          </w:tcPr>
          <w:p>
            <w:pPr>
              <w:jc w:val="center"/>
              <w:ind w:left="1064"/>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of Incorporation)</w:t>
            </w:r>
          </w:p>
        </w:tc>
        <w:tc>
          <w:tcPr>
            <w:tcW w:w="3680" w:type="dxa"/>
            <w:vAlign w:val="bottom"/>
          </w:tcPr>
          <w:p>
            <w:pPr>
              <w:jc w:val="center"/>
              <w:ind w:right="281"/>
              <w:spacing w:after="0"/>
              <w:rPr>
                <w:sz w:val="20"/>
                <w:szCs w:val="20"/>
                <w:color w:val="auto"/>
              </w:rPr>
            </w:pPr>
            <w:r>
              <w:rPr>
                <w:rFonts w:ascii="Arial" w:cs="Arial" w:eastAsia="Arial" w:hAnsi="Arial"/>
                <w:sz w:val="13"/>
                <w:szCs w:val="13"/>
                <w:b w:val="1"/>
                <w:bCs w:val="1"/>
                <w:color w:val="auto"/>
              </w:rPr>
              <w:t>(Commission File Number)</w:t>
            </w:r>
          </w:p>
        </w:tc>
        <w:tc>
          <w:tcPr>
            <w:tcW w:w="2300" w:type="dxa"/>
            <w:vAlign w:val="bottom"/>
          </w:tcPr>
          <w:p>
            <w:pPr>
              <w:jc w:val="center"/>
              <w:ind w:left="1084"/>
              <w:spacing w:after="0"/>
              <w:rPr>
                <w:sz w:val="20"/>
                <w:szCs w:val="20"/>
                <w:color w:val="auto"/>
              </w:rPr>
            </w:pPr>
            <w:r>
              <w:rPr>
                <w:rFonts w:ascii="Arial" w:cs="Arial" w:eastAsia="Arial" w:hAnsi="Arial"/>
                <w:sz w:val="13"/>
                <w:szCs w:val="13"/>
                <w:b w:val="1"/>
                <w:bCs w:val="1"/>
                <w:color w:val="auto"/>
              </w:rPr>
              <w:t>Identification No.)</w:t>
            </w:r>
          </w:p>
        </w:tc>
      </w:tr>
      <w:tr>
        <w:trPr>
          <w:trHeight w:val="410"/>
        </w:trPr>
        <w:tc>
          <w:tcPr>
            <w:tcW w:w="3360" w:type="dxa"/>
            <w:vAlign w:val="bottom"/>
          </w:tcPr>
          <w:p>
            <w:pPr>
              <w:jc w:val="center"/>
              <w:ind w:right="721"/>
              <w:spacing w:after="0"/>
              <w:rPr>
                <w:sz w:val="20"/>
                <w:szCs w:val="20"/>
                <w:color w:val="auto"/>
              </w:rPr>
            </w:pPr>
            <w:r>
              <w:rPr>
                <w:rFonts w:ascii="Arial" w:cs="Arial" w:eastAsia="Arial" w:hAnsi="Arial"/>
                <w:sz w:val="18"/>
                <w:szCs w:val="18"/>
                <w:b w:val="1"/>
                <w:bCs w:val="1"/>
                <w:color w:val="auto"/>
                <w:w w:val="99"/>
              </w:rPr>
              <w:t>5875 Trinity Parkway, #300,</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9"/>
        </w:trPr>
        <w:tc>
          <w:tcPr>
            <w:tcW w:w="3360" w:type="dxa"/>
            <w:vAlign w:val="bottom"/>
          </w:tcPr>
          <w:p>
            <w:pPr>
              <w:jc w:val="center"/>
              <w:ind w:right="741"/>
              <w:spacing w:after="0"/>
              <w:rPr>
                <w:sz w:val="20"/>
                <w:szCs w:val="20"/>
                <w:color w:val="auto"/>
              </w:rPr>
            </w:pPr>
            <w:r>
              <w:rPr>
                <w:rFonts w:ascii="Arial" w:cs="Arial" w:eastAsia="Arial" w:hAnsi="Arial"/>
                <w:sz w:val="18"/>
                <w:szCs w:val="18"/>
                <w:b w:val="1"/>
                <w:bCs w:val="1"/>
                <w:color w:val="auto"/>
                <w:w w:val="99"/>
              </w:rPr>
              <w:t>Centreville, VA</w:t>
            </w:r>
          </w:p>
        </w:tc>
        <w:tc>
          <w:tcPr>
            <w:tcW w:w="3680" w:type="dxa"/>
            <w:vAlign w:val="bottom"/>
          </w:tcPr>
          <w:p>
            <w:pPr>
              <w:spacing w:after="0"/>
              <w:rPr>
                <w:sz w:val="18"/>
                <w:szCs w:val="18"/>
                <w:color w:val="auto"/>
              </w:rPr>
            </w:pPr>
          </w:p>
        </w:tc>
        <w:tc>
          <w:tcPr>
            <w:tcW w:w="2300" w:type="dxa"/>
            <w:vAlign w:val="bottom"/>
          </w:tcPr>
          <w:p>
            <w:pPr>
              <w:jc w:val="right"/>
              <w:ind w:right="244"/>
              <w:spacing w:after="0"/>
              <w:rPr>
                <w:sz w:val="20"/>
                <w:szCs w:val="20"/>
                <w:color w:val="auto"/>
              </w:rPr>
            </w:pPr>
            <w:r>
              <w:rPr>
                <w:rFonts w:ascii="Arial" w:cs="Arial" w:eastAsia="Arial" w:hAnsi="Arial"/>
                <w:sz w:val="18"/>
                <w:szCs w:val="18"/>
                <w:b w:val="1"/>
                <w:bCs w:val="1"/>
                <w:color w:val="auto"/>
              </w:rPr>
              <w:t>20120</w:t>
            </w:r>
          </w:p>
        </w:tc>
      </w:tr>
      <w:tr>
        <w:trPr>
          <w:trHeight w:val="17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300" w:type="dxa"/>
            <w:vAlign w:val="bottom"/>
          </w:tcPr>
          <w:p>
            <w:pPr>
              <w:jc w:val="center"/>
              <w:ind w:left="1064"/>
              <w:spacing w:after="0"/>
              <w:rPr>
                <w:sz w:val="20"/>
                <w:szCs w:val="20"/>
                <w:color w:val="auto"/>
              </w:rPr>
            </w:pPr>
            <w:r>
              <w:rPr>
                <w:rFonts w:ascii="Arial" w:cs="Arial" w:eastAsia="Arial" w:hAnsi="Arial"/>
                <w:sz w:val="13"/>
                <w:szCs w:val="13"/>
                <w:b w:val="1"/>
                <w:bCs w:val="1"/>
                <w:color w:val="auto"/>
              </w:rPr>
              <w:t>(Zip Code)</w:t>
            </w:r>
          </w:p>
        </w:tc>
      </w:tr>
    </w:tbl>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7"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89"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69"/>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line="169" w:lineRule="exact"/>
              <w:rPr>
                <w:sz w:val="20"/>
                <w:szCs w:val="20"/>
                <w:color w:val="auto"/>
              </w:rPr>
            </w:pPr>
            <w:r>
              <w:rPr>
                <w:rFonts w:ascii="Arial" w:cs="Arial" w:eastAsia="Arial" w:hAnsi="Arial"/>
                <w:sz w:val="16"/>
                <w:szCs w:val="16"/>
                <w:b w:val="1"/>
                <w:bCs w:val="1"/>
                <w:color w:val="auto"/>
                <w:w w:val="98"/>
              </w:rPr>
              <w:t>Trading</w:t>
            </w:r>
          </w:p>
        </w:tc>
        <w:tc>
          <w:tcPr>
            <w:tcW w:w="5040" w:type="dxa"/>
            <w:vAlign w:val="bottom"/>
          </w:tcPr>
          <w:p>
            <w:pPr>
              <w:spacing w:after="0"/>
              <w:rPr>
                <w:sz w:val="14"/>
                <w:szCs w:val="14"/>
                <w:color w:val="auto"/>
              </w:rPr>
            </w:pPr>
          </w:p>
        </w:tc>
      </w:tr>
      <w:tr>
        <w:trPr>
          <w:trHeight w:val="20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8"/>
                <w:szCs w:val="18"/>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3"/>
        </w:trPr>
        <w:tc>
          <w:tcPr>
            <w:tcW w:w="4400" w:type="dxa"/>
            <w:vAlign w:val="bottom"/>
            <w:gridSpan w:val="2"/>
          </w:tcPr>
          <w:p>
            <w:pPr>
              <w:jc w:val="center"/>
              <w:ind w:right="100"/>
              <w:spacing w:after="0"/>
              <w:rPr>
                <w:sz w:val="20"/>
                <w:szCs w:val="20"/>
                <w:color w:val="auto"/>
              </w:rPr>
            </w:pPr>
            <w:r>
              <w:rPr>
                <w:rFonts w:ascii="Arial" w:cs="Arial" w:eastAsia="Arial" w:hAnsi="Arial"/>
                <w:sz w:val="16"/>
                <w:szCs w:val="16"/>
                <w:color w:val="auto"/>
              </w:rPr>
              <w:t>Common Stock, $1 par value</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rPr>
              <w:t>PSN</w:t>
            </w:r>
          </w:p>
        </w:tc>
        <w:tc>
          <w:tcPr>
            <w:tcW w:w="504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02" w:lineRule="exact"/>
        <w:rPr>
          <w:sz w:val="24"/>
          <w:szCs w:val="24"/>
          <w:color w:val="auto"/>
        </w:rPr>
      </w:pPr>
    </w:p>
    <w:p>
      <w:pPr>
        <w:ind w:right="600"/>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8"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177" w:lineRule="exact"/>
        <w:rPr>
          <w:sz w:val="24"/>
          <w:szCs w:val="24"/>
          <w:color w:val="auto"/>
        </w:rPr>
      </w:pPr>
    </w:p>
    <w:p>
      <w:pPr>
        <w:ind w:right="14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 w:name="page2"/>
    <w:bookmarkEnd w:id="1"/>
    <w:p>
      <w:pPr>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 of Operations and Financial Condition</w:t>
      </w:r>
    </w:p>
    <w:p>
      <w:pPr>
        <w:spacing w:after="0" w:line="2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May 6, 2020, Parson Corporation (the “Company”) issued a press release announcing its financial results for the quarter ended March 31, 2020 and certain other financial information. A copy of the press release is attached to this Form 8-K as Exhibit 99.1</w:t>
      </w:r>
    </w:p>
    <w:p>
      <w:pPr>
        <w:spacing w:after="0" w:line="200" w:lineRule="exact"/>
        <w:rPr>
          <w:sz w:val="20"/>
          <w:szCs w:val="20"/>
          <w:color w:val="auto"/>
        </w:rPr>
      </w:pPr>
    </w:p>
    <w:p>
      <w:pPr>
        <w:spacing w:after="0" w:line="24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following exhibit is furnished as part of this Report pursuant to Item 2.02</w:t>
      </w:r>
    </w:p>
    <w:p>
      <w:pPr>
        <w:spacing w:after="0" w:line="239" w:lineRule="exact"/>
        <w:rPr>
          <w:sz w:val="20"/>
          <w:szCs w:val="20"/>
          <w:color w:val="auto"/>
        </w:rPr>
      </w:pPr>
    </w:p>
    <w:p>
      <w:pPr>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7"/>
            <w:szCs w:val="17"/>
            <w:u w:val="single" w:color="auto"/>
            <w:color w:val="0000EE"/>
          </w:rPr>
          <w:t>Press Release Dated May 6, 2020 announcing the Company’s financial results for the quarter ended March 31, 2020.</w:t>
        </w:r>
      </w:hyperlink>
    </w:p>
    <w:p>
      <w:pPr>
        <w:spacing w:after="0" w:line="2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39"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The information disclosed pursuant to Items 2.02 and 9.01 in this Current Report on Form 8-K, including the exhibit, shall not be deemed “filed” for the purposes of Section 18 of the Securities Act of 1934, as amended, or otherwise subject to the liabilities of that</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section. Furthermore, the information disclosed pursuant to Items 2.02 and 9.01 of this Current Report on Form 8-K, including the exhibit, shall not be deemed incorporated by reference in any filing under the Securities Act of 1933, as amended, of the Securities Exchange Act of 1934, as amended.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Parsons Corporation</w:t>
      </w:r>
    </w:p>
    <w:p>
      <w:pPr>
        <w:spacing w:after="0" w:line="225" w:lineRule="exact"/>
        <w:rPr>
          <w:sz w:val="20"/>
          <w:szCs w:val="20"/>
          <w:color w:val="auto"/>
        </w:rPr>
      </w:pPr>
    </w:p>
    <w:p>
      <w:pPr>
        <w:spacing w:after="0"/>
        <w:tabs>
          <w:tab w:leader="none" w:pos="5720" w:val="left"/>
          <w:tab w:leader="none" w:pos="792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3291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George L. Ball</w:t>
      </w:r>
    </w:p>
    <w:p>
      <w:pPr>
        <w:spacing w:after="0" w:line="9"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333"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374650</wp:posOffset>
            </wp:positionV>
            <wp:extent cx="233172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17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Parsons Delivers Strong First Quarter 2020 Revenue Growth</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2020 Financial Highlights:</w:t>
      </w:r>
    </w:p>
    <w:p>
      <w:pPr>
        <w:sectPr>
          <w:pgSz w:w="11900" w:h="16838" w:orient="portrait"/>
          <w:cols w:equalWidth="0" w:num="1">
            <w:col w:w="11240"/>
          </w:cols>
          <w:pgMar w:left="320" w:top="125" w:right="3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 increases 7% year-over-year to $971 million</w:t>
      </w:r>
    </w:p>
    <w:p>
      <w:pPr>
        <w:spacing w:after="0" w:line="90" w:lineRule="exact"/>
        <w:rPr>
          <w:sz w:val="20"/>
          <w:szCs w:val="20"/>
          <w:color w:val="auto"/>
        </w:rPr>
      </w:pPr>
    </w:p>
    <w:p>
      <w:pPr>
        <w:ind w:right="2940"/>
        <w:spacing w:after="0" w:line="344" w:lineRule="auto"/>
        <w:rPr>
          <w:sz w:val="20"/>
          <w:szCs w:val="20"/>
          <w:color w:val="auto"/>
        </w:rPr>
      </w:pPr>
      <w:r>
        <w:rPr>
          <w:rFonts w:ascii="Arial" w:cs="Arial" w:eastAsia="Arial" w:hAnsi="Arial"/>
          <w:sz w:val="18"/>
          <w:szCs w:val="18"/>
          <w:color w:val="auto"/>
        </w:rPr>
        <w:t>Strong revenue growth driven by Federal Solutions growth of 13%, including organic growth of 11% Net income increases 33% to $13 million and net income margin increases to 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decreases 16% to $60 million and adjusted EBITDA margin decreases to 6.2%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Q1 2020 book-to-bill ratio of 1.0x, driven by Federal Solutions book-to-bill ratio of 1.3x</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Reiterates fiscal year 2020 guidance</w:t>
      </w:r>
    </w:p>
    <w:p>
      <w:pPr>
        <w:spacing w:after="0" w:line="282" w:lineRule="exact"/>
        <w:rPr>
          <w:sz w:val="20"/>
          <w:szCs w:val="20"/>
          <w:color w:val="auto"/>
        </w:rPr>
      </w:pPr>
    </w:p>
    <w:p>
      <w:pPr>
        <w:sectPr>
          <w:pgSz w:w="11900" w:h="16838" w:orient="portrait"/>
          <w:cols w:equalWidth="0" w:num="2">
            <w:col w:w="100" w:space="300"/>
            <w:col w:w="10840"/>
          </w:cols>
          <w:pgMar w:left="320" w:top="125"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Strategic Highlights:</w:t>
      </w:r>
    </w:p>
    <w:p>
      <w:pPr>
        <w:sectPr>
          <w:pgSz w:w="11900" w:h="16838" w:orient="portrait"/>
          <w:cols w:equalWidth="0" w:num="1">
            <w:col w:w="11240"/>
          </w:cols>
          <w:pgMar w:left="320" w:top="125"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Launched DetectWise</w:t>
      </w:r>
      <w:r>
        <w:rPr>
          <w:rFonts w:ascii="Arial" w:cs="Arial" w:eastAsia="Arial" w:hAnsi="Arial"/>
          <w:sz w:val="15"/>
          <w:szCs w:val="15"/>
          <w:color w:val="auto"/>
        </w:rPr>
        <w:t>TM</w:t>
      </w:r>
      <w:r>
        <w:rPr>
          <w:rFonts w:ascii="Arial" w:cs="Arial" w:eastAsia="Arial" w:hAnsi="Arial"/>
          <w:sz w:val="18"/>
          <w:szCs w:val="18"/>
          <w:color w:val="auto"/>
        </w:rPr>
        <w:t>, a touchless, biometric sensing product suite</w:t>
      </w:r>
    </w:p>
    <w:p>
      <w:pPr>
        <w:spacing w:after="0" w:line="93" w:lineRule="exact"/>
        <w:rPr>
          <w:sz w:val="20"/>
          <w:szCs w:val="20"/>
          <w:color w:val="auto"/>
        </w:rPr>
      </w:pPr>
    </w:p>
    <w:p>
      <w:pPr>
        <w:ind w:right="3800"/>
        <w:spacing w:after="0" w:line="350" w:lineRule="auto"/>
        <w:rPr>
          <w:sz w:val="20"/>
          <w:szCs w:val="20"/>
          <w:color w:val="auto"/>
        </w:rPr>
      </w:pPr>
      <w:r>
        <w:rPr>
          <w:rFonts w:ascii="Arial" w:cs="Arial" w:eastAsia="Arial" w:hAnsi="Arial"/>
          <w:sz w:val="18"/>
          <w:szCs w:val="18"/>
          <w:color w:val="auto"/>
        </w:rPr>
        <w:t>Recognized as one of the World's Most Ethical Companies for the 11th consecutive year Named to the CIO 100 list of the world's most innovative companies Published 2020 CSR report highlighting quest to Deliver a Better World</w:t>
      </w:r>
    </w:p>
    <w:p>
      <w:pPr>
        <w:spacing w:after="0" w:line="200" w:lineRule="exact"/>
        <w:rPr>
          <w:sz w:val="20"/>
          <w:szCs w:val="20"/>
          <w:color w:val="auto"/>
        </w:rPr>
      </w:pPr>
    </w:p>
    <w:p>
      <w:pPr>
        <w:sectPr>
          <w:pgSz w:w="11900" w:h="16838" w:orient="portrait"/>
          <w:cols w:equalWidth="0" w:num="2">
            <w:col w:w="100" w:space="300"/>
            <w:col w:w="10840"/>
          </w:cols>
          <w:pgMar w:left="320" w:top="125" w:right="339" w:bottom="1440" w:gutter="0" w:footer="0" w:header="0"/>
          <w:type w:val="continuous"/>
        </w:sectPr>
      </w:pPr>
    </w:p>
    <w:p>
      <w:pPr>
        <w:spacing w:after="0" w:line="12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CENTREVILLE, VA – May 6, 2020, Parsons Corporation (NYSE: PSN) today announced financial results for the first quarter ended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Commentary</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 would like to send our deepest sympathies to all who have been affected by the COVID-19 pandemic. These are challenging times for everyone, and we will continue to put the safety and well-being of our employees, customers and partners first,” said Chuck Harrington, Chairman and CEO of Parsons Corporation. “In what was an unprecedented first quarter, we delivered strong organic revenue growth and achieved profitability results that exceeded our internal plan. We continue to win high-end work in our Federal Solutions market and delivered revenue growth in our Critical Infrastructure segment. Our strong balance sheet, low leverage, more than $400 million of undrawn revolver capacity, and our deep backlog positions us well to weather COVID-19 uncertainties.”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2020 Results</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Total revenue for the first quarter of 2020 increased 7% to $971 million. This increase was primarily driven by organic revenue growth of 11% in the Federal Solutions segment, along with 2.5% organic growth in the Critical Infrastructure segment. Operating income increased 3% to $24 million primarily due to organic revenue growth. Net income increased 33% over the prior year period to $13 million, and net income margin increased to 1.3%. Diluted earnings per share (EPS) attributable to Parsons was $0.13 in the first quarter of 2020 compared to $0.12 in the first quarter of 2019.</w:t>
      </w:r>
    </w:p>
    <w:p>
      <w:pPr>
        <w:spacing w:after="0" w:line="9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Adjusted EBITDA including noncontrolling interests for the first quarter of 2020 was $60 million, a 16% decrease from the strong prior year period. Adjusted EBITDA margin decreased to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888365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Adjusted EPS decreased to $0.33, compared to $0.62 in the first quarter of 2019.</w:t>
      </w:r>
    </w:p>
    <w:p>
      <w:pPr>
        <w:spacing w:after="0" w:line="104" w:lineRule="exact"/>
        <w:rPr>
          <w:sz w:val="20"/>
          <w:szCs w:val="20"/>
          <w:color w:val="auto"/>
        </w:rPr>
      </w:pPr>
    </w:p>
    <w:p>
      <w:pPr>
        <w:jc w:val="both"/>
        <w:ind w:right="180"/>
        <w:spacing w:after="0" w:line="246" w:lineRule="auto"/>
        <w:rPr>
          <w:sz w:val="20"/>
          <w:szCs w:val="20"/>
          <w:color w:val="auto"/>
        </w:rPr>
      </w:pPr>
      <w:r>
        <w:rPr>
          <w:rFonts w:ascii="Arial" w:cs="Arial" w:eastAsia="Arial" w:hAnsi="Arial"/>
          <w:sz w:val="18"/>
          <w:szCs w:val="18"/>
          <w:color w:val="auto"/>
        </w:rPr>
        <w:t>Information about the Company's use of non-GAAP financial information is provided on page ten and in the non-GAAP reconciliation tables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Federal Solutions Segment</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6300" w:type="dxa"/>
            <w:vAlign w:val="bottom"/>
            <w:tcBorders>
              <w:top w:val="single" w:sz="8" w:color="auto"/>
              <w:left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Growth</w:t>
            </w:r>
          </w:p>
        </w:tc>
        <w:tc>
          <w:tcPr>
            <w:tcW w:w="54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r>
      <w:tr>
        <w:trPr>
          <w:trHeight w:val="136"/>
        </w:trPr>
        <w:tc>
          <w:tcPr>
            <w:tcW w:w="6300" w:type="dxa"/>
            <w:vAlign w:val="bottom"/>
            <w:tcBorders>
              <w:left w:val="single" w:sz="8" w:color="auto"/>
              <w:righ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righ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ind w:left="20"/>
              <w:spacing w:after="0" w:line="136" w:lineRule="exact"/>
              <w:rPr>
                <w:sz w:val="20"/>
                <w:szCs w:val="20"/>
                <w:color w:val="auto"/>
              </w:rPr>
            </w:pPr>
            <w:r>
              <w:rPr>
                <w:rFonts w:ascii="Arial" w:cs="Arial" w:eastAsia="Arial" w:hAnsi="Arial"/>
                <w:sz w:val="14"/>
                <w:szCs w:val="14"/>
                <w:b w:val="1"/>
                <w:bCs w:val="1"/>
                <w:color w:val="auto"/>
              </w:rPr>
              <w:t>Dollars/</w:t>
            </w:r>
          </w:p>
        </w:tc>
        <w:tc>
          <w:tcPr>
            <w:tcW w:w="540" w:type="dxa"/>
            <w:vAlign w:val="bottom"/>
            <w:tcBorders>
              <w:top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r>
      <w:tr>
        <w:trPr>
          <w:trHeight w:val="175"/>
        </w:trPr>
        <w:tc>
          <w:tcPr>
            <w:tcW w:w="6300" w:type="dxa"/>
            <w:vAlign w:val="bottom"/>
            <w:tcBorders>
              <w:left w:val="single" w:sz="8" w:color="auto"/>
              <w:bottom w:val="single" w:sz="8" w:color="CFF0FC"/>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right w:val="single" w:sz="8" w:color="auto"/>
            </w:tcBorders>
          </w:tcPr>
          <w:p>
            <w:pPr>
              <w:spacing w:after="0"/>
              <w:rPr>
                <w:sz w:val="15"/>
                <w:szCs w:val="15"/>
                <w:color w:val="auto"/>
              </w:rPr>
            </w:pPr>
          </w:p>
        </w:tc>
      </w:tr>
      <w:tr>
        <w:trPr>
          <w:trHeight w:val="196"/>
        </w:trPr>
        <w:tc>
          <w:tcPr>
            <w:tcW w:w="630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477,571</w:t>
            </w:r>
          </w:p>
        </w:tc>
        <w:tc>
          <w:tcPr>
            <w:tcW w:w="16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422,812</w:t>
            </w:r>
          </w:p>
        </w:tc>
        <w:tc>
          <w:tcPr>
            <w:tcW w:w="1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54,759</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tcBorders>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w:t>
            </w:r>
          </w:p>
        </w:tc>
      </w:tr>
      <w:tr>
        <w:trPr>
          <w:trHeight w:val="20"/>
        </w:trPr>
        <w:tc>
          <w:tcPr>
            <w:tcW w:w="63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r>
      <w:tr>
        <w:trPr>
          <w:trHeight w:val="196"/>
        </w:trPr>
        <w:tc>
          <w:tcPr>
            <w:tcW w:w="6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31,709</w:t>
            </w:r>
          </w:p>
        </w:tc>
        <w:tc>
          <w:tcPr>
            <w:tcW w:w="1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40,725</w:t>
            </w:r>
          </w:p>
        </w:tc>
        <w:tc>
          <w:tcPr>
            <w:tcW w:w="1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(9,016)</w:t>
            </w:r>
          </w:p>
        </w:tc>
        <w:tc>
          <w:tcPr>
            <w:tcW w:w="14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-22%</w:t>
            </w:r>
          </w:p>
        </w:tc>
      </w:tr>
      <w:tr>
        <w:trPr>
          <w:trHeight w:val="202"/>
        </w:trPr>
        <w:tc>
          <w:tcPr>
            <w:tcW w:w="630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Adjusted EBITDA margin</w:t>
            </w:r>
          </w:p>
        </w:tc>
        <w:tc>
          <w:tcPr>
            <w:tcW w:w="1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80" w:type="dxa"/>
            <w:vAlign w:val="bottom"/>
            <w:tcBorders>
              <w:bottom w:val="single" w:sz="8" w:color="auto"/>
              <w:right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9.6%</w:t>
            </w:r>
          </w:p>
        </w:tc>
        <w:tc>
          <w:tcPr>
            <w:tcW w:w="1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w:t>
            </w:r>
          </w:p>
        </w:tc>
      </w:tr>
    </w:tbl>
    <w:p>
      <w:pPr>
        <w:spacing w:after="0" w:line="350"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First quarter 2020 revenue increased $55 million, or 13%, compared to the prior year period. The increase was driven by organic growth of 11% and $6 million from acquisitions.</w:t>
      </w:r>
    </w:p>
    <w:p>
      <w:pPr>
        <w:spacing w:after="0" w:line="89"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First quarter 2020 Federal Solutions Adjusted EBITDA including noncontrolling interests decreased by $9 million, or 22%, compared to the prior year period. Adjusted EBITDA margin decreased to 6.6%. The decreases were driven primarily by an increase in volume on contracts with higher subcontractor and material costs, and an increase in indirect, general and administrative (IG&amp;A) expenses, due in large part to various favorable overhead adjustments, which occurred in first quarter of 2019 but did not reoccur in the first quarter of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Infrastructure Segment</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6300" w:type="dxa"/>
            <w:vAlign w:val="bottom"/>
            <w:tcBorders>
              <w:top w:val="single" w:sz="8" w:color="auto"/>
              <w:left w:val="single" w:sz="8" w:color="auto"/>
              <w:right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Growth</w:t>
            </w:r>
          </w:p>
        </w:tc>
        <w:tc>
          <w:tcPr>
            <w:tcW w:w="560" w:type="dxa"/>
            <w:vAlign w:val="bottom"/>
            <w:tcBorders>
              <w:top w:val="single" w:sz="8" w:color="auto"/>
            </w:tcBorders>
          </w:tcPr>
          <w:p>
            <w:pPr>
              <w:spacing w:after="0"/>
              <w:rPr>
                <w:sz w:val="22"/>
                <w:szCs w:val="22"/>
                <w:color w:val="auto"/>
              </w:rPr>
            </w:pPr>
          </w:p>
        </w:tc>
        <w:tc>
          <w:tcPr>
            <w:tcW w:w="180" w:type="dxa"/>
            <w:vAlign w:val="bottom"/>
            <w:tcBorders>
              <w:top w:val="single" w:sz="8" w:color="auto"/>
              <w:right w:val="single" w:sz="8" w:color="auto"/>
            </w:tcBorders>
          </w:tcPr>
          <w:p>
            <w:pPr>
              <w:spacing w:after="0"/>
              <w:rPr>
                <w:sz w:val="22"/>
                <w:szCs w:val="22"/>
                <w:color w:val="auto"/>
              </w:rPr>
            </w:pPr>
          </w:p>
        </w:tc>
      </w:tr>
      <w:tr>
        <w:trPr>
          <w:trHeight w:val="136"/>
        </w:trPr>
        <w:tc>
          <w:tcPr>
            <w:tcW w:w="6300" w:type="dxa"/>
            <w:vAlign w:val="bottom"/>
            <w:tcBorders>
              <w:left w:val="single" w:sz="8" w:color="auto"/>
              <w:righ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righ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ind w:left="20"/>
              <w:spacing w:after="0" w:line="136" w:lineRule="exact"/>
              <w:rPr>
                <w:sz w:val="20"/>
                <w:szCs w:val="20"/>
                <w:color w:val="auto"/>
              </w:rPr>
            </w:pPr>
            <w:r>
              <w:rPr>
                <w:rFonts w:ascii="Arial" w:cs="Arial" w:eastAsia="Arial" w:hAnsi="Arial"/>
                <w:sz w:val="14"/>
                <w:szCs w:val="14"/>
                <w:b w:val="1"/>
                <w:bCs w:val="1"/>
                <w:color w:val="auto"/>
              </w:rPr>
              <w:t>Dollars/</w:t>
            </w:r>
          </w:p>
        </w:tc>
        <w:tc>
          <w:tcPr>
            <w:tcW w:w="560" w:type="dxa"/>
            <w:vAlign w:val="bottom"/>
            <w:tcBorders>
              <w:top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r>
      <w:tr>
        <w:trPr>
          <w:trHeight w:val="175"/>
        </w:trPr>
        <w:tc>
          <w:tcPr>
            <w:tcW w:w="6300" w:type="dxa"/>
            <w:vAlign w:val="bottom"/>
            <w:tcBorders>
              <w:left w:val="single" w:sz="8" w:color="auto"/>
              <w:bottom w:val="single" w:sz="8" w:color="CFF0FC"/>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right w:val="single" w:sz="8" w:color="auto"/>
            </w:tcBorders>
          </w:tcPr>
          <w:p>
            <w:pPr>
              <w:spacing w:after="0"/>
              <w:rPr>
                <w:sz w:val="15"/>
                <w:szCs w:val="15"/>
                <w:color w:val="auto"/>
              </w:rPr>
            </w:pPr>
          </w:p>
        </w:tc>
      </w:tr>
      <w:tr>
        <w:trPr>
          <w:trHeight w:val="196"/>
        </w:trPr>
        <w:tc>
          <w:tcPr>
            <w:tcW w:w="630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493,422</w:t>
            </w:r>
          </w:p>
        </w:tc>
        <w:tc>
          <w:tcPr>
            <w:tcW w:w="16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481,593</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11,829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r>
      <w:tr>
        <w:trPr>
          <w:trHeight w:val="20"/>
        </w:trPr>
        <w:tc>
          <w:tcPr>
            <w:tcW w:w="63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r>
      <w:tr>
        <w:trPr>
          <w:trHeight w:val="196"/>
        </w:trPr>
        <w:tc>
          <w:tcPr>
            <w:tcW w:w="6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28,787</w:t>
            </w:r>
          </w:p>
        </w:tc>
        <w:tc>
          <w:tcPr>
            <w:tcW w:w="1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31,299</w:t>
            </w:r>
          </w:p>
        </w:tc>
        <w:tc>
          <w:tcPr>
            <w:tcW w:w="16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(2,512)</w:t>
            </w:r>
          </w:p>
        </w:tc>
        <w:tc>
          <w:tcPr>
            <w:tcW w:w="12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w:t>
            </w:r>
          </w:p>
        </w:tc>
      </w:tr>
      <w:tr>
        <w:trPr>
          <w:trHeight w:val="203"/>
        </w:trPr>
        <w:tc>
          <w:tcPr>
            <w:tcW w:w="630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Adjusted EBITDA margin</w:t>
            </w:r>
          </w:p>
        </w:tc>
        <w:tc>
          <w:tcPr>
            <w:tcW w:w="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5.8%</w:t>
            </w:r>
          </w:p>
        </w:tc>
        <w:tc>
          <w:tcPr>
            <w:tcW w:w="180" w:type="dxa"/>
            <w:vAlign w:val="bottom"/>
            <w:tcBorders>
              <w:bottom w:val="single" w:sz="8" w:color="auto"/>
              <w:right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w:t>
            </w:r>
          </w:p>
        </w:tc>
        <w:tc>
          <w:tcPr>
            <w:tcW w:w="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w:t>
            </w:r>
          </w:p>
        </w:tc>
      </w:tr>
    </w:tbl>
    <w:p>
      <w:pPr>
        <w:spacing w:after="0" w:line="350"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First quarter 2020 revenue increased $12 million, or 2.5%, compared to the prior year period. The increase was driven primarily by growth on existing contracts.</w:t>
      </w:r>
    </w:p>
    <w:p>
      <w:pPr>
        <w:spacing w:after="0" w:line="8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First quarter 2020 Critical Infrastructure Adjusted EBITDA including noncontrolling interests decreased by $3 million, or 8%, compared to the prior year period. Adjusted EBITDA margin including noncontrolling interests decreased to 5.8%. These decreases were primarily driven by lower equity in earnings from unconsolidated joint ventures.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2020 Key Performance Indicators</w:t>
      </w:r>
    </w:p>
    <w:p>
      <w:pPr>
        <w:sectPr>
          <w:pgSz w:w="11900" w:h="16838" w:orient="portrait"/>
          <w:cols w:equalWidth="0" w:num="1">
            <w:col w:w="11240"/>
          </w:cols>
          <w:pgMar w:left="320" w:top="355" w:right="33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Book-to-bill ratio: 1.0x on net bookings of $966 million. Trailing twelve-month: 1.0x on net bookings of $4.0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backlog: $7.8 billion, a 9% decrease over the first quarter of 2019.</w:t>
      </w:r>
    </w:p>
    <w:p>
      <w:pPr>
        <w:spacing w:after="0" w:line="19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Cash flow used in operating activities: First quarter 2020: $119 million, compared to cash used in operating activities of $60 million in the first quarter of 2019. The outflow increase was primarily driven by costs related to previously disclosed pre-IPO long-term incentive compensation plans linked to the company’s share price.</w:t>
      </w:r>
    </w:p>
    <w:p>
      <w:pPr>
        <w:spacing w:after="0" w:line="200" w:lineRule="exact"/>
        <w:rPr>
          <w:sz w:val="20"/>
          <w:szCs w:val="20"/>
          <w:color w:val="auto"/>
        </w:rPr>
      </w:pPr>
    </w:p>
    <w:p>
      <w:pPr>
        <w:sectPr>
          <w:pgSz w:w="11900" w:h="16838" w:orient="portrait"/>
          <w:cols w:equalWidth="0" w:num="2">
            <w:col w:w="100" w:space="300"/>
            <w:col w:w="10840"/>
          </w:cols>
          <w:pgMar w:left="320" w:top="355" w:right="339" w:bottom="1440" w:gutter="0" w:footer="0" w:header="0"/>
          <w:type w:val="continuous"/>
        </w:sectPr>
      </w:pP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4" w:name="page5"/>
    <w:bookmarkEnd w:id="4"/>
    <w:p>
      <w:pPr>
        <w:ind w:left="400" w:right="200" w:hanging="392"/>
        <w:spacing w:after="0" w:line="202" w:lineRule="auto"/>
        <w:tabs>
          <w:tab w:leader="none" w:pos="400" w:val="left"/>
        </w:tabs>
        <w:numPr>
          <w:ilvl w:val="0"/>
          <w:numId w:val="2"/>
        </w:numPr>
        <w:rPr>
          <w:rFonts w:ascii="Arial" w:cs="Arial" w:eastAsia="Arial" w:hAnsi="Arial"/>
          <w:sz w:val="47"/>
          <w:szCs w:val="47"/>
          <w:color w:val="auto"/>
          <w:vertAlign w:val="subscript"/>
        </w:rPr>
      </w:pPr>
      <w:r>
        <w:rPr>
          <w:rFonts w:ascii="Arial" w:cs="Arial" w:eastAsia="Arial" w:hAnsi="Arial"/>
          <w:sz w:val="17"/>
          <w:szCs w:val="17"/>
          <w:color w:val="auto"/>
        </w:rPr>
        <w:t>Debt: total and net debt were $314 million and $195 million, respectively. The company’s net debt to trailing twelve-month adjusted EBITDA leverage ratio at the end of the first quarter of 2020 was 0.6x. The company defines net debt as total debt less cash and cash equivalents.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2020 Significant Contract Wins</w:t>
      </w:r>
    </w:p>
    <w:p>
      <w:pPr>
        <w:spacing w:after="0" w:line="12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Parsons continued to win large single-award contracts in its Federal Solutions segment. In addition, the company, won a prime position on a significant multiple-award indefinite-delivery/indefinite-quantity (IDIQ) contact and a large joint venture project.</w:t>
      </w:r>
    </w:p>
    <w:p>
      <w:pPr>
        <w:sectPr>
          <w:pgSz w:w="11900" w:h="16838" w:orient="portrait"/>
          <w:cols w:equalWidth="0" w:num="1">
            <w:col w:w="11240"/>
          </w:cols>
          <w:pgMar w:left="320" w:top="355" w:right="3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Awarded a contract valued at approximately $180 million for security work by a classified customer.</w:t>
      </w:r>
    </w:p>
    <w:p>
      <w:pPr>
        <w:spacing w:after="0" w:line="19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Awarded a $ 109 million contract by the General Services Administration’s Special Programs Division to provide program, design and construction management services for a wide range of Federal Customers Nationwide.</w:t>
      </w:r>
    </w:p>
    <w:p>
      <w:pPr>
        <w:spacing w:after="0" w:line="89" w:lineRule="exact"/>
        <w:rPr>
          <w:sz w:val="20"/>
          <w:szCs w:val="20"/>
          <w:color w:val="auto"/>
        </w:rPr>
      </w:pPr>
    </w:p>
    <w:p>
      <w:pPr>
        <w:ind w:right="1100"/>
        <w:spacing w:after="0" w:line="246" w:lineRule="auto"/>
        <w:rPr>
          <w:sz w:val="20"/>
          <w:szCs w:val="20"/>
          <w:color w:val="auto"/>
        </w:rPr>
      </w:pPr>
      <w:r>
        <w:rPr>
          <w:rFonts w:ascii="Arial" w:cs="Arial" w:eastAsia="Arial" w:hAnsi="Arial"/>
          <w:sz w:val="18"/>
          <w:szCs w:val="18"/>
          <w:color w:val="auto"/>
        </w:rPr>
        <w:t>Awarded a $91 million contract with the Air Force research laboratory to perform functional onsite training, demonstrations, enhancements, modifications, integration, testing, and deployment of technologies.</w:t>
      </w:r>
    </w:p>
    <w:p>
      <w:pPr>
        <w:spacing w:after="0" w:line="8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Awarded classified contracts valued at approximately $60 million to provide cyber, operational software development work, security assessment, and protection of systems and critical infrastructure worldwide.</w:t>
      </w:r>
    </w:p>
    <w:p>
      <w:pPr>
        <w:spacing w:after="0" w:line="200" w:lineRule="exact"/>
        <w:rPr>
          <w:sz w:val="20"/>
          <w:szCs w:val="20"/>
          <w:color w:val="auto"/>
        </w:rPr>
      </w:pPr>
    </w:p>
    <w:p>
      <w:pPr>
        <w:sectPr>
          <w:pgSz w:w="11900" w:h="16838" w:orient="portrait"/>
          <w:cols w:equalWidth="0" w:num="2">
            <w:col w:w="100" w:space="300"/>
            <w:col w:w="10840"/>
          </w:cols>
          <w:pgMar w:left="320" w:top="355"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Additional Corporate Highlights</w:t>
      </w:r>
    </w:p>
    <w:p>
      <w:pPr>
        <w:spacing w:after="0" w:line="121" w:lineRule="exact"/>
        <w:rPr>
          <w:sz w:val="20"/>
          <w:szCs w:val="20"/>
          <w:color w:val="auto"/>
        </w:rPr>
      </w:pPr>
    </w:p>
    <w:p>
      <w:pPr>
        <w:ind w:right="340"/>
        <w:spacing w:after="0" w:line="254" w:lineRule="auto"/>
        <w:rPr>
          <w:sz w:val="20"/>
          <w:szCs w:val="20"/>
          <w:color w:val="auto"/>
        </w:rPr>
      </w:pPr>
      <w:r>
        <w:rPr>
          <w:rFonts w:ascii="Arial" w:cs="Arial" w:eastAsia="Arial" w:hAnsi="Arial"/>
          <w:sz w:val="17"/>
          <w:szCs w:val="17"/>
          <w:color w:val="auto"/>
        </w:rPr>
        <w:t>Parsons continues to be recognized for its Ethics and IT leadership. In addition, the company launched a touchless, biometrics sensing product suite and established a partnership with Adaptive Launch Solutions (ALS) to further its position within the Space market. Parsons also published its latest Corporate Social Responsibility (CSR) report, highlighting its initiatives to making the world a better place.</w:t>
      </w:r>
    </w:p>
    <w:p>
      <w:pPr>
        <w:spacing w:after="0" w:line="95" w:lineRule="exact"/>
        <w:rPr>
          <w:sz w:val="20"/>
          <w:szCs w:val="20"/>
          <w:color w:val="auto"/>
        </w:rPr>
      </w:pPr>
    </w:p>
    <w:p>
      <w:pPr>
        <w:ind w:left="400" w:hanging="392"/>
        <w:spacing w:after="0" w:line="181" w:lineRule="auto"/>
        <w:tabs>
          <w:tab w:leader="none" w:pos="400" w:val="left"/>
        </w:tabs>
        <w:numPr>
          <w:ilvl w:val="0"/>
          <w:numId w:val="3"/>
        </w:numPr>
        <w:rPr>
          <w:rFonts w:ascii="Arial" w:cs="Arial" w:eastAsia="Arial" w:hAnsi="Arial"/>
          <w:sz w:val="44"/>
          <w:szCs w:val="44"/>
          <w:color w:val="auto"/>
          <w:vertAlign w:val="subscript"/>
        </w:rPr>
      </w:pPr>
      <w:r>
        <w:rPr>
          <w:rFonts w:ascii="Arial" w:cs="Arial" w:eastAsia="Arial" w:hAnsi="Arial"/>
          <w:sz w:val="17"/>
          <w:szCs w:val="17"/>
          <w:color w:val="auto"/>
        </w:rPr>
        <w:t>Launched DetectWise™, a product suite that includes contactless, mobile health screening kiosks, modular testing and decontamination facilities to keep the public safe in high-traffic areas like airports, shopping malls, corporate buildings and sports stadiums. Parsons is re-inventing the personal screening process – leveraging innovative technologies, data analytics and artificial intelligence. Our scalable solutions will help ensure the economy remains stable and minimize future COVID or other virus events.</w:t>
      </w:r>
    </w:p>
    <w:p>
      <w:pPr>
        <w:sectPr>
          <w:pgSz w:w="11900" w:h="16838" w:orient="portrait"/>
          <w:cols w:equalWidth="0" w:num="1">
            <w:col w:w="11240"/>
          </w:cols>
          <w:pgMar w:left="320" w:top="355"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Named by Ethisphere, a global leader in defining and advancing the standards of ethical business practices, as one of the 2020 World's Most Ethical Companies</w:t>
      </w:r>
      <w:r>
        <w:rPr>
          <w:rFonts w:ascii="Arial" w:cs="Arial" w:eastAsia="Arial" w:hAnsi="Arial"/>
          <w:sz w:val="15"/>
          <w:szCs w:val="15"/>
          <w:color w:val="auto"/>
        </w:rPr>
        <w:t>®</w:t>
      </w:r>
      <w:r>
        <w:rPr>
          <w:rFonts w:ascii="Arial" w:cs="Arial" w:eastAsia="Arial" w:hAnsi="Arial"/>
          <w:sz w:val="18"/>
          <w:szCs w:val="18"/>
          <w:color w:val="auto"/>
        </w:rPr>
        <w:t>. The company has been honored with this recognition for 11 consecutive years.</w:t>
      </w:r>
    </w:p>
    <w:p>
      <w:pPr>
        <w:spacing w:after="0" w:line="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Named to the CIO 100 list of the world's most innovative companies. The CIO 100 Award celebrates companies that are using IT in innovative ways to deliver business value, whether by creating competitive advantage, optimizing business processes, enabling growth or improving relationships with customers.</w:t>
      </w:r>
    </w:p>
    <w:p>
      <w:pPr>
        <w:spacing w:after="0" w:line="95" w:lineRule="exact"/>
        <w:rPr>
          <w:sz w:val="20"/>
          <w:szCs w:val="20"/>
          <w:color w:val="auto"/>
        </w:rPr>
      </w:pPr>
    </w:p>
    <w:p>
      <w:pPr>
        <w:sectPr>
          <w:pgSz w:w="11900" w:h="16838" w:orient="portrait"/>
          <w:cols w:equalWidth="0" w:num="2">
            <w:col w:w="100" w:space="300"/>
            <w:col w:w="10840"/>
          </w:cols>
          <w:pgMar w:left="320" w:top="355"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8"/>
          <w:szCs w:val="18"/>
          <w:color w:val="auto"/>
        </w:rPr>
        <w:t>Established a strategic partnership with ALS for launch and space system engineering, operations, and integration opportunities with the U.S. government and commercial customers.</w:t>
      </w:r>
    </w:p>
    <w:p>
      <w:pPr>
        <w:spacing w:after="0" w:line="8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Parsons’ Creative Services team was recognized by the Association of Marketing &amp; Communication professionals with seven Hermes awards. The awards include Platinum recognition for the company’s Brand Refresh, Annual Report and Parsons.com and Gold level recognition for our 24 Foundation infographic, “Do More of What You Love” ESOP campaign, and National Cybersecurity Awareness Month infographic. The team also received an honorable mention for the Data Privacy Day infographic. These wins are a testament to the innovative talent and inspiration of Parsons’ Creative Services team.</w:t>
      </w:r>
    </w:p>
    <w:p>
      <w:pPr>
        <w:spacing w:after="0" w:line="200" w:lineRule="exact"/>
        <w:rPr>
          <w:sz w:val="20"/>
          <w:szCs w:val="20"/>
          <w:color w:val="auto"/>
        </w:rPr>
      </w:pPr>
    </w:p>
    <w:p>
      <w:pPr>
        <w:sectPr>
          <w:pgSz w:w="11900" w:h="16838" w:orient="portrait"/>
          <w:cols w:equalWidth="0" w:num="2">
            <w:col w:w="100" w:space="300"/>
            <w:col w:w="10840"/>
          </w:cols>
          <w:pgMar w:left="320" w:top="355" w:right="339"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5" w:name="page6"/>
    <w:bookmarkEnd w:id="5"/>
    <w:p>
      <w:pPr>
        <w:ind w:left="400" w:hanging="392"/>
        <w:spacing w:after="0" w:line="212" w:lineRule="auto"/>
        <w:tabs>
          <w:tab w:leader="none" w:pos="400" w:val="left"/>
        </w:tabs>
        <w:numPr>
          <w:ilvl w:val="0"/>
          <w:numId w:val="4"/>
        </w:numPr>
        <w:rPr>
          <w:rFonts w:ascii="Arial" w:cs="Arial" w:eastAsia="Arial" w:hAnsi="Arial"/>
          <w:sz w:val="47"/>
          <w:szCs w:val="47"/>
          <w:color w:val="auto"/>
          <w:vertAlign w:val="subscript"/>
        </w:rPr>
      </w:pPr>
      <w:r>
        <w:rPr>
          <w:rFonts w:ascii="Arial" w:cs="Arial" w:eastAsia="Arial" w:hAnsi="Arial"/>
          <w:sz w:val="17"/>
          <w:szCs w:val="17"/>
          <w:color w:val="auto"/>
        </w:rPr>
        <w:t>Published Parsons’ 2020 CSR report titled “Believe in Better” on April 22, Earth Day (located on Parsons.com). In addition to reporting on the company’s environmental, social and governance (ESG) accomplishments, the report highlights the company’s implementation of best practices and innovative approaches to creating value for stakeholders while enhancing the communities in which we live, work and play.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2020 Guidance</w:t>
      </w:r>
    </w:p>
    <w:p>
      <w:pPr>
        <w:spacing w:after="0" w:line="12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company is reiterating the fiscal year 2020 guidance it issued on March 10, 2020, based on its financial results for the first quarter of 2020 and its current outlook for the remainder of year. The table below summarizes the company’s fiscal year 2020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57150</wp:posOffset>
            </wp:positionV>
            <wp:extent cx="4526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31" w:lineRule="exact"/>
        <w:rPr>
          <w:sz w:val="20"/>
          <w:szCs w:val="20"/>
          <w:color w:val="auto"/>
        </w:rPr>
      </w:pPr>
    </w:p>
    <w:tbl>
      <w:tblPr>
        <w:tblLayout w:type="fixed"/>
        <w:tblInd w:w="2060" w:type="dxa"/>
        <w:tblCellMar>
          <w:top w:w="0" w:type="dxa"/>
          <w:left w:w="0" w:type="dxa"/>
          <w:bottom w:w="0" w:type="dxa"/>
          <w:right w:w="0" w:type="dxa"/>
        </w:tblCellMar>
      </w:tblPr>
      <w:tr>
        <w:trPr>
          <w:trHeight w:val="224"/>
        </w:trPr>
        <w:tc>
          <w:tcPr>
            <w:tcW w:w="43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Fiscal Year 2020 Guidance</w:t>
            </w:r>
          </w:p>
        </w:tc>
      </w:tr>
      <w:tr>
        <w:trPr>
          <w:trHeight w:val="297"/>
        </w:trPr>
        <w:tc>
          <w:tcPr>
            <w:tcW w:w="4360" w:type="dxa"/>
            <w:vAlign w:val="bottom"/>
          </w:tcPr>
          <w:p>
            <w:pPr>
              <w:ind w:left="60"/>
              <w:spacing w:after="0"/>
              <w:rPr>
                <w:sz w:val="20"/>
                <w:szCs w:val="20"/>
                <w:color w:val="auto"/>
              </w:rPr>
            </w:pPr>
            <w:r>
              <w:rPr>
                <w:rFonts w:ascii="Arial" w:cs="Arial" w:eastAsia="Arial" w:hAnsi="Arial"/>
                <w:sz w:val="18"/>
                <w:szCs w:val="18"/>
                <w:color w:val="auto"/>
              </w:rPr>
              <w:t>Revenue</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$3.95 billion - $4.05 billion</w:t>
            </w:r>
          </w:p>
        </w:tc>
      </w:tr>
      <w:tr>
        <w:trPr>
          <w:trHeight w:val="324"/>
        </w:trPr>
        <w:tc>
          <w:tcPr>
            <w:tcW w:w="4360" w:type="dxa"/>
            <w:vAlign w:val="bottom"/>
          </w:tcPr>
          <w:p>
            <w:pPr>
              <w:ind w:left="60"/>
              <w:spacing w:after="0"/>
              <w:rPr>
                <w:sz w:val="20"/>
                <w:szCs w:val="20"/>
                <w:color w:val="auto"/>
              </w:rPr>
            </w:pPr>
            <w:r>
              <w:rPr>
                <w:rFonts w:ascii="Arial" w:cs="Arial" w:eastAsia="Arial" w:hAnsi="Arial"/>
                <w:sz w:val="18"/>
                <w:szCs w:val="18"/>
                <w:color w:val="auto"/>
              </w:rPr>
              <w:t>Adjusted EBITDA including non-controlling interest</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$330 million - $360 million</w:t>
            </w:r>
          </w:p>
        </w:tc>
      </w:tr>
      <w:tr>
        <w:trPr>
          <w:trHeight w:val="270"/>
        </w:trPr>
        <w:tc>
          <w:tcPr>
            <w:tcW w:w="4360" w:type="dxa"/>
            <w:vAlign w:val="bottom"/>
          </w:tcPr>
          <w:p>
            <w:pPr>
              <w:ind w:left="60"/>
              <w:spacing w:after="0"/>
              <w:rPr>
                <w:sz w:val="20"/>
                <w:szCs w:val="20"/>
                <w:color w:val="auto"/>
              </w:rPr>
            </w:pPr>
            <w:r>
              <w:rPr>
                <w:rFonts w:ascii="Arial" w:cs="Arial" w:eastAsia="Arial" w:hAnsi="Arial"/>
                <w:sz w:val="18"/>
                <w:szCs w:val="18"/>
                <w:color w:val="auto"/>
              </w:rPr>
              <w:t>Cash Flow from Operating Activities</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$230 million - $250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128905</wp:posOffset>
            </wp:positionV>
            <wp:extent cx="4526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303"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Net income guidance is not presented as the company believes market volatility in its share price and the resulting impact on the company’s equity-based compensation expense and net income will preclude the company from providing accurate projections for fiscal year 2020.</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Parsons will host a conference call today, May 6, 2020, at 8:00 a.m. ET to discuss the financial results for its first quarter 2020.</w:t>
      </w:r>
    </w:p>
    <w:p>
      <w:pPr>
        <w:spacing w:after="0" w:line="104" w:lineRule="exact"/>
        <w:rPr>
          <w:sz w:val="20"/>
          <w:szCs w:val="20"/>
          <w:color w:val="auto"/>
        </w:rPr>
      </w:pPr>
    </w:p>
    <w:p>
      <w:pPr>
        <w:ind w:right="520"/>
        <w:spacing w:after="0" w:line="261" w:lineRule="auto"/>
        <w:rPr>
          <w:sz w:val="20"/>
          <w:szCs w:val="20"/>
          <w:color w:val="auto"/>
        </w:rPr>
      </w:pPr>
      <w:r>
        <w:rPr>
          <w:rFonts w:ascii="Arial" w:cs="Arial" w:eastAsia="Arial" w:hAnsi="Arial"/>
          <w:sz w:val="17"/>
          <w:szCs w:val="17"/>
          <w:color w:val="auto"/>
        </w:rPr>
        <w:t>Listeners may access a webcast of the live conference call from the Investor Relations section of the company's website at www.Parsons.com. Listeners also may access a slide presentation on the website, which summarizes the company’s first quarter 2020 results. Listeners should go to the website 15 minutes before the live event to download and install any necessary audio software.</w:t>
      </w:r>
    </w:p>
    <w:p>
      <w:pPr>
        <w:spacing w:after="0" w:line="7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Listeners may also participate in the conference call by dialing +1 866-987-6581 (domestic) or +1 602-563-8686 (international) and entering passcode 5395648.</w:t>
      </w:r>
    </w:p>
    <w:p>
      <w:pPr>
        <w:spacing w:after="0" w:line="102" w:lineRule="exact"/>
        <w:rPr>
          <w:sz w:val="20"/>
          <w:szCs w:val="20"/>
          <w:color w:val="auto"/>
        </w:rPr>
      </w:pPr>
    </w:p>
    <w:p>
      <w:pPr>
        <w:ind w:left="20" w:right="720"/>
        <w:spacing w:after="0" w:line="242" w:lineRule="auto"/>
        <w:rPr>
          <w:sz w:val="20"/>
          <w:szCs w:val="20"/>
          <w:color w:val="auto"/>
        </w:rPr>
      </w:pPr>
      <w:r>
        <w:rPr>
          <w:rFonts w:ascii="Arial" w:cs="Arial" w:eastAsia="Arial" w:hAnsi="Arial"/>
          <w:sz w:val="18"/>
          <w:szCs w:val="18"/>
          <w:color w:val="auto"/>
        </w:rPr>
        <w:t>A replay will be available on the company's website approximately two hours after the conference call and continuing for one year. A telephonic replay also will be available through May 13, 2020 at +1 855-859-2056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(domestic) or +1 404-537-3406 (international) and entering passcode 5395648.</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Parsons Corporation</w:t>
      </w:r>
    </w:p>
    <w:p>
      <w:pPr>
        <w:spacing w:after="0" w:line="67"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 xml:space="preserve">Parsons is a leading disruptive technology provider in the global defense, intelligence, and critical infrastructure markets, with capabilities across cybersecurity, missile defense, space, connected infrastructure, and smart cities. Please visit </w:t>
      </w:r>
      <w:r>
        <w:rPr>
          <w:rFonts w:ascii="Arial" w:cs="Arial" w:eastAsia="Arial" w:hAnsi="Arial"/>
          <w:sz w:val="18"/>
          <w:szCs w:val="18"/>
          <w:color w:val="0077C8"/>
        </w:rPr>
        <w:t>parsons.com</w:t>
      </w:r>
      <w:r>
        <w:rPr>
          <w:rFonts w:ascii="Arial" w:cs="Arial" w:eastAsia="Arial" w:hAnsi="Arial"/>
          <w:sz w:val="18"/>
          <w:szCs w:val="18"/>
          <w:color w:val="auto"/>
        </w:rPr>
        <w:t xml:space="preserve">, and follow us on </w:t>
      </w:r>
      <w:r>
        <w:rPr>
          <w:rFonts w:ascii="Arial" w:cs="Arial" w:eastAsia="Arial" w:hAnsi="Arial"/>
          <w:sz w:val="18"/>
          <w:szCs w:val="18"/>
          <w:color w:val="0077C8"/>
        </w:rPr>
        <w:t>LinkedIn</w:t>
      </w:r>
      <w:r>
        <w:rPr>
          <w:rFonts w:ascii="Arial" w:cs="Arial" w:eastAsia="Arial" w:hAnsi="Arial"/>
          <w:sz w:val="18"/>
          <w:szCs w:val="18"/>
          <w:color w:val="auto"/>
        </w:rPr>
        <w:t xml:space="preserve"> and </w:t>
      </w:r>
      <w:r>
        <w:rPr>
          <w:rFonts w:ascii="Arial" w:cs="Arial" w:eastAsia="Arial" w:hAnsi="Arial"/>
          <w:sz w:val="18"/>
          <w:szCs w:val="18"/>
          <w:color w:val="0077C8"/>
        </w:rPr>
        <w:t>Facebook</w:t>
      </w:r>
      <w:r>
        <w:rPr>
          <w:rFonts w:ascii="Arial" w:cs="Arial" w:eastAsia="Arial" w:hAnsi="Arial"/>
          <w:sz w:val="18"/>
          <w:szCs w:val="18"/>
          <w:color w:val="auto"/>
        </w:rPr>
        <w:t xml:space="preserve"> to learn how we're making an impact.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This Earnings Release and materials included therewith contains forward-looking statements within the meaning of the Private Securities Litigation Reform Act of 1995, Section 27A of the Securities Act of 1933, as amended, and Section 21E of the Securities Exchange Act of 1934, as amended. Forward-looking statements are based on our current expectations, beliefs and assumptions, and are not guarantees of future performance. Forward-looking statements are inherently subject to uncertainties, risks, changes in circumstances, trends and factors that are difficult to predict, many of which are outside of our control. Accordingly, actual performance, results and events may vary materially from those indicated in the forward-looking statements, and you should not rely on the forward-looking statements as predictions of future performance, results or events. Numerous factors could cause actual future performance, results and events to differ materially from those indicated in the forward-looking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spacing w:after="0" w:line="235" w:lineRule="auto"/>
        <w:rPr>
          <w:sz w:val="20"/>
          <w:szCs w:val="20"/>
          <w:color w:val="auto"/>
        </w:rPr>
      </w:pPr>
      <w:r>
        <w:rPr>
          <w:rFonts w:ascii="Arial" w:cs="Arial" w:eastAsia="Arial" w:hAnsi="Arial"/>
          <w:sz w:val="18"/>
          <w:szCs w:val="18"/>
          <w:color w:val="auto"/>
        </w:rPr>
        <w:t>including, among others: any issue that compromises our relationships with the U.S. federal government or its agencies or other state, local or foreign governments or agencies; any issues that damage our professional reputation; changes in governmental priorities that shift expenditures away from agencies or programs that we support; our dependence on long-term government contracts, which are subject to the government’s budgetary approval process; the size of our addressable markets and the amount of government spending on private contractors; failure by us or our employees to obtain and maintain necessary security clearances or certifications; failure to comply with numerous laws and regulations; changes in government procurement, contract or other practices or the adoption by governments of new laws, rules, regulations and programs in a manner adverse to us; the termination or nonrenewal of our government contracts, particularly our contracts with the U.S. federal government; our ability to compete effectively in the competitive bidding process and delays, contract terminations or cancellations caused by competitors’ protests of major contract awards received by us; our ability to generate revenue under certain of our contracts; any inability to attract, train or retain employees with the requisite skills, experience and security clearances; the loss of members of senior management or failure to develop new leaders; misconduct or other improper activities from our employees or subcontractors; our ability to realize the full value of our backlog and the timing of our receipt of revenue under contracts included in backlog; changes in the mix of our contracts and our ability to accurately estimate or otherwise recover expenses, time and resources for our contracts; changes in estimates used in recognizing revenue; internal system or service failures and security breaches; and inherent uncertainties and potential adverse developments in legal proceedings, including litigation, audits, reviews and investigations, which may result in materially adverse judgments, settlements or other unfavorable outcomes. These factors are not exhaustive and additional factors could adversely affect our business and financial performance. For a discussion of additional factors that could materially adversely affect our business and financial performance, see the factors included under the caption “Risk Factors” in our Annual Report with the Securities and Exchange Commission pursuant to Section 13 or 15(d) of the Securities Exchange Act of 1934 for the fiscal year ended December 31, 2019 on Form 10K, filed on March 10, 2020, and our other filings with the Securities and Exchange Commission. All forward-looking statements are based on currently available information and speak only as of the date on which they are made. We assume no obligation to update any forward-looking statement made in this presentation that becomes untrue because of subsequent events, new information or otherwise, except to the extent we are required to do so in connection with our ongoing requirements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w w:val="96"/>
              </w:rPr>
              <w:t>Media:</w:t>
            </w:r>
          </w:p>
        </w:tc>
        <w:tc>
          <w:tcPr>
            <w:tcW w:w="6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Investor Relations:</w:t>
            </w:r>
          </w:p>
        </w:tc>
        <w:tc>
          <w:tcPr>
            <w:tcW w:w="2300" w:type="dxa"/>
            <w:vAlign w:val="bottom"/>
          </w:tcPr>
          <w:p>
            <w:pPr>
              <w:spacing w:after="0"/>
              <w:rPr>
                <w:sz w:val="17"/>
                <w:szCs w:val="17"/>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09"/>
        </w:trPr>
        <w:tc>
          <w:tcPr>
            <w:tcW w:w="1760" w:type="dxa"/>
            <w:vAlign w:val="bottom"/>
            <w:gridSpan w:val="3"/>
          </w:tcPr>
          <w:p>
            <w:pPr>
              <w:spacing w:after="0"/>
              <w:rPr>
                <w:sz w:val="20"/>
                <w:szCs w:val="20"/>
                <w:color w:val="auto"/>
              </w:rPr>
            </w:pPr>
            <w:r>
              <w:rPr>
                <w:rFonts w:ascii="Arial" w:cs="Arial" w:eastAsia="Arial" w:hAnsi="Arial"/>
                <w:sz w:val="18"/>
                <w:szCs w:val="18"/>
                <w:color w:val="auto"/>
              </w:rPr>
              <w:t>Bryce McDevitt</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Dave Spille</w:t>
            </w:r>
          </w:p>
        </w:tc>
        <w:tc>
          <w:tcPr>
            <w:tcW w:w="2300" w:type="dxa"/>
            <w:vAlign w:val="bottom"/>
          </w:tcPr>
          <w:p>
            <w:pPr>
              <w:spacing w:after="0"/>
              <w:rPr>
                <w:sz w:val="18"/>
                <w:szCs w:val="18"/>
                <w:color w:val="auto"/>
              </w:rPr>
            </w:pPr>
          </w:p>
        </w:tc>
      </w:tr>
      <w:tr>
        <w:trPr>
          <w:trHeight w:val="203"/>
        </w:trPr>
        <w:tc>
          <w:tcPr>
            <w:tcW w:w="1760" w:type="dxa"/>
            <w:vAlign w:val="bottom"/>
            <w:gridSpan w:val="3"/>
          </w:tcPr>
          <w:p>
            <w:pPr>
              <w:spacing w:after="0" w:line="202" w:lineRule="exact"/>
              <w:rPr>
                <w:sz w:val="20"/>
                <w:szCs w:val="20"/>
                <w:color w:val="auto"/>
              </w:rPr>
            </w:pPr>
            <w:r>
              <w:rPr>
                <w:rFonts w:ascii="Arial" w:cs="Arial" w:eastAsia="Arial" w:hAnsi="Arial"/>
                <w:sz w:val="18"/>
                <w:szCs w:val="18"/>
                <w:color w:val="auto"/>
              </w:rPr>
              <w:t>Parsons Corporation</w:t>
            </w:r>
          </w:p>
        </w:tc>
        <w:tc>
          <w:tcPr>
            <w:tcW w:w="348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Parsons Corporation</w:t>
            </w:r>
          </w:p>
        </w:tc>
      </w:tr>
      <w:tr>
        <w:trPr>
          <w:trHeight w:val="203"/>
        </w:trPr>
        <w:tc>
          <w:tcPr>
            <w:tcW w:w="1760" w:type="dxa"/>
            <w:vAlign w:val="bottom"/>
            <w:gridSpan w:val="3"/>
          </w:tcPr>
          <w:p>
            <w:pPr>
              <w:spacing w:after="0" w:line="202" w:lineRule="exact"/>
              <w:rPr>
                <w:sz w:val="20"/>
                <w:szCs w:val="20"/>
                <w:color w:val="auto"/>
              </w:rPr>
            </w:pPr>
            <w:r>
              <w:rPr>
                <w:rFonts w:ascii="Arial" w:cs="Arial" w:eastAsia="Arial" w:hAnsi="Arial"/>
                <w:sz w:val="18"/>
                <w:szCs w:val="18"/>
                <w:color w:val="auto"/>
              </w:rPr>
              <w:t>(703) 797-3001</w:t>
            </w:r>
          </w:p>
        </w:tc>
        <w:tc>
          <w:tcPr>
            <w:tcW w:w="34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(571) 655-8264</w:t>
            </w:r>
          </w:p>
        </w:tc>
      </w:tr>
      <w:tr>
        <w:trPr>
          <w:trHeight w:val="217"/>
        </w:trPr>
        <w:tc>
          <w:tcPr>
            <w:tcW w:w="2940" w:type="dxa"/>
            <w:vAlign w:val="bottom"/>
            <w:gridSpan w:val="5"/>
          </w:tcPr>
          <w:p>
            <w:pPr>
              <w:spacing w:after="0"/>
              <w:rPr>
                <w:sz w:val="20"/>
                <w:szCs w:val="20"/>
                <w:color w:val="auto"/>
              </w:rPr>
            </w:pPr>
            <w:r>
              <w:rPr>
                <w:rFonts w:ascii="Arial" w:cs="Arial" w:eastAsia="Arial" w:hAnsi="Arial"/>
                <w:sz w:val="18"/>
                <w:szCs w:val="18"/>
                <w:color w:val="auto"/>
              </w:rPr>
              <w:t>Bryce.McDevitt@Parsons.com</w:t>
            </w:r>
          </w:p>
        </w:tc>
        <w:tc>
          <w:tcPr>
            <w:tcW w:w="2300" w:type="dxa"/>
            <w:vAlign w:val="bottom"/>
          </w:tcPr>
          <w:p>
            <w:pPr>
              <w:ind w:left="160"/>
              <w:spacing w:after="0"/>
              <w:rPr>
                <w:sz w:val="20"/>
                <w:szCs w:val="20"/>
                <w:color w:val="auto"/>
              </w:rPr>
            </w:pPr>
            <w:r>
              <w:rPr>
                <w:rFonts w:ascii="Arial" w:cs="Arial" w:eastAsia="Arial" w:hAnsi="Arial"/>
                <w:sz w:val="18"/>
                <w:szCs w:val="18"/>
                <w:color w:val="auto"/>
                <w:w w:val="98"/>
              </w:rPr>
              <w:t>Dave.Spille@Parsons.com</w:t>
            </w:r>
          </w:p>
        </w:tc>
      </w:tr>
    </w:tbl>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jc w:val="right"/>
              <w:ind w:right="651"/>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970,993</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904,405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769,632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714,237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general and administrative expenses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183,774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177,519</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23,046</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(4,022)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(8,292)</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(4,246)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(7,774)</w:t>
            </w: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(5,084)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(1,886)</w:t>
            </w: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(3,645)</w:t>
            </w:r>
          </w:p>
        </w:tc>
      </w:tr>
      <w:tr>
        <w:trPr>
          <w:trHeight w:val="20"/>
        </w:trPr>
        <w:tc>
          <w:tcPr>
            <w:tcW w:w="7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70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12,973</w:t>
            </w:r>
          </w:p>
        </w:tc>
        <w:tc>
          <w:tcPr>
            <w:tcW w:w="18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21"/>
                <w:szCs w:val="21"/>
                <w:color w:val="auto"/>
              </w:rPr>
            </w:pPr>
          </w:p>
        </w:tc>
      </w:tr>
      <w:tr>
        <w:trPr>
          <w:trHeight w:val="197"/>
        </w:trPr>
        <w:tc>
          <w:tcPr>
            <w:tcW w:w="7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Weighted average number shares used to compute basic and diluted EPS </w:t>
      </w:r>
      <w:r>
        <w:rPr>
          <w:rFonts w:ascii="Arial" w:cs="Arial" w:eastAsia="Arial" w:hAnsi="Arial"/>
          <w:sz w:val="18"/>
          <w:szCs w:val="18"/>
          <w:color w:val="auto"/>
        </w:rPr>
        <w:t>(in thousands)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400" w:type="dxa"/>
            <w:vAlign w:val="bottom"/>
            <w:tcBorders>
              <w:bottom w:val="single" w:sz="8" w:color="auto"/>
            </w:tcBorders>
            <w:gridSpan w:val="3"/>
          </w:tcPr>
          <w:p>
            <w:pPr>
              <w:jc w:val="right"/>
              <w:ind w:right="9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772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 2020</w:t>
            </w: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100,670</w:t>
            </w:r>
          </w:p>
        </w:tc>
        <w:tc>
          <w:tcPr>
            <w:tcW w:w="28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78,161</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Dilutive common share equivalents</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100,899</w:t>
            </w:r>
          </w:p>
        </w:tc>
        <w:tc>
          <w:tcPr>
            <w:tcW w:w="2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78,161</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PARSONS CORPORATION</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ind w:left="4020"/>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159"/>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8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169"/>
        </w:trPr>
        <w:tc>
          <w:tcPr>
            <w:tcW w:w="8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846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Cash and cash equivalents (including $43,227 and $51,171 Cash of consolidated joint ventures)</w:t>
            </w:r>
          </w:p>
        </w:tc>
        <w:tc>
          <w:tcPr>
            <w:tcW w:w="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119,299</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182,688</w:t>
            </w:r>
          </w:p>
        </w:tc>
        <w:tc>
          <w:tcPr>
            <w:tcW w:w="120" w:type="dxa"/>
            <w:vAlign w:val="bottom"/>
            <w:shd w:val="clear" w:color="auto" w:fill="CFF0FC"/>
          </w:tcPr>
          <w:p>
            <w:pPr>
              <w:spacing w:after="0"/>
              <w:rPr>
                <w:sz w:val="15"/>
                <w:szCs w:val="15"/>
                <w:color w:val="auto"/>
              </w:rPr>
            </w:pP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Restricted cash and investments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7,423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12,686</w:t>
            </w:r>
          </w:p>
        </w:tc>
        <w:tc>
          <w:tcPr>
            <w:tcW w:w="120" w:type="dxa"/>
            <w:vAlign w:val="bottom"/>
          </w:tcPr>
          <w:p>
            <w:pPr>
              <w:spacing w:after="0"/>
              <w:rPr>
                <w:sz w:val="15"/>
                <w:szCs w:val="15"/>
                <w:color w:val="auto"/>
              </w:rPr>
            </w:pPr>
          </w:p>
        </w:tc>
      </w:tr>
      <w:tr>
        <w:trPr>
          <w:trHeight w:val="176"/>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Accounts receivable, net (including $202,462 and $166,355 Accounts receivable of consolidated joint ventures, net)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758,225</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671,492</w:t>
            </w:r>
          </w:p>
        </w:tc>
        <w:tc>
          <w:tcPr>
            <w:tcW w:w="120" w:type="dxa"/>
            <w:vAlign w:val="bottom"/>
            <w:shd w:val="clear" w:color="auto" w:fill="CFF0FC"/>
          </w:tcPr>
          <w:p>
            <w:pPr>
              <w:spacing w:after="0"/>
              <w:rPr>
                <w:sz w:val="15"/>
                <w:szCs w:val="15"/>
                <w:color w:val="auto"/>
              </w:rPr>
            </w:pP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Contract assets (including $27,081 and $26,458 Contract assets of consolidated joint ventures)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626,513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575,089</w:t>
            </w:r>
          </w:p>
        </w:tc>
        <w:tc>
          <w:tcPr>
            <w:tcW w:w="120" w:type="dxa"/>
            <w:vAlign w:val="bottom"/>
          </w:tcPr>
          <w:p>
            <w:pPr>
              <w:spacing w:after="0"/>
              <w:rPr>
                <w:sz w:val="15"/>
                <w:szCs w:val="15"/>
                <w:color w:val="auto"/>
              </w:rPr>
            </w:pPr>
          </w:p>
        </w:tc>
      </w:tr>
      <w:tr>
        <w:trPr>
          <w:trHeight w:val="180"/>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Prepaid expenses and other current assets (including $11,587 and $11,182 Prepaid expenses and other current assets of</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57"/>
        </w:trPr>
        <w:tc>
          <w:tcPr>
            <w:tcW w:w="8460" w:type="dxa"/>
            <w:vAlign w:val="bottom"/>
            <w:shd w:val="clear" w:color="auto" w:fill="CFF0FC"/>
          </w:tcPr>
          <w:p>
            <w:pPr>
              <w:ind w:left="300"/>
              <w:spacing w:after="0" w:line="157" w:lineRule="exact"/>
              <w:rPr>
                <w:sz w:val="20"/>
                <w:szCs w:val="20"/>
                <w:color w:val="auto"/>
              </w:rPr>
            </w:pPr>
            <w:r>
              <w:rPr>
                <w:rFonts w:ascii="Arial" w:cs="Arial" w:eastAsia="Arial" w:hAnsi="Arial"/>
                <w:sz w:val="14"/>
                <w:szCs w:val="14"/>
                <w:color w:val="auto"/>
              </w:rPr>
              <w:t>consolidated joint ventures)</w:t>
            </w:r>
          </w:p>
        </w:tc>
        <w:tc>
          <w:tcPr>
            <w:tcW w:w="1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90,512</w:t>
            </w:r>
          </w:p>
        </w:tc>
        <w:tc>
          <w:tcPr>
            <w:tcW w:w="2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84,454</w:t>
            </w:r>
          </w:p>
        </w:tc>
        <w:tc>
          <w:tcPr>
            <w:tcW w:w="120" w:type="dxa"/>
            <w:vAlign w:val="bottom"/>
            <w:shd w:val="clear" w:color="auto" w:fill="CFF0FC"/>
          </w:tcPr>
          <w:p>
            <w:pPr>
              <w:spacing w:after="0"/>
              <w:rPr>
                <w:sz w:val="13"/>
                <w:szCs w:val="13"/>
                <w:color w:val="auto"/>
              </w:rPr>
            </w:pPr>
          </w:p>
        </w:tc>
      </w:tr>
      <w:tr>
        <w:trPr>
          <w:trHeight w:val="169"/>
        </w:trPr>
        <w:tc>
          <w:tcPr>
            <w:tcW w:w="8460" w:type="dxa"/>
            <w:vAlign w:val="bottom"/>
            <w:tcBorders>
              <w:bottom w:val="single" w:sz="8" w:color="CFF0FC"/>
            </w:tcBorders>
          </w:tcPr>
          <w:p>
            <w:pPr>
              <w:ind w:left="54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1,601,972</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1,526,409</w:t>
            </w:r>
          </w:p>
        </w:tc>
        <w:tc>
          <w:tcPr>
            <w:tcW w:w="120" w:type="dxa"/>
            <w:vAlign w:val="bottom"/>
            <w:tcBorders>
              <w:bottom w:val="single" w:sz="8" w:color="CFF0FC"/>
            </w:tcBorders>
          </w:tcPr>
          <w:p>
            <w:pPr>
              <w:spacing w:after="0"/>
              <w:rPr>
                <w:sz w:val="14"/>
                <w:szCs w:val="14"/>
                <w:color w:val="auto"/>
              </w:rPr>
            </w:pPr>
          </w:p>
        </w:tc>
      </w:tr>
      <w:tr>
        <w:trPr>
          <w:trHeight w:val="169"/>
        </w:trPr>
        <w:tc>
          <w:tcPr>
            <w:tcW w:w="8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Property and equipment, net (including $2,752 and $2,945 Property and equipment of consolidated joint ventures, net)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124,600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122,751</w:t>
            </w:r>
          </w:p>
        </w:tc>
        <w:tc>
          <w:tcPr>
            <w:tcW w:w="120" w:type="dxa"/>
            <w:vAlign w:val="bottom"/>
          </w:tcPr>
          <w:p>
            <w:pPr>
              <w:spacing w:after="0"/>
              <w:rPr>
                <w:sz w:val="15"/>
                <w:szCs w:val="15"/>
                <w:color w:val="auto"/>
              </w:rPr>
            </w:pPr>
          </w:p>
        </w:tc>
      </w:tr>
      <w:tr>
        <w:trPr>
          <w:trHeight w:val="176"/>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Right of use assets, operating leases</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231,269</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233,415</w:t>
            </w:r>
          </w:p>
        </w:tc>
        <w:tc>
          <w:tcPr>
            <w:tcW w:w="120" w:type="dxa"/>
            <w:vAlign w:val="bottom"/>
            <w:shd w:val="clear" w:color="auto" w:fill="CFF0FC"/>
          </w:tcPr>
          <w:p>
            <w:pPr>
              <w:spacing w:after="0"/>
              <w:rPr>
                <w:sz w:val="15"/>
                <w:szCs w:val="15"/>
                <w:color w:val="auto"/>
              </w:rPr>
            </w:pPr>
          </w:p>
        </w:tc>
      </w:tr>
      <w:tr>
        <w:trPr>
          <w:trHeight w:val="176"/>
        </w:trPr>
        <w:tc>
          <w:tcPr>
            <w:tcW w:w="8460" w:type="dxa"/>
            <w:vAlign w:val="bottom"/>
          </w:tcPr>
          <w:p>
            <w:pPr>
              <w:ind w:left="30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1,044,014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1,047,425</w:t>
            </w:r>
          </w:p>
        </w:tc>
        <w:tc>
          <w:tcPr>
            <w:tcW w:w="120" w:type="dxa"/>
            <w:vAlign w:val="bottom"/>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Investments in and advances to unconsolidated joint ventures</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65,716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68,620</w:t>
            </w:r>
          </w:p>
        </w:tc>
        <w:tc>
          <w:tcPr>
            <w:tcW w:w="120" w:type="dxa"/>
            <w:vAlign w:val="bottom"/>
            <w:shd w:val="clear" w:color="auto" w:fill="CFF0FC"/>
          </w:tcPr>
          <w:p>
            <w:pPr>
              <w:spacing w:after="0"/>
              <w:rPr>
                <w:sz w:val="15"/>
                <w:szCs w:val="15"/>
                <w:color w:val="auto"/>
              </w:rPr>
            </w:pPr>
          </w:p>
        </w:tc>
      </w:tr>
      <w:tr>
        <w:trPr>
          <w:trHeight w:val="176"/>
        </w:trPr>
        <w:tc>
          <w:tcPr>
            <w:tcW w:w="8460" w:type="dxa"/>
            <w:vAlign w:val="bottom"/>
          </w:tcPr>
          <w:p>
            <w:pPr>
              <w:ind w:left="30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237,028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259,858</w:t>
            </w:r>
          </w:p>
        </w:tc>
        <w:tc>
          <w:tcPr>
            <w:tcW w:w="120" w:type="dxa"/>
            <w:vAlign w:val="bottom"/>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Deferred tax assets</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124,816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130,401</w:t>
            </w:r>
          </w:p>
        </w:tc>
        <w:tc>
          <w:tcPr>
            <w:tcW w:w="120" w:type="dxa"/>
            <w:vAlign w:val="bottom"/>
            <w:shd w:val="clear" w:color="auto" w:fill="CFF0FC"/>
          </w:tcPr>
          <w:p>
            <w:pPr>
              <w:spacing w:after="0"/>
              <w:rPr>
                <w:sz w:val="15"/>
                <w:szCs w:val="15"/>
                <w:color w:val="auto"/>
              </w:rPr>
            </w:pPr>
          </w:p>
        </w:tc>
      </w:tr>
      <w:tr>
        <w:trPr>
          <w:trHeight w:val="176"/>
        </w:trPr>
        <w:tc>
          <w:tcPr>
            <w:tcW w:w="846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59,190</w:t>
            </w: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61,489</w:t>
            </w:r>
          </w:p>
        </w:tc>
        <w:tc>
          <w:tcPr>
            <w:tcW w:w="120" w:type="dxa"/>
            <w:vAlign w:val="bottom"/>
            <w:tcBorders>
              <w:bottom w:val="single" w:sz="8" w:color="CFF0FC"/>
            </w:tcBorders>
          </w:tcPr>
          <w:p>
            <w:pPr>
              <w:spacing w:after="0"/>
              <w:rPr>
                <w:sz w:val="15"/>
                <w:szCs w:val="15"/>
                <w:color w:val="auto"/>
              </w:rPr>
            </w:pPr>
          </w:p>
        </w:tc>
      </w:tr>
      <w:tr>
        <w:trPr>
          <w:trHeight w:val="169"/>
        </w:trPr>
        <w:tc>
          <w:tcPr>
            <w:tcW w:w="8460" w:type="dxa"/>
            <w:vAlign w:val="bottom"/>
            <w:shd w:val="clear" w:color="auto" w:fill="CFF0FC"/>
          </w:tcPr>
          <w:p>
            <w:pPr>
              <w:ind w:left="540"/>
              <w:spacing w:after="0"/>
              <w:rPr>
                <w:sz w:val="20"/>
                <w:szCs w:val="20"/>
                <w:color w:val="auto"/>
              </w:rPr>
            </w:pPr>
            <w:r>
              <w:rPr>
                <w:rFonts w:ascii="Arial" w:cs="Arial" w:eastAsia="Arial" w:hAnsi="Arial"/>
                <w:sz w:val="14"/>
                <w:szCs w:val="14"/>
                <w:color w:val="auto"/>
              </w:rPr>
              <w:t>Total assets</w:t>
            </w:r>
          </w:p>
        </w:tc>
        <w:tc>
          <w:tcPr>
            <w:tcW w:w="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3,488,605</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3,450,368</w:t>
            </w:r>
          </w:p>
        </w:tc>
        <w:tc>
          <w:tcPr>
            <w:tcW w:w="120" w:type="dxa"/>
            <w:vAlign w:val="bottom"/>
            <w:shd w:val="clear" w:color="auto" w:fill="CFF0FC"/>
          </w:tcPr>
          <w:p>
            <w:pPr>
              <w:spacing w:after="0"/>
              <w:rPr>
                <w:sz w:val="14"/>
                <w:szCs w:val="14"/>
                <w:color w:val="auto"/>
              </w:rPr>
            </w:pPr>
          </w:p>
        </w:tc>
      </w:tr>
      <w:tr>
        <w:trPr>
          <w:trHeight w:val="20"/>
        </w:trPr>
        <w:tc>
          <w:tcPr>
            <w:tcW w:w="84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56"/>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8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 (Deficit)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5"/>
        </w:trPr>
        <w:tc>
          <w:tcPr>
            <w:tcW w:w="8460" w:type="dxa"/>
            <w:vAlign w:val="bottom"/>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Accounts payable (including $89,974 and $85,869 Accounts payable of consolidated joint ventures)</w:t>
            </w:r>
          </w:p>
        </w:tc>
        <w:tc>
          <w:tcPr>
            <w:tcW w:w="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235,381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216,613</w:t>
            </w:r>
          </w:p>
        </w:tc>
        <w:tc>
          <w:tcPr>
            <w:tcW w:w="120" w:type="dxa"/>
            <w:vAlign w:val="bottom"/>
            <w:shd w:val="clear" w:color="auto" w:fill="CFF0FC"/>
          </w:tcPr>
          <w:p>
            <w:pPr>
              <w:spacing w:after="0"/>
              <w:rPr>
                <w:sz w:val="15"/>
                <w:szCs w:val="15"/>
                <w:color w:val="auto"/>
              </w:rPr>
            </w:pPr>
          </w:p>
        </w:tc>
      </w:tr>
      <w:tr>
        <w:trPr>
          <w:trHeight w:val="180"/>
        </w:trPr>
        <w:tc>
          <w:tcPr>
            <w:tcW w:w="8460" w:type="dxa"/>
            <w:vAlign w:val="bottom"/>
          </w:tcPr>
          <w:p>
            <w:pPr>
              <w:ind w:left="300"/>
              <w:spacing w:after="0"/>
              <w:rPr>
                <w:sz w:val="20"/>
                <w:szCs w:val="20"/>
                <w:color w:val="auto"/>
              </w:rPr>
            </w:pPr>
            <w:r>
              <w:rPr>
                <w:rFonts w:ascii="Arial" w:cs="Arial" w:eastAsia="Arial" w:hAnsi="Arial"/>
                <w:sz w:val="14"/>
                <w:szCs w:val="14"/>
                <w:color w:val="auto"/>
              </w:rPr>
              <w:t>Accrued expenses and other current liabilities (including $90,632 and $74,857 Accrued expenses and other current liabilities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8460" w:type="dxa"/>
            <w:vAlign w:val="bottom"/>
          </w:tcPr>
          <w:p>
            <w:pPr>
              <w:ind w:left="300"/>
              <w:spacing w:after="0" w:line="157" w:lineRule="exact"/>
              <w:rPr>
                <w:sz w:val="20"/>
                <w:szCs w:val="20"/>
                <w:color w:val="auto"/>
              </w:rPr>
            </w:pPr>
            <w:r>
              <w:rPr>
                <w:rFonts w:ascii="Arial" w:cs="Arial" w:eastAsia="Arial" w:hAnsi="Arial"/>
                <w:sz w:val="14"/>
                <w:szCs w:val="14"/>
                <w:color w:val="auto"/>
              </w:rPr>
              <w:t>consolidated joint ventures)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625,729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639,863</w:t>
            </w:r>
          </w:p>
        </w:tc>
        <w:tc>
          <w:tcPr>
            <w:tcW w:w="120" w:type="dxa"/>
            <w:vAlign w:val="bottom"/>
          </w:tcPr>
          <w:p>
            <w:pPr>
              <w:spacing w:after="0"/>
              <w:rPr>
                <w:sz w:val="13"/>
                <w:szCs w:val="13"/>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Contract liabilities (including $39,217 and $32,638 Contract liabilities of consolidated joint ventures)</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241,178</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230,681</w:t>
            </w:r>
          </w:p>
        </w:tc>
        <w:tc>
          <w:tcPr>
            <w:tcW w:w="120" w:type="dxa"/>
            <w:vAlign w:val="bottom"/>
            <w:shd w:val="clear" w:color="auto" w:fill="CFF0FC"/>
          </w:tcPr>
          <w:p>
            <w:pPr>
              <w:spacing w:after="0"/>
              <w:rPr>
                <w:sz w:val="15"/>
                <w:szCs w:val="15"/>
                <w:color w:val="auto"/>
              </w:rPr>
            </w:pPr>
          </w:p>
        </w:tc>
      </w:tr>
      <w:tr>
        <w:trPr>
          <w:trHeight w:val="176"/>
        </w:trPr>
        <w:tc>
          <w:tcPr>
            <w:tcW w:w="8460" w:type="dxa"/>
            <w:vAlign w:val="bottom"/>
          </w:tcPr>
          <w:p>
            <w:pPr>
              <w:ind w:left="300"/>
              <w:spacing w:after="0"/>
              <w:rPr>
                <w:sz w:val="20"/>
                <w:szCs w:val="20"/>
                <w:color w:val="auto"/>
              </w:rPr>
            </w:pPr>
            <w:r>
              <w:rPr>
                <w:rFonts w:ascii="Arial" w:cs="Arial" w:eastAsia="Arial" w:hAnsi="Arial"/>
                <w:sz w:val="14"/>
                <w:szCs w:val="14"/>
                <w:color w:val="auto"/>
              </w:rPr>
              <w:t>Short-term lease liabilities, operating leases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47,217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49,994</w:t>
            </w:r>
          </w:p>
        </w:tc>
        <w:tc>
          <w:tcPr>
            <w:tcW w:w="120" w:type="dxa"/>
            <w:vAlign w:val="bottom"/>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Income taxes payable</w:t>
            </w:r>
          </w:p>
        </w:tc>
        <w:tc>
          <w:tcPr>
            <w:tcW w:w="1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1,819</w:t>
            </w:r>
          </w:p>
        </w:tc>
        <w:tc>
          <w:tcPr>
            <w:tcW w:w="2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7,231</w:t>
            </w:r>
          </w:p>
        </w:tc>
        <w:tc>
          <w:tcPr>
            <w:tcW w:w="120" w:type="dxa"/>
            <w:vAlign w:val="bottom"/>
            <w:shd w:val="clear" w:color="auto" w:fill="CFF0FC"/>
          </w:tcPr>
          <w:p>
            <w:pPr>
              <w:spacing w:after="0"/>
              <w:rPr>
                <w:sz w:val="15"/>
                <w:szCs w:val="15"/>
                <w:color w:val="auto"/>
              </w:rPr>
            </w:pPr>
          </w:p>
        </w:tc>
      </w:tr>
      <w:tr>
        <w:trPr>
          <w:trHeight w:val="169"/>
        </w:trPr>
        <w:tc>
          <w:tcPr>
            <w:tcW w:w="8460" w:type="dxa"/>
            <w:vAlign w:val="bottom"/>
            <w:tcBorders>
              <w:bottom w:val="single" w:sz="8" w:color="CFF0FC"/>
            </w:tcBorders>
          </w:tcPr>
          <w:p>
            <w:pPr>
              <w:ind w:left="54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1,151,324</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1,144,382</w:t>
            </w:r>
          </w:p>
        </w:tc>
        <w:tc>
          <w:tcPr>
            <w:tcW w:w="120" w:type="dxa"/>
            <w:vAlign w:val="bottom"/>
            <w:tcBorders>
              <w:bottom w:val="single" w:sz="8" w:color="CFF0FC"/>
            </w:tcBorders>
          </w:tcPr>
          <w:p>
            <w:pPr>
              <w:spacing w:after="0"/>
              <w:rPr>
                <w:sz w:val="14"/>
                <w:szCs w:val="14"/>
                <w:color w:val="auto"/>
              </w:rPr>
            </w:pPr>
          </w:p>
        </w:tc>
      </w:tr>
      <w:tr>
        <w:trPr>
          <w:trHeight w:val="169"/>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Long-term employee incentives</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21,458</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56,928</w:t>
            </w:r>
          </w:p>
        </w:tc>
        <w:tc>
          <w:tcPr>
            <w:tcW w:w="120" w:type="dxa"/>
            <w:vAlign w:val="bottom"/>
            <w:shd w:val="clear" w:color="auto" w:fill="CFF0FC"/>
          </w:tcPr>
          <w:p>
            <w:pPr>
              <w:spacing w:after="0"/>
              <w:rPr>
                <w:sz w:val="14"/>
                <w:szCs w:val="14"/>
                <w:color w:val="auto"/>
              </w:rPr>
            </w:pP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314,401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249,353</w:t>
            </w:r>
          </w:p>
        </w:tc>
        <w:tc>
          <w:tcPr>
            <w:tcW w:w="120" w:type="dxa"/>
            <w:vAlign w:val="bottom"/>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Long-term lease liabilities, operating leases</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206,760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203,624</w:t>
            </w:r>
          </w:p>
        </w:tc>
        <w:tc>
          <w:tcPr>
            <w:tcW w:w="120" w:type="dxa"/>
            <w:vAlign w:val="bottom"/>
            <w:shd w:val="clear" w:color="auto" w:fill="CFF0FC"/>
          </w:tcPr>
          <w:p>
            <w:pPr>
              <w:spacing w:after="0"/>
              <w:rPr>
                <w:sz w:val="15"/>
                <w:szCs w:val="15"/>
                <w:color w:val="auto"/>
              </w:rPr>
            </w:pP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Deferred tax liabilities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9,234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9,621</w:t>
            </w:r>
          </w:p>
        </w:tc>
        <w:tc>
          <w:tcPr>
            <w:tcW w:w="120" w:type="dxa"/>
            <w:vAlign w:val="bottom"/>
          </w:tcPr>
          <w:p>
            <w:pPr>
              <w:spacing w:after="0"/>
              <w:rPr>
                <w:sz w:val="15"/>
                <w:szCs w:val="15"/>
                <w:color w:val="auto"/>
              </w:rPr>
            </w:pPr>
          </w:p>
        </w:tc>
      </w:tr>
      <w:tr>
        <w:trPr>
          <w:trHeight w:val="176"/>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long-term liabilities</w:t>
            </w:r>
          </w:p>
        </w:tc>
        <w:tc>
          <w:tcPr>
            <w:tcW w:w="1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118,049</w:t>
            </w:r>
          </w:p>
        </w:tc>
        <w:tc>
          <w:tcPr>
            <w:tcW w:w="2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125,704</w:t>
            </w:r>
          </w:p>
        </w:tc>
        <w:tc>
          <w:tcPr>
            <w:tcW w:w="120" w:type="dxa"/>
            <w:vAlign w:val="bottom"/>
            <w:shd w:val="clear" w:color="auto" w:fill="CFF0FC"/>
          </w:tcPr>
          <w:p>
            <w:pPr>
              <w:spacing w:after="0"/>
              <w:rPr>
                <w:sz w:val="15"/>
                <w:szCs w:val="15"/>
                <w:color w:val="auto"/>
              </w:rPr>
            </w:pPr>
          </w:p>
        </w:tc>
      </w:tr>
      <w:tr>
        <w:trPr>
          <w:trHeight w:val="169"/>
        </w:trPr>
        <w:tc>
          <w:tcPr>
            <w:tcW w:w="8460" w:type="dxa"/>
            <w:vAlign w:val="bottom"/>
            <w:tcBorders>
              <w:bottom w:val="single" w:sz="8" w:color="CFF0FC"/>
            </w:tcBorders>
          </w:tcPr>
          <w:p>
            <w:pPr>
              <w:ind w:left="54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1,821,226</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1,789,612</w:t>
            </w:r>
          </w:p>
        </w:tc>
        <w:tc>
          <w:tcPr>
            <w:tcW w:w="120" w:type="dxa"/>
            <w:vAlign w:val="bottom"/>
            <w:tcBorders>
              <w:bottom w:val="single" w:sz="8" w:color="CFF0FC"/>
            </w:tcBorders>
          </w:tcPr>
          <w:p>
            <w:pPr>
              <w:spacing w:after="0"/>
              <w:rPr>
                <w:sz w:val="14"/>
                <w:szCs w:val="14"/>
                <w:color w:val="auto"/>
              </w:rPr>
            </w:pPr>
          </w:p>
        </w:tc>
      </w:tr>
      <w:tr>
        <w:trPr>
          <w:trHeight w:val="169"/>
        </w:trPr>
        <w:tc>
          <w:tcPr>
            <w:tcW w:w="8460" w:type="dxa"/>
            <w:vAlign w:val="bottom"/>
            <w:shd w:val="clear" w:color="auto" w:fill="CFF0FC"/>
          </w:tcPr>
          <w:p>
            <w:pPr>
              <w:spacing w:after="0"/>
              <w:rPr>
                <w:sz w:val="20"/>
                <w:szCs w:val="20"/>
                <w:color w:val="auto"/>
              </w:rPr>
            </w:pPr>
            <w:r>
              <w:rPr>
                <w:rFonts w:ascii="Arial" w:cs="Arial" w:eastAsia="Arial" w:hAnsi="Arial"/>
                <w:sz w:val="14"/>
                <w:szCs w:val="14"/>
                <w:color w:val="auto"/>
              </w:rPr>
              <w:t>Contingencies (Note 12)</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8460" w:type="dxa"/>
            <w:vAlign w:val="bottom"/>
          </w:tcPr>
          <w:p>
            <w:pPr>
              <w:spacing w:after="0"/>
              <w:rPr>
                <w:sz w:val="20"/>
                <w:szCs w:val="20"/>
                <w:color w:val="auto"/>
              </w:rPr>
            </w:pPr>
            <w:r>
              <w:rPr>
                <w:rFonts w:ascii="Arial" w:cs="Arial" w:eastAsia="Arial" w:hAnsi="Arial"/>
                <w:sz w:val="14"/>
                <w:szCs w:val="14"/>
                <w:color w:val="auto"/>
              </w:rPr>
              <w:t>Shareholders' equity (deficit):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Common stock, $1 par value; authorized 1,000,000,000 shares; 146,440,701 and 146,440,701 shares issued; 22,271,174 and</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57"/>
        </w:trPr>
        <w:tc>
          <w:tcPr>
            <w:tcW w:w="8460" w:type="dxa"/>
            <w:vAlign w:val="bottom"/>
            <w:shd w:val="clear" w:color="auto" w:fill="CFF0FC"/>
          </w:tcPr>
          <w:p>
            <w:pPr>
              <w:ind w:left="300"/>
              <w:spacing w:after="0" w:line="157" w:lineRule="exact"/>
              <w:rPr>
                <w:sz w:val="20"/>
                <w:szCs w:val="20"/>
                <w:color w:val="auto"/>
              </w:rPr>
            </w:pPr>
            <w:r>
              <w:rPr>
                <w:rFonts w:ascii="Arial" w:cs="Arial" w:eastAsia="Arial" w:hAnsi="Arial"/>
                <w:sz w:val="14"/>
                <w:szCs w:val="14"/>
                <w:color w:val="auto"/>
              </w:rPr>
              <w:t>21,772,888 public shares outstanding; 78,398,520 and 78,896,806 ESOP shares outstanding</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146,441</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146,441</w:t>
            </w:r>
          </w:p>
        </w:tc>
        <w:tc>
          <w:tcPr>
            <w:tcW w:w="120" w:type="dxa"/>
            <w:vAlign w:val="bottom"/>
            <w:shd w:val="clear" w:color="auto" w:fill="CFF0FC"/>
          </w:tcPr>
          <w:p>
            <w:pPr>
              <w:spacing w:after="0"/>
              <w:rPr>
                <w:sz w:val="13"/>
                <w:szCs w:val="13"/>
                <w:color w:val="auto"/>
              </w:rPr>
            </w:pP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Treasury stock, 45,771,008 shares at cost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(934,240)</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(934,240)</w:t>
            </w: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2,652,227</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2,649,975</w:t>
            </w:r>
          </w:p>
        </w:tc>
        <w:tc>
          <w:tcPr>
            <w:tcW w:w="120" w:type="dxa"/>
            <w:vAlign w:val="bottom"/>
            <w:shd w:val="clear" w:color="auto" w:fill="CFF0FC"/>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(206,052)</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(218,025)</w:t>
            </w: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(23,114)</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(14,261)</w:t>
            </w:r>
          </w:p>
        </w:tc>
      </w:tr>
      <w:tr>
        <w:trPr>
          <w:trHeight w:val="169"/>
        </w:trPr>
        <w:tc>
          <w:tcPr>
            <w:tcW w:w="8460" w:type="dxa"/>
            <w:vAlign w:val="bottom"/>
            <w:tcBorders>
              <w:top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Total Parsons Corporation shareholders' equity</w:t>
            </w:r>
          </w:p>
        </w:tc>
        <w:tc>
          <w:tcPr>
            <w:tcW w:w="12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1,635,262</w:t>
            </w: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1,629,890</w:t>
            </w: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846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Noncontrolling interests</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32,117</w:t>
            </w: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30,866</w:t>
            </w:r>
          </w:p>
        </w:tc>
        <w:tc>
          <w:tcPr>
            <w:tcW w:w="120" w:type="dxa"/>
            <w:vAlign w:val="bottom"/>
            <w:tcBorders>
              <w:bottom w:val="single" w:sz="8" w:color="CFF0FC"/>
            </w:tcBorders>
          </w:tcPr>
          <w:p>
            <w:pPr>
              <w:spacing w:after="0"/>
              <w:rPr>
                <w:sz w:val="15"/>
                <w:szCs w:val="15"/>
                <w:color w:val="auto"/>
              </w:rPr>
            </w:pPr>
          </w:p>
        </w:tc>
      </w:tr>
      <w:tr>
        <w:trPr>
          <w:trHeight w:val="169"/>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Total shareholders' equity</w:t>
            </w:r>
          </w:p>
        </w:tc>
        <w:tc>
          <w:tcPr>
            <w:tcW w:w="12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1,667,379</w:t>
            </w:r>
          </w:p>
        </w:tc>
        <w:tc>
          <w:tcPr>
            <w:tcW w:w="2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1,660,756</w:t>
            </w:r>
          </w:p>
        </w:tc>
        <w:tc>
          <w:tcPr>
            <w:tcW w:w="120" w:type="dxa"/>
            <w:vAlign w:val="bottom"/>
            <w:shd w:val="clear" w:color="auto" w:fill="CFF0FC"/>
          </w:tcPr>
          <w:p>
            <w:pPr>
              <w:spacing w:after="0"/>
              <w:rPr>
                <w:sz w:val="14"/>
                <w:szCs w:val="14"/>
                <w:color w:val="auto"/>
              </w:rPr>
            </w:pPr>
          </w:p>
        </w:tc>
      </w:tr>
      <w:tr>
        <w:trPr>
          <w:trHeight w:val="169"/>
        </w:trPr>
        <w:tc>
          <w:tcPr>
            <w:tcW w:w="8460" w:type="dxa"/>
            <w:vAlign w:val="bottom"/>
          </w:tcPr>
          <w:p>
            <w:pPr>
              <w:ind w:left="300"/>
              <w:spacing w:after="0"/>
              <w:rPr>
                <w:sz w:val="20"/>
                <w:szCs w:val="20"/>
                <w:color w:val="auto"/>
              </w:rPr>
            </w:pPr>
            <w:r>
              <w:rPr>
                <w:rFonts w:ascii="Arial" w:cs="Arial" w:eastAsia="Arial" w:hAnsi="Arial"/>
                <w:sz w:val="14"/>
                <w:szCs w:val="14"/>
                <w:color w:val="auto"/>
              </w:rPr>
              <w:t>Total liabilities, redeemable common stock and shareholders' equity</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3,488,605</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3,450,368</w:t>
            </w:r>
          </w:p>
        </w:tc>
        <w:tc>
          <w:tcPr>
            <w:tcW w:w="120" w:type="dxa"/>
            <w:vAlign w:val="bottom"/>
          </w:tcPr>
          <w:p>
            <w:pPr>
              <w:spacing w:after="0"/>
              <w:rPr>
                <w:sz w:val="14"/>
                <w:szCs w:val="14"/>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PARSONS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5"/>
                <w:szCs w:val="15"/>
                <w:color w:val="auto"/>
              </w:rPr>
            </w:pPr>
          </w:p>
        </w:tc>
      </w:tr>
      <w:tr>
        <w:trPr>
          <w:trHeight w:val="196"/>
        </w:trPr>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7"/>
                <w:szCs w:val="17"/>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2019</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14,371</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13,386</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32,409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30,591</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debt issue costs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Gain on disposal of property and equipment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Provision for doubtful accounts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5,514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(6,114)</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(10,397)</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10,794</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2,252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Contributions of treasury stock</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14,871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12,250</w:t>
            </w:r>
          </w:p>
        </w:tc>
        <w:tc>
          <w:tcPr>
            <w:tcW w:w="120" w:type="dxa"/>
            <w:vAlign w:val="bottom"/>
            <w:shd w:val="clear" w:color="auto" w:fill="CFF0FC"/>
          </w:tcPr>
          <w:p>
            <w:pPr>
              <w:spacing w:after="0"/>
              <w:rPr>
                <w:sz w:val="17"/>
                <w:szCs w:val="17"/>
                <w:color w:val="auto"/>
              </w:rPr>
            </w:pPr>
          </w:p>
        </w:tc>
      </w:tr>
      <w:tr>
        <w:trPr>
          <w:trHeight w:val="204"/>
        </w:trPr>
        <w:tc>
          <w:tcPr>
            <w:tcW w:w="6720" w:type="dxa"/>
            <w:vAlign w:val="bottom"/>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6720" w:type="dxa"/>
            <w:vAlign w:val="bottom"/>
          </w:tcPr>
          <w:p>
            <w:pPr>
              <w:ind w:left="420"/>
              <w:spacing w:after="0"/>
              <w:rPr>
                <w:sz w:val="20"/>
                <w:szCs w:val="20"/>
                <w:color w:val="auto"/>
              </w:rPr>
            </w:pPr>
            <w:r>
              <w:rPr>
                <w:rFonts w:ascii="Arial" w:cs="Arial" w:eastAsia="Arial" w:hAnsi="Arial"/>
                <w:sz w:val="16"/>
                <w:szCs w:val="16"/>
                <w:color w:val="auto"/>
              </w:rPr>
              <w:t>joint ventures:</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(91,734)</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(17,135)</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assets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(52,346)</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(46,984)</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 and current assets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(3,766)</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(1,424)</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19,788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(28,182)</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(24,336)</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(24,023)</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liabilities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11,416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14,884</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Income taxes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(6,212)</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(3,645)</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Other long-term liabilities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(43,099)</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(12,265)</w:t>
            </w: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(118,983)</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(60,108)</w:t>
            </w:r>
          </w:p>
        </w:tc>
      </w:tr>
      <w:tr>
        <w:trPr>
          <w:trHeight w:val="196"/>
        </w:trPr>
        <w:tc>
          <w:tcPr>
            <w:tcW w:w="67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Capital expenditures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(12,637)</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(11,041)</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(287,482)</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(4,905)</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10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2,234</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(12,202)</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(301,059)</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borrowings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131,500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290,000</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Repayments of borrowings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(66,500)</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(60,000)</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Payments for debt costs and credit agreement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(286)</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(360)</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(18,986)</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Purchase of treasury stock</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(813)</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Taxes paid on vested stock</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(1,149)</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196"/>
        </w:trPr>
        <w:tc>
          <w:tcPr>
            <w:tcW w:w="6720" w:type="dxa"/>
            <w:vAlign w:val="bottom"/>
            <w:tcBorders>
              <w:top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Net cash provided by financing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63,712</w:t>
            </w: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210,623</w:t>
            </w:r>
          </w:p>
        </w:tc>
        <w:tc>
          <w:tcPr>
            <w:tcW w:w="120" w:type="dxa"/>
            <w:vAlign w:val="bottom"/>
            <w:tcBorders>
              <w:top w:val="single" w:sz="8" w:color="CFF0FC"/>
            </w:tcBorders>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Effect of exchange rate changes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(1,179)</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(182)</w:t>
            </w: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decrease in cash, cash equivalents, and restricted cash</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(68,652)</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(150,726)</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Beginning of year</w:t>
            </w:r>
          </w:p>
        </w:tc>
        <w:tc>
          <w:tcPr>
            <w:tcW w:w="10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195,374</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281,195</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End of period</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126,722</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130,469</w:t>
            </w:r>
          </w:p>
        </w:tc>
        <w:tc>
          <w:tcPr>
            <w:tcW w:w="12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u w:val="single" w:color="auto"/>
          <w:color w:val="auto"/>
        </w:rPr>
        <w:t xml:space="preserve">Contract Awards </w:t>
      </w:r>
      <w:r>
        <w:rPr>
          <w:rFonts w:ascii="Arial" w:cs="Arial" w:eastAsia="Arial" w:hAnsi="Arial"/>
          <w:sz w:val="20"/>
          <w:szCs w:val="20"/>
          <w:i w:val="1"/>
          <w:iCs w:val="1"/>
          <w:u w:val="single" w:color="auto"/>
          <w:color w:val="auto"/>
        </w:rPr>
        <w:t>(in thousands)</w:t>
      </w:r>
      <w:r>
        <w:rPr>
          <w:rFonts w:ascii="Arial" w:cs="Arial" w:eastAsia="Arial" w:hAnsi="Arial"/>
          <w:sz w:val="20"/>
          <w:szCs w:val="20"/>
          <w:b w:val="1"/>
          <w:bCs w:val="1"/>
          <w:u w:val="single" w:color="auto"/>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7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615,690</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808,540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350,405</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412,528</w:t>
            </w:r>
          </w:p>
        </w:tc>
        <w:tc>
          <w:tcPr>
            <w:tcW w:w="100" w:type="dxa"/>
            <w:vAlign w:val="bottom"/>
            <w:tcBorders>
              <w:bottom w:val="single" w:sz="8" w:color="CFF0FC"/>
            </w:tcBorders>
          </w:tcPr>
          <w:p>
            <w:pPr>
              <w:spacing w:after="0"/>
              <w:rPr>
                <w:sz w:val="18"/>
                <w:szCs w:val="18"/>
                <w:color w:val="auto"/>
              </w:rPr>
            </w:pPr>
          </w:p>
        </w:tc>
      </w:tr>
      <w:tr>
        <w:trPr>
          <w:trHeight w:val="209"/>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Awards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966,095</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1,221,068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 xml:space="preserve">Backlog </w:t>
      </w:r>
      <w:r>
        <w:rPr>
          <w:rFonts w:ascii="Arial" w:cs="Arial" w:eastAsia="Arial" w:hAnsi="Arial"/>
          <w:sz w:val="20"/>
          <w:szCs w:val="20"/>
          <w:i w:val="1"/>
          <w:iCs w:val="1"/>
          <w:u w:val="single" w:color="auto"/>
          <w:color w:val="auto"/>
        </w:rPr>
        <w:t>(in thousands)</w:t>
      </w:r>
      <w:r>
        <w:rPr>
          <w:rFonts w:ascii="Arial" w:cs="Arial" w:eastAsia="Arial" w:hAnsi="Arial"/>
          <w:sz w:val="20"/>
          <w:szCs w:val="20"/>
          <w:b w:val="1"/>
          <w:bCs w:val="1"/>
          <w:u w:val="single" w:color="auto"/>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5"/>
                <w:szCs w:val="15"/>
                <w:color w:val="auto"/>
              </w:rPr>
            </w:pPr>
          </w:p>
        </w:tc>
      </w:tr>
      <w:tr>
        <w:trPr>
          <w:trHeight w:val="169"/>
        </w:trPr>
        <w:tc>
          <w:tcPr>
            <w:tcW w:w="7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620" w:type="dxa"/>
            <w:vAlign w:val="bottom"/>
          </w:tcPr>
          <w:p>
            <w:pPr>
              <w:ind w:left="260"/>
              <w:spacing w:after="0"/>
              <w:rPr>
                <w:sz w:val="20"/>
                <w:szCs w:val="20"/>
                <w:color w:val="auto"/>
              </w:rPr>
            </w:pPr>
            <w:r>
              <w:rPr>
                <w:rFonts w:ascii="Arial" w:cs="Arial" w:eastAsia="Arial" w:hAnsi="Arial"/>
                <w:sz w:val="18"/>
                <w:szCs w:val="18"/>
                <w:color w:val="auto"/>
              </w:rPr>
              <w:t>Funded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1,659,309</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1,028,207</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Unfunded</w:t>
            </w: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3,395,617</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4,083,388</w:t>
            </w:r>
          </w:p>
        </w:tc>
        <w:tc>
          <w:tcPr>
            <w:tcW w:w="100" w:type="dxa"/>
            <w:vAlign w:val="bottom"/>
            <w:shd w:val="clear" w:color="auto" w:fill="CFF0FC"/>
          </w:tcPr>
          <w:p>
            <w:pPr>
              <w:spacing w:after="0"/>
              <w:rPr>
                <w:sz w:val="18"/>
                <w:szCs w:val="18"/>
                <w:color w:val="auto"/>
              </w:rPr>
            </w:pPr>
          </w:p>
        </w:tc>
      </w:tr>
      <w:tr>
        <w:trPr>
          <w:trHeight w:val="21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Federal Solutions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5,054,926</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5,111,595</w:t>
            </w:r>
          </w:p>
        </w:tc>
        <w:tc>
          <w:tcPr>
            <w:tcW w:w="100" w:type="dxa"/>
            <w:vAlign w:val="bottom"/>
            <w:tcBorders>
              <w:bottom w:val="single" w:sz="8" w:color="CFF0FC"/>
            </w:tcBorders>
          </w:tcPr>
          <w:p>
            <w:pPr>
              <w:spacing w:after="0"/>
              <w:rPr>
                <w:sz w:val="18"/>
                <w:szCs w:val="18"/>
                <w:color w:val="auto"/>
              </w:rPr>
            </w:pPr>
          </w:p>
        </w:tc>
      </w:tr>
      <w:tr>
        <w:trPr>
          <w:trHeight w:val="20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Critical Infrastructure:</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60"/>
              <w:spacing w:after="0"/>
              <w:rPr>
                <w:sz w:val="20"/>
                <w:szCs w:val="20"/>
                <w:color w:val="auto"/>
              </w:rPr>
            </w:pPr>
            <w:r>
              <w:rPr>
                <w:rFonts w:ascii="Arial" w:cs="Arial" w:eastAsia="Arial" w:hAnsi="Arial"/>
                <w:sz w:val="18"/>
                <w:szCs w:val="18"/>
                <w:color w:val="auto"/>
              </w:rPr>
              <w:t>Funded</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2,707,701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3,442,374</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Unfunded</w:t>
            </w: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38,553</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Critical Infrastructure</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2,746,254</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3,442,374</w:t>
            </w:r>
          </w:p>
        </w:tc>
        <w:tc>
          <w:tcPr>
            <w:tcW w:w="100" w:type="dxa"/>
            <w:vAlign w:val="bottom"/>
            <w:tcBorders>
              <w:bottom w:val="single" w:sz="8" w:color="CFF0FC"/>
            </w:tcBorders>
          </w:tcPr>
          <w:p>
            <w:pPr>
              <w:spacing w:after="0"/>
              <w:rPr>
                <w:sz w:val="18"/>
                <w:szCs w:val="18"/>
                <w:color w:val="auto"/>
              </w:rPr>
            </w:pPr>
          </w:p>
        </w:tc>
      </w:tr>
      <w:tr>
        <w:trPr>
          <w:trHeight w:val="209"/>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7,801,180</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8,553,969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Book-To-Bill Ratio: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350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7640" w:type="dxa"/>
            <w:vAlign w:val="bottom"/>
          </w:tcPr>
          <w:p>
            <w:pPr>
              <w:spacing w:after="0"/>
              <w:rPr>
                <w:sz w:val="14"/>
                <w:szCs w:val="14"/>
                <w:color w:val="auto"/>
              </w:rPr>
            </w:pPr>
          </w:p>
        </w:tc>
        <w:tc>
          <w:tcPr>
            <w:tcW w:w="188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2020</w:t>
            </w:r>
          </w:p>
        </w:tc>
        <w:tc>
          <w:tcPr>
            <w:tcW w:w="1720" w:type="dxa"/>
            <w:vAlign w:val="bottom"/>
            <w:gridSpan w:val="2"/>
          </w:tcPr>
          <w:p>
            <w:pPr>
              <w:ind w:left="30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600" w:type="dxa"/>
            <w:vAlign w:val="bottom"/>
            <w:tcBorders>
              <w:top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600" w:type="dxa"/>
            <w:vAlign w:val="bottom"/>
          </w:tcPr>
          <w:p>
            <w:pPr>
              <w:jc w:val="right"/>
              <w:ind w:right="537"/>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1620" w:type="dxa"/>
            <w:vAlign w:val="bottom"/>
          </w:tcPr>
          <w:p>
            <w:pPr>
              <w:jc w:val="right"/>
              <w:ind w:right="55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600" w:type="dxa"/>
            <w:vAlign w:val="bottom"/>
            <w:shd w:val="clear" w:color="auto" w:fill="CFF0FC"/>
          </w:tcPr>
          <w:p>
            <w:pPr>
              <w:jc w:val="right"/>
              <w:ind w:right="537"/>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8"/>
                <w:szCs w:val="18"/>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Revenue by Business Line </w:t>
      </w:r>
      <w:r>
        <w:rPr>
          <w:rFonts w:ascii="Arial" w:cs="Arial" w:eastAsia="Arial" w:hAnsi="Arial"/>
          <w:sz w:val="18"/>
          <w:szCs w:val="18"/>
          <w:u w:val="single" w:color="auto"/>
          <w:color w:val="auto"/>
        </w:rPr>
        <w:t>(Unaudited)</w:t>
      </w:r>
    </w:p>
    <w:p>
      <w:pPr>
        <w:spacing w:after="0" w:line="234" w:lineRule="exact"/>
        <w:rPr>
          <w:sz w:val="20"/>
          <w:szCs w:val="20"/>
          <w:color w:val="auto"/>
        </w:rPr>
      </w:pPr>
    </w:p>
    <w:p>
      <w:pPr>
        <w:ind w:right="360" w:firstLine="395"/>
        <w:spacing w:after="0" w:line="246" w:lineRule="auto"/>
        <w:rPr>
          <w:sz w:val="20"/>
          <w:szCs w:val="20"/>
          <w:color w:val="auto"/>
        </w:rPr>
      </w:pPr>
      <w:r>
        <w:rPr>
          <w:rFonts w:ascii="Arial" w:cs="Arial" w:eastAsia="Arial" w:hAnsi="Arial"/>
          <w:sz w:val="18"/>
          <w:szCs w:val="18"/>
          <w:color w:val="auto"/>
        </w:rPr>
        <w:t>Effective January 1, 2020, the Company made changes to its business lines. The table below presents the prior year information by quarter reclassified from the prior presentation.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4"/>
                <w:szCs w:val="14"/>
                <w:color w:val="auto"/>
              </w:rPr>
            </w:pPr>
          </w:p>
        </w:tc>
        <w:tc>
          <w:tcPr>
            <w:tcW w:w="1540" w:type="dxa"/>
            <w:vAlign w:val="bottom"/>
          </w:tcPr>
          <w:p>
            <w:pPr>
              <w:jc w:val="right"/>
              <w:ind w:right="92"/>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Space &amp; Geospatial Solutions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65,768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49,944</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53,861</w:t>
            </w:r>
          </w:p>
        </w:tc>
        <w:tc>
          <w:tcPr>
            <w:tcW w:w="120" w:type="dxa"/>
            <w:vAlign w:val="bottom"/>
            <w:shd w:val="clear" w:color="auto" w:fill="CFF0FC"/>
          </w:tcPr>
          <w:p>
            <w:pPr>
              <w:spacing w:after="0"/>
              <w:rPr>
                <w:sz w:val="18"/>
                <w:szCs w:val="18"/>
                <w:color w:val="auto"/>
              </w:rPr>
            </w:pPr>
          </w:p>
        </w:tc>
      </w:tr>
      <w:tr>
        <w:trPr>
          <w:trHeight w:val="216"/>
        </w:trPr>
        <w:tc>
          <w:tcPr>
            <w:tcW w:w="3600" w:type="dxa"/>
            <w:vAlign w:val="bottom"/>
          </w:tcPr>
          <w:p>
            <w:pPr>
              <w:ind w:left="500"/>
              <w:spacing w:after="0"/>
              <w:rPr>
                <w:sz w:val="20"/>
                <w:szCs w:val="20"/>
                <w:color w:val="auto"/>
              </w:rPr>
            </w:pPr>
            <w:r>
              <w:rPr>
                <w:rFonts w:ascii="Arial" w:cs="Arial" w:eastAsia="Arial" w:hAnsi="Arial"/>
                <w:sz w:val="18"/>
                <w:szCs w:val="18"/>
                <w:color w:val="auto"/>
              </w:rPr>
              <w:t>Cyber &amp; Intelligence</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72,549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80,489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91,854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104,193</w:t>
            </w:r>
          </w:p>
        </w:tc>
        <w:tc>
          <w:tcPr>
            <w:tcW w:w="120" w:type="dxa"/>
            <w:vAlign w:val="bottom"/>
          </w:tcPr>
          <w:p>
            <w:pPr>
              <w:spacing w:after="0"/>
              <w:rPr>
                <w:sz w:val="18"/>
                <w:szCs w:val="18"/>
                <w:color w:val="auto"/>
              </w:rPr>
            </w:pPr>
          </w:p>
        </w:tc>
      </w:tr>
      <w:tr>
        <w:trPr>
          <w:trHeight w:val="216"/>
        </w:trPr>
        <w:tc>
          <w:tcPr>
            <w:tcW w:w="3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Engineered Systems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145,618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167,276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180,172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175,203</w:t>
            </w:r>
          </w:p>
        </w:tc>
        <w:tc>
          <w:tcPr>
            <w:tcW w:w="120" w:type="dxa"/>
            <w:vAlign w:val="bottom"/>
            <w:shd w:val="clear" w:color="auto" w:fill="CFF0FC"/>
          </w:tcPr>
          <w:p>
            <w:pPr>
              <w:spacing w:after="0"/>
              <w:rPr>
                <w:sz w:val="18"/>
                <w:szCs w:val="18"/>
                <w:color w:val="auto"/>
              </w:rPr>
            </w:pPr>
          </w:p>
        </w:tc>
      </w:tr>
      <w:tr>
        <w:trPr>
          <w:trHeight w:val="216"/>
        </w:trPr>
        <w:tc>
          <w:tcPr>
            <w:tcW w:w="3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Missile Defense &amp; C5ISR</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158,888</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164,964</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164,205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167,166</w:t>
            </w:r>
          </w:p>
        </w:tc>
        <w:tc>
          <w:tcPr>
            <w:tcW w:w="120" w:type="dxa"/>
            <w:vAlign w:val="bottom"/>
            <w:tcBorders>
              <w:bottom w:val="single" w:sz="8" w:color="CFF0FC"/>
            </w:tcBorders>
          </w:tcPr>
          <w:p>
            <w:pPr>
              <w:spacing w:after="0"/>
              <w:rPr>
                <w:sz w:val="18"/>
                <w:szCs w:val="18"/>
                <w:color w:val="auto"/>
              </w:rPr>
            </w:pPr>
          </w:p>
        </w:tc>
      </w:tr>
      <w:tr>
        <w:trPr>
          <w:trHeight w:val="21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Solutions revenues</w:t>
            </w: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422,812</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478,497</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486,175</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500,423</w:t>
            </w:r>
          </w:p>
        </w:tc>
        <w:tc>
          <w:tcPr>
            <w:tcW w:w="120" w:type="dxa"/>
            <w:vAlign w:val="bottom"/>
            <w:shd w:val="clear" w:color="auto" w:fill="CFF0FC"/>
          </w:tcPr>
          <w:p>
            <w:pPr>
              <w:spacing w:after="0"/>
              <w:rPr>
                <w:sz w:val="18"/>
                <w:szCs w:val="18"/>
                <w:color w:val="auto"/>
              </w:rPr>
            </w:pPr>
          </w:p>
        </w:tc>
      </w:tr>
      <w:tr>
        <w:trPr>
          <w:trHeight w:val="210"/>
        </w:trPr>
        <w:tc>
          <w:tcPr>
            <w:tcW w:w="3600" w:type="dxa"/>
            <w:vAlign w:val="bottom"/>
          </w:tcPr>
          <w:p>
            <w:pPr>
              <w:ind w:left="500"/>
              <w:spacing w:after="0"/>
              <w:rPr>
                <w:sz w:val="20"/>
                <w:szCs w:val="20"/>
                <w:color w:val="auto"/>
              </w:rPr>
            </w:pPr>
            <w:r>
              <w:rPr>
                <w:rFonts w:ascii="Arial" w:cs="Arial" w:eastAsia="Arial" w:hAnsi="Arial"/>
                <w:sz w:val="18"/>
                <w:szCs w:val="18"/>
                <w:color w:val="auto"/>
              </w:rPr>
              <w:t>Mobility Solutions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373,980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401,842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435,749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436,119</w:t>
            </w:r>
          </w:p>
        </w:tc>
        <w:tc>
          <w:tcPr>
            <w:tcW w:w="120" w:type="dxa"/>
            <w:vAlign w:val="bottom"/>
          </w:tcPr>
          <w:p>
            <w:pPr>
              <w:spacing w:after="0"/>
              <w:rPr>
                <w:sz w:val="18"/>
                <w:szCs w:val="18"/>
                <w:color w:val="auto"/>
              </w:rPr>
            </w:pPr>
          </w:p>
        </w:tc>
      </w:tr>
      <w:tr>
        <w:trPr>
          <w:trHeight w:val="216"/>
        </w:trPr>
        <w:tc>
          <w:tcPr>
            <w:tcW w:w="3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Connected Communities</w:t>
            </w: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107,613</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109,403</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101,353</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100,846</w:t>
            </w:r>
          </w:p>
        </w:tc>
        <w:tc>
          <w:tcPr>
            <w:tcW w:w="120" w:type="dxa"/>
            <w:vAlign w:val="bottom"/>
            <w:shd w:val="clear" w:color="auto" w:fill="CFF0FC"/>
          </w:tcPr>
          <w:p>
            <w:pPr>
              <w:spacing w:after="0"/>
              <w:rPr>
                <w:sz w:val="18"/>
                <w:szCs w:val="18"/>
                <w:color w:val="auto"/>
              </w:rPr>
            </w:pPr>
          </w:p>
        </w:tc>
      </w:tr>
      <w:tr>
        <w:trPr>
          <w:trHeight w:val="210"/>
        </w:trPr>
        <w:tc>
          <w:tcPr>
            <w:tcW w:w="3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Critical Infrastructure revenues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481,593</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511,245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537,102</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536,965</w:t>
            </w:r>
          </w:p>
        </w:tc>
        <w:tc>
          <w:tcPr>
            <w:tcW w:w="120" w:type="dxa"/>
            <w:vAlign w:val="bottom"/>
            <w:tcBorders>
              <w:bottom w:val="single" w:sz="8" w:color="CFF0FC"/>
            </w:tcBorders>
          </w:tcPr>
          <w:p>
            <w:pPr>
              <w:spacing w:after="0"/>
              <w:rPr>
                <w:sz w:val="18"/>
                <w:szCs w:val="18"/>
                <w:color w:val="auto"/>
              </w:rPr>
            </w:pPr>
          </w:p>
        </w:tc>
      </w:tr>
      <w:tr>
        <w:trPr>
          <w:trHeight w:val="21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904,405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989,742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1,023,277</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1,037,388</w:t>
            </w:r>
          </w:p>
        </w:tc>
        <w:tc>
          <w:tcPr>
            <w:tcW w:w="120" w:type="dxa"/>
            <w:vAlign w:val="bottom"/>
            <w:shd w:val="clear" w:color="auto" w:fill="CFF0FC"/>
          </w:tcPr>
          <w:p>
            <w:pPr>
              <w:spacing w:after="0"/>
              <w:rPr>
                <w:sz w:val="18"/>
                <w:szCs w:val="18"/>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12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tables under "Parsons Corporation Inc. Reconciliation of Non-GAAP Measures" present Adjusted Operating Income, Adjusted Operating Margin, Earnings before Interest, Taxes, Depreciation, and Amortization (“EBITDA”), Adjusted EBITDA, EBITDA Margin, and Adjusted EBITDA Margin, reconciled to their most directly comparable GAAP measure. These financial measures are calculated and presented on the basis of methodologies other than in accordance with U.S. generally accepted accounting principles ("Non-GAAP Measures"). Parsons has provided these Non-GAAP Measures to adjust for, among other things, the impact of amortization expenses related to our acquisitions of Williams Electric, Polaris Alpha and OGSystems, initial public offering transaction-related expenses, costs associated with a loss or gain on the disposal or sale of property, plant and equipment, restructuring and related expenses, costs associated with mergers and acquisitions, software implementation costs, legal and settlement costs, and other costs considered to non-operational in nature . These items have been Adjusted because they are not considered core to the company’s business or otherwise not considered operational or because these charges are non-cash or non-recurring. The company presents these Non-GAAP Measures because management believes that they are meaningful to understanding Parsons’s performance during the periods presented and the company’s ongoing business. Non-GAAP Measures are not prepared in accordance with GAAP and therefore are not necessarily comparable to similarly titled metrics or the financial results of other companies. These Non-GAAP Measures should be considered a supplement to, not a substitute for, or superior to, the corresponding financial measures calculated in accordance with GAAP.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jc w:val="center"/>
        <w:spacing w:after="0" w:line="234" w:lineRule="auto"/>
        <w:rPr>
          <w:sz w:val="20"/>
          <w:szCs w:val="20"/>
          <w:color w:val="auto"/>
        </w:rPr>
      </w:pPr>
      <w:r>
        <w:rPr>
          <w:rFonts w:ascii="Arial" w:cs="Arial" w:eastAsia="Arial" w:hAnsi="Arial"/>
          <w:sz w:val="18"/>
          <w:szCs w:val="18"/>
          <w:b w:val="1"/>
          <w:bCs w:val="1"/>
          <w:color w:val="auto"/>
        </w:rPr>
        <w:t>Reconciliation of Net Income to Adjusted EBITDA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7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12,973</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62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3,794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60"/>
              <w:spacing w:after="0"/>
              <w:rPr>
                <w:sz w:val="20"/>
                <w:szCs w:val="20"/>
                <w:color w:val="auto"/>
              </w:rPr>
            </w:pPr>
            <w:r>
              <w:rPr>
                <w:rFonts w:ascii="Arial" w:cs="Arial" w:eastAsia="Arial" w:hAnsi="Arial"/>
                <w:sz w:val="18"/>
                <w:szCs w:val="18"/>
                <w:color w:val="auto"/>
              </w:rPr>
              <w:t>Depreciation and amortization (a)</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32,409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30,591</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60"/>
              <w:spacing w:after="0"/>
              <w:rPr>
                <w:sz w:val="20"/>
                <w:szCs w:val="20"/>
                <w:color w:val="auto"/>
              </w:rPr>
            </w:pPr>
            <w:r>
              <w:rPr>
                <w:rFonts w:ascii="Arial" w:cs="Arial" w:eastAsia="Arial" w:hAnsi="Arial"/>
                <w:sz w:val="18"/>
                <w:szCs w:val="18"/>
                <w:color w:val="auto"/>
              </w:rPr>
              <w:t>Equity based compensation (b)</w:t>
            </w:r>
          </w:p>
        </w:tc>
        <w:tc>
          <w:tcPr>
            <w:tcW w:w="20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(7,721)</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Transaction-related costs (c)</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9,355</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60"/>
              <w:spacing w:after="0"/>
              <w:rPr>
                <w:sz w:val="20"/>
                <w:szCs w:val="20"/>
                <w:color w:val="auto"/>
              </w:rPr>
            </w:pPr>
            <w:r>
              <w:rPr>
                <w:rFonts w:ascii="Arial" w:cs="Arial" w:eastAsia="Arial" w:hAnsi="Arial"/>
                <w:sz w:val="18"/>
                <w:szCs w:val="18"/>
                <w:color w:val="auto"/>
              </w:rPr>
              <w:t>Restructuring (d)</w:t>
            </w:r>
          </w:p>
        </w:tc>
        <w:tc>
          <w:tcPr>
            <w:tcW w:w="20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w:t>
            </w: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FF0FC"/>
          </w:tcPr>
          <w:p>
            <w:pPr>
              <w:spacing w:after="0"/>
              <w:rPr>
                <w:sz w:val="18"/>
                <w:szCs w:val="18"/>
                <w:color w:val="auto"/>
              </w:rPr>
            </w:pPr>
          </w:p>
        </w:tc>
      </w:tr>
      <w:tr>
        <w:trPr>
          <w:trHeight w:val="210"/>
        </w:trPr>
        <w:tc>
          <w:tcPr>
            <w:tcW w:w="762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60,496</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72,024</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right="220" w:hanging="652"/>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Depreciation and amortization for the three months ended March 31, 2020 and March 31, 2019 is $27.4 million and $24.8 million, respectively in the Federal Solutions Segment and $5.0 million and $5.8 million, respectively in the Critical Infrastructure Segment.</w:t>
      </w:r>
    </w:p>
    <w:p>
      <w:pPr>
        <w:spacing w:after="0" w:line="1" w:lineRule="exact"/>
        <w:rPr>
          <w:rFonts w:ascii="Arial" w:cs="Arial" w:eastAsia="Arial" w:hAnsi="Arial"/>
          <w:sz w:val="18"/>
          <w:szCs w:val="18"/>
          <w:color w:val="auto"/>
        </w:rPr>
      </w:pPr>
    </w:p>
    <w:p>
      <w:pPr>
        <w:ind w:left="660" w:hanging="652"/>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equity-based compensation costs primarily related to cash-settled awards.</w:t>
      </w:r>
    </w:p>
    <w:p>
      <w:pPr>
        <w:ind w:left="660" w:right="60" w:hanging="652"/>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initial public offering,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60" w:hanging="652"/>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ind w:left="660" w:right="80" w:hanging="652"/>
        <w:spacing w:after="0" w:line="24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PARSONS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jc w:val="center"/>
        <w:spacing w:after="0" w:line="234" w:lineRule="auto"/>
        <w:rPr>
          <w:sz w:val="20"/>
          <w:szCs w:val="20"/>
          <w:color w:val="auto"/>
        </w:rPr>
      </w:pPr>
      <w:r>
        <w:rPr>
          <w:rFonts w:ascii="Arial" w:cs="Arial" w:eastAsia="Arial" w:hAnsi="Arial"/>
          <w:sz w:val="18"/>
          <w:szCs w:val="18"/>
          <w:b w:val="1"/>
          <w:bCs w:val="1"/>
          <w:color w:val="auto"/>
        </w:rPr>
        <w:t>Computation of Adjusted EBITDA Attributable to Noncontrolling Interests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r>
      <w:tr>
        <w:trPr>
          <w:trHeight w:val="237"/>
        </w:trPr>
        <w:tc>
          <w:tcPr>
            <w:tcW w:w="7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Federal Solutions Adjusted EBITDA attributable to Parsons Corporation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31,617</w:t>
            </w:r>
          </w:p>
        </w:tc>
        <w:tc>
          <w:tcPr>
            <w:tcW w:w="3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noncontrolling interests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Federal Solutions Adjusted EBITDA including noncontrolling interests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31,709</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40,725</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Critical Infrastructure Adjusted EBITDA attributable to Parsons Corporation</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27,357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27,676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Critical Infrastructure Adjusted EBITDA attributable to noncontrolling interests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Adjusted EBITDA including noncontrolling interests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28,787</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31,299</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6"/>
        </w:trPr>
        <w:tc>
          <w:tcPr>
            <w:tcW w:w="7700" w:type="dxa"/>
            <w:vAlign w:val="bottom"/>
          </w:tcPr>
          <w:p>
            <w:pPr>
              <w:spacing w:after="0"/>
              <w:rPr>
                <w:sz w:val="20"/>
                <w:szCs w:val="20"/>
                <w:color w:val="auto"/>
              </w:rPr>
            </w:pPr>
            <w:r>
              <w:rPr>
                <w:rFonts w:ascii="Arial" w:cs="Arial" w:eastAsia="Arial" w:hAnsi="Arial"/>
                <w:sz w:val="18"/>
                <w:szCs w:val="18"/>
                <w:color w:val="auto"/>
              </w:rPr>
              <w:t>Total Adjusted EBITDA including noncontrolling interests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60,496</w:t>
            </w:r>
          </w:p>
        </w:tc>
        <w:tc>
          <w:tcPr>
            <w:tcW w:w="3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72,024</w:t>
            </w:r>
          </w:p>
        </w:tc>
        <w:tc>
          <w:tcPr>
            <w:tcW w:w="12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jc w:val="center"/>
        <w:spacing w:after="0" w:line="234" w:lineRule="auto"/>
        <w:rPr>
          <w:sz w:val="20"/>
          <w:szCs w:val="20"/>
          <w:color w:val="auto"/>
        </w:rPr>
      </w:pPr>
      <w:r>
        <w:rPr>
          <w:rFonts w:ascii="Arial" w:cs="Arial" w:eastAsia="Arial" w:hAnsi="Arial"/>
          <w:sz w:val="18"/>
          <w:szCs w:val="18"/>
          <w:b w:val="1"/>
          <w:bCs w:val="1"/>
          <w:color w:val="auto"/>
        </w:rPr>
        <w:t>Reconciliation of Net Income Attributable to Parsons Corporation to Adjusted Net Income Attributable to Parsons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7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12,973</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Acquisition related intangible asset amortization</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22,699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20,906</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Equity based compensation (a)</w:t>
            </w:r>
          </w:p>
        </w:tc>
        <w:tc>
          <w:tcPr>
            <w:tcW w:w="2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(7,721)</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Transaction-related costs (b)</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w:t>
            </w:r>
          </w:p>
        </w:tc>
        <w:tc>
          <w:tcPr>
            <w:tcW w:w="2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(d)</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Tax effect on adjustments</w:t>
            </w:r>
          </w:p>
        </w:tc>
        <w:tc>
          <w:tcPr>
            <w:tcW w:w="2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(7,568)</w:t>
            </w: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(488)</w:t>
            </w:r>
          </w:p>
        </w:tc>
      </w:tr>
      <w:tr>
        <w:trPr>
          <w:trHeight w:val="25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net income attributable to Parsons Corporation</w:t>
            </w:r>
          </w:p>
        </w:tc>
        <w:tc>
          <w:tcPr>
            <w:tcW w:w="2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32,942</w:t>
            </w:r>
          </w:p>
        </w:tc>
        <w:tc>
          <w:tcPr>
            <w:tcW w:w="3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48,505</w:t>
            </w:r>
          </w:p>
        </w:tc>
        <w:tc>
          <w:tcPr>
            <w:tcW w:w="100" w:type="dxa"/>
            <w:vAlign w:val="bottom"/>
            <w:tcBorders>
              <w:bottom w:val="single" w:sz="8" w:color="CFF0FC"/>
            </w:tcBorders>
          </w:tcPr>
          <w:p>
            <w:pPr>
              <w:spacing w:after="0"/>
              <w:rPr>
                <w:sz w:val="21"/>
                <w:szCs w:val="2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Adjusted earnings per share:</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7620" w:type="dxa"/>
            <w:vAlign w:val="bottom"/>
          </w:tcPr>
          <w:p>
            <w:pPr>
              <w:ind w:left="260"/>
              <w:spacing w:after="0"/>
              <w:rPr>
                <w:sz w:val="20"/>
                <w:szCs w:val="20"/>
                <w:color w:val="auto"/>
              </w:rPr>
            </w:pPr>
            <w:r>
              <w:rPr>
                <w:rFonts w:ascii="Arial" w:cs="Arial" w:eastAsia="Arial" w:hAnsi="Arial"/>
                <w:sz w:val="18"/>
                <w:szCs w:val="18"/>
                <w:color w:val="auto"/>
              </w:rPr>
              <w:t>Weighted-average number of basic shares outstanding</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100,670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78,161</w:t>
            </w:r>
          </w:p>
        </w:tc>
        <w:tc>
          <w:tcPr>
            <w:tcW w:w="100" w:type="dxa"/>
            <w:vAlign w:val="bottom"/>
          </w:tcPr>
          <w:p>
            <w:pPr>
              <w:spacing w:after="0"/>
              <w:rPr>
                <w:sz w:val="21"/>
                <w:szCs w:val="21"/>
                <w:color w:val="auto"/>
              </w:rPr>
            </w:pPr>
          </w:p>
        </w:tc>
      </w:tr>
      <w:tr>
        <w:trPr>
          <w:trHeight w:val="243"/>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number of diluted shares outstanding</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100,899</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78,161</w:t>
            </w:r>
          </w:p>
        </w:tc>
        <w:tc>
          <w:tcPr>
            <w:tcW w:w="100" w:type="dxa"/>
            <w:vAlign w:val="bottom"/>
            <w:shd w:val="clear" w:color="auto" w:fill="CFF0FC"/>
          </w:tcPr>
          <w:p>
            <w:pPr>
              <w:spacing w:after="0"/>
              <w:rPr>
                <w:sz w:val="21"/>
                <w:szCs w:val="21"/>
                <w:color w:val="auto"/>
              </w:rPr>
            </w:pPr>
          </w:p>
        </w:tc>
      </w:tr>
      <w:tr>
        <w:trPr>
          <w:trHeight w:val="243"/>
        </w:trPr>
        <w:tc>
          <w:tcPr>
            <w:tcW w:w="7620" w:type="dxa"/>
            <w:vAlign w:val="bottom"/>
          </w:tcPr>
          <w:p>
            <w:pPr>
              <w:ind w:left="260"/>
              <w:spacing w:after="0"/>
              <w:rPr>
                <w:sz w:val="20"/>
                <w:szCs w:val="20"/>
                <w:color w:val="auto"/>
              </w:rPr>
            </w:pPr>
            <w:r>
              <w:rPr>
                <w:rFonts w:ascii="Arial" w:cs="Arial" w:eastAsia="Arial" w:hAnsi="Arial"/>
                <w:sz w:val="18"/>
                <w:szCs w:val="18"/>
                <w:color w:val="auto"/>
              </w:rPr>
              <w:t>Adjusted net income attributable to Parsons Corporation per basic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0.33</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r>
      <w:tr>
        <w:trPr>
          <w:trHeight w:val="243"/>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net income attributable to Parsons Corporation per diluted share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3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FF0FC"/>
          </w:tcPr>
          <w:p>
            <w:pPr>
              <w:spacing w:after="0"/>
              <w:rPr>
                <w:sz w:val="21"/>
                <w:szCs w:val="21"/>
                <w:color w:val="auto"/>
              </w:rPr>
            </w:pPr>
          </w:p>
        </w:tc>
      </w:tr>
    </w:tbl>
    <w:p>
      <w:pPr>
        <w:spacing w:after="0" w:line="29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equity-based compensation costs primarily related to cash-settled awards.</w:t>
      </w:r>
    </w:p>
    <w:p>
      <w:pPr>
        <w:ind w:left="660" w:right="60" w:hanging="652"/>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initial public offering,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60" w:hanging="652"/>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ind w:left="660" w:right="80" w:hanging="652"/>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2020-05-06T05:32:16Z</dcterms:created>
  <dcterms:modified xsi:type="dcterms:W3CDTF">2020-05-06T05:32:16Z</dcterms:modified>
</cp:coreProperties>
</file>